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ind w:left="3880" w:right="1580" w:hanging="3872"/>
        <w:spacing w:after="0" w:line="319"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-322580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4"/>
          <w:szCs w:val="24"/>
          <w:color w:val="auto"/>
        </w:rPr>
      </w:pPr>
    </w:p>
    <w:p>
      <w:pPr>
        <w:ind w:left="4540"/>
        <w:spacing w:after="0"/>
        <w:tabs>
          <w:tab w:leader="none" w:pos="7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814-00735</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192"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31" w:lineRule="exact"/>
        <w:rPr>
          <w:sz w:val="24"/>
          <w:szCs w:val="24"/>
          <w:color w:val="auto"/>
        </w:rPr>
      </w:pPr>
    </w:p>
    <w:p>
      <w:pPr>
        <w:sectPr>
          <w:pgSz w:w="11900" w:h="16838" w:orient="portrait"/>
          <w:cols w:equalWidth="0" w:num="2">
            <w:col w:w="7320" w:space="720"/>
            <w:col w:w="3200"/>
          </w:cols>
          <w:pgMar w:left="320" w:top="332" w:right="339" w:bottom="1440" w:gutter="0" w:footer="0" w:header="0"/>
          <w:type w:val="continuous"/>
        </w:sectPr>
      </w:pPr>
    </w:p>
    <w:p>
      <w:pPr>
        <w:spacing w:after="0" w:line="1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55" w:lineRule="exact"/>
        <w:rPr>
          <w:sz w:val="24"/>
          <w:szCs w:val="24"/>
          <w:color w:val="auto"/>
        </w:rPr>
      </w:pPr>
    </w:p>
    <w:p>
      <w:pPr>
        <w:sectPr>
          <w:pgSz w:w="11900" w:h="16838" w:orient="portrait"/>
          <w:cols w:equalWidth="0" w:num="2">
            <w:col w:w="7040" w:space="720"/>
            <w:col w:w="3480"/>
          </w:cols>
          <w:pgMar w:left="320" w:top="332"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332"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17"/>
                <w:szCs w:val="17"/>
                <w:color w:val="auto"/>
              </w:rPr>
            </w:pPr>
          </w:p>
        </w:tc>
      </w:tr>
      <w:tr>
        <w:trPr>
          <w:trHeight w:val="213"/>
        </w:trPr>
        <w:tc>
          <w:tcPr>
            <w:tcW w:w="3680" w:type="dxa"/>
            <w:vAlign w:val="bottom"/>
          </w:tcPr>
          <w:p>
            <w:pPr>
              <w:jc w:val="center"/>
              <w:ind w:left="739"/>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680" w:type="dxa"/>
            <w:vAlign w:val="bottom"/>
            <w:tcBorders>
              <w:top w:val="single" w:sz="8" w:color="auto"/>
            </w:tcBorders>
          </w:tcPr>
          <w:p>
            <w:pPr>
              <w:jc w:val="center"/>
              <w:ind w:left="759"/>
              <w:spacing w:after="0"/>
              <w:rPr>
                <w:sz w:val="20"/>
                <w:szCs w:val="20"/>
                <w:color w:val="auto"/>
              </w:rPr>
            </w:pPr>
            <w:r>
              <w:rPr>
                <w:rFonts w:ascii="Arial" w:cs="Arial" w:eastAsia="Arial" w:hAnsi="Arial"/>
                <w:sz w:val="16"/>
                <w:szCs w:val="16"/>
                <w:color w:val="auto"/>
                <w:w w:val="90"/>
              </w:rPr>
              <w:t>Common Stock, par value $0.01 per share</w:t>
            </w: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PTMN</w:t>
            </w: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r>
        <w:trPr>
          <w:trHeight w:val="206"/>
        </w:trPr>
        <w:tc>
          <w:tcPr>
            <w:tcW w:w="3680" w:type="dxa"/>
            <w:vAlign w:val="bottom"/>
          </w:tcPr>
          <w:p>
            <w:pPr>
              <w:jc w:val="center"/>
              <w:ind w:left="759"/>
              <w:spacing w:after="0"/>
              <w:rPr>
                <w:sz w:val="20"/>
                <w:szCs w:val="20"/>
                <w:color w:val="auto"/>
              </w:rPr>
            </w:pPr>
            <w:r>
              <w:rPr>
                <w:rFonts w:ascii="Arial" w:cs="Arial" w:eastAsia="Arial" w:hAnsi="Arial"/>
                <w:sz w:val="16"/>
                <w:szCs w:val="16"/>
                <w:color w:val="auto"/>
                <w:w w:val="90"/>
              </w:rPr>
              <w:t>6.125% Notes due 2022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color w:val="auto"/>
                <w:w w:val="99"/>
              </w:rPr>
              <w:t>KCAPL</w:t>
            </w:r>
          </w:p>
        </w:tc>
        <w:tc>
          <w:tcPr>
            <w:tcW w:w="3740" w:type="dxa"/>
            <w:vAlign w:val="bottom"/>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bl>
    <w:p>
      <w:pPr>
        <w:spacing w:after="0" w:line="64" w:lineRule="exact"/>
        <w:rPr>
          <w:sz w:val="24"/>
          <w:szCs w:val="24"/>
          <w:color w:val="auto"/>
        </w:rPr>
      </w:pPr>
    </w:p>
    <w:p>
      <w:pPr>
        <w:ind w:right="260"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4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380" w:firstLine="37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46" w:lineRule="exact"/>
        <w:rPr>
          <w:sz w:val="24"/>
          <w:szCs w:val="24"/>
          <w:color w:val="auto"/>
        </w:rPr>
      </w:pPr>
    </w:p>
    <w:p>
      <w:pPr>
        <w:ind w:right="200"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16"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The number of outstanding shares of common stock of the registrant as of August 3, 2020 was 44,495,221.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60" w:type="dxa"/>
            <w:vAlign w:val="bottom"/>
            <w:gridSpan w:val="3"/>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jc w:val="center"/>
              <w:ind w:right="3560"/>
              <w:spacing w:after="0" w:line="176" w:lineRule="exact"/>
              <w:rPr>
                <w:sz w:val="20"/>
                <w:szCs w:val="20"/>
                <w:color w:val="auto"/>
              </w:rPr>
            </w:pPr>
            <w:r>
              <w:rPr>
                <w:rFonts w:ascii="Arial" w:cs="Arial" w:eastAsia="Arial" w:hAnsi="Arial"/>
                <w:sz w:val="18"/>
                <w:szCs w:val="18"/>
                <w:b w:val="1"/>
                <w:bCs w:val="1"/>
                <w:color w:val="auto"/>
                <w:w w:val="95"/>
              </w:rPr>
              <w:t>Part I. Financial Information</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96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June 30, 2020 (unaudited) and December 31,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Operations (unaudited) for the three and six months ended June 30,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Changes in Net Assets (unaudited) for the six months ended June 30,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(unaudited) for the six months ended June 30,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Schedules of Investments as of June 30, 2020 (unaudited) and December 31,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Consolidated Financial Highlights (unaudited) for the six months ended June 30,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Notes to Consolidated Financial Statements (unaudited)</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Management’s Discussion and Analysis of Financial Condition and Results of Operations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Quantitative and Qualitative Disclosures About Market Risk</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Changes in and Disagreements with Accountants on Accounting and Financial Disclosure</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Controls and Procedures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jc w:val="center"/>
              <w:ind w:right="3560"/>
              <w:spacing w:after="0"/>
              <w:rPr>
                <w:rFonts w:ascii="Arial" w:cs="Arial" w:eastAsia="Arial" w:hAnsi="Arial"/>
                <w:sz w:val="18"/>
                <w:szCs w:val="18"/>
                <w:b w:val="1"/>
                <w:bCs w:val="1"/>
                <w:u w:val="single" w:color="auto"/>
                <w:color w:val="0000EE"/>
                <w:w w:val="97"/>
              </w:rPr>
            </w:pPr>
            <w:hyperlink w:anchor="page93">
              <w:r>
                <w:rPr>
                  <w:rFonts w:ascii="Arial" w:cs="Arial" w:eastAsia="Arial" w:hAnsi="Arial"/>
                  <w:sz w:val="18"/>
                  <w:szCs w:val="18"/>
                  <w:b w:val="1"/>
                  <w:bCs w:val="1"/>
                  <w:u w:val="single" w:color="auto"/>
                  <w:color w:val="0000EE"/>
                  <w:w w:val="97"/>
                </w:rPr>
                <w:t>Part II. Other Information</w:t>
              </w:r>
            </w:hyperlink>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Proceedings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Risk Factors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Unregistered Sales of Equity Securities and Use of Proceeds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Defaults Upon Senior Securities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Mine Safety Disclosures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Other Information</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Exhibits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Signatures</w:t>
              </w:r>
            </w:hyperlink>
          </w:p>
        </w:tc>
        <w:tc>
          <w:tcPr>
            <w:tcW w:w="3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r>
      <w:tr>
        <w:trPr>
          <w:trHeight w:val="648"/>
        </w:trPr>
        <w:tc>
          <w:tcPr>
            <w:tcW w:w="960" w:type="dxa"/>
            <w:vAlign w:val="bottom"/>
          </w:tcPr>
          <w:p>
            <w:pPr>
              <w:spacing w:after="0"/>
              <w:rPr>
                <w:sz w:val="24"/>
                <w:szCs w:val="24"/>
                <w:color w:val="auto"/>
              </w:rPr>
            </w:pPr>
          </w:p>
        </w:tc>
        <w:tc>
          <w:tcPr>
            <w:tcW w:w="6000" w:type="dxa"/>
            <w:vAlign w:val="bottom"/>
            <w:gridSpan w:val="2"/>
          </w:tcPr>
          <w:p>
            <w:pPr>
              <w:ind w:left="46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21"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In this Quarterly Report on Form 10-Q, the “Company”, “Portman Ridge”, “we”, “us” and “our” refer to Portman Ridge Finance Corporation and its wholly-owned subsidiaries,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02"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2019,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3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84" w:lineRule="exact"/>
        <w:rPr>
          <w:rFonts w:ascii="Arial" w:cs="Arial" w:eastAsia="Arial" w:hAnsi="Arial"/>
          <w:sz w:val="18"/>
          <w:szCs w:val="18"/>
          <w:color w:val="auto"/>
        </w:rPr>
      </w:pPr>
    </w:p>
    <w:p>
      <w:pPr>
        <w:ind w:left="740" w:right="4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(“BDC”) under the Investment Company Act of 1940 and a regulated investment company under Subchapter M of the Internal Revenue Code of 1986, including the impact of changes in laws or regulations governing our operations;</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available liquidity, cash resources and working capital;</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84"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Sierra Crest Investment Management LLC (the “Adviser”) to locate suitable investments for us to monitor and administer our investments;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Adviser to attract and retain highly talented professionals;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potential conflicts of interest with the Adviser and its affiliates;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legal, tax, and regulatory changes on us and our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effects of the COVID-19 pandemic on us and our portfolio companies;</w:t>
      </w:r>
    </w:p>
    <w:p>
      <w:pPr>
        <w:spacing w:after="0" w:line="184"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impact of the COVID-19 pandemic,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and</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85" w:lineRule="exact"/>
        <w:rPr>
          <w:sz w:val="20"/>
          <w:szCs w:val="20"/>
          <w:color w:val="auto"/>
        </w:rPr>
      </w:pPr>
    </w:p>
    <w:p>
      <w:pPr>
        <w:ind w:right="180" w:firstLine="374"/>
        <w:spacing w:after="0" w:line="296" w:lineRule="auto"/>
        <w:rPr>
          <w:sz w:val="20"/>
          <w:szCs w:val="20"/>
          <w:color w:val="auto"/>
        </w:rPr>
      </w:pPr>
      <w:r>
        <w:rPr>
          <w:rFonts w:ascii="Arial" w:cs="Arial" w:eastAsia="Arial" w:hAnsi="Arial"/>
          <w:sz w:val="16"/>
          <w:szCs w:val="16"/>
          <w:color w:val="auto"/>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2019.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7"/>
              </w:rPr>
              <w:t>June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1"/>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(cost: 2020 - $2,067,817; 2019 - $4,207,107)</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Debt securities (amortized cost: 2020 - $225,253,456; 2019 - $194,686,364)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208,871,696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186,802,908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5"/>
              </w:rPr>
              <w:t>CLO Fund Securities managed by affiliates (amortized cost: 2020 - $44,659,024; 2019 - $45,099,076)</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15,802,533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29,984,047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w w:val="93"/>
              </w:rPr>
              <w:t>CLO Fund Securities managed by non-affiliates (amortized cost: 2020 - $1,479,854; 2019 - $1,519,641)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1,089,075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1,984,155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(cost: 2020 - $21,760,483; 2019 - $22,160,993)</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9,537,926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Asset Manager Affiliates (cost: 2020 - $17,791,230; 2019 - $17,791,230)</w:t>
            </w:r>
          </w:p>
        </w:tc>
        <w:tc>
          <w:tcPr>
            <w:tcW w:w="2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 (cost: 2020 - $53,232,923; 2019 - $48,594,539)</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43,925,633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Derivatives (cost: 2020 - $30,609; 2019 - $30,609)</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(571,419)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(33,437)</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 (cost: 2020 - $366,275,396; 2019 - $334,089,559)</w:t>
            </w: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280,723,261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414,159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11,398,350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1,909,124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1,367,447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Receivable for unsettled trades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24,420,045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Due from affiliates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170,313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1,641,460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305,759,667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310,374,263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6.125% Notes Due 2022 (net of offering costs of: 2020-$1,354,444; 2019 - $1,651,946)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75,371,531</w:t>
            </w:r>
          </w:p>
        </w:tc>
        <w:tc>
          <w:tcPr>
            <w:tcW w:w="280" w:type="dxa"/>
            <w:vAlign w:val="bottom"/>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75,755,253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2020-$1,280,775; 2019 - $1,462,364)</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97,040,123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78,108,535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Payable for unsettled trades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7,366,263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1,986,506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1,386,981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931,999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Due to affiliates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1,341,541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incentive fees payable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1,008,049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185,046,012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158,175,693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par value $0.01 per share, 100,000,000 common shares authorized; 45,065,524 issued,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5"/>
              </w:rPr>
              <w:t>and 44,495,221 outstanding at June 30, 2020, and 45,024,535 issued, and 44,829,676 outstanding at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444,952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451,014,609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451,353,379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distributable (loss) earnings</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(330,745,906)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(299,603,106)</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120,713,655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152,198,570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305,759,667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310,374,263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5"/>
                <w:szCs w:val="15"/>
                <w:b w:val="1"/>
                <w:bCs w:val="1"/>
                <w:color w:val="auto"/>
              </w:rPr>
              <w:t>For the Three Months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5"/>
                <w:szCs w:val="15"/>
                <w:b w:val="1"/>
                <w:bCs w:val="1"/>
                <w:color w:val="auto"/>
              </w:rPr>
              <w:t>For the Six Months</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line="169" w:lineRule="exact"/>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4"/>
              <w:spacing w:after="0" w:line="169" w:lineRule="exact"/>
              <w:rPr>
                <w:sz w:val="20"/>
                <w:szCs w:val="20"/>
                <w:color w:val="auto"/>
              </w:rPr>
            </w:pPr>
            <w:r>
              <w:rPr>
                <w:rFonts w:ascii="Arial" w:cs="Arial" w:eastAsia="Arial" w:hAnsi="Arial"/>
                <w:sz w:val="15"/>
                <w:szCs w:val="15"/>
                <w:b w:val="1"/>
                <w:bCs w:val="1"/>
                <w:color w:val="auto"/>
                <w:w w:val="89"/>
              </w:rPr>
              <w:t>2019</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4"/>
              <w:spacing w:after="0" w:line="169" w:lineRule="exact"/>
              <w:rPr>
                <w:sz w:val="20"/>
                <w:szCs w:val="20"/>
                <w:color w:val="auto"/>
              </w:rPr>
            </w:pPr>
            <w:r>
              <w:rPr>
                <w:rFonts w:ascii="Arial" w:cs="Arial" w:eastAsia="Arial" w:hAnsi="Arial"/>
                <w:sz w:val="15"/>
                <w:szCs w:val="15"/>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4"/>
              <w:spacing w:after="0" w:line="169" w:lineRule="exact"/>
              <w:rPr>
                <w:sz w:val="20"/>
                <w:szCs w:val="20"/>
                <w:color w:val="auto"/>
              </w:rPr>
            </w:pPr>
            <w:r>
              <w:rPr>
                <w:rFonts w:ascii="Arial" w:cs="Arial" w:eastAsia="Arial" w:hAnsi="Arial"/>
                <w:sz w:val="15"/>
                <w:szCs w:val="15"/>
                <w:b w:val="1"/>
                <w:bCs w:val="1"/>
                <w:color w:val="auto"/>
                <w:w w:val="95"/>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Investment Income:</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60"/>
              <w:spacing w:after="0"/>
              <w:rPr>
                <w:sz w:val="20"/>
                <w:szCs w:val="20"/>
                <w:color w:val="auto"/>
              </w:rPr>
            </w:pPr>
            <w:r>
              <w:rPr>
                <w:rFonts w:ascii="Arial" w:cs="Arial" w:eastAsia="Arial" w:hAnsi="Arial"/>
                <w:sz w:val="15"/>
                <w:szCs w:val="15"/>
                <w:color w:val="auto"/>
              </w:rPr>
              <w:t>Interest from investments in debt securities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4,813,517</w:t>
            </w:r>
          </w:p>
        </w:tc>
        <w:tc>
          <w:tcPr>
            <w:tcW w:w="240" w:type="dxa"/>
            <w:vAlign w:val="bottom"/>
          </w:tcPr>
          <w:p>
            <w:pPr>
              <w:spacing w:after="0"/>
              <w:rPr>
                <w:sz w:val="15"/>
                <w:szCs w:val="15"/>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3,831,861</w:t>
            </w:r>
          </w:p>
        </w:tc>
        <w:tc>
          <w:tcPr>
            <w:tcW w:w="1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9,393,299</w:t>
            </w:r>
          </w:p>
        </w:tc>
        <w:tc>
          <w:tcPr>
            <w:tcW w:w="140" w:type="dxa"/>
            <w:vAlign w:val="bottom"/>
          </w:tcPr>
          <w:p>
            <w:pPr>
              <w:spacing w:after="0"/>
              <w:rPr>
                <w:sz w:val="15"/>
                <w:szCs w:val="15"/>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6,768,657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Payment-in-kind investment income</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381,528</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11,520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690,897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60"/>
              <w:spacing w:after="0"/>
              <w:rPr>
                <w:sz w:val="20"/>
                <w:szCs w:val="20"/>
                <w:color w:val="auto"/>
              </w:rPr>
            </w:pPr>
            <w:r>
              <w:rPr>
                <w:rFonts w:ascii="Arial" w:cs="Arial" w:eastAsia="Arial" w:hAnsi="Arial"/>
                <w:sz w:val="15"/>
                <w:szCs w:val="15"/>
                <w:color w:val="auto"/>
              </w:rPr>
              <w:t>Interest from short-term investments</w:t>
            </w:r>
          </w:p>
        </w:tc>
        <w:tc>
          <w:tcPr>
            <w:tcW w:w="24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16,444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15,279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on CLO Fund Securities managed by affiliates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832,867</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1,607,308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1,906,361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1,739,754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60"/>
              <w:spacing w:after="0"/>
              <w:rPr>
                <w:sz w:val="20"/>
                <w:szCs w:val="20"/>
                <w:color w:val="auto"/>
              </w:rPr>
            </w:pPr>
            <w:r>
              <w:rPr>
                <w:rFonts w:ascii="Arial" w:cs="Arial" w:eastAsia="Arial" w:hAnsi="Arial"/>
                <w:sz w:val="15"/>
                <w:szCs w:val="15"/>
                <w:color w:val="auto"/>
              </w:rPr>
              <w:t>Investment income on CLO Fund Securities managed by non-affiliates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87,718</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105,574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204,961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1,786,848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 from Asset Manager Affiliates</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860" w:type="dxa"/>
            <w:vAlign w:val="bottom"/>
          </w:tcPr>
          <w:p>
            <w:pPr>
              <w:ind w:left="260"/>
              <w:spacing w:after="0"/>
              <w:rPr>
                <w:sz w:val="20"/>
                <w:szCs w:val="20"/>
                <w:color w:val="auto"/>
              </w:rPr>
            </w:pPr>
            <w:r>
              <w:rPr>
                <w:rFonts w:ascii="Arial" w:cs="Arial" w:eastAsia="Arial" w:hAnsi="Arial"/>
                <w:sz w:val="15"/>
                <w:szCs w:val="15"/>
                <w:color w:val="auto"/>
              </w:rPr>
              <w:t>Investment income - Joint Ventures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1,000,883</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1,291,667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2,578,019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2,241,667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structuring service fees</w:t>
            </w: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197,381</w:t>
            </w:r>
          </w:p>
        </w:tc>
        <w:tc>
          <w:tcPr>
            <w:tcW w:w="24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49,795</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279,285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110,998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w:t>
            </w: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7,313,894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6,914,169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15,068,101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w w:val="98"/>
              </w:rPr>
              <w:t>12,713,579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Expenses: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60"/>
              <w:spacing w:after="0"/>
              <w:rPr>
                <w:sz w:val="20"/>
                <w:szCs w:val="20"/>
                <w:color w:val="auto"/>
              </w:rPr>
            </w:pPr>
            <w:r>
              <w:rPr>
                <w:rFonts w:ascii="Arial" w:cs="Arial" w:eastAsia="Arial" w:hAnsi="Arial"/>
                <w:sz w:val="15"/>
                <w:szCs w:val="15"/>
                <w:color w:val="auto"/>
              </w:rPr>
              <w:t>Management fees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1,008,384</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1,026,100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2,020,074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1,026,100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Performance-based incentive fees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454,874</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556,880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860" w:type="dxa"/>
            <w:vAlign w:val="bottom"/>
          </w:tcPr>
          <w:p>
            <w:pPr>
              <w:ind w:left="260"/>
              <w:spacing w:after="0"/>
              <w:rPr>
                <w:sz w:val="20"/>
                <w:szCs w:val="20"/>
                <w:color w:val="auto"/>
              </w:rPr>
            </w:pPr>
            <w:r>
              <w:rPr>
                <w:rFonts w:ascii="Arial" w:cs="Arial" w:eastAsia="Arial" w:hAnsi="Arial"/>
                <w:sz w:val="15"/>
                <w:szCs w:val="15"/>
                <w:color w:val="auto"/>
              </w:rPr>
              <w:t>Interest and amortization of debt issuance costs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2,394,870</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1,982,431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4,744,941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3,783,357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Compensation</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3,688,578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60"/>
              <w:spacing w:after="0"/>
              <w:rPr>
                <w:sz w:val="20"/>
                <w:szCs w:val="20"/>
                <w:color w:val="auto"/>
              </w:rPr>
            </w:pPr>
            <w:r>
              <w:rPr>
                <w:rFonts w:ascii="Arial" w:cs="Arial" w:eastAsia="Arial" w:hAnsi="Arial"/>
                <w:sz w:val="15"/>
                <w:szCs w:val="15"/>
                <w:color w:val="auto"/>
              </w:rPr>
              <w:t>Professional fees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527,317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514,523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1,370,946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2,182,645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177,154</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359,449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300,904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448,099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60"/>
              <w:spacing w:after="0"/>
              <w:rPr>
                <w:sz w:val="20"/>
                <w:szCs w:val="20"/>
                <w:color w:val="auto"/>
              </w:rPr>
            </w:pPr>
            <w:r>
              <w:rPr>
                <w:rFonts w:ascii="Arial" w:cs="Arial" w:eastAsia="Arial" w:hAnsi="Arial"/>
                <w:sz w:val="15"/>
                <w:szCs w:val="15"/>
                <w:color w:val="auto"/>
              </w:rPr>
              <w:t>Administrative services expense</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430,265</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409,600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891,265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409,600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general and administrative expenses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175,998</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311,296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374,273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1,059,615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60"/>
              <w:spacing w:after="0"/>
              <w:rPr>
                <w:sz w:val="20"/>
                <w:szCs w:val="20"/>
                <w:color w:val="auto"/>
              </w:rPr>
            </w:pPr>
            <w:r>
              <w:rPr>
                <w:rFonts w:ascii="Arial" w:cs="Arial" w:eastAsia="Arial" w:hAnsi="Arial"/>
                <w:sz w:val="15"/>
                <w:szCs w:val="15"/>
                <w:color w:val="auto"/>
              </w:rPr>
              <w:t>Lease termination costs</w:t>
            </w:r>
          </w:p>
        </w:tc>
        <w:tc>
          <w:tcPr>
            <w:tcW w:w="24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1,431,030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1,431,030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5,168,862</w:t>
            </w:r>
          </w:p>
        </w:tc>
        <w:tc>
          <w:tcPr>
            <w:tcW w:w="24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6,034,429</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10,259,283</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8"/>
              </w:rPr>
              <w:t>14,029,024</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tcPr>
          <w:p>
            <w:pPr>
              <w:ind w:left="260"/>
              <w:spacing w:after="0" w:line="169" w:lineRule="exact"/>
              <w:rPr>
                <w:sz w:val="20"/>
                <w:szCs w:val="20"/>
                <w:color w:val="auto"/>
              </w:rPr>
            </w:pPr>
            <w:r>
              <w:rPr>
                <w:rFonts w:ascii="Arial" w:cs="Arial" w:eastAsia="Arial" w:hAnsi="Arial"/>
                <w:sz w:val="15"/>
                <w:szCs w:val="15"/>
                <w:color w:val="auto"/>
              </w:rPr>
              <w:t>Management and performance-based incentive fees waived</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(454,874)</w:t>
            </w:r>
          </w:p>
        </w:tc>
        <w:tc>
          <w:tcPr>
            <w:tcW w:w="400" w:type="dxa"/>
            <w:vAlign w:val="bottom"/>
          </w:tcPr>
          <w:p>
            <w:pPr>
              <w:spacing w:after="0"/>
              <w:rPr>
                <w:sz w:val="14"/>
                <w:szCs w:val="14"/>
                <w:color w:val="auto"/>
              </w:rPr>
            </w:pP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(556,880)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8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Net Expenses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4,713,988</w:t>
            </w:r>
          </w:p>
        </w:tc>
        <w:tc>
          <w:tcPr>
            <w:tcW w:w="24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6,034,429</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9,702,403</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8"/>
              </w:rPr>
              <w:t>14,029,024</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(Loss)</w:t>
            </w: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2,599,906</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879,740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5,365,698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99"/>
              </w:rPr>
              <w:t>(1,315,445)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Realized And Unrealized (Losses) Gains On Investments: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60"/>
              <w:spacing w:after="0"/>
              <w:rPr>
                <w:sz w:val="20"/>
                <w:szCs w:val="20"/>
                <w:color w:val="auto"/>
              </w:rPr>
            </w:pPr>
            <w:r>
              <w:rPr>
                <w:rFonts w:ascii="Arial" w:cs="Arial" w:eastAsia="Arial" w:hAnsi="Arial"/>
                <w:sz w:val="15"/>
                <w:szCs w:val="15"/>
                <w:color w:val="auto"/>
              </w:rPr>
              <w:t>Net realized (losses) gains from investment transactions</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(881,615)</w:t>
            </w:r>
          </w:p>
        </w:tc>
        <w:tc>
          <w:tcPr>
            <w:tcW w:w="4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(2,270,962)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(1,929,762)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w w:val="94"/>
              </w:rPr>
              <w:t>(15,620,391)</w:t>
            </w: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change in unrealized (depreciation) appreciation on:</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500"/>
              <w:spacing w:after="0"/>
              <w:rPr>
                <w:sz w:val="20"/>
                <w:szCs w:val="20"/>
                <w:color w:val="auto"/>
              </w:rPr>
            </w:pPr>
            <w:r>
              <w:rPr>
                <w:rFonts w:ascii="Arial" w:cs="Arial" w:eastAsia="Arial" w:hAnsi="Arial"/>
                <w:sz w:val="15"/>
                <w:szCs w:val="15"/>
                <w:color w:val="auto"/>
              </w:rPr>
              <w:t>Debt securities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2,279,932</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2,305,906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(8,498,305)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4,205,770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Equity securities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351,925</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151,619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74,018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(4,899,412)</w:t>
            </w:r>
          </w:p>
        </w:tc>
        <w:tc>
          <w:tcPr>
            <w:tcW w:w="0" w:type="dxa"/>
            <w:vAlign w:val="bottom"/>
          </w:tcPr>
          <w:p>
            <w:pPr>
              <w:spacing w:after="0"/>
              <w:rPr>
                <w:sz w:val="1"/>
                <w:szCs w:val="1"/>
                <w:color w:val="auto"/>
              </w:rPr>
            </w:pPr>
          </w:p>
        </w:tc>
      </w:tr>
      <w:tr>
        <w:trPr>
          <w:trHeight w:val="175"/>
        </w:trPr>
        <w:tc>
          <w:tcPr>
            <w:tcW w:w="5860" w:type="dxa"/>
            <w:vAlign w:val="bottom"/>
          </w:tcPr>
          <w:p>
            <w:pPr>
              <w:ind w:left="500"/>
              <w:spacing w:after="0"/>
              <w:rPr>
                <w:sz w:val="20"/>
                <w:szCs w:val="20"/>
                <w:color w:val="auto"/>
              </w:rPr>
            </w:pPr>
            <w:r>
              <w:rPr>
                <w:rFonts w:ascii="Arial" w:cs="Arial" w:eastAsia="Arial" w:hAnsi="Arial"/>
                <w:sz w:val="15"/>
                <w:szCs w:val="15"/>
                <w:color w:val="auto"/>
              </w:rPr>
              <w:t>CLO Fund Securities managed by affiliates</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(2,579,187)</w:t>
            </w:r>
          </w:p>
        </w:tc>
        <w:tc>
          <w:tcPr>
            <w:tcW w:w="4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(532,566)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(13,741,461)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(615,135)</w:t>
            </w: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CLO Fund Securities managed by non-affiliates</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(283,864)</w:t>
            </w:r>
          </w:p>
        </w:tc>
        <w:tc>
          <w:tcPr>
            <w:tcW w:w="4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(66,680)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(855,293)</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2,476,572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500"/>
              <w:spacing w:after="0"/>
              <w:rPr>
                <w:sz w:val="20"/>
                <w:szCs w:val="20"/>
                <w:color w:val="auto"/>
              </w:rPr>
            </w:pPr>
            <w:r>
              <w:rPr>
                <w:rFonts w:ascii="Arial" w:cs="Arial" w:eastAsia="Arial" w:hAnsi="Arial"/>
                <w:sz w:val="15"/>
                <w:szCs w:val="15"/>
                <w:color w:val="auto"/>
              </w:rPr>
              <w:t>Asset Manager Affiliates investments</w:t>
            </w:r>
          </w:p>
        </w:tc>
        <w:tc>
          <w:tcPr>
            <w:tcW w:w="24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Joint Venture Investments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2,308,479</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(1,315,379)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(5,800,718)</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4,002,150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500"/>
              <w:spacing w:after="0"/>
              <w:rPr>
                <w:sz w:val="20"/>
                <w:szCs w:val="20"/>
                <w:color w:val="auto"/>
              </w:rPr>
            </w:pPr>
            <w:r>
              <w:rPr>
                <w:rFonts w:ascii="Arial" w:cs="Arial" w:eastAsia="Arial" w:hAnsi="Arial"/>
                <w:sz w:val="15"/>
                <w:szCs w:val="15"/>
                <w:color w:val="auto"/>
              </w:rPr>
              <w:t>Derivatives</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(512,346)</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(537,983)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Total net change in unrealized appreciation (depreciation)</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1,564,939</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542,900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(29,359,742)</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5,169,945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5"/>
                <w:szCs w:val="15"/>
                <w:color w:val="auto"/>
              </w:rPr>
              <w:t>Net realized and unrealized (depreciation) on investments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683,324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(1,728,062)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(31,289,504)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4"/>
              </w:rPr>
              <w:t>(10,450,446)</w:t>
            </w:r>
          </w:p>
        </w:tc>
        <w:tc>
          <w:tcPr>
            <w:tcW w:w="0" w:type="dxa"/>
            <w:vAlign w:val="bottom"/>
          </w:tcPr>
          <w:p>
            <w:pPr>
              <w:spacing w:after="0"/>
              <w:rPr>
                <w:sz w:val="1"/>
                <w:szCs w:val="1"/>
                <w:color w:val="auto"/>
              </w:rPr>
            </w:pPr>
          </w:p>
        </w:tc>
      </w:tr>
      <w:tr>
        <w:trPr>
          <w:trHeight w:val="169"/>
        </w:trPr>
        <w:tc>
          <w:tcPr>
            <w:tcW w:w="58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Realized gains on extinguishments of Debt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464</w:t>
            </w:r>
          </w:p>
        </w:tc>
        <w:tc>
          <w:tcPr>
            <w:tcW w:w="24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154,571</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line="169" w:lineRule="exact"/>
              <w:rPr>
                <w:sz w:val="20"/>
                <w:szCs w:val="20"/>
                <w:color w:val="auto"/>
              </w:rPr>
            </w:pPr>
            <w:r>
              <w:rPr>
                <w:rFonts w:ascii="Arial" w:cs="Arial" w:eastAsia="Arial" w:hAnsi="Arial"/>
                <w:sz w:val="15"/>
                <w:szCs w:val="15"/>
                <w:b w:val="1"/>
                <w:bCs w:val="1"/>
                <w:color w:val="auto"/>
              </w:rPr>
              <w:t>Net (Decrease) Increase In Stockholders’ Equity Resulting From Operations</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3,283,694</w:t>
            </w:r>
          </w:p>
        </w:tc>
        <w:tc>
          <w:tcPr>
            <w:tcW w:w="240" w:type="dxa"/>
            <w:vAlign w:val="bottom"/>
          </w:tcPr>
          <w:p>
            <w:pPr>
              <w:spacing w:after="0"/>
              <w:rPr>
                <w:sz w:val="18"/>
                <w:szCs w:val="18"/>
                <w:color w:val="auto"/>
              </w:rPr>
            </w:pPr>
          </w:p>
        </w:tc>
        <w:tc>
          <w:tcPr>
            <w:tcW w:w="400" w:type="dxa"/>
            <w:vAlign w:val="bottom"/>
          </w:tcPr>
          <w:p>
            <w:pPr>
              <w:jc w:val="right"/>
              <w:ind w:right="24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(848,322)</w:t>
            </w:r>
          </w:p>
        </w:tc>
        <w:tc>
          <w:tcPr>
            <w:tcW w:w="3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(25,769,235)</w:t>
            </w:r>
          </w:p>
        </w:tc>
        <w:tc>
          <w:tcPr>
            <w:tcW w:w="48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4"/>
              </w:rPr>
              <w:t>(11,765,891)</w:t>
            </w:r>
          </w:p>
        </w:tc>
        <w:tc>
          <w:tcPr>
            <w:tcW w:w="0" w:type="dxa"/>
            <w:vAlign w:val="bottom"/>
          </w:tcPr>
          <w:p>
            <w:pPr>
              <w:spacing w:after="0"/>
              <w:rPr>
                <w:sz w:val="1"/>
                <w:szCs w:val="1"/>
                <w:color w:val="auto"/>
              </w:rPr>
            </w:pPr>
          </w:p>
        </w:tc>
      </w:tr>
      <w:tr>
        <w:trPr>
          <w:trHeight w:val="143"/>
        </w:trPr>
        <w:tc>
          <w:tcPr>
            <w:tcW w:w="5860" w:type="dxa"/>
            <w:vAlign w:val="bottom"/>
            <w:tcBorders>
              <w:top w:val="single" w:sz="8" w:color="CFF0FC"/>
            </w:tcBorders>
            <w:shd w:val="clear" w:color="auto" w:fill="CFF0FC"/>
          </w:tcPr>
          <w:p>
            <w:pPr>
              <w:ind w:left="260"/>
              <w:spacing w:after="0" w:line="143" w:lineRule="exact"/>
              <w:rPr>
                <w:sz w:val="20"/>
                <w:szCs w:val="20"/>
                <w:color w:val="auto"/>
              </w:rPr>
            </w:pPr>
            <w:r>
              <w:rPr>
                <w:rFonts w:ascii="Arial" w:cs="Arial" w:eastAsia="Arial" w:hAnsi="Arial"/>
                <w:sz w:val="15"/>
                <w:szCs w:val="15"/>
                <w:color w:val="auto"/>
                <w:w w:val="94"/>
              </w:rPr>
              <w:t>Net (Decrease) Increase In Stockholders' Equity Resulting from Operations per Common</w:t>
            </w:r>
          </w:p>
        </w:tc>
        <w:tc>
          <w:tcPr>
            <w:tcW w:w="2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Share:</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500"/>
              <w:spacing w:after="0"/>
              <w:rPr>
                <w:sz w:val="20"/>
                <w:szCs w:val="20"/>
                <w:color w:val="auto"/>
              </w:rPr>
            </w:pPr>
            <w:r>
              <w:rPr>
                <w:rFonts w:ascii="Arial" w:cs="Arial" w:eastAsia="Arial" w:hAnsi="Arial"/>
                <w:sz w:val="15"/>
                <w:szCs w:val="15"/>
                <w:color w:val="auto"/>
              </w:rPr>
              <w:t>Basic:</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0.07</w:t>
            </w:r>
          </w:p>
        </w:tc>
        <w:tc>
          <w:tcPr>
            <w:tcW w:w="240" w:type="dxa"/>
            <w:vAlign w:val="bottom"/>
          </w:tcPr>
          <w:p>
            <w:pPr>
              <w:spacing w:after="0"/>
              <w:rPr>
                <w:sz w:val="15"/>
                <w:szCs w:val="15"/>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(0.02)</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(0.58)</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Diluted:</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0.07</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(0.02)</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(0.58)</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175"/>
        </w:trPr>
        <w:tc>
          <w:tcPr>
            <w:tcW w:w="5860" w:type="dxa"/>
            <w:vAlign w:val="bottom"/>
          </w:tcPr>
          <w:p>
            <w:pPr>
              <w:ind w:left="260"/>
              <w:spacing w:after="0"/>
              <w:rPr>
                <w:sz w:val="20"/>
                <w:szCs w:val="20"/>
                <w:color w:val="auto"/>
              </w:rPr>
            </w:pPr>
            <w:r>
              <w:rPr>
                <w:rFonts w:ascii="Arial" w:cs="Arial" w:eastAsia="Arial" w:hAnsi="Arial"/>
                <w:sz w:val="15"/>
                <w:szCs w:val="15"/>
                <w:color w:val="auto"/>
              </w:rPr>
              <w:t>Net Investment (Loss) Income Per Common Share: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Basic:</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0.06</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0.12</w:t>
            </w:r>
          </w:p>
        </w:tc>
        <w:tc>
          <w:tcPr>
            <w:tcW w:w="1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175"/>
        </w:trPr>
        <w:tc>
          <w:tcPr>
            <w:tcW w:w="5860" w:type="dxa"/>
            <w:vAlign w:val="bottom"/>
          </w:tcPr>
          <w:p>
            <w:pPr>
              <w:ind w:left="500"/>
              <w:spacing w:after="0"/>
              <w:rPr>
                <w:sz w:val="20"/>
                <w:szCs w:val="20"/>
                <w:color w:val="auto"/>
              </w:rPr>
            </w:pPr>
            <w:r>
              <w:rPr>
                <w:rFonts w:ascii="Arial" w:cs="Arial" w:eastAsia="Arial" w:hAnsi="Arial"/>
                <w:sz w:val="15"/>
                <w:szCs w:val="15"/>
                <w:color w:val="auto"/>
              </w:rPr>
              <w:t>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0.06</w:t>
            </w:r>
          </w:p>
        </w:tc>
        <w:tc>
          <w:tcPr>
            <w:tcW w:w="240" w:type="dxa"/>
            <w:vAlign w:val="bottom"/>
          </w:tcPr>
          <w:p>
            <w:pPr>
              <w:spacing w:after="0"/>
              <w:rPr>
                <w:sz w:val="15"/>
                <w:szCs w:val="15"/>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0.12</w:t>
            </w:r>
          </w:p>
        </w:tc>
        <w:tc>
          <w:tcPr>
            <w:tcW w:w="140" w:type="dxa"/>
            <w:vAlign w:val="bottom"/>
          </w:tcPr>
          <w:p>
            <w:pPr>
              <w:spacing w:after="0"/>
              <w:rPr>
                <w:sz w:val="15"/>
                <w:szCs w:val="15"/>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Weighted Average Shares of Common Stock Outstanding—Basic</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44,610,714</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37,349,371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44,716,953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37,342,272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260"/>
              <w:spacing w:after="0"/>
              <w:rPr>
                <w:sz w:val="20"/>
                <w:szCs w:val="20"/>
                <w:color w:val="auto"/>
              </w:rPr>
            </w:pPr>
            <w:r>
              <w:rPr>
                <w:rFonts w:ascii="Arial" w:cs="Arial" w:eastAsia="Arial" w:hAnsi="Arial"/>
                <w:sz w:val="15"/>
                <w:szCs w:val="15"/>
                <w:color w:val="auto"/>
              </w:rPr>
              <w:t>Weighted Average Shares of Common Stock Outstanding—Diluted</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44,610,714</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5"/>
              </w:rPr>
              <w:t>37,349,371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44,716,953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37,342,272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r>
        <w:rPr>
          <w:rFonts w:ascii="Arial" w:cs="Arial" w:eastAsia="Arial" w:hAnsi="Arial"/>
          <w:sz w:val="15"/>
          <w:szCs w:val="15"/>
          <w:b w:val="1"/>
          <w:bCs w:val="1"/>
          <w:color w:val="auto"/>
        </w:rPr>
        <w:t>(1)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For the Six Months Ended June 30,</w:t>
            </w:r>
          </w:p>
        </w:tc>
      </w:tr>
      <w:tr>
        <w:trPr>
          <w:trHeight w:val="223"/>
        </w:trPr>
        <w:tc>
          <w:tcPr>
            <w:tcW w:w="75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5,365,698</w:t>
            </w:r>
          </w:p>
        </w:tc>
        <w:tc>
          <w:tcPr>
            <w:tcW w:w="18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(1,315,445)</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gains from investment transactions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(1,929,762)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(15,620,391)</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Realized gains from extinguishments of debt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154,571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(29,359,742)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5,169,945</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(25,769,235)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(11,765,891)</w:t>
            </w:r>
          </w:p>
        </w:tc>
        <w:tc>
          <w:tcPr>
            <w:tcW w:w="120" w:type="dxa"/>
            <w:vAlign w:val="bottom"/>
            <w:tcBorders>
              <w:bottom w:val="single" w:sz="8" w:color="CFF0FC"/>
            </w:tcBorders>
          </w:tcPr>
          <w:p>
            <w:pPr>
              <w:spacing w:after="0"/>
              <w:rPr>
                <w:sz w:val="19"/>
                <w:szCs w:val="19"/>
                <w:color w:val="auto"/>
              </w:rPr>
            </w:pPr>
          </w:p>
        </w:tc>
      </w:tr>
      <w:tr>
        <w:trPr>
          <w:trHeight w:val="45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 distributions:</w:t>
            </w:r>
          </w:p>
        </w:tc>
        <w:tc>
          <w:tcPr>
            <w:tcW w:w="1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(5,373,565)</w:t>
            </w:r>
          </w:p>
        </w:tc>
        <w:tc>
          <w:tcPr>
            <w:tcW w:w="1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(7,466,254)</w:t>
            </w:r>
          </w:p>
        </w:tc>
      </w:tr>
      <w:tr>
        <w:trPr>
          <w:trHeight w:val="229"/>
        </w:trPr>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65,210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129,789</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(407,325)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258,936</w:t>
            </w:r>
          </w:p>
        </w:tc>
        <w:tc>
          <w:tcPr>
            <w:tcW w:w="120" w:type="dxa"/>
            <w:vAlign w:val="bottom"/>
          </w:tcPr>
          <w:p>
            <w:pPr>
              <w:spacing w:after="0"/>
              <w:rPr>
                <w:sz w:val="19"/>
                <w:szCs w:val="19"/>
                <w:color w:val="auto"/>
              </w:rPr>
            </w:pPr>
          </w:p>
        </w:tc>
      </w:tr>
      <w:tr>
        <w:trPr>
          <w:trHeight w:val="223"/>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(342,115)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388,725</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assets at beginning of period</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152,198,570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158,021,011</w:t>
            </w:r>
          </w:p>
        </w:tc>
        <w:tc>
          <w:tcPr>
            <w:tcW w:w="120" w:type="dxa"/>
            <w:vAlign w:val="bottom"/>
            <w:shd w:val="clear" w:color="auto" w:fill="CFF0FC"/>
          </w:tcPr>
          <w:p>
            <w:pPr>
              <w:spacing w:after="0"/>
              <w:rPr>
                <w:sz w:val="19"/>
                <w:szCs w:val="19"/>
                <w:color w:val="auto"/>
              </w:rPr>
            </w:pP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120,713,655</w:t>
            </w:r>
          </w:p>
        </w:tc>
        <w:tc>
          <w:tcPr>
            <w:tcW w:w="180" w:type="dxa"/>
            <w:vAlign w:val="bottom"/>
          </w:tcPr>
          <w:p>
            <w:pPr>
              <w:spacing w:after="0"/>
              <w:rPr>
                <w:sz w:val="23"/>
                <w:szCs w:val="23"/>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139,177,591</w:t>
            </w:r>
          </w:p>
        </w:tc>
        <w:tc>
          <w:tcPr>
            <w:tcW w:w="120" w:type="dxa"/>
            <w:vAlign w:val="bottom"/>
          </w:tcPr>
          <w:p>
            <w:pPr>
              <w:spacing w:after="0"/>
              <w:rPr>
                <w:sz w:val="23"/>
                <w:szCs w:val="23"/>
                <w:color w:val="auto"/>
              </w:rPr>
            </w:pPr>
          </w:p>
        </w:tc>
      </w:tr>
      <w:tr>
        <w:trPr>
          <w:trHeight w:val="210"/>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 value per common share</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44,495,221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37,356,061</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3400" w:right="2420" w:hanging="3392"/>
        <w:spacing w:after="0" w:line="505" w:lineRule="auto"/>
        <w:tabs>
          <w:tab w:leader="none" w:pos="369"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 to note 10 "Stockholders' Equity" for additional information on changes in components of Stockholders' Equity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0" w:type="dxa"/>
            <w:vAlign w:val="bottom"/>
            <w:gridSpan w:val="5"/>
          </w:tcPr>
          <w:p>
            <w:pPr>
              <w:jc w:val="right"/>
              <w:ind w:right="900"/>
              <w:spacing w:after="0"/>
              <w:rPr>
                <w:sz w:val="20"/>
                <w:szCs w:val="20"/>
                <w:color w:val="auto"/>
              </w:rPr>
            </w:pPr>
            <w:r>
              <w:rPr>
                <w:rFonts w:ascii="Arial" w:cs="Arial" w:eastAsia="Arial" w:hAnsi="Arial"/>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Net (decrease) increase in stockholders' equity resulting from operations</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(25,769,235)</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(11,765,891)</w:t>
            </w:r>
          </w:p>
        </w:tc>
        <w:tc>
          <w:tcPr>
            <w:tcW w:w="0" w:type="dxa"/>
            <w:vAlign w:val="bottom"/>
          </w:tcPr>
          <w:p>
            <w:pPr>
              <w:spacing w:after="0"/>
              <w:rPr>
                <w:sz w:val="1"/>
                <w:szCs w:val="1"/>
                <w:color w:val="auto"/>
              </w:rPr>
            </w:pPr>
          </w:p>
        </w:tc>
      </w:tr>
      <w:tr>
        <w:trPr>
          <w:trHeight w:val="143"/>
        </w:trPr>
        <w:tc>
          <w:tcPr>
            <w:tcW w:w="76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(decrease) increase in stockholders' equity resulting from operations to net cash (used in)</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provided by in operations: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Net realized losses on investment transactions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1,929,762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15,620,391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change in (depreciation) unrealized appreciation from investments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29,359,742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(5,169,945)</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(85,231,291)</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(59,016,697)</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sales and redemptions of investments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54,700,182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35,658,265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Net accretion of investments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(3,391,343)</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(3,392,422)</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original issue discount on indebtedness</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467,162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475,507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Realized gains on extinguishments of debt</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(154,571)</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Net amortization of operating lease</w:t>
            </w:r>
          </w:p>
        </w:tc>
        <w:tc>
          <w:tcPr>
            <w:tcW w:w="36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55,174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lease impairment</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1,431,030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Payment-in-kind interest income</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(193,147)</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(13,542)</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258,936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payable for unsettled trades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7,366,263</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14,826,295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(Increase) decrease in receivable for unsettled trades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14,917,045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(10,457,443)</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Decrease (increase) in interest and dividends receivable</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(541,677)</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467,574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Increase (decrease) in accrued interest payable</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795,513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1,255,066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other assets</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(529,310)</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(587,311)</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Decrease (increase) in due from affiliates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302,787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311,863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management and incentive fees payable</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(68,596)</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672,951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(Decrease) increase in due to affiliates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(370,252)</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1,026,100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accounts payable and accrued expenses</w:t>
            </w: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599,525</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1,429,687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80" w:type="dxa"/>
            <w:vAlign w:val="bottom"/>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(5,811,441)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(16,914,412)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Debt issuance costs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(1,342)</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(372,150)</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 repurchase program</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(407,325)</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Distributions to stockholders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(5,308,355)</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(7,336,465)</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Repurchase of 6.125% Notes Due 2022</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(513,383)</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Borrowings from Revolving Credit Facilities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47,250,000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Repayment of Revolving Credit Facilities</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(28,500,000)</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(25,997,274)</w:t>
            </w: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12,519,595</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11,294,111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CHANGE IN CASH AND RESTRICTED CASH</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6,708,154</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(5,620,300)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RESTRICTED CASH, BEGINNING OF PERIOD</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5,104,355</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9,324,466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AND RESTRICTED CASH, END OF PERIOD</w:t>
            </w: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11,812,509</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3,704,166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4"/>
                <w:szCs w:val="14"/>
                <w:color w:val="auto"/>
              </w:rPr>
              <w:t>Amounts per balance sheet:</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Cash</w:t>
            </w: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414,159</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236,828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Restricted cash</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11,398,350</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3,467,338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Cash and Restricted cash</w:t>
            </w: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11,812,509</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3,704,166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 paid during the period</w:t>
            </w: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3,471,476</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1,570,418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80" w:type="dxa"/>
            <w:vAlign w:val="bottom"/>
          </w:tcPr>
          <w:p>
            <w:pPr>
              <w:ind w:left="500"/>
              <w:spacing w:after="0"/>
              <w:rPr>
                <w:sz w:val="20"/>
                <w:szCs w:val="20"/>
                <w:color w:val="auto"/>
              </w:rPr>
            </w:pPr>
            <w:r>
              <w:rPr>
                <w:rFonts w:ascii="Arial" w:cs="Arial" w:eastAsia="Arial" w:hAnsi="Arial"/>
                <w:sz w:val="14"/>
                <w:szCs w:val="14"/>
                <w:color w:val="auto"/>
              </w:rPr>
              <w:t>Dividends paid during the period under the dividend reinvestment plan</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65,210</w:t>
            </w:r>
          </w:p>
        </w:tc>
        <w:tc>
          <w:tcPr>
            <w:tcW w:w="2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129,789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Amortized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3"/>
                <w:szCs w:val="13"/>
                <w:color w:val="auto"/>
              </w:rPr>
            </w:pPr>
          </w:p>
        </w:tc>
        <w:tc>
          <w:tcPr>
            <w:tcW w:w="860" w:type="dxa"/>
            <w:vAlign w:val="bottom"/>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 Inc.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(5)(8)(13)</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Second Lien Notes</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8.0% Cash, 10.0% PIK, 3 Month LIBOR(1.00%) + 7.00%;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10/23</w:t>
            </w:r>
          </w:p>
        </w:tc>
        <w:tc>
          <w:tcPr>
            <w:tcW w:w="14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6/13/2012   $</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1,338,361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951,271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5.0% Cash, 8.0% PIK, Due 1/25</w:t>
            </w: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5.0% Cash, 8.0% PIK,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2,327,500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2,327,500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2,327,500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Akumin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B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7.0% Cash, 1 Month LIBOR(1.00%) + 6.00%;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2,227,500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2,192,652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2,118,798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Allied Universal Holdco LLC (f/k/a USAGM</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(8)(14)(23)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FF0FC"/>
          </w:tcPr>
          <w:p>
            <w:pPr>
              <w:spacing w:after="0" w:line="81" w:lineRule="exact"/>
              <w:rPr>
                <w:sz w:val="20"/>
                <w:szCs w:val="20"/>
                <w:color w:val="auto"/>
              </w:rPr>
            </w:pPr>
            <w:r>
              <w:rPr>
                <w:rFonts w:ascii="Arial" w:cs="Arial" w:eastAsia="Arial" w:hAnsi="Arial"/>
                <w:sz w:val="9"/>
                <w:szCs w:val="9"/>
                <w:color w:val="auto"/>
              </w:rPr>
              <w:t>Holdco, LLC)</w:t>
            </w: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9"/>
              </w:rPr>
              <w:t>4.4% Cash, 1 Month LIBOR(0.18%) + 4.25% , Due 7/26</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Services: Business</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3/23/2020</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5,182,561</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4,268,606</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5,045,068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6" w:lineRule="exact"/>
              <w:rPr>
                <w:sz w:val="20"/>
                <w:szCs w:val="20"/>
                <w:color w:val="auto"/>
              </w:rPr>
            </w:pPr>
            <w:r>
              <w:rPr>
                <w:rFonts w:ascii="Arial" w:cs="Arial" w:eastAsia="Arial" w:hAnsi="Arial"/>
                <w:sz w:val="13"/>
                <w:szCs w:val="13"/>
                <w:color w:val="auto"/>
                <w:w w:val="99"/>
              </w:rPr>
              <w:t>7.8% Cash, 2.8% PIK, 3 Month LIBOR(1.00%) + 6.75%;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381,712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362,500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6" w:lineRule="exact"/>
              <w:rPr>
                <w:sz w:val="20"/>
                <w:szCs w:val="20"/>
                <w:color w:val="auto"/>
              </w:rPr>
            </w:pPr>
            <w:r>
              <w:rPr>
                <w:rFonts w:ascii="Arial" w:cs="Arial" w:eastAsia="Arial" w:hAnsi="Arial"/>
                <w:sz w:val="13"/>
                <w:szCs w:val="13"/>
                <w:color w:val="auto"/>
                <w:w w:val="99"/>
              </w:rPr>
              <w:t>7.8% Cash, 2.8% PIK, 3 Month LIBOR(1.00%) + 6.75%;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4,024,614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3,897,706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3,823,383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 BenefitMall)</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6.3% Cash, 6 Month LIBOR(1.00%) + 5.25%;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2,925,000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2,923,894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2,770,853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C.P. Converters Acquisition,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6"/>
              </w:rPr>
              <w:t>Senior Secured Loan — Seventh Amendment Acquisition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Chemicals, Plastics &amp; Rubber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7.5% Cash, 3 Month LIBOR(1.00%) + 6.50%;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2,925,345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 Hospice Acquisition,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5.5% Cash, 3 Month LIBOR(1.00%) + 4.50%;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4/22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4,987,437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4,942,723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4,937,563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Carestream Health, Inc.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88"/>
              </w:rPr>
              <w:t>Junior Secured Loan — 2023 Extended Term Loan (Second</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5.6% Cash, 8.0% PIK, 6 Month LIBOR(1.07%) + 4.50%;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8/23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1,567,317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1,358,170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1,273,445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Charter Communications Operating,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(14)(23)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Bond — 3.70% - 4/1/2051</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Telecommunication</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3.7% Cash, Due 4/51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252,025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250,340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5.3% Cash, 3 Month LIBOR(1.00%) + 4.25%;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4,383,212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4,376,836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4,169,749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Coinamatic Canada Inc. (fka 8433143 Canada</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(3)(13)(14)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1"/>
              </w:rPr>
              <w:t>Junior Secured Loan — Initial Canadian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Limited )</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8.0% Cash, 1 Month LIBOR(1.00%) + 7.00%;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455,413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477,880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Last out DDTL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(20)(23)</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6.8% Cash, 3 Month LIBOR(1.00%) + 5.75%; LIBOR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926,329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928,318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Last Out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(20)(23)</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6.8% Cash, 3 Month LIBOR(1.00%) + 5.75%; LIBOR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5,990,954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6,003,820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6"/>
              </w:rPr>
              <w:t>Senior Secured Loan — Last Out Second Amendment 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(20)(23)</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6.8% Cash, 3 Month LIBOR(1.00%) + 5.75%; LIBOR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685,483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686,955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7.3% Cash, 3 Month LIBOR(1.00%) + 6.25%;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1,265,625</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1,241,499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1,219,221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11.0% Cash, 3 Month LIBOR(1.00%) + 10.00%;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2/22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3,003,753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2,676,300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Dental Implant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8.0% Cash, 3 Month LIBOR(1.00%) + 7.00%;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(147,813)</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Dental Implant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8.0% Cash, 1 Month LIBOR(1.00%) + 7.00%; LIBOR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456,313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EUR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2.0% Cash, 5.0% PIK, Due 5/22</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620" w:type="dxa"/>
            <w:vAlign w:val="bottom"/>
            <w:vMerge w:val="restart"/>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8"/>
                <w:szCs w:val="8"/>
                <w:color w:val="auto"/>
              </w:rPr>
            </w:pPr>
          </w:p>
        </w:tc>
        <w:tc>
          <w:tcPr>
            <w:tcW w:w="3220" w:type="dxa"/>
            <w:vAlign w:val="bottom"/>
            <w:gridSpan w:val="2"/>
            <w:vMerge w:val="continue"/>
            <w:shd w:val="clear" w:color="auto" w:fill="CFF0FC"/>
          </w:tcPr>
          <w:p>
            <w:pPr>
              <w:spacing w:after="0"/>
              <w:rPr>
                <w:sz w:val="8"/>
                <w:szCs w:val="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5/11/2020</w:t>
            </w:r>
          </w:p>
        </w:tc>
        <w:tc>
          <w:tcPr>
            <w:tcW w:w="12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262,950</w:t>
            </w:r>
          </w:p>
        </w:tc>
        <w:tc>
          <w:tcPr>
            <w:tcW w:w="24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282,984</w:t>
            </w:r>
          </w:p>
        </w:tc>
        <w:tc>
          <w:tcPr>
            <w:tcW w:w="2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245,180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20" w:type="dxa"/>
            <w:vAlign w:val="bottom"/>
            <w:vMerge w:val="continue"/>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310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220" w:type="dxa"/>
            <w:vAlign w:val="bottom"/>
            <w:gridSpan w:val="3"/>
            <w:vMerge w:val="restart"/>
            <w:shd w:val="clear" w:color="auto" w:fill="CFF0FC"/>
          </w:tcPr>
          <w:p>
            <w:pPr>
              <w:spacing w:after="0"/>
              <w:rPr>
                <w:sz w:val="20"/>
                <w:szCs w:val="20"/>
                <w:color w:val="auto"/>
              </w:rPr>
            </w:pPr>
            <w:r>
              <w:rPr>
                <w:rFonts w:ascii="Arial" w:cs="Arial" w:eastAsia="Arial" w:hAnsi="Arial"/>
                <w:sz w:val="13"/>
                <w:szCs w:val="13"/>
                <w:color w:val="auto"/>
              </w:rPr>
              <w:t>Senior Secured Loan — EUR Term Loan B</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5"/>
                <w:szCs w:val="5"/>
                <w:color w:val="auto"/>
              </w:rPr>
            </w:pPr>
          </w:p>
        </w:tc>
        <w:tc>
          <w:tcPr>
            <w:tcW w:w="3220" w:type="dxa"/>
            <w:vAlign w:val="bottom"/>
            <w:gridSpan w:val="3"/>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7"/>
              </w:rPr>
              <w:t>2.0%</w:t>
            </w:r>
          </w:p>
        </w:tc>
        <w:tc>
          <w:tcPr>
            <w:tcW w:w="2940" w:type="dxa"/>
            <w:vAlign w:val="bottom"/>
            <w:gridSpan w:val="2"/>
            <w:vMerge w:val="restart"/>
            <w:shd w:val="clear" w:color="auto" w:fill="CFF0FC"/>
          </w:tcPr>
          <w:p>
            <w:pPr>
              <w:ind w:left="20"/>
              <w:spacing w:after="0"/>
              <w:rPr>
                <w:sz w:val="20"/>
                <w:szCs w:val="20"/>
                <w:color w:val="auto"/>
              </w:rPr>
            </w:pPr>
            <w:r>
              <w:rPr>
                <w:rFonts w:ascii="Arial" w:cs="Arial" w:eastAsia="Arial" w:hAnsi="Arial"/>
                <w:sz w:val="13"/>
                <w:szCs w:val="13"/>
                <w:color w:val="auto"/>
              </w:rPr>
              <w:t>Cash, 5.0% PIK, Due 5/22</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High Tech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vMerge w:val="continue"/>
            <w:shd w:val="clear" w:color="auto" w:fill="CFF0FC"/>
          </w:tcPr>
          <w:p>
            <w:pPr>
              <w:spacing w:after="0"/>
              <w:rPr>
                <w:sz w:val="11"/>
                <w:szCs w:val="11"/>
                <w:color w:val="auto"/>
              </w:rPr>
            </w:pPr>
          </w:p>
        </w:tc>
        <w:tc>
          <w:tcPr>
            <w:tcW w:w="294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5/11/2020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2,511,622</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2,702,990</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3"/>
            <w:vMerge w:val="restart"/>
            <w:shd w:val="clear" w:color="auto" w:fill="CFF0FC"/>
          </w:tcPr>
          <w:p>
            <w:pPr>
              <w:spacing w:after="0"/>
              <w:rPr>
                <w:sz w:val="20"/>
                <w:szCs w:val="20"/>
                <w:color w:val="auto"/>
              </w:rPr>
            </w:pPr>
            <w:r>
              <w:rPr>
                <w:rFonts w:ascii="Arial" w:cs="Arial" w:eastAsia="Arial" w:hAnsi="Arial"/>
                <w:sz w:val="13"/>
                <w:szCs w:val="13"/>
                <w:color w:val="auto"/>
              </w:rPr>
              <w:t>Senior Secured Loan — Senior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5"/>
                <w:szCs w:val="5"/>
                <w:color w:val="auto"/>
              </w:rPr>
            </w:pPr>
          </w:p>
        </w:tc>
        <w:tc>
          <w:tcPr>
            <w:tcW w:w="3220" w:type="dxa"/>
            <w:vAlign w:val="bottom"/>
            <w:gridSpan w:val="3"/>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7"/>
              </w:rPr>
              <w:t>0.0%</w:t>
            </w:r>
          </w:p>
        </w:tc>
        <w:tc>
          <w:tcPr>
            <w:tcW w:w="2940" w:type="dxa"/>
            <w:vAlign w:val="bottom"/>
            <w:gridSpan w:val="2"/>
            <w:vMerge w:val="restart"/>
            <w:shd w:val="clear" w:color="auto" w:fill="CFF0FC"/>
          </w:tcPr>
          <w:p>
            <w:pPr>
              <w:ind w:left="20"/>
              <w:spacing w:after="0"/>
              <w:rPr>
                <w:sz w:val="20"/>
                <w:szCs w:val="20"/>
                <w:color w:val="auto"/>
              </w:rPr>
            </w:pPr>
            <w:r>
              <w:rPr>
                <w:rFonts w:ascii="Arial" w:cs="Arial" w:eastAsia="Arial" w:hAnsi="Arial"/>
                <w:sz w:val="13"/>
                <w:szCs w:val="13"/>
                <w:color w:val="auto"/>
              </w:rPr>
              <w:t>Cash, 5.0% PIK, Due 5/25</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High Tech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vMerge w:val="continue"/>
            <w:shd w:val="clear" w:color="auto" w:fill="CFF0FC"/>
          </w:tcPr>
          <w:p>
            <w:pPr>
              <w:spacing w:after="0"/>
              <w:rPr>
                <w:sz w:val="11"/>
                <w:szCs w:val="11"/>
                <w:color w:val="auto"/>
              </w:rPr>
            </w:pPr>
          </w:p>
        </w:tc>
        <w:tc>
          <w:tcPr>
            <w:tcW w:w="294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5/29/2020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1,430,710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993,028</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1,108,800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3"/>
            <w:vMerge w:val="restart"/>
            <w:shd w:val="clear" w:color="auto" w:fill="CFF0FC"/>
          </w:tcPr>
          <w:p>
            <w:pPr>
              <w:spacing w:after="0"/>
              <w:rPr>
                <w:sz w:val="20"/>
                <w:szCs w:val="20"/>
                <w:color w:val="auto"/>
              </w:rPr>
            </w:pPr>
            <w:r>
              <w:rPr>
                <w:rFonts w:ascii="Arial" w:cs="Arial" w:eastAsia="Arial" w:hAnsi="Arial"/>
                <w:sz w:val="13"/>
                <w:szCs w:val="13"/>
                <w:color w:val="auto"/>
              </w:rPr>
              <w:t>Senior Secured Loan — Senior Term Loan B</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5"/>
                <w:szCs w:val="5"/>
                <w:color w:val="auto"/>
              </w:rPr>
            </w:pPr>
          </w:p>
        </w:tc>
        <w:tc>
          <w:tcPr>
            <w:tcW w:w="3220" w:type="dxa"/>
            <w:vAlign w:val="bottom"/>
            <w:gridSpan w:val="3"/>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7"/>
              </w:rPr>
              <w:t>0.0%</w:t>
            </w:r>
          </w:p>
        </w:tc>
        <w:tc>
          <w:tcPr>
            <w:tcW w:w="2940" w:type="dxa"/>
            <w:vAlign w:val="bottom"/>
            <w:gridSpan w:val="2"/>
            <w:vMerge w:val="restart"/>
            <w:shd w:val="clear" w:color="auto" w:fill="CFF0FC"/>
          </w:tcPr>
          <w:p>
            <w:pPr>
              <w:ind w:left="20"/>
              <w:spacing w:after="0"/>
              <w:rPr>
                <w:sz w:val="20"/>
                <w:szCs w:val="20"/>
                <w:color w:val="auto"/>
              </w:rPr>
            </w:pPr>
            <w:r>
              <w:rPr>
                <w:rFonts w:ascii="Arial" w:cs="Arial" w:eastAsia="Arial" w:hAnsi="Arial"/>
                <w:sz w:val="13"/>
                <w:szCs w:val="13"/>
                <w:color w:val="auto"/>
              </w:rPr>
              <w:t>Cash, 7.0% PIK, Due 5/25</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High Tech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vMerge w:val="continue"/>
            <w:shd w:val="clear" w:color="auto" w:fill="CFF0FC"/>
          </w:tcPr>
          <w:p>
            <w:pPr>
              <w:spacing w:after="0"/>
              <w:rPr>
                <w:sz w:val="11"/>
                <w:szCs w:val="11"/>
                <w:color w:val="auto"/>
              </w:rPr>
            </w:pPr>
          </w:p>
        </w:tc>
        <w:tc>
          <w:tcPr>
            <w:tcW w:w="294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5/29/2020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1,433,242</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995,560</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716,621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3"/>
            <w:vMerge w:val="restart"/>
            <w:shd w:val="clear" w:color="auto" w:fill="CFF0FC"/>
          </w:tcPr>
          <w:p>
            <w:pPr>
              <w:spacing w:after="0"/>
              <w:rPr>
                <w:sz w:val="20"/>
                <w:szCs w:val="20"/>
                <w:color w:val="auto"/>
              </w:rPr>
            </w:pPr>
            <w:r>
              <w:rPr>
                <w:rFonts w:ascii="Arial" w:cs="Arial" w:eastAsia="Arial" w:hAnsi="Arial"/>
                <w:sz w:val="13"/>
                <w:szCs w:val="13"/>
                <w:color w:val="auto"/>
              </w:rPr>
              <w:t>Senior Secured Loan — Super Senior Term Loan B</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5"/>
                <w:szCs w:val="5"/>
                <w:color w:val="auto"/>
              </w:rPr>
            </w:pPr>
          </w:p>
        </w:tc>
        <w:tc>
          <w:tcPr>
            <w:tcW w:w="3220" w:type="dxa"/>
            <w:vAlign w:val="bottom"/>
            <w:gridSpan w:val="3"/>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7"/>
              </w:rPr>
              <w:t>2.0%</w:t>
            </w:r>
          </w:p>
        </w:tc>
        <w:tc>
          <w:tcPr>
            <w:tcW w:w="2940" w:type="dxa"/>
            <w:vAlign w:val="bottom"/>
            <w:gridSpan w:val="2"/>
            <w:vMerge w:val="restart"/>
            <w:shd w:val="clear" w:color="auto" w:fill="CFF0FC"/>
          </w:tcPr>
          <w:p>
            <w:pPr>
              <w:ind w:left="20"/>
              <w:spacing w:after="0"/>
              <w:rPr>
                <w:sz w:val="20"/>
                <w:szCs w:val="20"/>
                <w:color w:val="auto"/>
              </w:rPr>
            </w:pPr>
            <w:r>
              <w:rPr>
                <w:rFonts w:ascii="Arial" w:cs="Arial" w:eastAsia="Arial" w:hAnsi="Arial"/>
                <w:sz w:val="13"/>
                <w:szCs w:val="13"/>
                <w:color w:val="auto"/>
              </w:rPr>
              <w:t>Cash, 7.0% PIK, Due 5/25</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High Tech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vMerge w:val="continue"/>
            <w:shd w:val="clear" w:color="auto" w:fill="CFF0FC"/>
          </w:tcPr>
          <w:p>
            <w:pPr>
              <w:spacing w:after="0"/>
              <w:rPr>
                <w:sz w:val="11"/>
                <w:szCs w:val="11"/>
                <w:color w:val="auto"/>
              </w:rPr>
            </w:pPr>
          </w:p>
        </w:tc>
        <w:tc>
          <w:tcPr>
            <w:tcW w:w="294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5/29/2020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943,073</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925,229</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924,212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w w:val="99"/>
              </w:rPr>
              <w:t>Senior Secured Loan — 2019 Delayed Draw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3"/>
            <w:shd w:val="clear" w:color="auto" w:fill="CFF0FC"/>
          </w:tcPr>
          <w:p>
            <w:pPr>
              <w:spacing w:after="0" w:line="143" w:lineRule="exact"/>
              <w:rPr>
                <w:sz w:val="20"/>
                <w:szCs w:val="20"/>
                <w:color w:val="auto"/>
              </w:rPr>
            </w:pPr>
            <w:r>
              <w:rPr>
                <w:rFonts w:ascii="Arial" w:cs="Arial" w:eastAsia="Arial" w:hAnsi="Arial"/>
                <w:sz w:val="13"/>
                <w:szCs w:val="13"/>
                <w:color w:val="auto"/>
              </w:rPr>
              <w:t>(First Lien)</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2.0%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(1,526)</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(21,669)</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Initial Term Loan (First Lien)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4.4%</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LIBOR(0.18%) + 4.25% ,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468,002</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468,002</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440,156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2020 Term Loan (First Lien)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4.7%</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LIBOR(0.18%) + 4.50% ,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997,500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992,858</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240"/>
          </w:cols>
          <w:pgMar w:left="320" w:top="215"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Arial" w:cs="Arial" w:eastAsia="Arial" w:hAnsi="Arial"/>
                <w:sz w:val="13"/>
                <w:szCs w:val="13"/>
                <w:color w:val="auto"/>
                <w:w w:val="92"/>
              </w:rPr>
              <w:t>Edelman Financial Center, LLC, The (fka Flight</w:t>
            </w:r>
          </w:p>
        </w:tc>
        <w:tc>
          <w:tcPr>
            <w:tcW w:w="540" w:type="dxa"/>
            <w:vAlign w:val="bottom"/>
          </w:tcPr>
          <w:p>
            <w:pPr>
              <w:ind w:left="80"/>
              <w:spacing w:after="0"/>
              <w:rPr>
                <w:sz w:val="20"/>
                <w:szCs w:val="20"/>
                <w:color w:val="auto"/>
              </w:rPr>
            </w:pPr>
            <w:r>
              <w:rPr>
                <w:rFonts w:ascii="Arial" w:cs="Arial" w:eastAsia="Arial" w:hAnsi="Arial"/>
                <w:sz w:val="11"/>
                <w:szCs w:val="11"/>
                <w:color w:val="auto"/>
              </w:rPr>
              <w:t>(8)(14)</w:t>
            </w:r>
          </w:p>
        </w:tc>
        <w:tc>
          <w:tcPr>
            <w:tcW w:w="3040" w:type="dxa"/>
            <w:vAlign w:val="bottom"/>
            <w:vMerge w:val="restart"/>
          </w:tcPr>
          <w:p>
            <w:pPr>
              <w:ind w:left="140"/>
              <w:spacing w:after="0"/>
              <w:rPr>
                <w:sz w:val="20"/>
                <w:szCs w:val="20"/>
                <w:color w:val="auto"/>
              </w:rPr>
            </w:pPr>
            <w:r>
              <w:rPr>
                <w:rFonts w:ascii="Arial" w:cs="Arial" w:eastAsia="Arial" w:hAnsi="Arial"/>
                <w:sz w:val="13"/>
                <w:szCs w:val="13"/>
                <w:color w:val="auto"/>
                <w:w w:val="89"/>
              </w:rPr>
              <w:t>Junior Secured Loan — Initial Term Loan (Second Lien)</w:t>
            </w:r>
          </w:p>
        </w:tc>
        <w:tc>
          <w:tcPr>
            <w:tcW w:w="0" w:type="dxa"/>
            <w:vAlign w:val="bottom"/>
          </w:tcPr>
          <w:p>
            <w:pPr>
              <w:spacing w:after="0"/>
              <w:rPr>
                <w:sz w:val="1"/>
                <w:szCs w:val="1"/>
                <w:color w:val="auto"/>
              </w:rPr>
            </w:pPr>
          </w:p>
        </w:tc>
      </w:tr>
      <w:tr>
        <w:trPr>
          <w:trHeight w:val="68"/>
        </w:trPr>
        <w:tc>
          <w:tcPr>
            <w:tcW w:w="2540" w:type="dxa"/>
            <w:vAlign w:val="bottom"/>
            <w:vMerge w:val="restart"/>
          </w:tcPr>
          <w:p>
            <w:pPr>
              <w:spacing w:after="0" w:line="135" w:lineRule="exact"/>
              <w:rPr>
                <w:sz w:val="20"/>
                <w:szCs w:val="20"/>
                <w:color w:val="auto"/>
              </w:rPr>
            </w:pPr>
            <w:r>
              <w:rPr>
                <w:rFonts w:ascii="Arial" w:cs="Arial" w:eastAsia="Arial" w:hAnsi="Arial"/>
                <w:sz w:val="13"/>
                <w:szCs w:val="13"/>
                <w:color w:val="auto"/>
              </w:rPr>
              <w:t>Debt Merger Sub Inc.)</w:t>
            </w:r>
          </w:p>
        </w:tc>
        <w:tc>
          <w:tcPr>
            <w:tcW w:w="54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040" w:type="dxa"/>
            <w:vAlign w:val="bottom"/>
            <w:vMerge w:val="restart"/>
          </w:tcPr>
          <w:p>
            <w:pPr>
              <w:ind w:left="140"/>
              <w:spacing w:after="0"/>
              <w:rPr>
                <w:sz w:val="20"/>
                <w:szCs w:val="20"/>
                <w:color w:val="auto"/>
              </w:rPr>
            </w:pPr>
            <w:r>
              <w:rPr>
                <w:rFonts w:ascii="Arial" w:cs="Arial" w:eastAsia="Arial" w:hAnsi="Arial"/>
                <w:sz w:val="13"/>
                <w:szCs w:val="13"/>
                <w:color w:val="auto"/>
                <w:w w:val="89"/>
              </w:rPr>
              <w:t>6.9% Cash, 1 Month LIBOR(0.18%) + 6.75% , Due 7/26</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60"/>
              <w:spacing w:after="0"/>
              <w:rPr>
                <w:sz w:val="20"/>
                <w:szCs w:val="20"/>
                <w:color w:val="auto"/>
              </w:rPr>
            </w:pPr>
            <w:r>
              <w:rPr>
                <w:rFonts w:ascii="Arial" w:cs="Arial" w:eastAsia="Arial" w:hAnsi="Arial"/>
                <w:sz w:val="13"/>
                <w:szCs w:val="13"/>
                <w:color w:val="auto"/>
                <w:w w:val="95"/>
              </w:rPr>
              <w:t>Banking, Finance, Insurance &amp; Real Estate</w:t>
            </w:r>
          </w:p>
        </w:tc>
        <w:tc>
          <w:tcPr>
            <w:tcW w:w="54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540" w:type="dxa"/>
            <w:vAlign w:val="bottom"/>
          </w:tcPr>
          <w:p>
            <w:pPr>
              <w:spacing w:after="0"/>
              <w:rPr>
                <w:sz w:val="20"/>
                <w:szCs w:val="20"/>
                <w:color w:val="auto"/>
              </w:rPr>
            </w:pPr>
            <w:r>
              <w:rPr>
                <w:rFonts w:ascii="Arial" w:cs="Arial" w:eastAsia="Arial" w:hAnsi="Arial"/>
                <w:sz w:val="13"/>
                <w:szCs w:val="13"/>
                <w:color w:val="auto"/>
              </w:rPr>
              <w:t>Ensono, LP (formerly known as Acxiom IT</w:t>
            </w:r>
          </w:p>
        </w:tc>
        <w:tc>
          <w:tcPr>
            <w:tcW w:w="3580" w:type="dxa"/>
            <w:vAlign w:val="bottom"/>
            <w:gridSpan w:val="2"/>
          </w:tcPr>
          <w:p>
            <w:pPr>
              <w:ind w:left="80"/>
              <w:spacing w:after="0"/>
              <w:rPr>
                <w:sz w:val="20"/>
                <w:szCs w:val="20"/>
                <w:color w:val="auto"/>
              </w:rPr>
            </w:pPr>
            <w:r>
              <w:rPr>
                <w:rFonts w:ascii="Arial" w:cs="Arial" w:eastAsia="Arial" w:hAnsi="Arial"/>
                <w:sz w:val="21"/>
                <w:szCs w:val="21"/>
                <w:color w:val="auto"/>
                <w:w w:val="96"/>
                <w:vertAlign w:val="superscript"/>
              </w:rPr>
              <w:t>(8)(13)(14)</w:t>
            </w:r>
            <w:r>
              <w:rPr>
                <w:rFonts w:ascii="Arial" w:cs="Arial" w:eastAsia="Arial" w:hAnsi="Arial"/>
                <w:sz w:val="13"/>
                <w:szCs w:val="13"/>
                <w:color w:val="auto"/>
                <w:w w:val="96"/>
              </w:rPr>
              <w:t xml:space="preserve">  Junior Secured Loan — Term Loan (Second Lien)</w:t>
            </w:r>
          </w:p>
        </w:tc>
        <w:tc>
          <w:tcPr>
            <w:tcW w:w="0" w:type="dxa"/>
            <w:vAlign w:val="bottom"/>
          </w:tcPr>
          <w:p>
            <w:pPr>
              <w:spacing w:after="0"/>
              <w:rPr>
                <w:sz w:val="1"/>
                <w:szCs w:val="1"/>
                <w:color w:val="auto"/>
              </w:rPr>
            </w:pPr>
          </w:p>
        </w:tc>
      </w:tr>
      <w:tr>
        <w:trPr>
          <w:trHeight w:val="80"/>
        </w:trPr>
        <w:tc>
          <w:tcPr>
            <w:tcW w:w="2540" w:type="dxa"/>
            <w:vAlign w:val="bottom"/>
          </w:tcPr>
          <w:p>
            <w:pPr>
              <w:spacing w:after="0" w:line="81" w:lineRule="exact"/>
              <w:rPr>
                <w:sz w:val="20"/>
                <w:szCs w:val="20"/>
                <w:color w:val="auto"/>
              </w:rPr>
            </w:pPr>
            <w:r>
              <w:rPr>
                <w:rFonts w:ascii="Arial" w:cs="Arial" w:eastAsia="Arial" w:hAnsi="Arial"/>
                <w:sz w:val="9"/>
                <w:szCs w:val="9"/>
                <w:color w:val="auto"/>
              </w:rPr>
              <w:t>Outsourcing, LP)</w:t>
            </w:r>
          </w:p>
        </w:tc>
        <w:tc>
          <w:tcPr>
            <w:tcW w:w="540" w:type="dxa"/>
            <w:vAlign w:val="bottom"/>
          </w:tcPr>
          <w:p>
            <w:pPr>
              <w:spacing w:after="0"/>
              <w:rPr>
                <w:sz w:val="6"/>
                <w:szCs w:val="6"/>
                <w:color w:val="auto"/>
              </w:rPr>
            </w:pPr>
          </w:p>
        </w:tc>
        <w:tc>
          <w:tcPr>
            <w:tcW w:w="3040" w:type="dxa"/>
            <w:vAlign w:val="bottom"/>
            <w:vMerge w:val="restart"/>
          </w:tcPr>
          <w:p>
            <w:pPr>
              <w:ind w:left="140"/>
              <w:spacing w:after="0"/>
              <w:rPr>
                <w:sz w:val="20"/>
                <w:szCs w:val="20"/>
                <w:color w:val="auto"/>
              </w:rPr>
            </w:pPr>
            <w:r>
              <w:rPr>
                <w:rFonts w:ascii="Arial" w:cs="Arial" w:eastAsia="Arial" w:hAnsi="Arial"/>
                <w:sz w:val="13"/>
                <w:szCs w:val="13"/>
                <w:color w:val="auto"/>
                <w:w w:val="89"/>
              </w:rPr>
              <w:t>9.4% Cash, 1 Month LIBOR(0.18%) + 9.25% , Due 6/26</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60"/>
              <w:spacing w:after="0"/>
              <w:rPr>
                <w:sz w:val="20"/>
                <w:szCs w:val="20"/>
                <w:color w:val="auto"/>
              </w:rPr>
            </w:pPr>
            <w:r>
              <w:rPr>
                <w:rFonts w:ascii="Arial" w:cs="Arial" w:eastAsia="Arial" w:hAnsi="Arial"/>
                <w:sz w:val="13"/>
                <w:szCs w:val="13"/>
                <w:color w:val="auto"/>
              </w:rPr>
              <w:t>Telecommunication</w:t>
            </w:r>
          </w:p>
        </w:tc>
        <w:tc>
          <w:tcPr>
            <w:tcW w:w="54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80" w:type="dxa"/>
            <w:vAlign w:val="bottom"/>
          </w:tcPr>
          <w:p>
            <w:pPr>
              <w:jc w:val="right"/>
              <w:ind w:right="237"/>
              <w:spacing w:after="0"/>
              <w:rPr>
                <w:sz w:val="20"/>
                <w:szCs w:val="20"/>
                <w:color w:val="auto"/>
              </w:rPr>
            </w:pPr>
            <w:r>
              <w:rPr>
                <w:rFonts w:ascii="Arial" w:cs="Arial" w:eastAsia="Arial" w:hAnsi="Arial"/>
                <w:sz w:val="13"/>
                <w:szCs w:val="13"/>
                <w:color w:val="auto"/>
                <w:w w:val="86"/>
              </w:rPr>
              <w:t>12/18/2019</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300,000</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270,151</w:t>
            </w:r>
          </w:p>
        </w:tc>
        <w:tc>
          <w:tcPr>
            <w:tcW w:w="860" w:type="dxa"/>
            <w:vAlign w:val="bottom"/>
          </w:tcPr>
          <w:p>
            <w:pPr>
              <w:jc w:val="right"/>
              <w:spacing w:after="0"/>
              <w:rPr>
                <w:sz w:val="20"/>
                <w:szCs w:val="20"/>
                <w:color w:val="auto"/>
              </w:rPr>
            </w:pPr>
            <w:r>
              <w:rPr>
                <w:rFonts w:ascii="Arial" w:cs="Arial" w:eastAsia="Arial" w:hAnsi="Arial"/>
                <w:sz w:val="13"/>
                <w:szCs w:val="13"/>
                <w:color w:val="auto"/>
              </w:rPr>
              <w:t>274,970</w:t>
            </w:r>
          </w:p>
        </w:tc>
      </w:tr>
      <w:tr>
        <w:trPr>
          <w:trHeight w:val="567"/>
        </w:trPr>
        <w:tc>
          <w:tcPr>
            <w:tcW w:w="880" w:type="dxa"/>
            <w:vAlign w:val="bottom"/>
          </w:tcPr>
          <w:p>
            <w:pPr>
              <w:jc w:val="right"/>
              <w:ind w:right="237"/>
              <w:spacing w:after="0"/>
              <w:rPr>
                <w:sz w:val="20"/>
                <w:szCs w:val="20"/>
                <w:color w:val="auto"/>
              </w:rPr>
            </w:pPr>
            <w:r>
              <w:rPr>
                <w:rFonts w:ascii="Arial" w:cs="Arial" w:eastAsia="Arial" w:hAnsi="Arial"/>
                <w:sz w:val="13"/>
                <w:szCs w:val="13"/>
                <w:color w:val="auto"/>
                <w:w w:val="86"/>
              </w:rPr>
              <w:t>12/18/2019</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1,700,000</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1,515,306</w:t>
            </w:r>
          </w:p>
        </w:tc>
        <w:tc>
          <w:tcPr>
            <w:tcW w:w="860" w:type="dxa"/>
            <w:vAlign w:val="bottom"/>
          </w:tcPr>
          <w:p>
            <w:pPr>
              <w:jc w:val="right"/>
              <w:spacing w:after="0"/>
              <w:rPr>
                <w:sz w:val="20"/>
                <w:szCs w:val="20"/>
                <w:color w:val="auto"/>
              </w:rPr>
            </w:pPr>
            <w:r>
              <w:rPr>
                <w:rFonts w:ascii="Arial" w:cs="Arial" w:eastAsia="Arial" w:hAnsi="Arial"/>
                <w:sz w:val="13"/>
                <w:szCs w:val="13"/>
                <w:color w:val="auto"/>
              </w:rPr>
              <w:t>1,592,390</w:t>
            </w:r>
          </w:p>
        </w:tc>
      </w:tr>
    </w:tbl>
    <w:p>
      <w:pPr>
        <w:spacing w:after="0" w:line="122" w:lineRule="exact"/>
        <w:rPr>
          <w:sz w:val="20"/>
          <w:szCs w:val="20"/>
          <w:color w:val="auto"/>
        </w:rPr>
      </w:pPr>
    </w:p>
    <w:p>
      <w:pPr>
        <w:sectPr>
          <w:pgSz w:w="11900" w:h="16838" w:orient="portrait"/>
          <w:cols w:equalWidth="0" w:num="2">
            <w:col w:w="6240" w:space="720"/>
            <w:col w:w="4280"/>
          </w:cols>
          <w:pgMar w:left="320" w:top="215"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580" w:type="dxa"/>
            <w:vAlign w:val="bottom"/>
            <w:shd w:val="clear" w:color="auto" w:fill="CFF0FC"/>
          </w:tcPr>
          <w:p>
            <w:pPr>
              <w:spacing w:after="0"/>
              <w:rPr>
                <w:sz w:val="20"/>
                <w:szCs w:val="20"/>
                <w:color w:val="auto"/>
              </w:rPr>
            </w:pPr>
            <w:r>
              <w:rPr>
                <w:rFonts w:ascii="Arial" w:cs="Arial" w:eastAsia="Arial" w:hAnsi="Arial"/>
                <w:sz w:val="13"/>
                <w:szCs w:val="13"/>
                <w:color w:val="auto"/>
                <w:w w:val="92"/>
              </w:rPr>
              <w:t>Evergreen North America Acquisition, LLC (f/k/a</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380" w:type="dxa"/>
            <w:vAlign w:val="bottom"/>
            <w:shd w:val="clear" w:color="auto" w:fill="CFF0FC"/>
          </w:tcPr>
          <w:p>
            <w:pPr>
              <w:ind w:left="60"/>
              <w:spacing w:after="0"/>
              <w:rPr>
                <w:sz w:val="20"/>
                <w:szCs w:val="20"/>
                <w:color w:val="auto"/>
              </w:rPr>
            </w:pPr>
            <w:r>
              <w:rPr>
                <w:rFonts w:ascii="Arial" w:cs="Arial" w:eastAsia="Arial" w:hAnsi="Arial"/>
                <w:sz w:val="13"/>
                <w:szCs w:val="13"/>
                <w:color w:val="auto"/>
              </w:rPr>
              <w:t>Senior Secured Loan — Term Loan</w:t>
            </w:r>
          </w:p>
        </w:tc>
        <w:tc>
          <w:tcPr>
            <w:tcW w:w="13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35"/>
        </w:trPr>
        <w:tc>
          <w:tcPr>
            <w:tcW w:w="2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Industrial Services Acquisition, LLC)</w:t>
            </w:r>
          </w:p>
        </w:tc>
        <w:tc>
          <w:tcPr>
            <w:tcW w:w="580" w:type="dxa"/>
            <w:vAlign w:val="bottom"/>
            <w:shd w:val="clear" w:color="auto" w:fill="CFF0FC"/>
          </w:tcPr>
          <w:p>
            <w:pPr>
              <w:spacing w:after="0"/>
              <w:rPr>
                <w:sz w:val="11"/>
                <w:szCs w:val="11"/>
                <w:color w:val="auto"/>
              </w:rPr>
            </w:pPr>
          </w:p>
        </w:tc>
        <w:tc>
          <w:tcPr>
            <w:tcW w:w="33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6.1% Cash, 6 Month LIBOR(1.13%) + 5.00%; LIBOR</w:t>
            </w:r>
          </w:p>
        </w:tc>
        <w:tc>
          <w:tcPr>
            <w:tcW w:w="1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Environmental Industries</w:t>
            </w:r>
          </w:p>
        </w:tc>
        <w:tc>
          <w:tcPr>
            <w:tcW w:w="580" w:type="dxa"/>
            <w:vAlign w:val="bottom"/>
            <w:shd w:val="clear" w:color="auto" w:fill="CFF0FC"/>
          </w:tcPr>
          <w:p>
            <w:pPr>
              <w:spacing w:after="0"/>
              <w:rPr>
                <w:sz w:val="12"/>
                <w:szCs w:val="12"/>
                <w:color w:val="auto"/>
              </w:rPr>
            </w:pPr>
          </w:p>
        </w:tc>
        <w:tc>
          <w:tcPr>
            <w:tcW w:w="338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1.00% , Due 6/22</w:t>
            </w:r>
          </w:p>
        </w:tc>
        <w:tc>
          <w:tcPr>
            <w:tcW w:w="130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6/21/2016</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1,007,457</w:t>
            </w:r>
          </w:p>
        </w:tc>
        <w:tc>
          <w:tcPr>
            <w:tcW w:w="1280" w:type="dxa"/>
            <w:vAlign w:val="bottom"/>
            <w:shd w:val="clear" w:color="auto" w:fill="CFF0FC"/>
          </w:tcPr>
          <w:p>
            <w:pPr>
              <w:jc w:val="right"/>
              <w:ind w:right="337"/>
              <w:spacing w:after="0"/>
              <w:rPr>
                <w:sz w:val="20"/>
                <w:szCs w:val="20"/>
                <w:color w:val="auto"/>
              </w:rPr>
            </w:pPr>
            <w:r>
              <w:rPr>
                <w:rFonts w:ascii="Arial" w:cs="Arial" w:eastAsia="Arial" w:hAnsi="Arial"/>
                <w:sz w:val="13"/>
                <w:szCs w:val="13"/>
                <w:color w:val="auto"/>
              </w:rPr>
              <w:t>1,009,538</w:t>
            </w: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954,666</w:t>
            </w:r>
          </w:p>
        </w:tc>
      </w:tr>
      <w:tr>
        <w:trPr>
          <w:trHeight w:val="149"/>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Firstlight Holdco Inc.</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38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Telecommunication</w:t>
            </w:r>
          </w:p>
        </w:tc>
        <w:tc>
          <w:tcPr>
            <w:tcW w:w="580" w:type="dxa"/>
            <w:vAlign w:val="bottom"/>
            <w:shd w:val="clear" w:color="auto" w:fill="CFF0FC"/>
          </w:tcPr>
          <w:p>
            <w:pPr>
              <w:spacing w:after="0"/>
              <w:rPr>
                <w:sz w:val="12"/>
                <w:szCs w:val="12"/>
                <w:color w:val="auto"/>
              </w:rPr>
            </w:pPr>
          </w:p>
        </w:tc>
        <w:tc>
          <w:tcPr>
            <w:tcW w:w="3380" w:type="dxa"/>
            <w:vAlign w:val="bottom"/>
            <w:shd w:val="clear" w:color="auto" w:fill="CFF0FC"/>
          </w:tcPr>
          <w:p>
            <w:pPr>
              <w:ind w:left="60"/>
              <w:spacing w:after="0"/>
              <w:rPr>
                <w:sz w:val="20"/>
                <w:szCs w:val="20"/>
                <w:color w:val="auto"/>
              </w:rPr>
            </w:pPr>
            <w:r>
              <w:rPr>
                <w:rFonts w:ascii="Arial" w:cs="Arial" w:eastAsia="Arial" w:hAnsi="Arial"/>
                <w:sz w:val="13"/>
                <w:szCs w:val="13"/>
                <w:color w:val="auto"/>
              </w:rPr>
              <w:t>7.7% Cash, 1 Month LIBOR(0.18%) + 7.50% , Due 7/26</w:t>
            </w:r>
          </w:p>
        </w:tc>
        <w:tc>
          <w:tcPr>
            <w:tcW w:w="130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12/18/2019</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400,000</w:t>
            </w:r>
          </w:p>
        </w:tc>
        <w:tc>
          <w:tcPr>
            <w:tcW w:w="1280" w:type="dxa"/>
            <w:vAlign w:val="bottom"/>
            <w:shd w:val="clear" w:color="auto" w:fill="CFF0FC"/>
          </w:tcPr>
          <w:p>
            <w:pPr>
              <w:jc w:val="right"/>
              <w:ind w:right="337"/>
              <w:spacing w:after="0"/>
              <w:rPr>
                <w:sz w:val="20"/>
                <w:szCs w:val="20"/>
                <w:color w:val="auto"/>
              </w:rPr>
            </w:pPr>
            <w:r>
              <w:rPr>
                <w:rFonts w:ascii="Arial" w:cs="Arial" w:eastAsia="Arial" w:hAnsi="Arial"/>
                <w:sz w:val="13"/>
                <w:szCs w:val="13"/>
                <w:color w:val="auto"/>
              </w:rPr>
              <w:t>358,554</w:t>
            </w: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375,160</w:t>
            </w: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GI Advo Opco, LLC</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rPr>
              <w:t>(5)(8)</w:t>
            </w:r>
          </w:p>
        </w:tc>
        <w:tc>
          <w:tcPr>
            <w:tcW w:w="338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580" w:type="dxa"/>
            <w:vAlign w:val="bottom"/>
            <w:shd w:val="clear" w:color="auto" w:fill="CFF0FC"/>
          </w:tcPr>
          <w:p>
            <w:pPr>
              <w:spacing w:after="0"/>
              <w:rPr>
                <w:sz w:val="12"/>
                <w:szCs w:val="12"/>
                <w:color w:val="auto"/>
              </w:rPr>
            </w:pPr>
          </w:p>
        </w:tc>
        <w:tc>
          <w:tcPr>
            <w:tcW w:w="3380" w:type="dxa"/>
            <w:vAlign w:val="bottom"/>
            <w:shd w:val="clear" w:color="auto" w:fill="CFF0FC"/>
          </w:tcPr>
          <w:p>
            <w:pPr>
              <w:ind w:left="60"/>
              <w:spacing w:after="0"/>
              <w:rPr>
                <w:sz w:val="20"/>
                <w:szCs w:val="20"/>
                <w:color w:val="auto"/>
              </w:rPr>
            </w:pPr>
            <w:r>
              <w:rPr>
                <w:rFonts w:ascii="Arial" w:cs="Arial" w:eastAsia="Arial" w:hAnsi="Arial"/>
                <w:sz w:val="13"/>
                <w:szCs w:val="13"/>
                <w:color w:val="auto"/>
              </w:rPr>
              <w:t>10.8% Cash, Prime (4.75%) + 6.00%; , Due 11/21</w:t>
            </w:r>
          </w:p>
        </w:tc>
        <w:tc>
          <w:tcPr>
            <w:tcW w:w="130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11/19/2015</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180,304</w:t>
            </w:r>
          </w:p>
        </w:tc>
        <w:tc>
          <w:tcPr>
            <w:tcW w:w="1280" w:type="dxa"/>
            <w:vAlign w:val="bottom"/>
            <w:shd w:val="clear" w:color="auto" w:fill="CFF0FC"/>
          </w:tcPr>
          <w:p>
            <w:pPr>
              <w:jc w:val="right"/>
              <w:ind w:right="337"/>
              <w:spacing w:after="0"/>
              <w:rPr>
                <w:sz w:val="20"/>
                <w:szCs w:val="20"/>
                <w:color w:val="auto"/>
              </w:rPr>
            </w:pPr>
            <w:r>
              <w:rPr>
                <w:rFonts w:ascii="Arial" w:cs="Arial" w:eastAsia="Arial" w:hAnsi="Arial"/>
                <w:sz w:val="13"/>
                <w:szCs w:val="13"/>
                <w:color w:val="auto"/>
              </w:rPr>
              <w:t>164,853</w:t>
            </w: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1" w:name="page12"/>
    <w:bookmarkEnd w:id="11"/>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rPr>
          <w:sz w:val="20"/>
          <w:szCs w:val="20"/>
          <w:color w:val="auto"/>
        </w:rPr>
      </w:pPr>
      <w:r>
        <w:rPr>
          <w:rFonts w:ascii="Arial" w:cs="Arial" w:eastAsia="Arial" w:hAnsi="Arial"/>
          <w:sz w:val="13"/>
          <w:szCs w:val="13"/>
          <w:b w:val="1"/>
          <w:bCs w:val="1"/>
          <w:color w:val="auto"/>
        </w:rPr>
        <w:t>Principal Business</w:t>
      </w:r>
    </w:p>
    <w:p>
      <w:pPr>
        <w:spacing w:after="0" w:line="236" w:lineRule="auto"/>
        <w:rPr>
          <w:sz w:val="20"/>
          <w:szCs w:val="20"/>
          <w:color w:val="auto"/>
        </w:rPr>
      </w:pPr>
      <w:r>
        <w:rPr>
          <w:rFonts w:ascii="Arial" w:cs="Arial" w:eastAsia="Arial" w:hAnsi="Arial"/>
          <w:sz w:val="13"/>
          <w:szCs w:val="13"/>
          <w:color w:val="auto"/>
        </w:rPr>
        <w:t>GI Revelation Acquisition LLC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138" w:lineRule="exact"/>
        <w:rPr>
          <w:sz w:val="20"/>
          <w:szCs w:val="20"/>
          <w:color w:val="auto"/>
        </w:rPr>
      </w:pPr>
    </w:p>
    <w:p>
      <w:pPr>
        <w:ind w:left="160" w:hanging="156"/>
        <w:spacing w:after="0" w:line="236" w:lineRule="auto"/>
        <w:rPr>
          <w:sz w:val="20"/>
          <w:szCs w:val="20"/>
          <w:color w:val="auto"/>
        </w:rPr>
      </w:pPr>
      <w:r>
        <w:rPr>
          <w:rFonts w:ascii="Arial" w:cs="Arial" w:eastAsia="Arial" w:hAnsi="Arial"/>
          <w:sz w:val="13"/>
          <w:szCs w:val="13"/>
          <w:color w:val="auto"/>
        </w:rPr>
        <w:t>GK Holdings, Inc. (aka Global Knowledge) Services: Business</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Global Tel*Link Corporation</w:t>
      </w:r>
    </w:p>
    <w:p>
      <w:pPr>
        <w:ind w:left="160"/>
        <w:spacing w:after="0"/>
        <w:rPr>
          <w:sz w:val="20"/>
          <w:szCs w:val="20"/>
          <w:color w:val="auto"/>
        </w:rPr>
      </w:pPr>
      <w:r>
        <w:rPr>
          <w:rFonts w:ascii="Arial" w:cs="Arial" w:eastAsia="Arial" w:hAnsi="Arial"/>
          <w:sz w:val="13"/>
          <w:szCs w:val="13"/>
          <w:color w:val="auto"/>
        </w:rPr>
        <w:t>Telecommunication</w:t>
      </w:r>
    </w:p>
    <w:p>
      <w:pPr>
        <w:spacing w:after="0" w:line="138" w:lineRule="exact"/>
        <w:rPr>
          <w:sz w:val="20"/>
          <w:szCs w:val="20"/>
          <w:color w:val="auto"/>
        </w:rPr>
      </w:pPr>
    </w:p>
    <w:p>
      <w:pPr>
        <w:ind w:left="160" w:right="520" w:hanging="156"/>
        <w:spacing w:after="0" w:line="376" w:lineRule="auto"/>
        <w:rPr>
          <w:sz w:val="20"/>
          <w:szCs w:val="20"/>
          <w:color w:val="auto"/>
        </w:rPr>
      </w:pPr>
      <w:r>
        <w:rPr>
          <w:rFonts w:ascii="Arial" w:cs="Arial" w:eastAsia="Arial" w:hAnsi="Arial"/>
          <w:sz w:val="10"/>
          <w:szCs w:val="10"/>
          <w:color w:val="auto"/>
        </w:rPr>
        <w:t>Grupo HIMA San Pablo, Inc. Healthcare &amp; Pharmaceuticals</w:t>
      </w:r>
    </w:p>
    <w:p>
      <w:pPr>
        <w:spacing w:after="0" w:line="72" w:lineRule="exact"/>
        <w:rPr>
          <w:sz w:val="20"/>
          <w:szCs w:val="20"/>
          <w:color w:val="auto"/>
        </w:rPr>
      </w:pPr>
    </w:p>
    <w:p>
      <w:pPr>
        <w:ind w:left="160" w:right="520" w:hanging="156"/>
        <w:spacing w:after="0" w:line="376" w:lineRule="auto"/>
        <w:rPr>
          <w:sz w:val="20"/>
          <w:szCs w:val="20"/>
          <w:color w:val="auto"/>
        </w:rPr>
      </w:pPr>
      <w:r>
        <w:rPr>
          <w:rFonts w:ascii="Arial" w:cs="Arial" w:eastAsia="Arial" w:hAnsi="Arial"/>
          <w:sz w:val="10"/>
          <w:szCs w:val="10"/>
          <w:color w:val="auto"/>
        </w:rPr>
        <w:t>Grupo HIMA San Pablo, Inc. Healthcare &amp; Pharmaceuticals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Hayward Industries, Inc.</w:t>
      </w:r>
    </w:p>
    <w:p>
      <w:pPr>
        <w:ind w:left="160"/>
        <w:spacing w:after="0"/>
        <w:rPr>
          <w:sz w:val="20"/>
          <w:szCs w:val="20"/>
          <w:color w:val="auto"/>
        </w:rPr>
      </w:pPr>
      <w:r>
        <w:rPr>
          <w:rFonts w:ascii="Arial" w:cs="Arial" w:eastAsia="Arial" w:hAnsi="Arial"/>
          <w:sz w:val="13"/>
          <w:szCs w:val="13"/>
          <w:color w:val="auto"/>
        </w:rPr>
        <w:t>Consumer goods: Durable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Helix Acquisition Holdings, Inc. (aka MW</w:t>
      </w:r>
    </w:p>
    <w:p>
      <w:pPr>
        <w:spacing w:after="0" w:line="227" w:lineRule="auto"/>
        <w:rPr>
          <w:sz w:val="20"/>
          <w:szCs w:val="20"/>
          <w:color w:val="auto"/>
        </w:rPr>
      </w:pPr>
      <w:r>
        <w:rPr>
          <w:rFonts w:ascii="Arial" w:cs="Arial" w:eastAsia="Arial" w:hAnsi="Arial"/>
          <w:sz w:val="13"/>
          <w:szCs w:val="13"/>
          <w:color w:val="auto"/>
        </w:rPr>
        <w:t>Industries, Inc)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Metals &amp; Mining</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Hoffmaster Group, Inc.</w:t>
      </w:r>
    </w:p>
    <w:p>
      <w:pPr>
        <w:ind w:left="160"/>
        <w:spacing w:after="0"/>
        <w:rPr>
          <w:sz w:val="20"/>
          <w:szCs w:val="20"/>
          <w:color w:val="auto"/>
        </w:rPr>
      </w:pPr>
      <w:r>
        <w:rPr>
          <w:rFonts w:ascii="Arial" w:cs="Arial" w:eastAsia="Arial" w:hAnsi="Arial"/>
          <w:sz w:val="13"/>
          <w:szCs w:val="13"/>
          <w:color w:val="auto"/>
        </w:rPr>
        <w:t>Forest Products &amp; Paper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000" w:type="dxa"/>
            <w:vAlign w:val="bottom"/>
          </w:tcPr>
          <w:p>
            <w:pPr>
              <w:jc w:val="right"/>
              <w:ind w:right="13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600" w:type="dxa"/>
            <w:vAlign w:val="bottom"/>
          </w:tcPr>
          <w:p>
            <w:pPr>
              <w:spacing w:after="0"/>
              <w:rPr>
                <w:sz w:val="20"/>
                <w:szCs w:val="20"/>
                <w:color w:val="auto"/>
              </w:rPr>
            </w:pPr>
            <w:r>
              <w:rPr>
                <w:rFonts w:ascii="Arial" w:cs="Arial" w:eastAsia="Arial" w:hAnsi="Arial"/>
                <w:sz w:val="11"/>
                <w:szCs w:val="11"/>
                <w:color w:val="auto"/>
              </w:rPr>
              <w:t>(8)(14)</w:t>
            </w:r>
          </w:p>
        </w:tc>
        <w:tc>
          <w:tcPr>
            <w:tcW w:w="310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Senior Secured Loan — Initial Term Loan (First Lien)</w:t>
            </w: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w w:val="99"/>
              </w:rPr>
              <w:t>5.2% Cash, 1 Month LIBOR(0.18%) + 5.00% , Due 4/25</w:t>
            </w:r>
          </w:p>
        </w:tc>
        <w:tc>
          <w:tcPr>
            <w:tcW w:w="1120" w:type="dxa"/>
            <w:vAlign w:val="bottom"/>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3,922,456</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3,459,694</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3,592,303</w:t>
            </w:r>
          </w:p>
        </w:tc>
        <w:tc>
          <w:tcPr>
            <w:tcW w:w="0" w:type="dxa"/>
            <w:vAlign w:val="bottom"/>
          </w:tcPr>
          <w:p>
            <w:pPr>
              <w:spacing w:after="0"/>
              <w:rPr>
                <w:sz w:val="1"/>
                <w:szCs w:val="1"/>
                <w:color w:val="auto"/>
              </w:rPr>
            </w:pPr>
          </w:p>
        </w:tc>
      </w:tr>
      <w:tr>
        <w:trPr>
          <w:trHeight w:val="272"/>
        </w:trPr>
        <w:tc>
          <w:tcPr>
            <w:tcW w:w="600" w:type="dxa"/>
            <w:vAlign w:val="bottom"/>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tcPr>
          <w:p>
            <w:pPr>
              <w:spacing w:after="0"/>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3220" w:type="dxa"/>
            <w:vAlign w:val="bottom"/>
            <w:gridSpan w:val="2"/>
          </w:tcPr>
          <w:p>
            <w:pPr>
              <w:spacing w:after="0" w:line="135" w:lineRule="exact"/>
              <w:rPr>
                <w:sz w:val="20"/>
                <w:szCs w:val="20"/>
                <w:color w:val="auto"/>
              </w:rPr>
            </w:pPr>
            <w:r>
              <w:rPr>
                <w:rFonts w:ascii="Arial" w:cs="Arial" w:eastAsia="Arial" w:hAnsi="Arial"/>
                <w:sz w:val="13"/>
                <w:szCs w:val="13"/>
                <w:color w:val="auto"/>
              </w:rPr>
              <w:t>13.3% Cash, 3 Month LIBOR(1.00%) + 12.25%; LIBOR</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rPr>
              <w:t>Floor 1.00% , Due 1/22</w:t>
            </w:r>
          </w:p>
        </w:tc>
        <w:tc>
          <w:tcPr>
            <w:tcW w:w="1120" w:type="dxa"/>
            <w:vAlign w:val="bottom"/>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1,493,291</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1,044,300</w:t>
            </w:r>
          </w:p>
        </w:tc>
        <w:tc>
          <w:tcPr>
            <w:tcW w:w="0" w:type="dxa"/>
            <w:vAlign w:val="bottom"/>
          </w:tcPr>
          <w:p>
            <w:pPr>
              <w:spacing w:after="0"/>
              <w:rPr>
                <w:sz w:val="1"/>
                <w:szCs w:val="1"/>
                <w:color w:val="auto"/>
              </w:rPr>
            </w:pPr>
          </w:p>
        </w:tc>
      </w:tr>
      <w:tr>
        <w:trPr>
          <w:trHeight w:val="272"/>
        </w:trPr>
        <w:tc>
          <w:tcPr>
            <w:tcW w:w="600" w:type="dxa"/>
            <w:vAlign w:val="bottom"/>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tcPr>
          <w:p>
            <w:pPr>
              <w:spacing w:after="0"/>
              <w:rPr>
                <w:sz w:val="20"/>
                <w:szCs w:val="20"/>
                <w:color w:val="auto"/>
              </w:rPr>
            </w:pPr>
            <w:r>
              <w:rPr>
                <w:rFonts w:ascii="Arial" w:cs="Arial" w:eastAsia="Arial" w:hAnsi="Arial"/>
                <w:sz w:val="13"/>
                <w:szCs w:val="13"/>
                <w:color w:val="auto"/>
              </w:rPr>
              <w:t>Junior Secured Loan — Loan (Second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w w:val="97"/>
              </w:rPr>
              <w:t>8.4% Cash, 1 Month LIBOR(0.18%) + 8.25% , Due 11/26</w:t>
            </w:r>
          </w:p>
        </w:tc>
        <w:tc>
          <w:tcPr>
            <w:tcW w:w="1120" w:type="dxa"/>
            <w:vAlign w:val="bottom"/>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1,479,396</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1,158,750</w:t>
            </w:r>
          </w:p>
        </w:tc>
        <w:tc>
          <w:tcPr>
            <w:tcW w:w="0" w:type="dxa"/>
            <w:vAlign w:val="bottom"/>
          </w:tcPr>
          <w:p>
            <w:pPr>
              <w:spacing w:after="0"/>
              <w:rPr>
                <w:sz w:val="1"/>
                <w:szCs w:val="1"/>
                <w:color w:val="auto"/>
              </w:rPr>
            </w:pPr>
          </w:p>
        </w:tc>
      </w:tr>
      <w:tr>
        <w:trPr>
          <w:trHeight w:val="264"/>
        </w:trPr>
        <w:tc>
          <w:tcPr>
            <w:tcW w:w="600" w:type="dxa"/>
            <w:vAlign w:val="bottom"/>
          </w:tcPr>
          <w:p>
            <w:pPr>
              <w:spacing w:after="0"/>
              <w:rPr>
                <w:sz w:val="20"/>
                <w:szCs w:val="20"/>
                <w:color w:val="auto"/>
              </w:rPr>
            </w:pPr>
            <w:r>
              <w:rPr>
                <w:rFonts w:ascii="Arial" w:cs="Arial" w:eastAsia="Arial" w:hAnsi="Arial"/>
                <w:sz w:val="11"/>
                <w:szCs w:val="11"/>
                <w:color w:val="auto"/>
              </w:rPr>
              <w:t>(5)(8)(13)</w:t>
            </w:r>
          </w:p>
        </w:tc>
        <w:tc>
          <w:tcPr>
            <w:tcW w:w="3220" w:type="dxa"/>
            <w:vAlign w:val="bottom"/>
            <w:gridSpan w:val="2"/>
          </w:tcPr>
          <w:p>
            <w:pPr>
              <w:spacing w:after="0"/>
              <w:rPr>
                <w:sz w:val="20"/>
                <w:szCs w:val="20"/>
                <w:color w:val="auto"/>
              </w:rPr>
            </w:pPr>
            <w:r>
              <w:rPr>
                <w:rFonts w:ascii="Arial" w:cs="Arial" w:eastAsia="Arial" w:hAnsi="Arial"/>
                <w:sz w:val="13"/>
                <w:szCs w:val="13"/>
                <w:color w:val="auto"/>
              </w:rPr>
              <w:t>Junior Secured Loan — Term Loan (Second Lien)</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20"/>
                <w:szCs w:val="20"/>
                <w:color w:val="auto"/>
              </w:rPr>
            </w:pPr>
            <w:r>
              <w:rPr>
                <w:rFonts w:ascii="Arial" w:cs="Arial" w:eastAsia="Arial" w:hAnsi="Arial"/>
                <w:sz w:val="11"/>
                <w:szCs w:val="11"/>
                <w:color w:val="auto"/>
              </w:rPr>
              <w:t>(14)</w:t>
            </w:r>
          </w:p>
        </w:tc>
        <w:tc>
          <w:tcPr>
            <w:tcW w:w="3220" w:type="dxa"/>
            <w:vAlign w:val="bottom"/>
            <w:gridSpan w:val="2"/>
          </w:tcPr>
          <w:p>
            <w:pPr>
              <w:spacing w:after="0"/>
              <w:rPr>
                <w:sz w:val="20"/>
                <w:szCs w:val="20"/>
                <w:color w:val="auto"/>
              </w:rPr>
            </w:pPr>
            <w:r>
              <w:rPr>
                <w:rFonts w:ascii="Arial" w:cs="Arial" w:eastAsia="Arial" w:hAnsi="Arial"/>
                <w:sz w:val="13"/>
                <w:szCs w:val="13"/>
                <w:color w:val="auto"/>
              </w:rPr>
              <w:t>13.8% Cash, Due 7/18</w:t>
            </w:r>
          </w:p>
        </w:tc>
        <w:tc>
          <w:tcPr>
            <w:tcW w:w="1120" w:type="dxa"/>
            <w:vAlign w:val="bottom"/>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7,191,667</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7,146,178</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2,591,158</w:t>
            </w:r>
          </w:p>
        </w:tc>
        <w:tc>
          <w:tcPr>
            <w:tcW w:w="0" w:type="dxa"/>
            <w:vAlign w:val="bottom"/>
          </w:tcPr>
          <w:p>
            <w:pPr>
              <w:spacing w:after="0"/>
              <w:rPr>
                <w:sz w:val="1"/>
                <w:szCs w:val="1"/>
                <w:color w:val="auto"/>
              </w:rPr>
            </w:pPr>
          </w:p>
        </w:tc>
      </w:tr>
      <w:tr>
        <w:trPr>
          <w:trHeight w:val="272"/>
        </w:trPr>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tcPr>
          <w:p>
            <w:pPr>
              <w:spacing w:after="0"/>
              <w:rPr>
                <w:sz w:val="20"/>
                <w:szCs w:val="20"/>
                <w:color w:val="auto"/>
              </w:rPr>
            </w:pPr>
            <w:r>
              <w:rPr>
                <w:rFonts w:ascii="Arial" w:cs="Arial" w:eastAsia="Arial" w:hAnsi="Arial"/>
                <w:sz w:val="13"/>
                <w:szCs w:val="13"/>
                <w:color w:val="auto"/>
              </w:rPr>
              <w:t>Senior Secured Loan — Term B Loan (First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3220" w:type="dxa"/>
            <w:vAlign w:val="bottom"/>
            <w:gridSpan w:val="2"/>
          </w:tcPr>
          <w:p>
            <w:pPr>
              <w:spacing w:after="0" w:line="135" w:lineRule="exact"/>
              <w:rPr>
                <w:sz w:val="20"/>
                <w:szCs w:val="20"/>
                <w:color w:val="auto"/>
              </w:rPr>
            </w:pPr>
            <w:r>
              <w:rPr>
                <w:rFonts w:ascii="Arial" w:cs="Arial" w:eastAsia="Arial" w:hAnsi="Arial"/>
                <w:sz w:val="13"/>
                <w:szCs w:val="13"/>
                <w:color w:val="auto"/>
              </w:rPr>
              <w:t>10.5% Cash, 3 Month LIBOR(1.50%) + 9.00%; LIBOR</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rPr>
              <w:t>Floor 1.50% , Due 1/18</w:t>
            </w:r>
          </w:p>
        </w:tc>
        <w:tc>
          <w:tcPr>
            <w:tcW w:w="1120" w:type="dxa"/>
            <w:vAlign w:val="bottom"/>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2,398,231</w:t>
            </w:r>
          </w:p>
        </w:tc>
        <w:tc>
          <w:tcPr>
            <w:tcW w:w="0" w:type="dxa"/>
            <w:vAlign w:val="bottom"/>
          </w:tcPr>
          <w:p>
            <w:pPr>
              <w:spacing w:after="0"/>
              <w:rPr>
                <w:sz w:val="1"/>
                <w:szCs w:val="1"/>
                <w:color w:val="auto"/>
              </w:rPr>
            </w:pPr>
          </w:p>
        </w:tc>
      </w:tr>
      <w:tr>
        <w:trPr>
          <w:trHeight w:val="272"/>
        </w:trPr>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tcPr>
          <w:p>
            <w:pPr>
              <w:spacing w:after="0"/>
              <w:rPr>
                <w:sz w:val="20"/>
                <w:szCs w:val="20"/>
                <w:color w:val="auto"/>
              </w:rPr>
            </w:pPr>
            <w:r>
              <w:rPr>
                <w:rFonts w:ascii="Arial" w:cs="Arial" w:eastAsia="Arial" w:hAnsi="Arial"/>
                <w:sz w:val="13"/>
                <w:szCs w:val="13"/>
                <w:color w:val="auto"/>
              </w:rPr>
              <w:t>Junior Secured Loan — Initial Loan (Second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w w:val="99"/>
              </w:rPr>
              <w:t>8.4% Cash, 1 Month LIBOR(0.18%) + 8.25% , Due 8/25</w:t>
            </w:r>
          </w:p>
        </w:tc>
        <w:tc>
          <w:tcPr>
            <w:tcW w:w="112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2,159,333</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1,864,778</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1,942,104</w:t>
            </w:r>
          </w:p>
        </w:tc>
        <w:tc>
          <w:tcPr>
            <w:tcW w:w="0" w:type="dxa"/>
            <w:vAlign w:val="bottom"/>
          </w:tcPr>
          <w:p>
            <w:pPr>
              <w:spacing w:after="0"/>
              <w:rPr>
                <w:sz w:val="1"/>
                <w:szCs w:val="1"/>
                <w:color w:val="auto"/>
              </w:rPr>
            </w:pPr>
          </w:p>
        </w:tc>
      </w:tr>
      <w:tr>
        <w:trPr>
          <w:trHeight w:val="339"/>
        </w:trPr>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tcPr>
          <w:p>
            <w:pPr>
              <w:spacing w:after="0"/>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w w:val="99"/>
              </w:rPr>
              <w:t>8.3% Cash, 3 Month LIBOR(0.31%) + 8.00% , Due 9/25</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1,400,000</w:t>
            </w: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1,199,978</w:t>
            </w:r>
          </w:p>
        </w:tc>
        <w:tc>
          <w:tcPr>
            <w:tcW w:w="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1,206,800</w:t>
            </w: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tcPr>
          <w:p>
            <w:pPr>
              <w:spacing w:after="0"/>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3220" w:type="dxa"/>
            <w:vAlign w:val="bottom"/>
            <w:gridSpan w:val="2"/>
          </w:tcPr>
          <w:p>
            <w:pPr>
              <w:spacing w:after="0" w:line="135" w:lineRule="exact"/>
              <w:rPr>
                <w:sz w:val="20"/>
                <w:szCs w:val="20"/>
                <w:color w:val="auto"/>
              </w:rPr>
            </w:pPr>
            <w:r>
              <w:rPr>
                <w:rFonts w:ascii="Arial" w:cs="Arial" w:eastAsia="Arial" w:hAnsi="Arial"/>
                <w:sz w:val="13"/>
                <w:szCs w:val="13"/>
                <w:color w:val="auto"/>
              </w:rPr>
              <w:t>10.5% Cash, 3 Month LIBOR(1.00%) + 9.50%; LIBOR</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rPr>
              <w:t>Floor 1.00% , Due 11/24</w:t>
            </w:r>
          </w:p>
        </w:tc>
        <w:tc>
          <w:tcPr>
            <w:tcW w:w="1120" w:type="dxa"/>
            <w:vAlign w:val="bottom"/>
          </w:tcPr>
          <w:p>
            <w:pPr>
              <w:jc w:val="right"/>
              <w:spacing w:after="0"/>
              <w:rPr>
                <w:sz w:val="20"/>
                <w:szCs w:val="20"/>
                <w:color w:val="auto"/>
              </w:rPr>
            </w:pPr>
            <w:r>
              <w:rPr>
                <w:rFonts w:ascii="Arial" w:cs="Arial" w:eastAsia="Arial" w:hAnsi="Arial"/>
                <w:sz w:val="13"/>
                <w:szCs w:val="13"/>
                <w:color w:val="auto"/>
              </w:rPr>
              <w:t>5/6/2014</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1,600,000</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1,573,605</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1,378,080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-2174875</wp:posOffset>
            </wp:positionV>
            <wp:extent cx="71323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-1814830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-1541145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-1266190</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-906145</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-632460</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-271780</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-2458085</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2220" w:space="400"/>
            <w:col w:w="8620"/>
          </w:cols>
          <w:pgMar w:left="320" w:top="215"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2560" w:type="dxa"/>
            <w:vAlign w:val="bottom"/>
            <w:shd w:val="clear" w:color="auto" w:fill="CFF0FC"/>
          </w:tcPr>
          <w:p>
            <w:pPr>
              <w:spacing w:after="0"/>
              <w:rPr>
                <w:sz w:val="20"/>
                <w:szCs w:val="20"/>
                <w:color w:val="auto"/>
              </w:rPr>
            </w:pPr>
            <w:r>
              <w:rPr>
                <w:rFonts w:ascii="Arial" w:cs="Arial" w:eastAsia="Arial" w:hAnsi="Arial"/>
                <w:sz w:val="13"/>
                <w:szCs w:val="13"/>
                <w:color w:val="auto"/>
              </w:rPr>
              <w:t>Idera, Inc.</w:t>
            </w:r>
          </w:p>
        </w:tc>
        <w:tc>
          <w:tcPr>
            <w:tcW w:w="600" w:type="dxa"/>
            <w:vAlign w:val="bottom"/>
            <w:shd w:val="clear" w:color="auto" w:fill="CFF0FC"/>
          </w:tcPr>
          <w:p>
            <w:pPr>
              <w:ind w:left="60"/>
              <w:spacing w:after="0"/>
              <w:rPr>
                <w:sz w:val="20"/>
                <w:szCs w:val="20"/>
                <w:color w:val="auto"/>
              </w:rPr>
            </w:pPr>
            <w:r>
              <w:rPr>
                <w:rFonts w:ascii="Arial" w:cs="Arial" w:eastAsia="Arial" w:hAnsi="Arial"/>
                <w:sz w:val="11"/>
                <w:szCs w:val="11"/>
                <w:color w:val="auto"/>
                <w:w w:val="98"/>
              </w:rPr>
              <w:t>(8)(13)(14)</w:t>
            </w:r>
          </w:p>
        </w:tc>
        <w:tc>
          <w:tcPr>
            <w:tcW w:w="3360" w:type="dxa"/>
            <w:vAlign w:val="bottom"/>
            <w:shd w:val="clear" w:color="auto" w:fill="CFF0FC"/>
          </w:tcPr>
          <w:p>
            <w:pPr>
              <w:ind w:left="60"/>
              <w:spacing w:after="0"/>
              <w:rPr>
                <w:sz w:val="20"/>
                <w:szCs w:val="20"/>
                <w:color w:val="auto"/>
              </w:rPr>
            </w:pPr>
            <w:r>
              <w:rPr>
                <w:rFonts w:ascii="Arial" w:cs="Arial" w:eastAsia="Arial" w:hAnsi="Arial"/>
                <w:sz w:val="13"/>
                <w:szCs w:val="13"/>
                <w:color w:val="auto"/>
              </w:rPr>
              <w:t>Junior Secured Loan — Loan (Second Lien)</w:t>
            </w:r>
          </w:p>
        </w:tc>
        <w:tc>
          <w:tcPr>
            <w:tcW w:w="13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r>
      <w:tr>
        <w:trPr>
          <w:trHeight w:val="143"/>
        </w:trPr>
        <w:tc>
          <w:tcPr>
            <w:tcW w:w="256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ind w:left="60"/>
              <w:spacing w:after="0"/>
              <w:rPr>
                <w:sz w:val="20"/>
                <w:szCs w:val="20"/>
                <w:color w:val="auto"/>
              </w:rPr>
            </w:pPr>
            <w:r>
              <w:rPr>
                <w:rFonts w:ascii="Arial" w:cs="Arial" w:eastAsia="Arial" w:hAnsi="Arial"/>
                <w:sz w:val="11"/>
                <w:szCs w:val="11"/>
                <w:color w:val="auto"/>
              </w:rPr>
              <w:t>(23)</w:t>
            </w:r>
          </w:p>
        </w:tc>
        <w:tc>
          <w:tcPr>
            <w:tcW w:w="3360" w:type="dxa"/>
            <w:vAlign w:val="bottom"/>
            <w:shd w:val="clear" w:color="auto" w:fill="CFF0FC"/>
          </w:tcPr>
          <w:p>
            <w:pPr>
              <w:ind w:left="60"/>
              <w:spacing w:after="0" w:line="143" w:lineRule="exact"/>
              <w:rPr>
                <w:sz w:val="20"/>
                <w:szCs w:val="20"/>
                <w:color w:val="auto"/>
              </w:rPr>
            </w:pPr>
            <w:r>
              <w:rPr>
                <w:rFonts w:ascii="Arial" w:cs="Arial" w:eastAsia="Arial" w:hAnsi="Arial"/>
                <w:sz w:val="13"/>
                <w:szCs w:val="13"/>
                <w:color w:val="auto"/>
              </w:rPr>
              <w:t>10.1% Cash, 6 month LIBOR(1.08%) + 9.00%; LIBOR</w:t>
            </w:r>
          </w:p>
        </w:tc>
        <w:tc>
          <w:tcPr>
            <w:tcW w:w="13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9"/>
        </w:trPr>
        <w:tc>
          <w:tcPr>
            <w:tcW w:w="25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1.00% , Due 6/27</w:t>
            </w:r>
          </w:p>
        </w:tc>
        <w:tc>
          <w:tcPr>
            <w:tcW w:w="13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6/27/2019</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7,500,000</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7,401,338</w:t>
            </w: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7,221,750</w:t>
            </w:r>
          </w:p>
        </w:tc>
      </w:tr>
      <w:tr>
        <w:trPr>
          <w:trHeight w:val="148"/>
        </w:trPr>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4"/>
        </w:trPr>
        <w:tc>
          <w:tcPr>
            <w:tcW w:w="25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600" w:type="dxa"/>
            <w:vAlign w:val="bottom"/>
            <w:shd w:val="clear" w:color="auto" w:fill="CFF0FC"/>
          </w:tcPr>
          <w:p>
            <w:pPr>
              <w:ind w:left="60"/>
              <w:spacing w:after="0"/>
              <w:rPr>
                <w:sz w:val="20"/>
                <w:szCs w:val="20"/>
                <w:color w:val="auto"/>
              </w:rPr>
            </w:pPr>
            <w:r>
              <w:rPr>
                <w:rFonts w:ascii="Arial" w:cs="Arial" w:eastAsia="Arial" w:hAnsi="Arial"/>
                <w:sz w:val="11"/>
                <w:szCs w:val="11"/>
                <w:color w:val="auto"/>
                <w:w w:val="98"/>
              </w:rPr>
              <w:t>(8)(13)(14)</w:t>
            </w:r>
          </w:p>
        </w:tc>
        <w:tc>
          <w:tcPr>
            <w:tcW w:w="33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w:t>
            </w:r>
          </w:p>
        </w:tc>
        <w:tc>
          <w:tcPr>
            <w:tcW w:w="1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5"/>
        </w:trPr>
        <w:tc>
          <w:tcPr>
            <w:tcW w:w="25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3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5.5% Cash, 3 Month LIBOR(1.00%) + 4.50%; LIBOR</w:t>
            </w:r>
          </w:p>
        </w:tc>
        <w:tc>
          <w:tcPr>
            <w:tcW w:w="1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9"/>
        </w:trPr>
        <w:tc>
          <w:tcPr>
            <w:tcW w:w="25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1.00% , Due 12/22</w:t>
            </w:r>
          </w:p>
        </w:tc>
        <w:tc>
          <w:tcPr>
            <w:tcW w:w="13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12/13/2017</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1,875,000</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1,864,632</w:t>
            </w: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1,853,062</w:t>
            </w:r>
          </w:p>
        </w:tc>
      </w:tr>
      <w:tr>
        <w:trPr>
          <w:trHeight w:val="149"/>
        </w:trPr>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4"/>
        </w:trPr>
        <w:tc>
          <w:tcPr>
            <w:tcW w:w="25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600" w:type="dxa"/>
            <w:vAlign w:val="bottom"/>
            <w:shd w:val="clear" w:color="auto" w:fill="CFF0FC"/>
          </w:tcPr>
          <w:p>
            <w:pPr>
              <w:ind w:left="60"/>
              <w:spacing w:after="0"/>
              <w:rPr>
                <w:sz w:val="20"/>
                <w:szCs w:val="20"/>
                <w:color w:val="auto"/>
              </w:rPr>
            </w:pPr>
            <w:r>
              <w:rPr>
                <w:rFonts w:ascii="Arial" w:cs="Arial" w:eastAsia="Arial" w:hAnsi="Arial"/>
                <w:sz w:val="11"/>
                <w:szCs w:val="11"/>
                <w:color w:val="auto"/>
                <w:w w:val="98"/>
              </w:rPr>
              <w:t>(8)(13)(14)</w:t>
            </w:r>
          </w:p>
        </w:tc>
        <w:tc>
          <w:tcPr>
            <w:tcW w:w="33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 (add on)</w:t>
            </w:r>
          </w:p>
        </w:tc>
        <w:tc>
          <w:tcPr>
            <w:tcW w:w="1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5"/>
        </w:trPr>
        <w:tc>
          <w:tcPr>
            <w:tcW w:w="25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3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5.5% Cash, 3 Month LIBOR(1.00%) + 4.50%; LIBOR</w:t>
            </w:r>
          </w:p>
        </w:tc>
        <w:tc>
          <w:tcPr>
            <w:tcW w:w="1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9"/>
        </w:trPr>
        <w:tc>
          <w:tcPr>
            <w:tcW w:w="25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1.00% , Due 12/22</w:t>
            </w:r>
          </w:p>
        </w:tc>
        <w:tc>
          <w:tcPr>
            <w:tcW w:w="13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12/13/2017</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1,987,878</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1,976,886</w:t>
            </w: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1,964,619</w:t>
            </w:r>
          </w:p>
        </w:tc>
      </w:tr>
      <w:tr>
        <w:trPr>
          <w:trHeight w:val="148"/>
        </w:trPr>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4"/>
        </w:trPr>
        <w:tc>
          <w:tcPr>
            <w:tcW w:w="25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Ivanti Software, Inc. (fka LANDesk Group, Inc.)</w:t>
            </w:r>
          </w:p>
        </w:tc>
        <w:tc>
          <w:tcPr>
            <w:tcW w:w="600" w:type="dxa"/>
            <w:vAlign w:val="bottom"/>
            <w:shd w:val="clear" w:color="auto" w:fill="CFF0FC"/>
          </w:tcPr>
          <w:p>
            <w:pPr>
              <w:ind w:left="60"/>
              <w:spacing w:after="0"/>
              <w:rPr>
                <w:sz w:val="20"/>
                <w:szCs w:val="20"/>
                <w:color w:val="auto"/>
              </w:rPr>
            </w:pPr>
            <w:r>
              <w:rPr>
                <w:rFonts w:ascii="Arial" w:cs="Arial" w:eastAsia="Arial" w:hAnsi="Arial"/>
                <w:sz w:val="11"/>
                <w:szCs w:val="11"/>
                <w:color w:val="auto"/>
              </w:rPr>
              <w:t>(8)</w:t>
            </w:r>
          </w:p>
        </w:tc>
        <w:tc>
          <w:tcPr>
            <w:tcW w:w="33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Junior Secured Loan — Loan (Second Lien)</w:t>
            </w:r>
          </w:p>
        </w:tc>
        <w:tc>
          <w:tcPr>
            <w:tcW w:w="1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5"/>
        </w:trPr>
        <w:tc>
          <w:tcPr>
            <w:tcW w:w="25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3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10.0% Cash, 1 Month LIBOR(1.00%) + 9.00%; LIBOR</w:t>
            </w:r>
          </w:p>
        </w:tc>
        <w:tc>
          <w:tcPr>
            <w:tcW w:w="1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9"/>
        </w:trPr>
        <w:tc>
          <w:tcPr>
            <w:tcW w:w="25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1.00% , Due 1/25</w:t>
            </w:r>
          </w:p>
        </w:tc>
        <w:tc>
          <w:tcPr>
            <w:tcW w:w="13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3/10/2017</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1,228,619</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1,228,619</w:t>
            </w: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1,099,614</w:t>
            </w:r>
          </w:p>
        </w:tc>
      </w:tr>
      <w:tr>
        <w:trPr>
          <w:trHeight w:val="149"/>
        </w:trPr>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26"/>
        </w:trPr>
        <w:tc>
          <w:tcPr>
            <w:tcW w:w="256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Location Services Holdings, LLC</w:t>
            </w:r>
          </w:p>
        </w:tc>
        <w:tc>
          <w:tcPr>
            <w:tcW w:w="600" w:type="dxa"/>
            <w:vAlign w:val="bottom"/>
            <w:shd w:val="clear" w:color="auto" w:fill="CFF0FC"/>
          </w:tcPr>
          <w:p>
            <w:pPr>
              <w:ind w:left="60"/>
              <w:spacing w:after="0"/>
              <w:rPr>
                <w:sz w:val="20"/>
                <w:szCs w:val="20"/>
                <w:color w:val="auto"/>
              </w:rPr>
            </w:pPr>
            <w:r>
              <w:rPr>
                <w:rFonts w:ascii="Arial" w:cs="Arial" w:eastAsia="Arial" w:hAnsi="Arial"/>
                <w:sz w:val="11"/>
                <w:szCs w:val="11"/>
                <w:color w:val="auto"/>
                <w:w w:val="98"/>
              </w:rPr>
              <w:t>(8)(13)(14)</w:t>
            </w:r>
          </w:p>
        </w:tc>
        <w:tc>
          <w:tcPr>
            <w:tcW w:w="3360" w:type="dxa"/>
            <w:vAlign w:val="bottom"/>
            <w:shd w:val="clear" w:color="auto" w:fill="CFF0FC"/>
          </w:tcPr>
          <w:p>
            <w:pPr>
              <w:ind w:left="60"/>
              <w:spacing w:after="0" w:line="126" w:lineRule="exact"/>
              <w:rPr>
                <w:sz w:val="20"/>
                <w:szCs w:val="20"/>
                <w:color w:val="auto"/>
              </w:rPr>
            </w:pPr>
            <w:r>
              <w:rPr>
                <w:rFonts w:ascii="Arial" w:cs="Arial" w:eastAsia="Arial" w:hAnsi="Arial"/>
                <w:sz w:val="13"/>
                <w:szCs w:val="13"/>
                <w:color w:val="auto"/>
              </w:rPr>
              <w:t>Senior Secured Loan — Revolving Credit</w:t>
            </w:r>
          </w:p>
        </w:tc>
        <w:tc>
          <w:tcPr>
            <w:tcW w:w="132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r>
      <w:tr>
        <w:trPr>
          <w:trHeight w:val="143"/>
        </w:trPr>
        <w:tc>
          <w:tcPr>
            <w:tcW w:w="256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ind w:left="60"/>
              <w:spacing w:after="0"/>
              <w:rPr>
                <w:sz w:val="20"/>
                <w:szCs w:val="20"/>
                <w:color w:val="auto"/>
              </w:rPr>
            </w:pPr>
            <w:r>
              <w:rPr>
                <w:rFonts w:ascii="Arial" w:cs="Arial" w:eastAsia="Arial" w:hAnsi="Arial"/>
                <w:sz w:val="11"/>
                <w:szCs w:val="11"/>
                <w:color w:val="auto"/>
              </w:rPr>
              <w:t>(23)</w:t>
            </w:r>
          </w:p>
        </w:tc>
        <w:tc>
          <w:tcPr>
            <w:tcW w:w="3360" w:type="dxa"/>
            <w:vAlign w:val="bottom"/>
            <w:shd w:val="clear" w:color="auto" w:fill="CFF0FC"/>
          </w:tcPr>
          <w:p>
            <w:pPr>
              <w:ind w:left="60"/>
              <w:spacing w:after="0" w:line="143" w:lineRule="exact"/>
              <w:rPr>
                <w:sz w:val="20"/>
                <w:szCs w:val="20"/>
                <w:color w:val="auto"/>
              </w:rPr>
            </w:pPr>
            <w:r>
              <w:rPr>
                <w:rFonts w:ascii="Arial" w:cs="Arial" w:eastAsia="Arial" w:hAnsi="Arial"/>
                <w:sz w:val="13"/>
                <w:szCs w:val="13"/>
                <w:color w:val="auto"/>
              </w:rPr>
              <w:t>7.8% Cash, 1 Month LIBOR(1.00%) + 6.75%; LIBOR</w:t>
            </w:r>
          </w:p>
        </w:tc>
        <w:tc>
          <w:tcPr>
            <w:tcW w:w="13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9"/>
        </w:trPr>
        <w:tc>
          <w:tcPr>
            <w:tcW w:w="25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1.00% , Due 5/20</w:t>
            </w:r>
          </w:p>
        </w:tc>
        <w:tc>
          <w:tcPr>
            <w:tcW w:w="13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11/7/2019</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2,291,667</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2,291,667</w:t>
            </w: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2,197,917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Cost</w:t>
            </w: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4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Ministry Brands, LLC (aka MB Holding)</w:t>
            </w:r>
          </w:p>
        </w:tc>
        <w:tc>
          <w:tcPr>
            <w:tcW w:w="11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0" w:type="dxa"/>
            <w:vAlign w:val="bottom"/>
            <w:tcBorders>
              <w:top w:val="single" w:sz="8" w:color="CFF0FC"/>
            </w:tcBorders>
            <w:shd w:val="clear" w:color="auto" w:fill="CFF0FC"/>
          </w:tcPr>
          <w:p>
            <w:pPr>
              <w:spacing w:after="0"/>
              <w:rPr>
                <w:sz w:val="11"/>
                <w:szCs w:val="11"/>
                <w:color w:val="auto"/>
              </w:rPr>
            </w:pPr>
          </w:p>
        </w:tc>
        <w:tc>
          <w:tcPr>
            <w:tcW w:w="24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0"/>
              </w:rPr>
              <w:t>Junior Secured Loan — April 2018 Incremental</w:t>
            </w: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4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Term Loan (Second Lien)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9.0% Cash, 1 Month LIBOR(1.00%) + 8.00%;</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6/23</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5,462,325</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5,677,800</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Nasco Healthcare Inc.</w:t>
            </w:r>
          </w:p>
        </w:tc>
        <w:tc>
          <w:tcPr>
            <w:tcW w:w="1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Term Loan</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44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Healthcare, Education and Childcare</w:t>
            </w: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260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w w:val="97"/>
              </w:rPr>
              <w:t>5.5% Cash, 3 Month LIBOR(1.00%) + 4.50%;</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6/21</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4,532,976</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3,945,384</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3,932,357</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(8)(14)(18)</w:t>
            </w:r>
          </w:p>
        </w:tc>
        <w:tc>
          <w:tcPr>
            <w:tcW w:w="260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7.2% Cash, 1 Month LIBOR(0.18%) + 7.00% ,</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9/26</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7,182,560</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7,469,000</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244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OCI Holdings, LLC</w:t>
            </w:r>
          </w:p>
        </w:tc>
        <w:tc>
          <w:tcPr>
            <w:tcW w:w="1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0"/>
                <w:szCs w:val="10"/>
                <w:color w:val="auto"/>
              </w:rPr>
              <w:t>(5)(8)(13)</w:t>
            </w:r>
          </w:p>
        </w:tc>
        <w:tc>
          <w:tcPr>
            <w:tcW w:w="2600" w:type="dxa"/>
            <w:vAlign w:val="bottom"/>
            <w:gridSpan w:val="3"/>
            <w:shd w:val="clear" w:color="auto" w:fill="CFF0FC"/>
          </w:tcPr>
          <w:p>
            <w:pPr>
              <w:ind w:left="20"/>
              <w:spacing w:after="0" w:line="122" w:lineRule="exact"/>
              <w:rPr>
                <w:sz w:val="20"/>
                <w:szCs w:val="20"/>
                <w:color w:val="auto"/>
              </w:rPr>
            </w:pPr>
            <w:r>
              <w:rPr>
                <w:rFonts w:ascii="Arial" w:cs="Arial" w:eastAsia="Arial" w:hAnsi="Arial"/>
                <w:sz w:val="13"/>
                <w:szCs w:val="13"/>
                <w:color w:val="auto"/>
              </w:rPr>
              <w:t>Subordinated Note — Float - 02/2020 -</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2440" w:type="dxa"/>
            <w:vAlign w:val="bottom"/>
            <w:shd w:val="clear" w:color="auto" w:fill="CFF0FC"/>
          </w:tcPr>
          <w:p>
            <w:pPr>
              <w:ind w:left="160"/>
              <w:spacing w:after="0" w:line="148" w:lineRule="exact"/>
              <w:rPr>
                <w:sz w:val="20"/>
                <w:szCs w:val="20"/>
                <w:color w:val="auto"/>
              </w:rPr>
            </w:pPr>
            <w:r>
              <w:rPr>
                <w:rFonts w:ascii="Arial" w:cs="Arial" w:eastAsia="Arial" w:hAnsi="Arial"/>
                <w:sz w:val="13"/>
                <w:szCs w:val="13"/>
                <w:color w:val="auto"/>
              </w:rPr>
              <w:t>Healthcare &amp; Pharmaceuticals</w:t>
            </w: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0"/>
                <w:szCs w:val="10"/>
                <w:color w:val="auto"/>
              </w:rPr>
              <w:t>(18)</w:t>
            </w:r>
          </w:p>
        </w:tc>
        <w:tc>
          <w:tcPr>
            <w:tcW w:w="2600" w:type="dxa"/>
            <w:vAlign w:val="bottom"/>
            <w:gridSpan w:val="3"/>
            <w:shd w:val="clear" w:color="auto" w:fill="CFF0FC"/>
          </w:tcPr>
          <w:p>
            <w:pPr>
              <w:ind w:left="20"/>
              <w:spacing w:after="0" w:line="148" w:lineRule="exact"/>
              <w:rPr>
                <w:sz w:val="20"/>
                <w:szCs w:val="20"/>
                <w:color w:val="auto"/>
              </w:rPr>
            </w:pPr>
            <w:r>
              <w:rPr>
                <w:rFonts w:ascii="Arial" w:cs="Arial" w:eastAsia="Arial" w:hAnsi="Arial"/>
                <w:sz w:val="13"/>
                <w:szCs w:val="13"/>
                <w:color w:val="auto"/>
              </w:rPr>
              <w:t>OCISubNote</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15.0% Cash, 5.0% PIK, Due 7/20</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35,388,820</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2,165,304</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2,383,900</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PAE Holding Corporation</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10.5% Cash, 2 Month LIBOR(1.00%) +</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9.50%; LIBOR Floor 1.00% , Due 10/23</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3,343,347</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3,006,106</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3,294,534</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PHI Group, Inc.</w:t>
            </w:r>
          </w:p>
        </w:tc>
        <w:tc>
          <w:tcPr>
            <w:tcW w:w="1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Loan</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44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Transportation: Cargo</w:t>
            </w: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260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w w:val="97"/>
              </w:rPr>
              <w:t>8.0% Cash, 1 Month LIBOR(1.00%) + 7.00%;</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9/24</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7/10/2019</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6,780,436</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6,665,345</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6,755,349</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 (aka Brightspring)</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9.5% Cash, 1 Month LIBOR(1.00%) + 8.50%;</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3/27</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1,092,095</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1,166,880</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 (Aka Cielo)</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7.1% Cash, 3 Month LIBOR(1.08%) + 6.00%;</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1/25</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4,937,500</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4,862,266</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4,487,200</w:t>
            </w:r>
          </w:p>
        </w:tc>
        <w:tc>
          <w:tcPr>
            <w:tcW w:w="100" w:type="dxa"/>
            <w:vAlign w:val="bottom"/>
            <w:shd w:val="clear" w:color="auto" w:fill="CFF0FC"/>
          </w:tcPr>
          <w:p>
            <w:pPr>
              <w:spacing w:after="0"/>
              <w:rPr>
                <w:sz w:val="12"/>
                <w:szCs w:val="12"/>
                <w:color w:val="auto"/>
              </w:rPr>
            </w:pPr>
          </w:p>
        </w:tc>
      </w:tr>
      <w:tr>
        <w:trPr>
          <w:trHeight w:val="149"/>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PromptCare Companies, The</w:t>
            </w:r>
          </w:p>
        </w:tc>
        <w:tc>
          <w:tcPr>
            <w:tcW w:w="1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First Delayed Draw</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44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Healthcare &amp; Pharmaceuticals</w:t>
            </w: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260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rPr>
              <w:t>Term Loan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2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6.3% Cash, 6 Month LIBOR(1.07%) + 5.25%;</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12/25</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542,727</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537,635</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536,106</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PromptCare Companies,</w:t>
            </w:r>
          </w:p>
        </w:tc>
        <w:tc>
          <w:tcPr>
            <w:tcW w:w="1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w w:val="94"/>
              </w:rPr>
              <w:t>Senior Secured Loan — Second Delayed Draw</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4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The</w:t>
            </w:r>
          </w:p>
        </w:tc>
        <w:tc>
          <w:tcPr>
            <w:tcW w:w="1140" w:type="dxa"/>
            <w:vAlign w:val="bottom"/>
            <w:shd w:val="clear" w:color="auto" w:fill="CFF0FC"/>
          </w:tcPr>
          <w:p>
            <w:pPr>
              <w:ind w:left="280"/>
              <w:spacing w:after="0" w:line="143" w:lineRule="exact"/>
              <w:rPr>
                <w:sz w:val="20"/>
                <w:szCs w:val="20"/>
                <w:color w:val="auto"/>
              </w:rPr>
            </w:pPr>
            <w:r>
              <w:rPr>
                <w:rFonts w:ascii="Arial" w:cs="Arial" w:eastAsia="Arial" w:hAnsi="Arial"/>
                <w:sz w:val="13"/>
                <w:szCs w:val="13"/>
                <w:color w:val="auto"/>
              </w:rPr>
              <w:t>Healthcare &amp;</w:t>
            </w: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260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rPr>
              <w:t>Term Loan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40" w:type="dxa"/>
            <w:vAlign w:val="bottom"/>
            <w:shd w:val="clear" w:color="auto" w:fill="CFF0FC"/>
          </w:tcPr>
          <w:p>
            <w:pPr>
              <w:spacing w:after="0"/>
              <w:rPr>
                <w:sz w:val="20"/>
                <w:szCs w:val="20"/>
                <w:color w:val="auto"/>
              </w:rPr>
            </w:pPr>
            <w:r>
              <w:rPr>
                <w:rFonts w:ascii="Arial" w:cs="Arial" w:eastAsia="Arial" w:hAnsi="Arial"/>
                <w:sz w:val="13"/>
                <w:szCs w:val="13"/>
                <w:color w:val="auto"/>
              </w:rPr>
              <w:t>Pharmaceuticals</w:t>
            </w: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1.0% Cash, Due 12/25</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(2,560)</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(2,727)</w:t>
            </w: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PromptCare Companies,</w:t>
            </w:r>
          </w:p>
        </w:tc>
        <w:tc>
          <w:tcPr>
            <w:tcW w:w="1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Term Loan</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4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The</w:t>
            </w:r>
          </w:p>
        </w:tc>
        <w:tc>
          <w:tcPr>
            <w:tcW w:w="1140" w:type="dxa"/>
            <w:vAlign w:val="bottom"/>
            <w:shd w:val="clear" w:color="auto" w:fill="CFF0FC"/>
          </w:tcPr>
          <w:p>
            <w:pPr>
              <w:ind w:left="280"/>
              <w:spacing w:after="0" w:line="143" w:lineRule="exact"/>
              <w:rPr>
                <w:sz w:val="20"/>
                <w:szCs w:val="20"/>
                <w:color w:val="auto"/>
              </w:rPr>
            </w:pPr>
            <w:r>
              <w:rPr>
                <w:rFonts w:ascii="Arial" w:cs="Arial" w:eastAsia="Arial" w:hAnsi="Arial"/>
                <w:sz w:val="13"/>
                <w:szCs w:val="13"/>
                <w:color w:val="auto"/>
              </w:rPr>
              <w:t>Healthcare &amp;</w:t>
            </w: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260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w w:val="97"/>
              </w:rPr>
              <w:t>6.3% Cash, 3 Month LIBOR(1.00%) + 5.25%;</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40" w:type="dxa"/>
            <w:vAlign w:val="bottom"/>
            <w:shd w:val="clear" w:color="auto" w:fill="CFF0FC"/>
          </w:tcPr>
          <w:p>
            <w:pPr>
              <w:spacing w:after="0"/>
              <w:rPr>
                <w:sz w:val="20"/>
                <w:szCs w:val="20"/>
                <w:color w:val="auto"/>
              </w:rPr>
            </w:pPr>
            <w:r>
              <w:rPr>
                <w:rFonts w:ascii="Arial" w:cs="Arial" w:eastAsia="Arial" w:hAnsi="Arial"/>
                <w:sz w:val="13"/>
                <w:szCs w:val="13"/>
                <w:color w:val="auto"/>
              </w:rPr>
              <w:t>Pharmaceuticals</w:t>
            </w: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12/25</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3,889,545</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3,853,049</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3,842,093</w:t>
            </w:r>
          </w:p>
        </w:tc>
        <w:tc>
          <w:tcPr>
            <w:tcW w:w="1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w:t>
            </w:r>
          </w:p>
        </w:tc>
        <w:tc>
          <w:tcPr>
            <w:tcW w:w="260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1140" w:type="dxa"/>
            <w:vAlign w:val="bottom"/>
            <w:shd w:val="clear" w:color="auto" w:fill="CFF0FC"/>
          </w:tcPr>
          <w:p>
            <w:pPr>
              <w:ind w:left="380"/>
              <w:spacing w:after="0" w:line="135" w:lineRule="exact"/>
              <w:rPr>
                <w:sz w:val="20"/>
                <w:szCs w:val="20"/>
                <w:color w:val="auto"/>
              </w:rPr>
            </w:pPr>
            <w:r>
              <w:rPr>
                <w:rFonts w:ascii="Arial" w:cs="Arial" w:eastAsia="Arial" w:hAnsi="Arial"/>
                <w:sz w:val="13"/>
                <w:szCs w:val="13"/>
                <w:color w:val="auto"/>
                <w:w w:val="89"/>
              </w:rPr>
              <w:t>Environmental</w:t>
            </w: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Industries</w:t>
            </w:r>
          </w:p>
        </w:tc>
        <w:tc>
          <w:tcPr>
            <w:tcW w:w="1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9.7% Cash, 6 Month LIBOR(1.23%) + 8.50%;</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10/25</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2,958,987</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2,495,400</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Amortized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PVHC Holding</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w w:val="95"/>
              </w:rPr>
              <w:t>(8)(13)(14)</w:t>
            </w:r>
          </w:p>
        </w:tc>
        <w:tc>
          <w:tcPr>
            <w:tcW w:w="4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w w:val="97"/>
              </w:rPr>
              <w:t>Senior Secured Loan — Initial Term Loan</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1680" w:type="dxa"/>
            <w:vAlign w:val="bottom"/>
            <w:gridSpan w:val="2"/>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5.8% Cash, 3 Month LIBOR(1.00%) +</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Packaging and Glass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4.75%; LIBOR Floor 1.00% , Due 8/24</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2,829,600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2,819,901</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2,494,575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Radiology Partners,</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w w:val="95"/>
              </w:rPr>
              <w:t>(8)(14)(23)</w:t>
            </w:r>
          </w:p>
        </w:tc>
        <w:tc>
          <w:tcPr>
            <w:tcW w:w="252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8"/>
              </w:rPr>
              <w:t>Senior Secured Loan — Term B Loan (First</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6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Pharmaceuticals</w:t>
            </w: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6.0% Cash, 12 Month LIBOR(1.74%) +</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4.25% , Due 7/25</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3/24/2020</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5,721,305</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6,540,030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w w:val="95"/>
              </w:rPr>
              <w:t>(8)(13)(14)</w:t>
            </w:r>
          </w:p>
        </w:tc>
        <w:tc>
          <w:tcPr>
            <w:tcW w:w="252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6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Aerospace and</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6.8% Cash, 3 Month LIBOR(1.00%) +</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Defense</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5.75%; LIBOR Floor 1.00% , Due 3/25</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6,912,500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6,826,905</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6,588,304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Ravn Air Group, Inc.</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rPr>
              <w:t>(5)(8)(13)</w:t>
            </w:r>
          </w:p>
        </w:tc>
        <w:tc>
          <w:tcPr>
            <w:tcW w:w="2520" w:type="dxa"/>
            <w:vAlign w:val="bottom"/>
            <w:gridSpan w:val="3"/>
            <w:shd w:val="clear" w:color="auto" w:fill="CFF0FC"/>
          </w:tcPr>
          <w:p>
            <w:pPr>
              <w:ind w:left="40"/>
              <w:spacing w:after="0" w:line="126" w:lineRule="exact"/>
              <w:rPr>
                <w:sz w:val="20"/>
                <w:szCs w:val="20"/>
                <w:color w:val="auto"/>
              </w:rPr>
            </w:pPr>
            <w:r>
              <w:rPr>
                <w:rFonts w:ascii="Arial" w:cs="Arial" w:eastAsia="Arial" w:hAnsi="Arial"/>
                <w:sz w:val="13"/>
                <w:szCs w:val="13"/>
                <w:color w:val="auto"/>
              </w:rPr>
              <w:t>Senior Secured Loan — Initial Term Loan</w:t>
            </w: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Aerospace and Defense</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rPr>
              <w:t>(14)</w:t>
            </w:r>
          </w:p>
        </w:tc>
        <w:tc>
          <w:tcPr>
            <w:tcW w:w="252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3"/>
                <w:szCs w:val="13"/>
                <w:color w:val="auto"/>
              </w:rPr>
              <w:t>6.0% Cash, 1 Month LIBOR(1.00%) +</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5.00%; LIBOR Floor 1.00% , Due 7/21</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1,116,176</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272,124</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272,124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Ravn Air Group, Inc.</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rPr>
              <w:t>(5)(8)(13)</w:t>
            </w:r>
          </w:p>
        </w:tc>
        <w:tc>
          <w:tcPr>
            <w:tcW w:w="2520" w:type="dxa"/>
            <w:vAlign w:val="bottom"/>
            <w:gridSpan w:val="3"/>
            <w:shd w:val="clear" w:color="auto" w:fill="CFF0FC"/>
          </w:tcPr>
          <w:p>
            <w:pPr>
              <w:ind w:left="40"/>
              <w:spacing w:after="0" w:line="126" w:lineRule="exact"/>
              <w:rPr>
                <w:sz w:val="20"/>
                <w:szCs w:val="20"/>
                <w:color w:val="auto"/>
              </w:rPr>
            </w:pPr>
            <w:r>
              <w:rPr>
                <w:rFonts w:ascii="Arial" w:cs="Arial" w:eastAsia="Arial" w:hAnsi="Arial"/>
                <w:sz w:val="13"/>
                <w:szCs w:val="13"/>
                <w:color w:val="auto"/>
                <w:w w:val="97"/>
              </w:rPr>
              <w:t>Senior Secured Loan — Roll-Up Term Loan</w:t>
            </w: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Aerospace and Defense</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rPr>
              <w:t>(14)</w:t>
            </w: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0.0% Cash, 11.3% PIK, Due 7/21</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4/7/2020</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678,039</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678,039</w:t>
            </w: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678,039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Ravn Air Group,</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w w:val="95"/>
              </w:rPr>
              <w:t>(8)(13)(14)</w:t>
            </w: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Senior Secured Loan — DIP Term Loan</w:t>
            </w: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FF0FC"/>
          </w:tcPr>
          <w:p>
            <w:pPr>
              <w:spacing w:after="0" w:line="81" w:lineRule="exact"/>
              <w:rPr>
                <w:sz w:val="20"/>
                <w:szCs w:val="20"/>
                <w:color w:val="auto"/>
              </w:rPr>
            </w:pPr>
            <w:r>
              <w:rPr>
                <w:rFonts w:ascii="Arial" w:cs="Arial" w:eastAsia="Arial" w:hAnsi="Arial"/>
                <w:sz w:val="9"/>
                <w:szCs w:val="9"/>
                <w:color w:val="auto"/>
              </w:rPr>
              <w:t>Inc.</w:t>
            </w:r>
          </w:p>
        </w:tc>
        <w:tc>
          <w:tcPr>
            <w:tcW w:w="1680" w:type="dxa"/>
            <w:vAlign w:val="bottom"/>
            <w:gridSpan w:val="2"/>
            <w:shd w:val="clear" w:color="auto" w:fill="CFF0FC"/>
          </w:tcPr>
          <w:p>
            <w:pPr>
              <w:ind w:left="100"/>
              <w:spacing w:after="0" w:line="81" w:lineRule="exact"/>
              <w:rPr>
                <w:sz w:val="20"/>
                <w:szCs w:val="20"/>
                <w:color w:val="auto"/>
              </w:rPr>
            </w:pPr>
            <w:r>
              <w:rPr>
                <w:rFonts w:ascii="Arial" w:cs="Arial" w:eastAsia="Arial" w:hAnsi="Arial"/>
                <w:sz w:val="9"/>
                <w:szCs w:val="9"/>
                <w:color w:val="auto"/>
              </w:rPr>
              <w:t>Aerospace and</w:t>
            </w:r>
          </w:p>
        </w:tc>
        <w:tc>
          <w:tcPr>
            <w:tcW w:w="2520" w:type="dxa"/>
            <w:vAlign w:val="bottom"/>
            <w:gridSpan w:val="3"/>
            <w:vMerge w:val="restart"/>
            <w:shd w:val="clear" w:color="auto" w:fill="CFF0FC"/>
          </w:tcPr>
          <w:p>
            <w:pPr>
              <w:ind w:left="40"/>
              <w:spacing w:after="0"/>
              <w:rPr>
                <w:sz w:val="20"/>
                <w:szCs w:val="20"/>
                <w:color w:val="auto"/>
              </w:rPr>
            </w:pPr>
            <w:r>
              <w:rPr>
                <w:rFonts w:ascii="Arial" w:cs="Arial" w:eastAsia="Arial" w:hAnsi="Arial"/>
                <w:sz w:val="13"/>
                <w:szCs w:val="13"/>
                <w:color w:val="auto"/>
              </w:rPr>
              <w:t>0.0% Cash, 11.3% PIK, Due 7/21</w:t>
            </w:r>
          </w:p>
        </w:tc>
        <w:tc>
          <w:tcPr>
            <w:tcW w:w="9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Defense</w:t>
            </w:r>
          </w:p>
        </w:tc>
        <w:tc>
          <w:tcPr>
            <w:tcW w:w="116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520" w:type="dxa"/>
            <w:vAlign w:val="bottom"/>
            <w:tcBorders>
              <w:bottom w:val="single" w:sz="8" w:color="CFF0FC"/>
            </w:tcBorders>
            <w:gridSpan w:val="3"/>
            <w:vMerge w:val="continue"/>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4/7/2020</w:t>
            </w:r>
          </w:p>
        </w:tc>
        <w:tc>
          <w:tcPr>
            <w:tcW w:w="1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335,819</w:t>
            </w:r>
          </w:p>
        </w:tc>
        <w:tc>
          <w:tcPr>
            <w:tcW w:w="2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325,745</w:t>
            </w:r>
          </w:p>
        </w:tc>
        <w:tc>
          <w:tcPr>
            <w:tcW w:w="2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335,819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Robertshaw US Holding Corp. (fka Fox US Bidco</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rPr>
              <w:t>(8)(13)</w:t>
            </w:r>
          </w:p>
        </w:tc>
        <w:tc>
          <w:tcPr>
            <w:tcW w:w="252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1680" w:type="dxa"/>
            <w:vAlign w:val="bottom"/>
            <w:gridSpan w:val="2"/>
            <w:shd w:val="clear" w:color="auto" w:fill="CFF0FC"/>
          </w:tcPr>
          <w:p>
            <w:pPr>
              <w:ind w:left="360"/>
              <w:spacing w:after="0" w:line="135" w:lineRule="exact"/>
              <w:rPr>
                <w:sz w:val="20"/>
                <w:szCs w:val="20"/>
                <w:color w:val="auto"/>
              </w:rPr>
            </w:pPr>
            <w:r>
              <w:rPr>
                <w:rFonts w:ascii="Arial" w:cs="Arial" w:eastAsia="Arial" w:hAnsi="Arial"/>
                <w:sz w:val="13"/>
                <w:szCs w:val="13"/>
                <w:color w:val="auto"/>
              </w:rPr>
              <w:t>Capital</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Equipment</w:t>
            </w: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9.0% Cash, 6 Month LIBOR(1.00%) +</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8.00%; LIBOR Floor 1.00% , Due 2/26</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2,978,725</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2,514,300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rPr>
              <w:t>(5)(8)(13)</w:t>
            </w:r>
          </w:p>
        </w:tc>
        <w:tc>
          <w:tcPr>
            <w:tcW w:w="252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6"/>
              </w:rPr>
              <w:t>Junior Secured Loan — Term Loan (Second</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6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Pharmaceuticals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13.3% Cash, Due 3/21</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6,700,000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6,685,924</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4,154,000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rPr>
              <w:t>(8)(14)</w:t>
            </w:r>
          </w:p>
        </w:tc>
        <w:tc>
          <w:tcPr>
            <w:tcW w:w="252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680" w:type="dxa"/>
            <w:vAlign w:val="bottom"/>
            <w:gridSpan w:val="2"/>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7.8% Cash, 6 Month LIBOR(1.00%) +</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6.75%; LIBOR Floor 1.00% , Due 2/26</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616,541</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585,200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San Vicente Capital</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w w:val="95"/>
              </w:rPr>
              <w:t>(8)(13)(14)</w:t>
            </w:r>
          </w:p>
        </w:tc>
        <w:tc>
          <w:tcPr>
            <w:tcW w:w="252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680" w:type="dxa"/>
            <w:vAlign w:val="bottom"/>
            <w:gridSpan w:val="2"/>
            <w:shd w:val="clear" w:color="auto" w:fill="CFF0FC"/>
          </w:tcPr>
          <w:p>
            <w:pPr>
              <w:ind w:left="140"/>
              <w:spacing w:after="0" w:line="135" w:lineRule="exact"/>
              <w:rPr>
                <w:sz w:val="20"/>
                <w:szCs w:val="20"/>
                <w:color w:val="auto"/>
              </w:rPr>
            </w:pPr>
            <w:r>
              <w:rPr>
                <w:rFonts w:ascii="Arial" w:cs="Arial" w:eastAsia="Arial" w:hAnsi="Arial"/>
                <w:sz w:val="13"/>
                <w:szCs w:val="13"/>
                <w:color w:val="auto"/>
              </w:rPr>
              <w:t>Telecommunication</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9.5% Cash, 3 Month LIBOR(1.50%) +</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8.00%; LIBOR Floor 1.50% , Due 6/25</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6/10/2020</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2,955,517</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w w:val="95"/>
              </w:rPr>
              <w:t>(8)(13)(14)</w:t>
            </w:r>
          </w:p>
        </w:tc>
        <w:tc>
          <w:tcPr>
            <w:tcW w:w="252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6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w:t>
            </w: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Pharmaceuticals</w:t>
            </w: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52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9.4% Cash, 3 Month LIBOR(1.11%) +</w:t>
            </w: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8.25%; LIBOR Floor 1.00% , Due 9/24</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5,963,704</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5,827,800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Smartronix,</w:t>
            </w:r>
          </w:p>
        </w:tc>
        <w:tc>
          <w:tcPr>
            <w:tcW w:w="1680" w:type="dxa"/>
            <w:vAlign w:val="bottom"/>
            <w:gridSpan w:val="2"/>
            <w:shd w:val="clear" w:color="auto" w:fill="CFF0FC"/>
          </w:tcPr>
          <w:p>
            <w:pPr>
              <w:ind w:left="1160"/>
              <w:spacing w:after="0"/>
              <w:rPr>
                <w:sz w:val="20"/>
                <w:szCs w:val="20"/>
                <w:color w:val="auto"/>
              </w:rPr>
            </w:pPr>
            <w:r>
              <w:rPr>
                <w:rFonts w:ascii="Arial" w:cs="Arial" w:eastAsia="Arial" w:hAnsi="Arial"/>
                <w:sz w:val="11"/>
                <w:szCs w:val="11"/>
                <w:color w:val="auto"/>
                <w:w w:val="95"/>
              </w:rPr>
              <w:t>(8)(13)(14)</w:t>
            </w:r>
          </w:p>
        </w:tc>
        <w:tc>
          <w:tcPr>
            <w:tcW w:w="2520" w:type="dxa"/>
            <w:vAlign w:val="bottom"/>
            <w:gridSpan w:val="3"/>
            <w:shd w:val="clear" w:color="auto" w:fill="CFF0FC"/>
          </w:tcPr>
          <w:p>
            <w:pPr>
              <w:ind w:left="40"/>
              <w:spacing w:after="0" w:line="126" w:lineRule="exact"/>
              <w:rPr>
                <w:sz w:val="20"/>
                <w:szCs w:val="20"/>
                <w:color w:val="auto"/>
              </w:rPr>
            </w:pPr>
            <w:r>
              <w:rPr>
                <w:rFonts w:ascii="Arial" w:cs="Arial" w:eastAsia="Arial" w:hAnsi="Arial"/>
                <w:sz w:val="13"/>
                <w:szCs w:val="13"/>
                <w:color w:val="auto"/>
              </w:rPr>
              <w:t>Senior Secured Loan — Initial Term Loan</w:t>
            </w: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w:t>
            </w:r>
          </w:p>
        </w:tc>
        <w:tc>
          <w:tcPr>
            <w:tcW w:w="1680" w:type="dxa"/>
            <w:vAlign w:val="bottom"/>
            <w:gridSpan w:val="2"/>
            <w:shd w:val="clear" w:color="auto" w:fill="CFF0FC"/>
          </w:tcPr>
          <w:p>
            <w:pPr>
              <w:ind w:left="100"/>
              <w:spacing w:after="0" w:line="143" w:lineRule="exact"/>
              <w:rPr>
                <w:sz w:val="20"/>
                <w:szCs w:val="20"/>
                <w:color w:val="auto"/>
              </w:rPr>
            </w:pPr>
            <w:r>
              <w:rPr>
                <w:rFonts w:ascii="Arial" w:cs="Arial" w:eastAsia="Arial" w:hAnsi="Arial"/>
                <w:sz w:val="10"/>
                <w:szCs w:val="10"/>
                <w:color w:val="auto"/>
              </w:rPr>
              <w:t xml:space="preserve">Services: Business  </w:t>
            </w:r>
            <w:r>
              <w:rPr>
                <w:rFonts w:ascii="Arial" w:cs="Arial" w:eastAsia="Arial" w:hAnsi="Arial"/>
                <w:sz w:val="16"/>
                <w:szCs w:val="16"/>
                <w:color w:val="auto"/>
                <w:vertAlign w:val="superscript"/>
              </w:rPr>
              <w:t>(23)</w:t>
            </w:r>
          </w:p>
        </w:tc>
        <w:tc>
          <w:tcPr>
            <w:tcW w:w="252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3"/>
                <w:szCs w:val="13"/>
                <w:color w:val="auto"/>
              </w:rPr>
              <w:t>7.5% Cash, 3 Month LIBOR(1.50%) +</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6.00%; LIBOR Floor 1.50% , Due 12/25</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5/1/2020</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4,987,469</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4,744,306</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4,781,985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4"/>
              </w:rPr>
              <w:t>Initial</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80" w:type="dxa"/>
            <w:vAlign w:val="bottom"/>
            <w:gridSpan w:val="2"/>
          </w:tcPr>
          <w:p>
            <w:pPr>
              <w:ind w:left="920"/>
              <w:spacing w:after="0" w:line="135" w:lineRule="exact"/>
              <w:rPr>
                <w:sz w:val="20"/>
                <w:szCs w:val="20"/>
                <w:color w:val="auto"/>
              </w:rPr>
            </w:pPr>
            <w:r>
              <w:rPr>
                <w:rFonts w:ascii="Arial" w:cs="Arial" w:eastAsia="Arial" w:hAnsi="Arial"/>
                <w:sz w:val="13"/>
                <w:szCs w:val="13"/>
                <w:b w:val="1"/>
                <w:bCs w:val="1"/>
                <w:color w:val="auto"/>
              </w:rPr>
              <w:t>Investment</w:t>
            </w:r>
          </w:p>
        </w:tc>
        <w:tc>
          <w:tcPr>
            <w:tcW w:w="122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gridSpan w:val="2"/>
          </w:tcPr>
          <w:p>
            <w:pPr>
              <w:ind w:left="5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Date</w:t>
            </w:r>
          </w:p>
        </w:tc>
        <w:tc>
          <w:tcPr>
            <w:tcW w:w="840" w:type="dxa"/>
            <w:vAlign w:val="bottom"/>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4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Syndigo</w:t>
            </w:r>
          </w:p>
        </w:tc>
        <w:tc>
          <w:tcPr>
            <w:tcW w:w="9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4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88"/>
              </w:rPr>
              <w:t>Senior Secured Loan — 2019 Incremental Term</w:t>
            </w: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Services:</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Business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6.6% Cash, 6 Month LIBOR(1.07%) + 5.50%;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10/24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7,877,543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7,745,264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7,587,650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w w:val="95"/>
              </w:rPr>
              <w:t>Automotive</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6.0% Cash, 3 Month LIBOR(1.00%) + 5.00%;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5/25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4,878,153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4,622,310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w:t>
            </w:r>
          </w:p>
        </w:tc>
        <w:tc>
          <w:tcPr>
            <w:tcW w:w="980" w:type="dxa"/>
            <w:vAlign w:val="bottom"/>
            <w:shd w:val="clear" w:color="auto" w:fill="CFF0FC"/>
          </w:tcPr>
          <w:p>
            <w:pPr>
              <w:spacing w:after="0"/>
              <w:rPr>
                <w:sz w:val="11"/>
                <w:szCs w:val="11"/>
                <w:color w:val="auto"/>
              </w:rPr>
            </w:pPr>
          </w:p>
        </w:tc>
        <w:tc>
          <w:tcPr>
            <w:tcW w:w="31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1"/>
                <w:szCs w:val="11"/>
                <w:color w:val="auto"/>
                <w:w w:val="98"/>
              </w:rPr>
              <w:t xml:space="preserve">(5)(8)(9)(13) </w:t>
            </w:r>
            <w:r>
              <w:rPr>
                <w:rFonts w:ascii="Arial" w:cs="Arial" w:eastAsia="Arial" w:hAnsi="Arial"/>
                <w:sz w:val="12"/>
                <w:szCs w:val="12"/>
                <w:color w:val="auto"/>
                <w:w w:val="98"/>
              </w:rPr>
              <w:t>Senior Unsecured Bond — 10.000% - 02/2022 -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w w:val="96"/>
              </w:rPr>
              <w:t>Energy: Oil</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TankConvert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&amp; Gas</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0.0% Cash, 10.0% PIK, Due 2/22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682,006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242,726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Teneo Holdings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(8)(14)(23)</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Initial Term Loan (First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Services:</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Business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6.3% Cash, 1 Month LIBOR(1.00%) + 5.25%;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1,914,178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1,852,350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1,825,648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w w:val="94"/>
              </w:rPr>
              <w:t>Textiles and</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Leather</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10.0% Cash, 1 Month LIBOR(1.00%)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9.00%; LIBOR Floor 1.00% , 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12,402,365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11,090,844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Senior Secured Loan — Delayed Draw Term</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w w:val="93"/>
              </w:rPr>
              <w:t>Healthcare,</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Education and Childcare</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6.5% Cash, 3 Month LIBOR(1.00%) + 5.50%;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6/24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748,523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747,136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698,971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TLE Holdings,</w:t>
            </w:r>
          </w:p>
        </w:tc>
        <w:tc>
          <w:tcPr>
            <w:tcW w:w="980" w:type="dxa"/>
            <w:vAlign w:val="bottom"/>
            <w:shd w:val="clear" w:color="auto" w:fill="CFF0FC"/>
          </w:tcPr>
          <w:p>
            <w:pPr>
              <w:spacing w:after="0"/>
              <w:rPr>
                <w:sz w:val="10"/>
                <w:szCs w:val="10"/>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43" w:lineRule="exact"/>
              <w:rPr>
                <w:sz w:val="20"/>
                <w:szCs w:val="20"/>
                <w:color w:val="auto"/>
              </w:rPr>
            </w:pPr>
            <w:r>
              <w:rPr>
                <w:rFonts w:ascii="Arial" w:cs="Arial" w:eastAsia="Arial" w:hAnsi="Arial"/>
                <w:sz w:val="13"/>
                <w:szCs w:val="13"/>
                <w:color w:val="auto"/>
                <w:w w:val="93"/>
              </w:rPr>
              <w:t>Healthcare,</w:t>
            </w: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(23)</w:t>
            </w:r>
          </w:p>
        </w:tc>
        <w:tc>
          <w:tcPr>
            <w:tcW w:w="258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7"/>
              </w:rPr>
              <w:t>6.5% Cash, 3 Month LIBOR(1.00%) + 5.50%;</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Education and Childcare</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6/24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5,660,035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5,639,039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5,285,340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TronAir Parent</w:t>
            </w:r>
          </w:p>
        </w:tc>
        <w:tc>
          <w:tcPr>
            <w:tcW w:w="980" w:type="dxa"/>
            <w:vAlign w:val="bottom"/>
            <w:shd w:val="clear" w:color="auto" w:fill="CFF0FC"/>
          </w:tcPr>
          <w:p>
            <w:pPr>
              <w:spacing w:after="0"/>
              <w:rPr>
                <w:sz w:val="10"/>
                <w:szCs w:val="10"/>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3"/>
              </w:rPr>
              <w:t>Senior Secured Loan — Initial Term Loan (First</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43" w:lineRule="exact"/>
              <w:rPr>
                <w:sz w:val="20"/>
                <w:szCs w:val="20"/>
                <w:color w:val="auto"/>
              </w:rPr>
            </w:pPr>
            <w:r>
              <w:rPr>
                <w:rFonts w:ascii="Arial" w:cs="Arial" w:eastAsia="Arial" w:hAnsi="Arial"/>
                <w:sz w:val="13"/>
                <w:szCs w:val="13"/>
                <w:color w:val="auto"/>
              </w:rPr>
              <w:t>Aerospace</w:t>
            </w: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(23)</w:t>
            </w:r>
          </w:p>
        </w:tc>
        <w:tc>
          <w:tcPr>
            <w:tcW w:w="258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Lien)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and Defense</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5.8% Cash, 3 Month LIBOR(1.00%)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972,222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970,860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885,694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Energy: Oil</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&amp; Gas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14.0% Cash, 3 Month LIBOR(1.00%)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13.00%; LIBOR Floor 1.00% , Due 5/20</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999,962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(5)(8)(13)</w:t>
            </w:r>
          </w:p>
        </w:tc>
        <w:tc>
          <w:tcPr>
            <w:tcW w:w="25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Junior Secured Loan — Promissory Note</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vMerge w:val="restart"/>
            <w:shd w:val="clear" w:color="auto" w:fill="CFF0FC"/>
          </w:tcPr>
          <w:p>
            <w:pPr>
              <w:ind w:left="300"/>
              <w:spacing w:after="0" w:line="135" w:lineRule="exact"/>
              <w:rPr>
                <w:sz w:val="20"/>
                <w:szCs w:val="20"/>
                <w:color w:val="auto"/>
              </w:rPr>
            </w:pPr>
            <w:r>
              <w:rPr>
                <w:rFonts w:ascii="Arial" w:cs="Arial" w:eastAsia="Arial" w:hAnsi="Arial"/>
                <w:sz w:val="13"/>
                <w:szCs w:val="13"/>
                <w:color w:val="auto"/>
              </w:rPr>
              <w:t>Energy: Oil</w:t>
            </w:r>
          </w:p>
        </w:tc>
        <w:tc>
          <w:tcPr>
            <w:tcW w:w="600" w:type="dxa"/>
            <w:vAlign w:val="bottom"/>
            <w:shd w:val="clear" w:color="auto" w:fill="CFF0FC"/>
          </w:tcPr>
          <w:p>
            <w:pPr>
              <w:spacing w:after="0"/>
              <w:rPr>
                <w:sz w:val="5"/>
                <w:szCs w:val="5"/>
                <w:color w:val="auto"/>
              </w:rPr>
            </w:pPr>
          </w:p>
        </w:tc>
        <w:tc>
          <w:tcPr>
            <w:tcW w:w="2580" w:type="dxa"/>
            <w:vAlign w:val="bottom"/>
            <w:gridSpan w:val="2"/>
            <w:vMerge w:val="continue"/>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vMerge w:val="continue"/>
            <w:shd w:val="clear" w:color="auto" w:fill="CFF0FC"/>
          </w:tcPr>
          <w:p>
            <w:pPr>
              <w:spacing w:after="0"/>
              <w:rPr>
                <w:sz w:val="5"/>
                <w:szCs w:val="5"/>
                <w:color w:val="auto"/>
              </w:rPr>
            </w:pPr>
          </w:p>
        </w:tc>
        <w:tc>
          <w:tcPr>
            <w:tcW w:w="98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5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0.0% Cash, 1.7% PIK, Due 1/25</w:t>
            </w: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42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&amp; Gas</w:t>
            </w:r>
          </w:p>
        </w:tc>
        <w:tc>
          <w:tcPr>
            <w:tcW w:w="98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spacing w:after="0"/>
              <w:rPr>
                <w:sz w:val="11"/>
                <w:szCs w:val="11"/>
                <w:color w:val="auto"/>
              </w:rPr>
            </w:pPr>
          </w:p>
        </w:tc>
        <w:tc>
          <w:tcPr>
            <w:tcW w:w="2580" w:type="dxa"/>
            <w:vAlign w:val="bottom"/>
            <w:tcBorders>
              <w:bottom w:val="single" w:sz="8" w:color="CFF0FC"/>
            </w:tcBorders>
            <w:gridSpan w:val="2"/>
            <w:vMerge w:val="continue"/>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1/24/2020</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71,013</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71,014</w:t>
            </w: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(8)(14)</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w:t>
            </w:r>
          </w:p>
        </w:tc>
        <w:tc>
          <w:tcPr>
            <w:tcW w:w="98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Chemicals,</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Plastics &amp; Rubber</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7.4% Cash, 1 Month LIBOR(0.18%) + 7.25%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3/26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350,200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372,668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Vertical Midco</w:t>
            </w:r>
          </w:p>
        </w:tc>
        <w:tc>
          <w:tcPr>
            <w:tcW w:w="980" w:type="dxa"/>
            <w:vAlign w:val="bottom"/>
            <w:vMerge w:val="restart"/>
            <w:shd w:val="clear" w:color="auto" w:fill="CFF0FC"/>
          </w:tcPr>
          <w:p>
            <w:pPr>
              <w:ind w:left="440"/>
              <w:spacing w:after="0"/>
              <w:rPr>
                <w:sz w:val="20"/>
                <w:szCs w:val="20"/>
                <w:color w:val="auto"/>
              </w:rPr>
            </w:pPr>
            <w:r>
              <w:rPr>
                <w:rFonts w:ascii="Arial" w:cs="Arial" w:eastAsia="Arial" w:hAnsi="Arial"/>
                <w:sz w:val="13"/>
                <w:szCs w:val="13"/>
                <w:color w:val="auto"/>
              </w:rPr>
              <w:t>Capital</w:t>
            </w: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(3)(13)(14)</w:t>
            </w: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Senior Secured Loan — Facility B (USD)</w:t>
            </w: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FF0FC"/>
          </w:tcPr>
          <w:p>
            <w:pPr>
              <w:spacing w:after="0" w:line="81" w:lineRule="exact"/>
              <w:rPr>
                <w:sz w:val="20"/>
                <w:szCs w:val="20"/>
                <w:color w:val="auto"/>
              </w:rPr>
            </w:pPr>
            <w:r>
              <w:rPr>
                <w:rFonts w:ascii="Arial" w:cs="Arial" w:eastAsia="Arial" w:hAnsi="Arial"/>
                <w:sz w:val="9"/>
                <w:szCs w:val="9"/>
                <w:color w:val="auto"/>
              </w:rPr>
              <w:t>GmbH</w:t>
            </w:r>
          </w:p>
        </w:tc>
        <w:tc>
          <w:tcPr>
            <w:tcW w:w="980" w:type="dxa"/>
            <w:vAlign w:val="bottom"/>
            <w:vMerge w:val="continue"/>
            <w:shd w:val="clear" w:color="auto" w:fill="CFF0FC"/>
          </w:tcPr>
          <w:p>
            <w:pPr>
              <w:spacing w:after="0"/>
              <w:rPr>
                <w:sz w:val="6"/>
                <w:szCs w:val="6"/>
                <w:color w:val="auto"/>
              </w:rPr>
            </w:pPr>
          </w:p>
        </w:tc>
        <w:tc>
          <w:tcPr>
            <w:tcW w:w="600" w:type="dxa"/>
            <w:vAlign w:val="bottom"/>
            <w:shd w:val="clear" w:color="auto" w:fill="CFF0FC"/>
          </w:tcPr>
          <w:p>
            <w:pPr>
              <w:ind w:left="20"/>
              <w:spacing w:after="0" w:line="81" w:lineRule="exact"/>
              <w:rPr>
                <w:sz w:val="20"/>
                <w:szCs w:val="20"/>
                <w:color w:val="auto"/>
              </w:rPr>
            </w:pPr>
            <w:r>
              <w:rPr>
                <w:rFonts w:ascii="Arial" w:cs="Arial" w:eastAsia="Arial" w:hAnsi="Arial"/>
                <w:sz w:val="9"/>
                <w:szCs w:val="9"/>
                <w:color w:val="auto"/>
              </w:rPr>
              <w:t>(23)</w:t>
            </w:r>
          </w:p>
        </w:tc>
        <w:tc>
          <w:tcPr>
            <w:tcW w:w="25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4.3% Cash, Due 6/27</w:t>
            </w:r>
          </w:p>
        </w:tc>
        <w:tc>
          <w:tcPr>
            <w:tcW w:w="9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42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Equipment</w:t>
            </w:r>
          </w:p>
        </w:tc>
        <w:tc>
          <w:tcPr>
            <w:tcW w:w="98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spacing w:after="0"/>
              <w:rPr>
                <w:sz w:val="11"/>
                <w:szCs w:val="11"/>
                <w:color w:val="auto"/>
              </w:rPr>
            </w:pPr>
          </w:p>
        </w:tc>
        <w:tc>
          <w:tcPr>
            <w:tcW w:w="2580" w:type="dxa"/>
            <w:vAlign w:val="bottom"/>
            <w:tcBorders>
              <w:bottom w:val="single" w:sz="8" w:color="CFF0FC"/>
            </w:tcBorders>
            <w:gridSpan w:val="2"/>
            <w:vMerge w:val="continue"/>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6/30/2020</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5,000,000</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4,900,000</w:t>
            </w: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4,900,000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8"/>
              </w:rPr>
              <w:t>Junior Secured Loan — Initial US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Consumer</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goods: Durable</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8.0% Cash, 1 Month LIBOR(1.00%) + 7.00%;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5/23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2,978,354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2,600,007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2,728,470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Capital</w:t>
            </w: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Equipment</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10.1% Cash, 6 Month LIBOR(1.07%)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9.00%; LIBOR Floor 1.00% ,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2,976,102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2,613,600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Wonder Love,</w:t>
            </w:r>
          </w:p>
        </w:tc>
        <w:tc>
          <w:tcPr>
            <w:tcW w:w="980" w:type="dxa"/>
            <w:vAlign w:val="bottom"/>
            <w:shd w:val="clear" w:color="auto" w:fill="CFF0FC"/>
          </w:tcPr>
          <w:p>
            <w:pPr>
              <w:spacing w:after="0"/>
              <w:rPr>
                <w:sz w:val="10"/>
                <w:szCs w:val="10"/>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43" w:lineRule="exact"/>
              <w:rPr>
                <w:sz w:val="20"/>
                <w:szCs w:val="20"/>
                <w:color w:val="auto"/>
              </w:rPr>
            </w:pPr>
            <w:r>
              <w:rPr>
                <w:rFonts w:ascii="Arial" w:cs="Arial" w:eastAsia="Arial" w:hAnsi="Arial"/>
                <w:sz w:val="13"/>
                <w:szCs w:val="13"/>
                <w:color w:val="auto"/>
              </w:rPr>
              <w:t>Media:</w:t>
            </w: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(23)</w:t>
            </w:r>
          </w:p>
        </w:tc>
        <w:tc>
          <w:tcPr>
            <w:tcW w:w="258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7"/>
              </w:rPr>
              <w:t>6.0% Cash, 3 Month LIBOR(1.00%) + 5.00%;</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Diversified &amp; Production</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11/24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2,831,250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2,781,657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2,632,779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Zest Acquisition</w:t>
            </w:r>
          </w:p>
        </w:tc>
        <w:tc>
          <w:tcPr>
            <w:tcW w:w="980" w:type="dxa"/>
            <w:vAlign w:val="bottom"/>
            <w:shd w:val="clear" w:color="auto" w:fill="CFF0FC"/>
          </w:tcPr>
          <w:p>
            <w:pPr>
              <w:spacing w:after="0"/>
              <w:rPr>
                <w:sz w:val="10"/>
                <w:szCs w:val="10"/>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(8)(13)(14)</w:t>
            </w:r>
          </w:p>
        </w:tc>
        <w:tc>
          <w:tcPr>
            <w:tcW w:w="258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Junior Secured Loan — Initial Term Loan</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Corp.</w:t>
            </w:r>
          </w:p>
        </w:tc>
        <w:tc>
          <w:tcPr>
            <w:tcW w:w="1580" w:type="dxa"/>
            <w:vAlign w:val="bottom"/>
            <w:gridSpan w:val="2"/>
            <w:shd w:val="clear" w:color="auto" w:fill="CFF0FC"/>
          </w:tcPr>
          <w:p>
            <w:pPr>
              <w:ind w:left="400"/>
              <w:spacing w:after="0" w:line="143" w:lineRule="exact"/>
              <w:rPr>
                <w:sz w:val="20"/>
                <w:szCs w:val="20"/>
                <w:color w:val="auto"/>
              </w:rPr>
            </w:pPr>
            <w:r>
              <w:rPr>
                <w:rFonts w:ascii="Arial" w:cs="Arial" w:eastAsia="Arial" w:hAnsi="Arial"/>
                <w:sz w:val="10"/>
                <w:szCs w:val="10"/>
                <w:color w:val="auto"/>
              </w:rPr>
              <w:t xml:space="preserve">Healthcare, </w:t>
            </w:r>
            <w:r>
              <w:rPr>
                <w:rFonts w:ascii="Arial" w:cs="Arial" w:eastAsia="Arial" w:hAnsi="Arial"/>
                <w:sz w:val="16"/>
                <w:szCs w:val="16"/>
                <w:color w:val="auto"/>
                <w:vertAlign w:val="superscript"/>
              </w:rPr>
              <w:t>(18)</w:t>
            </w:r>
          </w:p>
        </w:tc>
        <w:tc>
          <w:tcPr>
            <w:tcW w:w="258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(Second Lien)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Education and Childcare</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8.7% Cash, 6 Month LIBOR(1.16%) + 7.50%;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3/26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3,483,966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3,060,050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Debt Securities</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9"/>
              </w:rPr>
              <w:t>(173% of net asset value at fair value)</w:t>
            </w: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268,740,611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225,253,456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208,871,696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Equity Securities Portfolio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740" w:type="dxa"/>
            <w:vAlign w:val="bottom"/>
            <w:gridSpan w:val="3"/>
          </w:tcPr>
          <w:p>
            <w:pPr>
              <w:jc w:val="center"/>
              <w:ind w:right="520"/>
              <w:spacing w:after="0" w:line="135" w:lineRule="exact"/>
              <w:rPr>
                <w:sz w:val="20"/>
                <w:szCs w:val="20"/>
                <w:color w:val="auto"/>
              </w:rPr>
            </w:pPr>
            <w:r>
              <w:rPr>
                <w:rFonts w:ascii="Arial" w:cs="Arial" w:eastAsia="Arial" w:hAnsi="Arial"/>
                <w:sz w:val="13"/>
                <w:szCs w:val="13"/>
                <w:b w:val="1"/>
                <w:bCs w:val="1"/>
                <w:color w:val="auto"/>
                <w:w w:val="82"/>
              </w:rPr>
              <w:t>Percentage</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080" w:type="dxa"/>
            <w:vAlign w:val="bottom"/>
            <w:gridSpan w:val="2"/>
          </w:tcPr>
          <w:p>
            <w:pPr>
              <w:ind w:left="6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74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5"/>
              </w:rPr>
              <w:t>Ownership/Shares</w:t>
            </w:r>
          </w:p>
        </w:tc>
        <w:tc>
          <w:tcPr>
            <w:tcW w:w="120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3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4L Technologies Inc.</w:t>
            </w:r>
            <w:r>
              <w:rPr>
                <w:rFonts w:ascii="Arial" w:cs="Arial" w:eastAsia="Arial" w:hAnsi="Arial"/>
                <w:sz w:val="10"/>
                <w:szCs w:val="10"/>
                <w:color w:val="auto"/>
              </w:rPr>
              <w:t>(8)(13)(19)</w:t>
            </w:r>
          </w:p>
        </w:tc>
        <w:tc>
          <w:tcPr>
            <w:tcW w:w="140" w:type="dxa"/>
            <w:vAlign w:val="bottom"/>
            <w:tcBorders>
              <w:top w:val="single" w:sz="8" w:color="CFF0FC"/>
            </w:tcBorders>
            <w:shd w:val="clear" w:color="auto" w:fill="CFF0FC"/>
          </w:tcPr>
          <w:p>
            <w:pPr>
              <w:spacing w:after="0"/>
              <w:rPr>
                <w:sz w:val="11"/>
                <w:szCs w:val="11"/>
                <w:color w:val="auto"/>
              </w:rPr>
            </w:pPr>
          </w:p>
        </w:tc>
        <w:tc>
          <w:tcPr>
            <w:tcW w:w="19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Common</w:t>
            </w:r>
          </w:p>
        </w:tc>
        <w:tc>
          <w:tcPr>
            <w:tcW w:w="140" w:type="dxa"/>
            <w:vAlign w:val="bottom"/>
            <w:tcBorders>
              <w:top w:val="single" w:sz="8" w:color="CFF0FC"/>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0.00%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29,275</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(8)(13)(23)(24)</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Preferred Units; 18% PIK;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 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2.99%</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1.90%</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Interests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Banking, Finance, Insurance &amp; Real Estate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0.51%</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A,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77,928</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B,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Common Stock, 9/29</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 Term Royalty Interest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2,567,562</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2,182,423</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Carestream Health Inc. </w:t>
            </w:r>
            <w:r>
              <w:rPr>
                <w:rFonts w:ascii="Arial" w:cs="Arial" w:eastAsia="Arial" w:hAnsi="Arial"/>
                <w:sz w:val="10"/>
                <w:szCs w:val="10"/>
                <w:color w:val="auto"/>
              </w:rPr>
              <w:t>(8)(12)(19)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0.00%</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EJF Investments Ltd.</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Preferred Equity, 0%; 6/25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6/17/2020</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3.00%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1,256,550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1,264,800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Shares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0.21%</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478,500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 LLC)</w:t>
            </w:r>
            <w:r>
              <w:rPr>
                <w:rFonts w:ascii="Arial" w:cs="Arial" w:eastAsia="Arial" w:hAnsi="Arial"/>
                <w:sz w:val="10"/>
                <w:szCs w:val="10"/>
                <w:color w:val="auto"/>
              </w:rPr>
              <w:t>(8)(13)(19)</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1,953,300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(8)(19)(21)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20.8%</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(8)(9)(13)(16)(19)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48.5%</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 Stock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420,289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(8% of net asset value at fair value)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21,760,483</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9,537,926</w:t>
            </w:r>
          </w:p>
        </w:tc>
        <w:tc>
          <w:tcPr>
            <w:tcW w:w="100" w:type="dxa"/>
            <w:vAlign w:val="bottom"/>
            <w:shd w:val="clear" w:color="auto" w:fill="CFF0FC"/>
          </w:tcPr>
          <w:p>
            <w:pPr>
              <w:spacing w:after="0"/>
              <w:rPr>
                <w:sz w:val="13"/>
                <w:szCs w:val="13"/>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Percentage</w:t>
            </w: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Portfolio Company</w:t>
            </w:r>
          </w:p>
        </w:tc>
        <w:tc>
          <w:tcPr>
            <w:tcW w:w="140" w:type="dxa"/>
            <w:vAlign w:val="bottom"/>
          </w:tcPr>
          <w:p>
            <w:pPr>
              <w:spacing w:after="0"/>
              <w:rPr>
                <w:sz w:val="12"/>
                <w:szCs w:val="12"/>
                <w:color w:val="auto"/>
              </w:rPr>
            </w:pPr>
          </w:p>
        </w:tc>
        <w:tc>
          <w:tcPr>
            <w:tcW w:w="306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15,11</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2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rPr>
              <w:t>Ownership</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37"/>
        </w:trPr>
        <w:tc>
          <w:tcPr>
            <w:tcW w:w="282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(3)(6)(13)(18)(22)</w:t>
            </w:r>
          </w:p>
        </w:tc>
        <w:tc>
          <w:tcPr>
            <w:tcW w:w="140" w:type="dxa"/>
            <w:vAlign w:val="bottom"/>
            <w:tcBorders>
              <w:top w:val="single" w:sz="8" w:color="CFF0FC"/>
            </w:tcBorders>
            <w:shd w:val="clear" w:color="auto" w:fill="CFF0FC"/>
          </w:tcPr>
          <w:p>
            <w:pPr>
              <w:spacing w:after="0"/>
              <w:rPr>
                <w:sz w:val="11"/>
                <w:szCs w:val="11"/>
                <w:color w:val="auto"/>
              </w:rPr>
            </w:pPr>
          </w:p>
        </w:tc>
        <w:tc>
          <w:tcPr>
            <w:tcW w:w="292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w w:val="97"/>
              </w:rPr>
              <w:t>Subordinated Securities, effective interest 7.5%,</w:t>
            </w:r>
          </w:p>
        </w:tc>
        <w:tc>
          <w:tcPr>
            <w:tcW w:w="14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1/28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6,026,908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1,534,148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(3)(6)(13)(18)(22)</w:t>
            </w:r>
          </w:p>
        </w:tc>
        <w:tc>
          <w:tcPr>
            <w:tcW w:w="320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6.6%,</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3200" w:type="dxa"/>
            <w:vAlign w:val="bottom"/>
            <w:gridSpan w:val="3"/>
          </w:tcPr>
          <w:p>
            <w:pPr>
              <w:ind w:left="140"/>
              <w:spacing w:after="0"/>
              <w:rPr>
                <w:sz w:val="20"/>
                <w:szCs w:val="20"/>
                <w:color w:val="auto"/>
              </w:rPr>
            </w:pPr>
            <w:r>
              <w:rPr>
                <w:rFonts w:ascii="Arial" w:cs="Arial" w:eastAsia="Arial" w:hAnsi="Arial"/>
                <w:sz w:val="14"/>
                <w:szCs w:val="14"/>
                <w:color w:val="auto"/>
              </w:rPr>
              <w:t>4/30 maturity</w:t>
            </w:r>
          </w:p>
        </w:tc>
        <w:tc>
          <w:tcPr>
            <w:tcW w:w="1140" w:type="dxa"/>
            <w:vAlign w:val="bottom"/>
          </w:tcPr>
          <w:p>
            <w:pPr>
              <w:jc w:val="right"/>
              <w:spacing w:after="0"/>
              <w:rPr>
                <w:sz w:val="20"/>
                <w:szCs w:val="20"/>
                <w:color w:val="auto"/>
              </w:rPr>
            </w:pPr>
            <w:r>
              <w:rPr>
                <w:rFonts w:ascii="Arial" w:cs="Arial" w:eastAsia="Arial" w:hAnsi="Arial"/>
                <w:sz w:val="14"/>
                <w:szCs w:val="14"/>
                <w:color w:val="auto"/>
              </w:rPr>
              <w:t>5/6/2014</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10,013,294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3,163,259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320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w w:val="99"/>
              </w:rPr>
              <w:t>Subordinated Securities, effective interest 23.5%,</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11/28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1,479,856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1,089,075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2"/>
                <w:szCs w:val="12"/>
                <w:color w:val="auto"/>
              </w:rPr>
              <w:t>(3)(6)(13)(18)(22)</w:t>
            </w:r>
          </w:p>
        </w:tc>
        <w:tc>
          <w:tcPr>
            <w:tcW w:w="320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0.0%,</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3200" w:type="dxa"/>
            <w:vAlign w:val="bottom"/>
            <w:gridSpan w:val="3"/>
          </w:tcPr>
          <w:p>
            <w:pPr>
              <w:ind w:left="140"/>
              <w:spacing w:after="0"/>
              <w:rPr>
                <w:sz w:val="20"/>
                <w:szCs w:val="20"/>
                <w:color w:val="auto"/>
              </w:rPr>
            </w:pPr>
            <w:r>
              <w:rPr>
                <w:rFonts w:ascii="Arial" w:cs="Arial" w:eastAsia="Arial" w:hAnsi="Arial"/>
                <w:sz w:val="14"/>
                <w:szCs w:val="14"/>
                <w:color w:val="auto"/>
              </w:rPr>
              <w:t>10/26 maturity</w:t>
            </w:r>
          </w:p>
        </w:tc>
        <w:tc>
          <w:tcPr>
            <w:tcW w:w="1140" w:type="dxa"/>
            <w:vAlign w:val="bottom"/>
          </w:tcPr>
          <w:p>
            <w:pPr>
              <w:jc w:val="right"/>
              <w:spacing w:after="0"/>
              <w:rPr>
                <w:sz w:val="20"/>
                <w:szCs w:val="20"/>
                <w:color w:val="auto"/>
              </w:rPr>
            </w:pPr>
            <w:r>
              <w:rPr>
                <w:rFonts w:ascii="Arial" w:cs="Arial" w:eastAsia="Arial" w:hAnsi="Arial"/>
                <w:sz w:val="14"/>
                <w:szCs w:val="14"/>
                <w:color w:val="auto"/>
              </w:rPr>
              <w:t>8/15/2014</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6,065,598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2"/>
                <w:szCs w:val="12"/>
                <w:color w:val="auto"/>
              </w:rPr>
              <w:t>(3)(6)(13)(18)(22)</w:t>
            </w:r>
          </w:p>
        </w:tc>
        <w:tc>
          <w:tcPr>
            <w:tcW w:w="320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7.1%,</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4/27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4,100,213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935,433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2"/>
                <w:szCs w:val="12"/>
                <w:color w:val="auto"/>
              </w:rPr>
              <w:t>(3)(6)(13)(18)</w:t>
            </w:r>
          </w:p>
        </w:tc>
        <w:tc>
          <w:tcPr>
            <w:tcW w:w="320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3200" w:type="dxa"/>
            <w:vAlign w:val="bottom"/>
            <w:gridSpan w:val="3"/>
          </w:tcPr>
          <w:p>
            <w:pPr>
              <w:ind w:left="140"/>
              <w:spacing w:after="0"/>
              <w:rPr>
                <w:sz w:val="20"/>
                <w:szCs w:val="20"/>
                <w:color w:val="auto"/>
              </w:rPr>
            </w:pPr>
            <w:r>
              <w:rPr>
                <w:rFonts w:ascii="Arial" w:cs="Arial" w:eastAsia="Arial" w:hAnsi="Arial"/>
                <w:sz w:val="14"/>
                <w:szCs w:val="14"/>
                <w:color w:val="auto"/>
              </w:rPr>
              <w:t>1/29 maturity</w:t>
            </w:r>
          </w:p>
        </w:tc>
        <w:tc>
          <w:tcPr>
            <w:tcW w:w="1140" w:type="dxa"/>
            <w:vAlign w:val="bottom"/>
          </w:tcPr>
          <w:p>
            <w:pPr>
              <w:jc w:val="right"/>
              <w:spacing w:after="0"/>
              <w:rPr>
                <w:sz w:val="20"/>
                <w:szCs w:val="20"/>
                <w:color w:val="auto"/>
              </w:rPr>
            </w:pPr>
            <w:r>
              <w:rPr>
                <w:rFonts w:ascii="Arial" w:cs="Arial" w:eastAsia="Arial" w:hAnsi="Arial"/>
                <w:sz w:val="14"/>
                <w:szCs w:val="14"/>
                <w:color w:val="auto"/>
              </w:rPr>
              <w:t>12/21/2016</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9,057,996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3,092,193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2"/>
                <w:szCs w:val="12"/>
                <w:color w:val="auto"/>
              </w:rPr>
              <w:t>(3)(6)(13)(18)</w:t>
            </w:r>
          </w:p>
        </w:tc>
        <w:tc>
          <w:tcPr>
            <w:tcW w:w="320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w w:val="99"/>
              </w:rPr>
              <w:t>Subordinated Securities, effective interest 12.7%,</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10/31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9/27/2018</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9,395,013</w:t>
            </w: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7,077,500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Total Investment in CLO Fund</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Securities (14% of net asset</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value at fair value)</w:t>
            </w:r>
          </w:p>
        </w:tc>
        <w:tc>
          <w:tcPr>
            <w:tcW w:w="140" w:type="dxa"/>
            <w:vAlign w:val="bottom"/>
            <w:shd w:val="clear" w:color="auto" w:fill="CFF0FC"/>
          </w:tcPr>
          <w:p>
            <w:pPr>
              <w:spacing w:after="0"/>
              <w:rPr>
                <w:sz w:val="14"/>
                <w:szCs w:val="14"/>
                <w:color w:val="auto"/>
              </w:rPr>
            </w:pPr>
          </w:p>
        </w:tc>
        <w:tc>
          <w:tcPr>
            <w:tcW w:w="2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46,138,878</w:t>
            </w: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16,891,608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Manager Affiliates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Ownership</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12/11/2006</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Affiliates (0% of net asset value at fair value)</w:t>
            </w:r>
          </w:p>
        </w:tc>
        <w:tc>
          <w:tcPr>
            <w:tcW w:w="140" w:type="dxa"/>
            <w:vAlign w:val="bottom"/>
            <w:shd w:val="clear" w:color="auto" w:fill="CFF0FC"/>
          </w:tcPr>
          <w:p>
            <w:pPr>
              <w:spacing w:after="0"/>
              <w:rPr>
                <w:sz w:val="13"/>
                <w:szCs w:val="13"/>
                <w:color w:val="auto"/>
              </w:rPr>
            </w:pPr>
          </w:p>
        </w:tc>
        <w:tc>
          <w:tcPr>
            <w:tcW w:w="3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Derivatives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Pr>
          <w:p>
            <w:pPr>
              <w:spacing w:after="0"/>
              <w:rPr>
                <w:sz w:val="13"/>
                <w:szCs w:val="13"/>
                <w:color w:val="auto"/>
              </w:rPr>
            </w:pPr>
          </w:p>
        </w:tc>
        <w:tc>
          <w:tcPr>
            <w:tcW w:w="3200" w:type="dxa"/>
            <w:vAlign w:val="bottom"/>
            <w:gridSpan w:val="2"/>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8"/>
        </w:trPr>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(13)(23)(24)</w:t>
            </w:r>
          </w:p>
        </w:tc>
        <w:tc>
          <w:tcPr>
            <w:tcW w:w="140" w:type="dxa"/>
            <w:vAlign w:val="bottom"/>
            <w:tcBorders>
              <w:top w:val="single" w:sz="8" w:color="CFF0FC"/>
            </w:tcBorders>
            <w:shd w:val="clear" w:color="auto" w:fill="CFF0FC"/>
          </w:tcPr>
          <w:p>
            <w:pPr>
              <w:spacing w:after="0"/>
              <w:rPr>
                <w:sz w:val="11"/>
                <w:szCs w:val="11"/>
                <w:color w:val="auto"/>
              </w:rPr>
            </w:pPr>
          </w:p>
        </w:tc>
        <w:tc>
          <w:tcPr>
            <w:tcW w:w="3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Banking, Finance, Insurance &amp; Real Estate</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9/30/2019</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(625,695)</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(13)(23)(24)</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54,276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5"/>
              </w:rPr>
              <w:t>Total Derivatives (0% of net asset value at fair value)</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(571,419)</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Joint Ventures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Ownership</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7/19/2017</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16,686,000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Limited Partnership</w:t>
            </w:r>
          </w:p>
        </w:tc>
        <w:tc>
          <w:tcPr>
            <w:tcW w:w="334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Joint Venture</w:t>
            </w:r>
          </w:p>
        </w:tc>
        <w:tc>
          <w:tcPr>
            <w:tcW w:w="11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3"/>
                <w:szCs w:val="13"/>
                <w:color w:val="auto"/>
              </w:rPr>
              <w:t>12/11/2018</w:t>
            </w:r>
          </w:p>
        </w:tc>
        <w:tc>
          <w:tcPr>
            <w:tcW w:w="1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28,318,065</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27,239,633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line="131"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(36% of net asset value at fair value)</w:t>
            </w: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53,232,923</w:t>
            </w:r>
          </w:p>
        </w:tc>
        <w:tc>
          <w:tcPr>
            <w:tcW w:w="36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43,925,633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31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Par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9"/>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Short-term Investments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280" w:type="dxa"/>
            <w:vAlign w:val="bottom"/>
            <w:tcBorders>
              <w:bottom w:val="single" w:sz="8" w:color="CF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10"/>
                <w:szCs w:val="10"/>
                <w:b w:val="1"/>
                <w:bCs w:val="1"/>
                <w:color w:val="auto"/>
                <w:w w:val="91"/>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Arial" w:cs="Arial" w:eastAsia="Arial" w:hAnsi="Arial"/>
                <w:sz w:val="13"/>
                <w:szCs w:val="13"/>
                <w:color w:val="auto"/>
              </w:rPr>
              <w:t>US Bank Money Market Account</w:t>
            </w:r>
            <w:r>
              <w:rPr>
                <w:rFonts w:ascii="Arial" w:cs="Arial" w:eastAsia="Arial" w:hAnsi="Arial"/>
                <w:sz w:val="10"/>
                <w:szCs w:val="10"/>
                <w:color w:val="auto"/>
              </w:rPr>
              <w:t>(7)(8)</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Money Market Account</w:t>
            </w:r>
          </w:p>
        </w:tc>
        <w:tc>
          <w:tcPr>
            <w:tcW w:w="1240" w:type="dxa"/>
            <w:vAlign w:val="bottom"/>
            <w:gridSpan w:val="4"/>
            <w:shd w:val="clear" w:color="auto" w:fill="CFF0FC"/>
          </w:tcPr>
          <w:p>
            <w:pPr>
              <w:ind w:left="860"/>
              <w:spacing w:after="0"/>
              <w:rPr>
                <w:sz w:val="20"/>
                <w:szCs w:val="20"/>
                <w:color w:val="auto"/>
              </w:rPr>
            </w:pPr>
            <w:r>
              <w:rPr>
                <w:rFonts w:ascii="Arial" w:cs="Arial" w:eastAsia="Arial" w:hAnsi="Arial"/>
                <w:sz w:val="13"/>
                <w:szCs w:val="13"/>
                <w:color w:val="auto"/>
              </w:rPr>
              <w:t>N/A</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0.45%</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2,067,817</w:t>
            </w:r>
          </w:p>
        </w:tc>
        <w:tc>
          <w:tcPr>
            <w:tcW w:w="360" w:type="dxa"/>
            <w:vAlign w:val="bottom"/>
            <w:gridSpan w:val="3"/>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2,067,817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3"/>
                <w:szCs w:val="13"/>
                <w:b w:val="1"/>
                <w:bCs w:val="1"/>
                <w:color w:val="auto"/>
              </w:rPr>
              <w:t>Total Short-term Investments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(2% of net asset value at fair value)</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2,067,817</w:t>
            </w:r>
          </w:p>
        </w:tc>
        <w:tc>
          <w:tcPr>
            <w:tcW w:w="36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2,067,817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0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366,275,396</w:t>
            </w:r>
          </w:p>
        </w:tc>
        <w:tc>
          <w:tcPr>
            <w:tcW w:w="36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280,723,261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ind w:left="380" w:right="100" w:hanging="372"/>
        <w:spacing w:after="0" w:line="303"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4"/>
          <w:szCs w:val="14"/>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June 30, 2020 loan. For each such loan, the Company has provided the weighted average</w:t>
      </w:r>
    </w:p>
    <w:p>
      <w:pPr>
        <w:spacing w:after="0" w:line="2" w:lineRule="exact"/>
        <w:rPr>
          <w:sz w:val="20"/>
          <w:szCs w:val="20"/>
          <w:color w:val="auto"/>
        </w:rPr>
      </w:pPr>
    </w:p>
    <w:p>
      <w:pPr>
        <w:ind w:left="380" w:right="120"/>
        <w:spacing w:after="0" w:line="264" w:lineRule="auto"/>
        <w:rPr>
          <w:sz w:val="20"/>
          <w:szCs w:val="20"/>
          <w:color w:val="auto"/>
        </w:rPr>
      </w:pPr>
      <w:r>
        <w:rPr>
          <w:rFonts w:ascii="Arial" w:cs="Arial" w:eastAsia="Arial" w:hAnsi="Arial"/>
          <w:sz w:val="16"/>
          <w:szCs w:val="16"/>
          <w:color w:val="auto"/>
        </w:rPr>
        <w:t>annual stated interest rate in effect at June 30, 2020. As noted in the table above, 64% (based on par) of debt securities contain floors which range between 1.00% and 1.50%.</w:t>
      </w:r>
    </w:p>
    <w:p>
      <w:pPr>
        <w:ind w:left="380" w:hanging="37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6"/>
          <w:szCs w:val="16"/>
          <w:color w:val="auto"/>
        </w:rPr>
        <w:t>Reflects the fair market value of all investments as of June 30, 2020 as determined by the Company’s Board of Directors.</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28" w:lineRule="exact"/>
        <w:rPr>
          <w:rFonts w:ascii="Arial" w:cs="Arial" w:eastAsia="Arial" w:hAnsi="Arial"/>
          <w:sz w:val="17"/>
          <w:szCs w:val="17"/>
          <w:color w:val="auto"/>
        </w:rPr>
      </w:pPr>
    </w:p>
    <w:p>
      <w:pPr>
        <w:ind w:left="380" w:right="180" w:hanging="364"/>
        <w:spacing w:after="0" w:line="281" w:lineRule="auto"/>
        <w:rPr>
          <w:rFonts w:ascii="Arial" w:cs="Arial" w:eastAsia="Arial" w:hAnsi="Arial"/>
          <w:sz w:val="17"/>
          <w:szCs w:val="17"/>
          <w:color w:val="auto"/>
        </w:rPr>
      </w:pPr>
      <w:r>
        <w:rPr>
          <w:rFonts w:ascii="Arial" w:cs="Arial" w:eastAsia="Arial" w:hAnsi="Arial"/>
          <w:sz w:val="15"/>
          <w:szCs w:val="15"/>
          <w:color w:val="auto"/>
        </w:rPr>
        <w:t>4The aggregate cost of investments for federal income tax purposes is approximately $366 million. The aggregate gross unrealized appreciation is approximately $3.5 million, the aggregate gross unrealized depreciation is approximately $89.1 million, and the net unrealized depreciation is approximately $85.6 million.</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5</w:t>
      </w:r>
      <w:r>
        <w:rPr>
          <w:rFonts w:ascii="Arial" w:cs="Arial" w:eastAsia="Arial" w:hAnsi="Arial"/>
          <w:sz w:val="14"/>
          <w:szCs w:val="14"/>
          <w:color w:val="auto"/>
        </w:rPr>
        <w:t>Loan or debt security is on non-accrual status and therefore is considered non-income producing.</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6A CLO Fund managed by an affiliate of LibreMax.</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6"/>
          <w:szCs w:val="16"/>
          <w:color w:val="auto"/>
        </w:rPr>
        <w:t>Money market account.</w:t>
      </w:r>
    </w:p>
    <w:p>
      <w:pPr>
        <w:spacing w:after="0" w:line="9" w:lineRule="exact"/>
        <w:rPr>
          <w:rFonts w:ascii="Arial" w:cs="Arial" w:eastAsia="Arial" w:hAnsi="Arial"/>
          <w:sz w:val="17"/>
          <w:szCs w:val="17"/>
          <w:color w:val="auto"/>
        </w:rPr>
      </w:pPr>
    </w:p>
    <w:p>
      <w:pPr>
        <w:ind w:left="380" w:right="100" w:hanging="364"/>
        <w:spacing w:after="0" w:line="262" w:lineRule="auto"/>
        <w:rPr>
          <w:rFonts w:ascii="Arial" w:cs="Arial" w:eastAsia="Arial" w:hAnsi="Arial"/>
          <w:sz w:val="17"/>
          <w:szCs w:val="17"/>
          <w:color w:val="auto"/>
        </w:rPr>
      </w:pPr>
      <w:r>
        <w:rPr>
          <w:rFonts w:ascii="Arial" w:cs="Arial" w:eastAsia="Arial" w:hAnsi="Arial"/>
          <w:sz w:val="15"/>
          <w:szCs w:val="15"/>
          <w:color w:val="auto"/>
        </w:rPr>
        <w:t>8</w:t>
      </w:r>
      <w:r>
        <w:rPr>
          <w:rFonts w:ascii="Arial" w:cs="Arial" w:eastAsia="Arial" w:hAnsi="Arial"/>
          <w:sz w:val="16"/>
          <w:szCs w:val="16"/>
          <w:color w:val="auto"/>
        </w:rPr>
        <w:t>Qualified asset for purposes of section 55(a) of the Investment Company Act of 1940, as amended (the “1940 Act”). Qualifying assets represent approximately 77.7% of the total assets at June 30, 2020.</w:t>
      </w:r>
    </w:p>
    <w:p>
      <w:pPr>
        <w:spacing w:after="0" w:line="1" w:lineRule="exact"/>
        <w:rPr>
          <w:rFonts w:ascii="Arial" w:cs="Arial" w:eastAsia="Arial" w:hAnsi="Arial"/>
          <w:sz w:val="17"/>
          <w:szCs w:val="17"/>
          <w:color w:val="auto"/>
        </w:rPr>
      </w:pPr>
    </w:p>
    <w:p>
      <w:pPr>
        <w:ind w:left="380" w:right="180" w:hanging="364"/>
        <w:spacing w:after="0" w:line="301" w:lineRule="auto"/>
        <w:rPr>
          <w:rFonts w:ascii="Arial" w:cs="Arial" w:eastAsia="Arial" w:hAnsi="Arial"/>
          <w:sz w:val="17"/>
          <w:szCs w:val="17"/>
          <w:color w:val="auto"/>
        </w:rPr>
      </w:pPr>
      <w:r>
        <w:rPr>
          <w:rFonts w:ascii="Arial" w:cs="Arial" w:eastAsia="Arial" w:hAnsi="Arial"/>
          <w:sz w:val="15"/>
          <w:szCs w:val="15"/>
          <w:color w:val="auto"/>
        </w:rPr>
        <w:t>9</w:t>
      </w: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10   </w:t>
      </w:r>
      <w:r>
        <w:rPr>
          <w:rFonts w:ascii="Arial" w:cs="Arial" w:eastAsia="Arial" w:hAnsi="Arial"/>
          <w:sz w:val="16"/>
          <w:szCs w:val="16"/>
          <w:color w:val="auto"/>
        </w:rPr>
        <w:t>Non-voting.</w:t>
      </w:r>
    </w:p>
    <w:p>
      <w:pPr>
        <w:spacing w:after="0" w:line="18" w:lineRule="exact"/>
        <w:rPr>
          <w:rFonts w:ascii="Arial" w:cs="Arial" w:eastAsia="Arial" w:hAnsi="Arial"/>
          <w:sz w:val="17"/>
          <w:szCs w:val="17"/>
          <w:color w:val="auto"/>
        </w:rPr>
      </w:pPr>
    </w:p>
    <w:p>
      <w:pPr>
        <w:ind w:left="380" w:right="140" w:hanging="364"/>
        <w:spacing w:after="0" w:line="301" w:lineRule="auto"/>
        <w:rPr>
          <w:rFonts w:ascii="Arial" w:cs="Arial" w:eastAsia="Arial" w:hAnsi="Arial"/>
          <w:sz w:val="17"/>
          <w:szCs w:val="17"/>
          <w:color w:val="auto"/>
        </w:rPr>
      </w:pPr>
      <w:r>
        <w:rPr>
          <w:rFonts w:ascii="Arial" w:cs="Arial" w:eastAsia="Arial" w:hAnsi="Arial"/>
          <w:sz w:val="13"/>
          <w:szCs w:val="13"/>
          <w:color w:val="auto"/>
        </w:rPr>
        <w:t xml:space="preserve">11 </w:t>
      </w:r>
      <w:r>
        <w:rPr>
          <w:rFonts w:ascii="Arial" w:cs="Arial" w:eastAsia="Arial" w:hAnsi="Arial"/>
          <w:sz w:val="14"/>
          <w:szCs w:val="14"/>
          <w:color w:val="auto"/>
        </w:rPr>
        <w:t>CLO Subordinated Investments are entitled to periodic distributions which are generally equal to the remaining cash flow of the payments made by the underlying</w:t>
      </w:r>
      <w:r>
        <w:rPr>
          <w:rFonts w:ascii="Arial" w:cs="Arial" w:eastAsia="Arial" w:hAnsi="Arial"/>
          <w:sz w:val="13"/>
          <w:szCs w:val="13"/>
          <w:color w:val="auto"/>
        </w:rPr>
        <w:t xml:space="preserve"> </w:t>
      </w:r>
      <w:r>
        <w:rPr>
          <w:rFonts w:ascii="Arial" w:cs="Arial" w:eastAsia="Arial" w:hAnsi="Arial"/>
          <w:sz w:val="14"/>
          <w:szCs w:val="14"/>
          <w:color w:val="auto"/>
        </w:rPr>
        <w:t>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7"/>
          <w:szCs w:val="17"/>
          <w:color w:val="auto"/>
        </w:rPr>
      </w:pPr>
    </w:p>
    <w:p>
      <w:pPr>
        <w:ind w:left="380" w:right="60" w:hanging="364"/>
        <w:spacing w:after="0" w:line="264" w:lineRule="auto"/>
        <w:rPr>
          <w:rFonts w:ascii="Arial" w:cs="Arial" w:eastAsia="Arial" w:hAnsi="Arial"/>
          <w:sz w:val="17"/>
          <w:szCs w:val="17"/>
          <w:color w:val="auto"/>
        </w:rPr>
      </w:pPr>
      <w:r>
        <w:rPr>
          <w:rFonts w:ascii="Arial" w:cs="Arial" w:eastAsia="Arial" w:hAnsi="Arial"/>
          <w:sz w:val="15"/>
          <w:szCs w:val="15"/>
          <w:color w:val="auto"/>
        </w:rPr>
        <w:t xml:space="preserve">12 </w:t>
      </w:r>
      <w:r>
        <w:rPr>
          <w:rFonts w:ascii="Arial" w:cs="Arial" w:eastAsia="Arial" w:hAnsi="Arial"/>
          <w:sz w:val="16"/>
          <w:szCs w:val="16"/>
          <w:color w:val="auto"/>
        </w:rPr>
        <w:t>This investment is on non-accrual status and receives a 5% royalty interest on oil being produced on certain fields. All production payments received are being applied</w:t>
      </w:r>
      <w:r>
        <w:rPr>
          <w:rFonts w:ascii="Arial" w:cs="Arial" w:eastAsia="Arial" w:hAnsi="Arial"/>
          <w:sz w:val="15"/>
          <w:szCs w:val="15"/>
          <w:color w:val="auto"/>
        </w:rPr>
        <w:t xml:space="preserve"> </w:t>
      </w:r>
      <w:r>
        <w:rPr>
          <w:rFonts w:ascii="Arial" w:cs="Arial" w:eastAsia="Arial" w:hAnsi="Arial"/>
          <w:sz w:val="16"/>
          <w:szCs w:val="16"/>
          <w:color w:val="auto"/>
        </w:rPr>
        <w:t>to the cost basis and are considered return of capital.</w:t>
      </w:r>
    </w:p>
    <w:p>
      <w:pPr>
        <w:spacing w:after="0"/>
        <w:rPr>
          <w:rFonts w:ascii="Arial" w:cs="Arial" w:eastAsia="Arial" w:hAnsi="Arial"/>
          <w:sz w:val="17"/>
          <w:szCs w:val="17"/>
          <w:color w:val="auto"/>
        </w:rPr>
      </w:pPr>
      <w:r>
        <w:rPr>
          <w:rFonts w:ascii="Arial" w:cs="Arial" w:eastAsia="Arial" w:hAnsi="Arial"/>
          <w:sz w:val="15"/>
          <w:szCs w:val="15"/>
          <w:color w:val="auto"/>
        </w:rPr>
        <w:t xml:space="preserve">13   </w:t>
      </w:r>
      <w:r>
        <w:rPr>
          <w:rFonts w:ascii="Arial" w:cs="Arial" w:eastAsia="Arial" w:hAnsi="Arial"/>
          <w:sz w:val="16"/>
          <w:szCs w:val="16"/>
          <w:color w:val="auto"/>
        </w:rPr>
        <w:t>Fair value of this investment was determined using significant unobservable inputs.</w:t>
      </w:r>
    </w:p>
    <w:p>
      <w:pPr>
        <w:spacing w:after="0" w:line="18" w:lineRule="exact"/>
        <w:rPr>
          <w:rFonts w:ascii="Arial" w:cs="Arial" w:eastAsia="Arial" w:hAnsi="Arial"/>
          <w:sz w:val="17"/>
          <w:szCs w:val="17"/>
          <w:color w:val="auto"/>
        </w:rPr>
      </w:pPr>
    </w:p>
    <w:p>
      <w:pPr>
        <w:ind w:left="380" w:right="200" w:hanging="364"/>
        <w:spacing w:after="0" w:line="301" w:lineRule="auto"/>
        <w:rPr>
          <w:rFonts w:ascii="Arial" w:cs="Arial" w:eastAsia="Arial" w:hAnsi="Arial"/>
          <w:sz w:val="17"/>
          <w:szCs w:val="17"/>
          <w:color w:val="auto"/>
        </w:rPr>
      </w:pPr>
      <w:r>
        <w:rPr>
          <w:rFonts w:ascii="Arial" w:cs="Arial" w:eastAsia="Arial" w:hAnsi="Arial"/>
          <w:sz w:val="13"/>
          <w:szCs w:val="13"/>
          <w:color w:val="auto"/>
        </w:rPr>
        <w:t xml:space="preserve">14 </w:t>
      </w:r>
      <w:r>
        <w:rPr>
          <w:rFonts w:ascii="Arial" w:cs="Arial" w:eastAsia="Arial" w:hAnsi="Arial"/>
          <w:sz w:val="14"/>
          <w:szCs w:val="14"/>
          <w:color w:val="auto"/>
        </w:rPr>
        <w:t>As of June 30, 2020, this investment is owned by Great Lakes Portman Ridge Funding, LLC and was pledged to secure Great Lakes Portman Ridge Funding, LLC’s</w:t>
      </w:r>
      <w:r>
        <w:rPr>
          <w:rFonts w:ascii="Arial" w:cs="Arial" w:eastAsia="Arial" w:hAnsi="Arial"/>
          <w:sz w:val="13"/>
          <w:szCs w:val="13"/>
          <w:color w:val="auto"/>
        </w:rPr>
        <w:t xml:space="preserve"> </w:t>
      </w:r>
      <w:r>
        <w:rPr>
          <w:rFonts w:ascii="Arial" w:cs="Arial" w:eastAsia="Arial" w:hAnsi="Arial"/>
          <w:sz w:val="14"/>
          <w:szCs w:val="14"/>
          <w:color w:val="auto"/>
        </w:rPr>
        <w:t>debt obligation pursuant to its senior secured revolving credit facility (the “Revolving Credit Facility”) with JPMorgan Chase Bank, National Association (“JPM”).</w:t>
      </w:r>
    </w:p>
    <w:p>
      <w:pPr>
        <w:spacing w:after="0" w:line="1" w:lineRule="exact"/>
        <w:rPr>
          <w:rFonts w:ascii="Arial" w:cs="Arial" w:eastAsia="Arial" w:hAnsi="Arial"/>
          <w:sz w:val="17"/>
          <w:szCs w:val="17"/>
          <w:color w:val="auto"/>
        </w:rPr>
      </w:pPr>
    </w:p>
    <w:p>
      <w:pPr>
        <w:ind w:left="380" w:hanging="364"/>
        <w:spacing w:after="0" w:line="281" w:lineRule="auto"/>
        <w:rPr>
          <w:rFonts w:ascii="Arial" w:cs="Arial" w:eastAsia="Arial" w:hAnsi="Arial"/>
          <w:sz w:val="17"/>
          <w:szCs w:val="17"/>
          <w:color w:val="auto"/>
        </w:rPr>
      </w:pPr>
      <w:r>
        <w:rPr>
          <w:rFonts w:ascii="Arial" w:cs="Arial" w:eastAsia="Arial" w:hAnsi="Arial"/>
          <w:sz w:val="14"/>
          <w:szCs w:val="14"/>
          <w:color w:val="auto"/>
        </w:rPr>
        <w:t xml:space="preserve">15 </w:t>
      </w:r>
      <w:r>
        <w:rPr>
          <w:rFonts w:ascii="Arial" w:cs="Arial" w:eastAsia="Arial" w:hAnsi="Arial"/>
          <w:sz w:val="15"/>
          <w:szCs w:val="15"/>
          <w:color w:val="auto"/>
        </w:rPr>
        <w:t>The Company's investments are generally acquired in private transactions exempt from registration under the Securities Act of 1933, as amended (the “Securities Act”)</w:t>
      </w:r>
      <w:r>
        <w:rPr>
          <w:rFonts w:ascii="Arial" w:cs="Arial" w:eastAsia="Arial" w:hAnsi="Arial"/>
          <w:sz w:val="14"/>
          <w:szCs w:val="14"/>
          <w:color w:val="auto"/>
        </w:rPr>
        <w:t xml:space="preserve"> </w:t>
      </w:r>
      <w:r>
        <w:rPr>
          <w:rFonts w:ascii="Arial" w:cs="Arial" w:eastAsia="Arial" w:hAnsi="Arial"/>
          <w:sz w:val="15"/>
          <w:szCs w:val="15"/>
          <w:color w:val="auto"/>
        </w:rPr>
        <w:t>and, therefore, are generally subject to limitations on resale, and may be deemed to be “restricted securities'' under the Securities Act of 1933.</w:t>
      </w:r>
    </w:p>
    <w:p>
      <w:pPr>
        <w:spacing w:after="0" w:line="1" w:lineRule="exact"/>
        <w:rPr>
          <w:rFonts w:ascii="Arial" w:cs="Arial" w:eastAsia="Arial" w:hAnsi="Arial"/>
          <w:sz w:val="17"/>
          <w:szCs w:val="17"/>
          <w:color w:val="auto"/>
        </w:rPr>
      </w:pPr>
    </w:p>
    <w:p>
      <w:pPr>
        <w:ind w:left="380" w:right="240" w:hanging="364"/>
        <w:spacing w:after="0" w:line="281" w:lineRule="auto"/>
        <w:rPr>
          <w:rFonts w:ascii="Arial" w:cs="Arial" w:eastAsia="Arial" w:hAnsi="Arial"/>
          <w:sz w:val="17"/>
          <w:szCs w:val="17"/>
          <w:color w:val="auto"/>
        </w:rPr>
      </w:pPr>
      <w:r>
        <w:rPr>
          <w:rFonts w:ascii="Arial" w:cs="Arial" w:eastAsia="Arial" w:hAnsi="Arial"/>
          <w:sz w:val="14"/>
          <w:szCs w:val="14"/>
          <w:color w:val="auto"/>
        </w:rPr>
        <w:t xml:space="preserve">16 </w:t>
      </w:r>
      <w:r>
        <w:rPr>
          <w:rFonts w:ascii="Arial" w:cs="Arial" w:eastAsia="Arial" w:hAnsi="Arial"/>
          <w:sz w:val="15"/>
          <w:szCs w:val="15"/>
          <w:color w:val="auto"/>
        </w:rPr>
        <w:t>As defined in the 1940 Act, the Company is deemed to be both an “Affiliated Person” and has “Control” of this portfolio company as the Company owns more than</w:t>
      </w:r>
      <w:r>
        <w:rPr>
          <w:rFonts w:ascii="Arial" w:cs="Arial" w:eastAsia="Arial" w:hAnsi="Arial"/>
          <w:sz w:val="14"/>
          <w:szCs w:val="14"/>
          <w:color w:val="auto"/>
        </w:rPr>
        <w:t xml:space="preserve"> </w:t>
      </w:r>
      <w:r>
        <w:rPr>
          <w:rFonts w:ascii="Arial" w:cs="Arial" w:eastAsia="Arial" w:hAnsi="Arial"/>
          <w:sz w:val="15"/>
          <w:szCs w:val="15"/>
          <w:color w:val="auto"/>
        </w:rPr>
        <w:t>25% of the portfolio company’s outstanding voting securities or has the power to exercise control over management or policies of such portfolio company.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xml:space="preserve">17   </w:t>
      </w: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0" w:lineRule="exact"/>
        <w:rPr>
          <w:sz w:val="20"/>
          <w:szCs w:val="20"/>
          <w:color w:val="auto"/>
        </w:rPr>
      </w:pPr>
    </w:p>
    <w:p>
      <w:pPr>
        <w:ind w:left="380" w:right="120" w:hanging="372"/>
        <w:spacing w:after="0" w:line="222"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10" w:lineRule="exact"/>
        <w:rPr>
          <w:rFonts w:ascii="Arial" w:cs="Arial" w:eastAsia="Arial" w:hAnsi="Arial"/>
          <w:sz w:val="23"/>
          <w:szCs w:val="23"/>
          <w:color w:val="auto"/>
          <w:vertAlign w:val="superscript"/>
        </w:rPr>
      </w:pPr>
    </w:p>
    <w:p>
      <w:pPr>
        <w:ind w:left="380" w:right="40" w:hanging="372"/>
        <w:spacing w:after="0" w:line="218"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Owns 100% of Class A Units in OHA/OCI Investments, LLC representing 20.8% diluted ownership of OCI Holdings, LLC</w:t>
      </w:r>
    </w:p>
    <w:p>
      <w:pPr>
        <w:spacing w:after="0" w:line="10" w:lineRule="exact"/>
        <w:rPr>
          <w:rFonts w:ascii="Arial" w:cs="Arial" w:eastAsia="Arial" w:hAnsi="Arial"/>
          <w:sz w:val="23"/>
          <w:szCs w:val="23"/>
          <w:color w:val="auto"/>
          <w:vertAlign w:val="superscript"/>
        </w:rPr>
      </w:pPr>
    </w:p>
    <w:p>
      <w:pPr>
        <w:ind w:left="380" w:right="220" w:hanging="372"/>
        <w:spacing w:after="0" w:line="200"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This CLO Fund security made a distribution to the Company during the first quarter of 2020. During the second quarter of 2020, the Company was notified that this CLO Fund security will cease making distributions to the Company.</w:t>
      </w:r>
    </w:p>
    <w:p>
      <w:pPr>
        <w:spacing w:after="0" w:line="1" w:lineRule="exact"/>
        <w:rPr>
          <w:rFonts w:ascii="Arial" w:cs="Arial" w:eastAsia="Arial" w:hAnsi="Arial"/>
          <w:sz w:val="25"/>
          <w:szCs w:val="25"/>
          <w:color w:val="auto"/>
          <w:vertAlign w:val="superscript"/>
        </w:rPr>
      </w:pPr>
    </w:p>
    <w:p>
      <w:pPr>
        <w:ind w:left="380" w:right="120" w:hanging="372"/>
        <w:spacing w:after="0" w:line="206"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Represents co-investment made with the Company's affiliates in accordance with the terms of the exemptive relief that the Company received from the U.S Securities and Exchange Commission.</w:t>
      </w:r>
    </w:p>
    <w:p>
      <w:pPr>
        <w:spacing w:after="0" w:line="117" w:lineRule="exact"/>
        <w:rPr>
          <w:rFonts w:ascii="Arial" w:cs="Arial" w:eastAsia="Arial" w:hAnsi="Arial"/>
          <w:sz w:val="25"/>
          <w:szCs w:val="25"/>
          <w:color w:val="auto"/>
          <w:vertAlign w:val="superscript"/>
        </w:rPr>
      </w:pPr>
    </w:p>
    <w:p>
      <w:pPr>
        <w:ind w:left="380" w:hanging="372"/>
        <w:spacing w:after="0"/>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Information related to the Company’s derivatives is presented below as of June 30, 2020:</w:t>
      </w: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4"/>
              </w:rPr>
              <w:t>Payments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jc w:val="center"/>
              <w:spacing w:after="0" w:line="136"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left="137"/>
              <w:spacing w:after="0" w:line="136" w:lineRule="exact"/>
              <w:rPr>
                <w:sz w:val="20"/>
                <w:szCs w:val="20"/>
                <w:color w:val="auto"/>
              </w:rPr>
            </w:pPr>
            <w:r>
              <w:rPr>
                <w:rFonts w:ascii="Arial" w:cs="Arial" w:eastAsia="Arial" w:hAnsi="Arial"/>
                <w:sz w:val="13"/>
                <w:szCs w:val="13"/>
                <w:b w:val="1"/>
                <w:bCs w:val="1"/>
                <w:color w:val="auto"/>
                <w:w w:val="89"/>
              </w:rPr>
              <w:t>Upfront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w w:val="88"/>
              </w:rPr>
              <w:t>Unrealized</w:t>
            </w:r>
          </w:p>
        </w:tc>
      </w:tr>
      <w:tr>
        <w:trPr>
          <w:trHeight w:val="153"/>
        </w:trPr>
        <w:tc>
          <w:tcPr>
            <w:tcW w:w="2080" w:type="dxa"/>
            <w:vAlign w:val="bottom"/>
          </w:tcPr>
          <w:p>
            <w:pPr>
              <w:ind w:left="7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160" w:type="dxa"/>
            <w:vAlign w:val="bottom"/>
          </w:tcPr>
          <w:p>
            <w:pPr>
              <w:ind w:left="100"/>
              <w:spacing w:after="0"/>
              <w:rPr>
                <w:sz w:val="20"/>
                <w:szCs w:val="20"/>
                <w:color w:val="auto"/>
              </w:rPr>
            </w:pPr>
            <w:r>
              <w:rPr>
                <w:rFonts w:ascii="Arial" w:cs="Arial" w:eastAsia="Arial" w:hAnsi="Arial"/>
                <w:sz w:val="13"/>
                <w:szCs w:val="13"/>
                <w:b w:val="1"/>
                <w:bCs w:val="1"/>
                <w:color w:val="auto"/>
                <w:w w:val="88"/>
              </w:rPr>
              <w:t>Payments received</w:t>
            </w:r>
          </w:p>
        </w:tc>
        <w:tc>
          <w:tcPr>
            <w:tcW w:w="400" w:type="dxa"/>
            <w:vAlign w:val="bottom"/>
          </w:tcPr>
          <w:p>
            <w:pPr>
              <w:spacing w:after="0"/>
              <w:rPr>
                <w:sz w:val="13"/>
                <w:szCs w:val="13"/>
                <w:color w:val="auto"/>
              </w:rPr>
            </w:pPr>
          </w:p>
        </w:tc>
        <w:tc>
          <w:tcPr>
            <w:tcW w:w="1520" w:type="dxa"/>
            <w:vAlign w:val="bottom"/>
          </w:tcPr>
          <w:p>
            <w:pPr>
              <w:jc w:val="center"/>
              <w:ind w:right="39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1"/>
              </w:rPr>
              <w:t>Maturity date</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137"/>
              <w:spacing w:after="0"/>
              <w:rPr>
                <w:sz w:val="20"/>
                <w:szCs w:val="20"/>
                <w:color w:val="auto"/>
              </w:rPr>
            </w:pPr>
            <w:r>
              <w:rPr>
                <w:rFonts w:ascii="Arial" w:cs="Arial" w:eastAsia="Arial" w:hAnsi="Arial"/>
                <w:sz w:val="13"/>
                <w:szCs w:val="13"/>
                <w:b w:val="1"/>
                <w:bCs w:val="1"/>
                <w:color w:val="auto"/>
                <w:w w:val="85"/>
              </w:rPr>
              <w:t>payments/receipts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90"/>
              </w:rPr>
              <w:t>Securities Swap and Option Agreement</w:t>
            </w:r>
          </w:p>
        </w:tc>
        <w:tc>
          <w:tcPr>
            <w:tcW w:w="780" w:type="dxa"/>
            <w:vAlign w:val="bottom"/>
            <w:tcBorders>
              <w:top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18% PIK</w:t>
            </w:r>
          </w:p>
        </w:tc>
        <w:tc>
          <w:tcPr>
            <w:tcW w:w="1160" w:type="dxa"/>
            <w:vAlign w:val="bottom"/>
            <w:tcBorders>
              <w:top w:val="single" w:sz="8" w:color="auto"/>
            </w:tcBorders>
            <w:shd w:val="clear" w:color="auto" w:fill="CFF0FC"/>
          </w:tcPr>
          <w:p>
            <w:pPr>
              <w:ind w:left="100"/>
              <w:spacing w:after="0" w:line="142" w:lineRule="exact"/>
              <w:rPr>
                <w:sz w:val="20"/>
                <w:szCs w:val="20"/>
                <w:color w:val="auto"/>
              </w:rPr>
            </w:pPr>
            <w:r>
              <w:rPr>
                <w:rFonts w:ascii="Arial" w:cs="Arial" w:eastAsia="Arial" w:hAnsi="Arial"/>
                <w:sz w:val="13"/>
                <w:szCs w:val="13"/>
                <w:color w:val="auto"/>
              </w:rPr>
              <w:t>16% Cash</w:t>
            </w:r>
          </w:p>
        </w:tc>
        <w:tc>
          <w:tcPr>
            <w:tcW w:w="1920" w:type="dxa"/>
            <w:vAlign w:val="bottom"/>
            <w:tcBorders>
              <w:top w:val="single" w:sz="8" w:color="auto"/>
            </w:tcBorders>
            <w:gridSpan w:val="2"/>
            <w:shd w:val="clear" w:color="auto" w:fill="CFF0FC"/>
          </w:tcPr>
          <w:p>
            <w:pPr>
              <w:jc w:val="center"/>
              <w:ind w:right="17"/>
              <w:spacing w:after="0" w:line="142" w:lineRule="exact"/>
              <w:rPr>
                <w:sz w:val="20"/>
                <w:szCs w:val="20"/>
                <w:color w:val="auto"/>
              </w:rPr>
            </w:pPr>
            <w:r>
              <w:rPr>
                <w:rFonts w:ascii="Arial" w:cs="Arial" w:eastAsia="Arial" w:hAnsi="Arial"/>
                <w:sz w:val="13"/>
                <w:szCs w:val="13"/>
                <w:color w:val="auto"/>
                <w:w w:val="89"/>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Arial" w:cs="Arial" w:eastAsia="Arial" w:hAnsi="Arial"/>
                <w:sz w:val="13"/>
                <w:szCs w:val="13"/>
                <w:color w:val="auto"/>
                <w:w w:val="91"/>
              </w:rPr>
              <w:t>$  5,500,000</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(625,695)</w:t>
            </w:r>
          </w:p>
        </w:tc>
        <w:tc>
          <w:tcPr>
            <w:tcW w:w="12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ind w:right="103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(625,695)</w:t>
            </w:r>
          </w:p>
        </w:tc>
        <w:tc>
          <w:tcPr>
            <w:tcW w:w="100" w:type="dxa"/>
            <w:vAlign w:val="bottom"/>
            <w:tcBorders>
              <w:top w:val="single" w:sz="8" w:color="CFF0FC"/>
            </w:tcBorders>
            <w:shd w:val="clear" w:color="auto" w:fill="CFF0FC"/>
          </w:tcPr>
          <w:p>
            <w:pPr>
              <w:spacing w:after="0"/>
              <w:rPr>
                <w:sz w:val="12"/>
                <w:szCs w:val="12"/>
                <w:color w:val="auto"/>
              </w:rPr>
            </w:pPr>
          </w:p>
        </w:tc>
      </w:tr>
      <w:tr>
        <w:trPr>
          <w:trHeight w:val="346"/>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Notional</w:t>
            </w:r>
          </w:p>
        </w:tc>
        <w:tc>
          <w:tcPr>
            <w:tcW w:w="12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Exercise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080" w:type="dxa"/>
            <w:vAlign w:val="bottom"/>
          </w:tcPr>
          <w:p>
            <w:pPr>
              <w:ind w:left="8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spacing w:after="0"/>
              <w:rPr>
                <w:sz w:val="13"/>
                <w:szCs w:val="13"/>
                <w:color w:val="auto"/>
              </w:rPr>
            </w:pPr>
          </w:p>
        </w:tc>
        <w:tc>
          <w:tcPr>
            <w:tcW w:w="1560" w:type="dxa"/>
            <w:vAlign w:val="bottom"/>
            <w:gridSpan w:val="2"/>
          </w:tcPr>
          <w:p>
            <w:pPr>
              <w:ind w:left="580"/>
              <w:spacing w:after="0"/>
              <w:rPr>
                <w:sz w:val="20"/>
                <w:szCs w:val="20"/>
                <w:color w:val="auto"/>
              </w:rPr>
            </w:pPr>
            <w:r>
              <w:rPr>
                <w:rFonts w:ascii="Arial" w:cs="Arial" w:eastAsia="Arial" w:hAnsi="Arial"/>
                <w:sz w:val="13"/>
                <w:szCs w:val="13"/>
                <w:b w:val="1"/>
                <w:bCs w:val="1"/>
                <w:color w:val="auto"/>
              </w:rPr>
              <w:t>Counterparty</w:t>
            </w:r>
          </w:p>
        </w:tc>
        <w:tc>
          <w:tcPr>
            <w:tcW w:w="1520" w:type="dxa"/>
            <w:vAlign w:val="bottom"/>
          </w:tcPr>
          <w:p>
            <w:pPr>
              <w:ind w:left="540"/>
              <w:spacing w:after="0"/>
              <w:rPr>
                <w:sz w:val="20"/>
                <w:szCs w:val="20"/>
                <w:color w:val="auto"/>
              </w:rPr>
            </w:pPr>
            <w:r>
              <w:rPr>
                <w:rFonts w:ascii="Arial" w:cs="Arial" w:eastAsia="Arial" w:hAnsi="Arial"/>
                <w:sz w:val="13"/>
                <w:szCs w:val="13"/>
                <w:b w:val="1"/>
                <w:bCs w:val="1"/>
                <w:color w:val="auto"/>
                <w:w w:val="86"/>
              </w:rPr>
              <w:t>Number of shares</w:t>
            </w:r>
          </w:p>
        </w:tc>
        <w:tc>
          <w:tcPr>
            <w:tcW w:w="500" w:type="dxa"/>
            <w:vAlign w:val="bottom"/>
          </w:tcPr>
          <w:p>
            <w:pPr>
              <w:spacing w:after="0"/>
              <w:rPr>
                <w:sz w:val="13"/>
                <w:szCs w:val="13"/>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price</w:t>
            </w:r>
          </w:p>
        </w:tc>
        <w:tc>
          <w:tcPr>
            <w:tcW w:w="158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Expiration date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86"/>
              </w:rPr>
              <w:t>Value</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78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gridSpan w:val="2"/>
            <w:shd w:val="clear" w:color="auto" w:fill="CFF0FC"/>
          </w:tcPr>
          <w:p>
            <w:pPr>
              <w:ind w:left="380"/>
              <w:spacing w:after="0" w:line="142" w:lineRule="exact"/>
              <w:rPr>
                <w:sz w:val="20"/>
                <w:szCs w:val="20"/>
                <w:color w:val="auto"/>
              </w:rPr>
            </w:pPr>
            <w:r>
              <w:rPr>
                <w:rFonts w:ascii="Arial" w:cs="Arial" w:eastAsia="Arial" w:hAnsi="Arial"/>
                <w:sz w:val="13"/>
                <w:szCs w:val="13"/>
                <w:color w:val="auto"/>
              </w:rPr>
              <w:t>HDNet Holdco LLC</w:t>
            </w:r>
          </w:p>
        </w:tc>
        <w:tc>
          <w:tcPr>
            <w:tcW w:w="15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60" w:type="dxa"/>
            <w:vAlign w:val="bottom"/>
            <w:tcBorders>
              <w:top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0.01</w:t>
            </w: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260" w:type="dxa"/>
            <w:vAlign w:val="bottom"/>
            <w:tcBorders>
              <w:top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54,276</w:t>
            </w: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 Inc.</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(5)(8)(13)</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Second Lien Notes</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6/13/2012</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1,220,614</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951,271</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2,563</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9.0% Cash, 10.0% PIK, 3 month LIBOR(2.03%)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7.00%; LIBOR Floor 1.00% , Due 10/23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Akumin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B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5/31/2019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2,238,750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2,199,268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2,186,139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4,317,019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4,162,593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4,147,792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8.7% Cash, 2.8% PIK, 3 month LIBOR(1.94%)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6.75%; LIBOR 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377,557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400,333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11.4% Cash, 3 month LIBOR(1.94%)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 BenefitMall)</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2,940,000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2,938,765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2,827,398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7.2% Cash, 6 month LIBOR(1.93%) + 5.25%;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BW NHHC Holdco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7"/>
              </w:rPr>
              <w:t>(8)(13)(14) 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5/16/2018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1,947,269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1,625,250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6.9% Cash, 3 month LIBOR(1.91%) + 5.00%;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5/25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4"/>
              </w:rPr>
              <w:t>(8)(13)(14) Junior Secured Loan — Extended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1,510,955</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1,502,210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1,480,736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4,520,198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4,512,488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4,493,529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6.2% Cash, 1 month LIBOR(1.93%) + 4.25%;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(3)(14)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Canadian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443,878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495,564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Community Care Health Network, Inc. (aka Matrix Medical</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Closing Date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1,966,385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1,960,150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Network)</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6.5% Cash, 1 month LIBOR(1.80%) + 4.75%;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CSM Bakery Solutions Limited (fka CSM Bakery Supplies</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5/23/2013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3,003,785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2,868,000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Limited)</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9.8% Cash, 3 month LIBOR(2.03%) + 7.75%;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7/21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Dental Implant Holdings, LLC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(8)(14)(20) Senior Secured Loan — Term Loan (last out)</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447,624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500,000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8.2% Cash, 1 month LIBOR(1.71%) + 6.50%;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(8)(13)</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3"/>
              </w:rPr>
              <w:t>Senior Secured Loan — Incremental Tranche 2 Term</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12/10/2018</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286,430</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280,909</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279,441</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7"/>
              </w:rPr>
              <w:t>Senior Secured Loan — Incremental Tranche A-1 TL</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146,079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143,339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142,515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Incremental Tranche A-3 Term</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47,738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46,803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46,574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Incremental Tranche A-6 Term</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305,427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299,362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297,974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(5)(8)(13)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4,962,406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4,919,958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3,529,263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11.5% Cash, 3 month LIBOR(1.95%)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1.50% , Due 7/24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2"/>
              </w:rPr>
              <w:t>(8)(13)(14) Senior Secured Loan — 2019 Delayed Draw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(2,551)</w:t>
            </w: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(First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2.0% Cash, Due 7/25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7"/>
              </w:rPr>
              <w:t>(8)(13)(14) 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279,942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279,942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279,242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6.0% Cash, 1 month LIBOR(1.80%) + 4.25%;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Edelman Financial Center, LLC, The (fka Flight Debt Merger</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267,692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299,250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Sub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8.5% Cash, 1 month LIBOR(1.79%) + 6.75%;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Ensono, LP (formerly known as Acxiom IT Outsourcing, LP)</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1,499,936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1,677,050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11.0% Cash, 1 month LIBOR(1.80%) + 9.25%;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6/26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Evergreen North America Acquisition, LLC (f/k/a Industrial</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6/21/2016</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1,039,547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1,042,241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1,039,547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Services Acquisition, LLC)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6.8% Cash, 1 month LIBOR(1.81%)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Environmental Industries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 American Payment Systems, L.P.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3"/>
              </w:rPr>
              <w:t>(8)(13)(14) Junior Secured Loan — Tranche B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1,472,888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1,468,500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12.6% Cash, 3 month LIBOR(2.06%) + 10.50%;</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Firstlight Holdco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355,145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397,000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9.3% Cash, 1 month LIBOR(1.80%) + 7.50%;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GI Advo Opco, LLC</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(5)(8)</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11/19/2015</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ind w:left="120"/>
              <w:spacing w:after="0" w:line="128" w:lineRule="exact"/>
              <w:rPr>
                <w:sz w:val="20"/>
                <w:szCs w:val="20"/>
                <w:color w:val="auto"/>
              </w:rPr>
            </w:pPr>
            <w:r>
              <w:rPr>
                <w:rFonts w:ascii="Arial" w:cs="Arial" w:eastAsia="Arial" w:hAnsi="Arial"/>
                <w:sz w:val="13"/>
                <w:szCs w:val="13"/>
                <w:color w:val="auto"/>
              </w:rPr>
              <w:t>180,304</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ind w:left="100"/>
              <w:spacing w:after="0" w:line="128" w:lineRule="exact"/>
              <w:rPr>
                <w:sz w:val="20"/>
                <w:szCs w:val="20"/>
                <w:color w:val="auto"/>
              </w:rPr>
            </w:pPr>
            <w:r>
              <w:rPr>
                <w:rFonts w:ascii="Arial" w:cs="Arial" w:eastAsia="Arial" w:hAnsi="Arial"/>
                <w:sz w:val="13"/>
                <w:szCs w:val="13"/>
                <w:color w:val="auto"/>
              </w:rPr>
              <w:t>179,431</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ind w:left="100"/>
              <w:spacing w:after="0" w:line="128"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10.8% Cash, Prime (4.75%) + 6.00%; , Due 11/21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GK Holdings, Inc. (aka Global Knowledge)</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1,491,142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1,251,600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12.2% Cash, 3 month LIBOR(1.94%) + 10.25%;</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6,896,373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6,090,000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11/26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B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2,648,188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10.9% Cash, 3 month LIBOR(1.94%)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1.50% , Due 1/18</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(5)(8)(13)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7,169,109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4,169,009</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13.8% Cash, Due 7/18</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Hayward Industries,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2,159,333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1,835,957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2,058,492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8/25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Helix Acquisition Holdings, Inc. (aka MW Industries,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1,180,977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1,319,500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Metals &amp; Mining</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9.9% Cash, 3 month LIBOR(1.94%) + 8.00%;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9/25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1,600,000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1,570,609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1,534,240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Forest Products &amp; Paper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Idera,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7,394,304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7,495,500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6/27</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3,914,383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3,888,371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3,886,590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6.4% Cash, 3 month LIBOR(1.94%) + 4.5%;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Ivanti Software, Inc. (fka LANDesk Group,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1,211,787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10.7% Cash, 1 month LIBOR(1.72%)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Kronos Foods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3"/>
              </w:rPr>
              <w:t>(8)(13)(14) Senior Secured Loan — Fourth Amendment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4,937,107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4,895,395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4,882,305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Beverage, Food and Tobacco</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Revolving Credit</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1,979,167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1,914,229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1,944,135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8.5% Cash, 1 month LIBOR(1.71%) + 6.75%;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Ministry Brands, LLC (aka MB Holding)</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6"/>
              </w:rPr>
              <w:t>(8)(13)(14)</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4"/>
              </w:rPr>
              <w:t>Junior Secured Loan — April 2018 Incremental Term</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12/18/2019</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6,000,000</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5,370,528</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6,000,000</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9.8% Cash, 2 month LIBOR(1.83%)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(8)(14)(18)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7,140,816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7,636,090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8.8% Cash, 1 month LIBOR(1.80%) + 7.00%;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(5)(8)(13)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Subordinated Note — Float - 02/2020</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31,817,483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2,165,304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2,422,281</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20"/>
                <w:szCs w:val="20"/>
                <w:color w:val="auto"/>
              </w:rPr>
            </w:pPr>
            <w:r>
              <w:rPr>
                <w:rFonts w:ascii="Arial" w:cs="Arial" w:eastAsia="Arial" w:hAnsi="Arial"/>
                <w:sz w:val="13"/>
                <w:szCs w:val="13"/>
                <w:color w:val="auto"/>
              </w:rPr>
              <w:t>(18)</w:t>
            </w: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15.8% Cash, 5.0% PIK, Due 2/20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PAE Holding Corporation</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6,888,196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6,088,533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6,802,094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11.3% Cash, 3 month LIBOR(1.85%)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10/23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PHI 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7/10/2019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8,375,422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8,216,303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8,300,043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 (aka Brightspring)</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1,084,045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1,212,000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3/27</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 (Aka Cielo)</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4,962,500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4,878,600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4,807,670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2,956,575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2,885,400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Environmental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10/25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Delayed Draw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(1,424)</w:t>
            </w: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Containers, Packaging and Glass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4.8% Cash, Due 8/24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2,844,000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2,833,064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2,616,480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 Packaging and Glass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8/24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6,947,500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6,852,431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6,852,319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7.7% Cash, 3 month LIBOR(1.96%) + 5.75%;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3/25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1,728,459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7.0% Cash, 3 month LIBOR(1.95%)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7/21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Robertshaw US Holding Corp. (fka Fox US Bidco Corp.)</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2,976,852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2,753,100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9.8% Cash, 1 month LIBOR(1.81%)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2/26</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40" w:type="dxa"/>
            <w:vAlign w:val="bottom"/>
            <w:gridSpan w:val="2"/>
          </w:tcPr>
          <w:p>
            <w:pPr>
              <w:ind w:left="1520"/>
              <w:spacing w:after="0" w:line="135" w:lineRule="exact"/>
              <w:rPr>
                <w:sz w:val="20"/>
                <w:szCs w:val="20"/>
                <w:color w:val="auto"/>
              </w:rPr>
            </w:pPr>
            <w:r>
              <w:rPr>
                <w:rFonts w:ascii="Arial" w:cs="Arial" w:eastAsia="Arial" w:hAnsi="Arial"/>
                <w:sz w:val="13"/>
                <w:szCs w:val="13"/>
                <w:b w:val="1"/>
                <w:bCs w:val="1"/>
                <w:color w:val="auto"/>
              </w:rPr>
              <w:t>Investment</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Amortized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3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2"/>
          </w:tcPr>
          <w:p>
            <w:pPr>
              <w:ind w:left="11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3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Roscoe Medical, Inc.</w:t>
            </w: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(5)</w:t>
            </w:r>
          </w:p>
        </w:tc>
        <w:tc>
          <w:tcPr>
            <w:tcW w:w="36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ind w:left="840"/>
              <w:spacing w:after="0"/>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13.3% Cash, Due 3/21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4,990,760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(5)</w:t>
            </w:r>
          </w:p>
        </w:tc>
        <w:tc>
          <w:tcPr>
            <w:tcW w:w="3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ind w:left="840"/>
              <w:spacing w:after="0"/>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13.3% Cash, Due 3/21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1,695,164</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1,005,380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8.5% Cash, 1 month LIBOR(1.74%) + 6.75%;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2/26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609,102</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680,750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Salient CRGT Inc.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8.3% Cash, 1 month LIBOR(1.79%) + 6.50%;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2/22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334,873</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337,069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312,269</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10.0% Cash, 1 month LIBOR(1.75%) + 8.25%;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992,752</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10.0% Cash, 1 month LIBOR(1.76%) + 8.25%;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4,966,615</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Syndigo LLC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Incremental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7.3% Cash, 1 month LIBOR(1.84%)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10/24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7,917,229</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7,768,928</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7,758,884</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Automotive</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7.4% Cash, 3 month LIBOR(1.94%)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5/25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4,895,406</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4,861,073</w:t>
            </w:r>
          </w:p>
        </w:tc>
        <w:tc>
          <w:tcPr>
            <w:tcW w:w="100" w:type="dxa"/>
            <w:vAlign w:val="bottom"/>
            <w:shd w:val="clear" w:color="auto" w:fill="CFF0FC"/>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(5)</w:t>
            </w:r>
          </w:p>
        </w:tc>
        <w:tc>
          <w:tcPr>
            <w:tcW w:w="3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060" w:type="dxa"/>
            <w:vAlign w:val="bottom"/>
            <w:gridSpan w:val="2"/>
            <w:shd w:val="clear" w:color="auto" w:fill="CFF0FC"/>
          </w:tcPr>
          <w:p>
            <w:pPr>
              <w:ind w:left="420"/>
              <w:spacing w:after="0" w:line="135" w:lineRule="exact"/>
              <w:rPr>
                <w:sz w:val="20"/>
                <w:szCs w:val="20"/>
                <w:color w:val="auto"/>
              </w:rPr>
            </w:pPr>
            <w:r>
              <w:rPr>
                <w:rFonts w:ascii="Arial" w:cs="Arial" w:eastAsia="Arial" w:hAnsi="Arial"/>
                <w:sz w:val="13"/>
                <w:szCs w:val="13"/>
                <w:color w:val="auto"/>
                <w:w w:val="96"/>
              </w:rPr>
              <w:t>Energy: (8)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Senior Unsecured Bond — 10.000% - 02/2022 - TankConvert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20"/>
                <w:szCs w:val="20"/>
                <w:color w:val="auto"/>
              </w:rPr>
            </w:pPr>
            <w:r>
              <w:rPr>
                <w:rFonts w:ascii="Arial" w:cs="Arial" w:eastAsia="Arial" w:hAnsi="Arial"/>
                <w:sz w:val="13"/>
                <w:szCs w:val="13"/>
                <w:color w:val="auto"/>
              </w:rPr>
              <w:t>Oil &amp; Gas</w:t>
            </w:r>
          </w:p>
        </w:tc>
        <w:tc>
          <w:tcPr>
            <w:tcW w:w="1060" w:type="dxa"/>
            <w:vAlign w:val="bottom"/>
            <w:gridSpan w:val="2"/>
            <w:shd w:val="clear" w:color="auto" w:fill="CFF0FC"/>
          </w:tcPr>
          <w:p>
            <w:pPr>
              <w:ind w:left="840"/>
              <w:spacing w:after="0"/>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0.0% Cash, 10.0% PIK, Due 2/22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403,615</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Teneo Holdings LLC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Services: Business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7.0% Cash, 1 month LIBOR(1.74%) + 5.25%;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7/25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4,987,500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4,800,254</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4,758,075</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Textiles and Leather</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10.7% Cash, 1 month LIBOR(1.70%) + 9.00%;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12,389,673</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12,180,290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Education and Childcare</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7.7% Cash, 1 month LIBOR(2.20%)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6/24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207,380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205,810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205,057</w:t>
            </w:r>
          </w:p>
        </w:tc>
        <w:tc>
          <w:tcPr>
            <w:tcW w:w="100" w:type="dxa"/>
            <w:vAlign w:val="bottom"/>
            <w:shd w:val="clear" w:color="auto" w:fill="CFF0FC"/>
          </w:tcPr>
          <w:p>
            <w:pPr>
              <w:spacing w:after="0"/>
              <w:rPr>
                <w:sz w:val="12"/>
                <w:szCs w:val="1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99"/>
              </w:rPr>
              <w:t>Initial</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3"/>
          </w:tcPr>
          <w:p>
            <w:pPr>
              <w:jc w:val="center"/>
              <w:ind w:right="208"/>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TLE Holdings, LLC</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6"/>
              </w:rPr>
              <w:t>(8)(13)(14)</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6/27/2019</w:t>
            </w: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5,688,912</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5,665,175</w:t>
            </w: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5,625,197</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7.3% Cash, 1 month LIBOR(1.80%) + 5.50%;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7"/>
              </w:rPr>
              <w:t>(8)(13)(14) 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979,798</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978,209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959,516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6.7% Cash, 3 month LIBOR(1.91%)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999,968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Energy: Oil &amp; Gas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14.0% Cash, Due 3/20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345,833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389,320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Chemicals, Plastics &amp; Rubber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Vertafore,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794,083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893,430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5"/>
              </w:rPr>
              <w:t>Junior Secured Loan — Initial US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2,978,354</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2,534,318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2,829,436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Personal, Food and Miscellaneous Services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2,973,265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2,869,200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Capital Equipment</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2,943,750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2,886,325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2,887,230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Media: Diversified &amp; Production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6.9% Cash, 3 month LIBOR(1.90%)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3,482,564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3,306,091</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Healthcare, Education and Childcare</w:t>
            </w:r>
          </w:p>
        </w:tc>
        <w:tc>
          <w:tcPr>
            <w:tcW w:w="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(18)</w:t>
            </w: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9.3% Cash, 1 month LIBOR(1.75%) + 7.50%;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3/26</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Investments in Debt Securities</w:t>
            </w:r>
          </w:p>
        </w:tc>
        <w:tc>
          <w:tcPr>
            <w:tcW w:w="62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b w:val="1"/>
                <w:bCs w:val="1"/>
                <w:color w:val="auto"/>
              </w:rPr>
              <w:t>(123% of net asset value at fair value)</w:t>
            </w: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230,278,820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   194,686,364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186,802,908</w:t>
            </w:r>
          </w:p>
        </w:tc>
        <w:tc>
          <w:tcPr>
            <w:tcW w:w="120" w:type="dxa"/>
            <w:vAlign w:val="bottom"/>
            <w:shd w:val="clear" w:color="auto" w:fill="CFF0FC"/>
          </w:tcPr>
          <w:p>
            <w:pPr>
              <w:spacing w:after="0"/>
              <w:rPr>
                <w:sz w:val="13"/>
                <w:szCs w:val="13"/>
                <w:color w:val="auto"/>
              </w:rPr>
            </w:pP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Equity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600" w:type="dxa"/>
            <w:vAlign w:val="bottom"/>
            <w:gridSpan w:val="3"/>
          </w:tcPr>
          <w:p>
            <w:pPr>
              <w:jc w:val="center"/>
              <w:ind w:right="540"/>
              <w:spacing w:after="0" w:line="135" w:lineRule="exact"/>
              <w:rPr>
                <w:sz w:val="20"/>
                <w:szCs w:val="20"/>
                <w:color w:val="auto"/>
              </w:rPr>
            </w:pPr>
            <w:r>
              <w:rPr>
                <w:rFonts w:ascii="Arial" w:cs="Arial" w:eastAsia="Arial" w:hAnsi="Arial"/>
                <w:sz w:val="13"/>
                <w:szCs w:val="13"/>
                <w:b w:val="1"/>
                <w:bCs w:val="1"/>
                <w:color w:val="auto"/>
                <w:w w:val="82"/>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Date</w:t>
            </w:r>
          </w:p>
        </w:tc>
        <w:tc>
          <w:tcPr>
            <w:tcW w:w="160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5"/>
              </w:rPr>
              <w:t>Ownership/Shares</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9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(8)(13)(22)</w:t>
            </w:r>
          </w:p>
        </w:tc>
        <w:tc>
          <w:tcPr>
            <w:tcW w:w="14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 18%</w:t>
            </w: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PIK; No 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Interests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2"/>
                <w:szCs w:val="12"/>
                <w:color w:val="auto"/>
              </w:rPr>
              <w:t>(8)(13)</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A,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11,485</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B,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Common Stock, 9/29</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Limited Term Royalty Interest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2,994,029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3,445,768</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Shares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831,600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 LLC)</w:t>
            </w:r>
            <w:r>
              <w:rPr>
                <w:rFonts w:ascii="Arial" w:cs="Arial" w:eastAsia="Arial" w:hAnsi="Arial"/>
                <w:sz w:val="10"/>
                <w:szCs w:val="10"/>
                <w:color w:val="auto"/>
              </w:rPr>
              <w:t>(8)(13)(19)</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(8)(19)(21)</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20.8%</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(8)(13)(16)(19)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5.40%</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1,680,161</w:t>
            </w:r>
          </w:p>
        </w:tc>
        <w:tc>
          <w:tcPr>
            <w:tcW w:w="26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70,566</w:t>
            </w:r>
          </w:p>
        </w:tc>
        <w:tc>
          <w:tcPr>
            <w:tcW w:w="100" w:type="dxa"/>
            <w:vAlign w:val="bottom"/>
            <w:shd w:val="clear" w:color="auto" w:fill="CFF0FC"/>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 (6% of</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net asset value at fair value)</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22,160,993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9,864,419</w:t>
            </w:r>
          </w:p>
        </w:tc>
        <w:tc>
          <w:tcPr>
            <w:tcW w:w="100" w:type="dxa"/>
            <w:vAlign w:val="bottom"/>
            <w:shd w:val="clear" w:color="auto" w:fill="CFF0FC"/>
          </w:tcPr>
          <w:p>
            <w:pPr>
              <w:spacing w:after="0"/>
              <w:rPr>
                <w:sz w:val="13"/>
                <w:szCs w:val="13"/>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32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rPr>
              <w:t>Percentage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60" w:type="dxa"/>
            <w:vAlign w:val="bottom"/>
          </w:tcPr>
          <w:p>
            <w:pPr>
              <w:ind w:left="820"/>
              <w:spacing w:after="0"/>
              <w:rPr>
                <w:sz w:val="20"/>
                <w:szCs w:val="20"/>
                <w:color w:val="auto"/>
              </w:rPr>
            </w:pPr>
            <w:r>
              <w:rPr>
                <w:rFonts w:ascii="Arial" w:cs="Arial" w:eastAsia="Arial" w:hAnsi="Arial"/>
                <w:sz w:val="13"/>
                <w:szCs w:val="13"/>
                <w:b w:val="1"/>
                <w:bCs w:val="1"/>
                <w:color w:val="auto"/>
              </w:rPr>
              <w:t>Portfolio Company</w:t>
            </w:r>
          </w:p>
        </w:tc>
        <w:tc>
          <w:tcPr>
            <w:tcW w:w="140" w:type="dxa"/>
            <w:vAlign w:val="bottom"/>
          </w:tcPr>
          <w:p>
            <w:pPr>
              <w:spacing w:after="0"/>
              <w:rPr>
                <w:sz w:val="13"/>
                <w:szCs w:val="13"/>
                <w:color w:val="auto"/>
              </w:rPr>
            </w:pPr>
          </w:p>
        </w:tc>
        <w:tc>
          <w:tcPr>
            <w:tcW w:w="3640" w:type="dxa"/>
            <w:vAlign w:val="bottom"/>
            <w:gridSpan w:val="2"/>
          </w:tcPr>
          <w:p>
            <w:pPr>
              <w:ind w:left="13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3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Ownership</w:t>
            </w:r>
          </w:p>
        </w:tc>
        <w:tc>
          <w:tcPr>
            <w:tcW w:w="920" w:type="dxa"/>
            <w:vAlign w:val="bottom"/>
          </w:tcPr>
          <w:p>
            <w:pPr>
              <w:jc w:val="right"/>
              <w:ind w:right="10"/>
              <w:spacing w:after="0"/>
              <w:rPr>
                <w:sz w:val="20"/>
                <w:szCs w:val="20"/>
                <w:color w:val="auto"/>
              </w:rPr>
            </w:pPr>
            <w:r>
              <w:rPr>
                <w:rFonts w:ascii="Arial" w:cs="Arial" w:eastAsia="Arial" w:hAnsi="Arial"/>
                <w:sz w:val="13"/>
                <w:szCs w:val="13"/>
                <w:b w:val="1"/>
                <w:bCs w:val="1"/>
                <w:color w:val="auto"/>
                <w:w w:val="85"/>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r>
      <w:tr>
        <w:trPr>
          <w:trHeight w:val="137"/>
        </w:trPr>
        <w:tc>
          <w:tcPr>
            <w:tcW w:w="266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(3)(6)(13)(18)</w:t>
            </w:r>
          </w:p>
        </w:tc>
        <w:tc>
          <w:tcPr>
            <w:tcW w:w="140" w:type="dxa"/>
            <w:vAlign w:val="bottom"/>
            <w:tcBorders>
              <w:top w:val="single" w:sz="8" w:color="CFF0FC"/>
            </w:tcBorders>
            <w:shd w:val="clear" w:color="auto" w:fill="CFF0FC"/>
          </w:tcPr>
          <w:p>
            <w:pPr>
              <w:spacing w:after="0"/>
              <w:rPr>
                <w:sz w:val="11"/>
                <w:szCs w:val="11"/>
                <w:color w:val="auto"/>
              </w:rPr>
            </w:pPr>
          </w:p>
        </w:tc>
        <w:tc>
          <w:tcPr>
            <w:tcW w:w="352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Subordinated Securities, effective interest 15.4%,</w:t>
            </w: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right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23.3%</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6,094,823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5,025,536</w:t>
            </w:r>
          </w:p>
        </w:tc>
        <w:tc>
          <w:tcPr>
            <w:tcW w:w="100" w:type="dxa"/>
            <w:vAlign w:val="bottom"/>
            <w:shd w:val="clear" w:color="auto" w:fill="CFF0FC"/>
          </w:tcPr>
          <w:p>
            <w:pPr>
              <w:spacing w:after="0"/>
              <w:rPr>
                <w:sz w:val="14"/>
                <w:szCs w:val="14"/>
                <w:color w:val="auto"/>
              </w:rPr>
            </w:pPr>
          </w:p>
        </w:tc>
      </w:tr>
      <w:tr>
        <w:trPr>
          <w:trHeight w:val="143"/>
        </w:trPr>
        <w:tc>
          <w:tcPr>
            <w:tcW w:w="2660" w:type="dxa"/>
            <w:vAlign w:val="bottom"/>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10.9%,</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4/30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5/6/2014</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22.2%</w:t>
            </w:r>
          </w:p>
        </w:tc>
        <w:tc>
          <w:tcPr>
            <w:tcW w:w="920" w:type="dxa"/>
            <w:vAlign w:val="bottom"/>
          </w:tcPr>
          <w:p>
            <w:pPr>
              <w:jc w:val="right"/>
              <w:spacing w:after="0"/>
              <w:rPr>
                <w:sz w:val="20"/>
                <w:szCs w:val="20"/>
                <w:color w:val="auto"/>
              </w:rPr>
            </w:pPr>
            <w:r>
              <w:rPr>
                <w:rFonts w:ascii="Arial" w:cs="Arial" w:eastAsia="Arial" w:hAnsi="Arial"/>
                <w:sz w:val="14"/>
                <w:szCs w:val="14"/>
                <w:color w:val="auto"/>
              </w:rPr>
              <w:t>9,995,658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6,379,580</w:t>
            </w:r>
          </w:p>
        </w:tc>
        <w:tc>
          <w:tcPr>
            <w:tcW w:w="100" w:type="dxa"/>
            <w:vAlign w:val="bottom"/>
          </w:tcPr>
          <w:p>
            <w:pPr>
              <w:spacing w:after="0"/>
              <w:rPr>
                <w:sz w:val="14"/>
                <w:szCs w:val="14"/>
                <w:color w:val="auto"/>
              </w:rPr>
            </w:pPr>
          </w:p>
        </w:tc>
      </w:tr>
      <w:tr>
        <w:trPr>
          <w:trHeight w:val="143"/>
        </w:trPr>
        <w:tc>
          <w:tcPr>
            <w:tcW w:w="2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29.9%,</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1,519,641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1,984,155</w:t>
            </w:r>
          </w:p>
        </w:tc>
        <w:tc>
          <w:tcPr>
            <w:tcW w:w="100" w:type="dxa"/>
            <w:vAlign w:val="bottom"/>
            <w:shd w:val="clear" w:color="auto" w:fill="CFF0FC"/>
          </w:tcPr>
          <w:p>
            <w:pPr>
              <w:spacing w:after="0"/>
              <w:rPr>
                <w:sz w:val="14"/>
                <w:szCs w:val="14"/>
                <w:color w:val="auto"/>
              </w:rPr>
            </w:pPr>
          </w:p>
        </w:tc>
      </w:tr>
      <w:tr>
        <w:trPr>
          <w:trHeight w:val="143"/>
        </w:trPr>
        <w:tc>
          <w:tcPr>
            <w:tcW w:w="2660" w:type="dxa"/>
            <w:vAlign w:val="bottom"/>
          </w:tcPr>
          <w:p>
            <w:pPr>
              <w:spacing w:after="0" w:line="14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7.8%,</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10/26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8/15/2014</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24.9%</w:t>
            </w:r>
          </w:p>
        </w:tc>
        <w:tc>
          <w:tcPr>
            <w:tcW w:w="920" w:type="dxa"/>
            <w:vAlign w:val="bottom"/>
          </w:tcPr>
          <w:p>
            <w:pPr>
              <w:jc w:val="right"/>
              <w:spacing w:after="0"/>
              <w:rPr>
                <w:sz w:val="20"/>
                <w:szCs w:val="20"/>
                <w:color w:val="auto"/>
              </w:rPr>
            </w:pPr>
            <w:r>
              <w:rPr>
                <w:rFonts w:ascii="Arial" w:cs="Arial" w:eastAsia="Arial" w:hAnsi="Arial"/>
                <w:sz w:val="14"/>
                <w:szCs w:val="14"/>
                <w:color w:val="auto"/>
              </w:rPr>
              <w:t>6,072,697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1,139,032</w:t>
            </w:r>
          </w:p>
        </w:tc>
        <w:tc>
          <w:tcPr>
            <w:tcW w:w="100" w:type="dxa"/>
            <w:vAlign w:val="bottom"/>
          </w:tcPr>
          <w:p>
            <w:pPr>
              <w:spacing w:after="0"/>
              <w:rPr>
                <w:sz w:val="14"/>
                <w:szCs w:val="14"/>
                <w:color w:val="auto"/>
              </w:rPr>
            </w:pPr>
          </w:p>
        </w:tc>
      </w:tr>
      <w:tr>
        <w:trPr>
          <w:trHeight w:val="143"/>
        </w:trPr>
        <w:tc>
          <w:tcPr>
            <w:tcW w:w="2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2"/>
                <w:szCs w:val="12"/>
                <w:color w:val="auto"/>
              </w:rPr>
              <w:t>(3)(6)(13)(18)</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8.4%,</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4/27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9.9%</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4,088,504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2,514,130</w:t>
            </w:r>
          </w:p>
        </w:tc>
        <w:tc>
          <w:tcPr>
            <w:tcW w:w="100" w:type="dxa"/>
            <w:vAlign w:val="bottom"/>
            <w:shd w:val="clear" w:color="auto" w:fill="CFF0FC"/>
          </w:tcPr>
          <w:p>
            <w:pPr>
              <w:spacing w:after="0"/>
              <w:rPr>
                <w:sz w:val="14"/>
                <w:szCs w:val="14"/>
                <w:color w:val="auto"/>
              </w:rPr>
            </w:pPr>
          </w:p>
        </w:tc>
      </w:tr>
      <w:tr>
        <w:trPr>
          <w:trHeight w:val="143"/>
        </w:trPr>
        <w:tc>
          <w:tcPr>
            <w:tcW w:w="2660" w:type="dxa"/>
            <w:vAlign w:val="bottom"/>
          </w:tcPr>
          <w:p>
            <w:pPr>
              <w:spacing w:after="0" w:line="14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1/29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12/21/2016</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24.9%</w:t>
            </w:r>
          </w:p>
        </w:tc>
        <w:tc>
          <w:tcPr>
            <w:tcW w:w="920" w:type="dxa"/>
            <w:vAlign w:val="bottom"/>
          </w:tcPr>
          <w:p>
            <w:pPr>
              <w:jc w:val="right"/>
              <w:spacing w:after="0"/>
              <w:rPr>
                <w:sz w:val="20"/>
                <w:szCs w:val="20"/>
                <w:color w:val="auto"/>
              </w:rPr>
            </w:pPr>
            <w:r>
              <w:rPr>
                <w:rFonts w:ascii="Arial" w:cs="Arial" w:eastAsia="Arial" w:hAnsi="Arial"/>
                <w:sz w:val="14"/>
                <w:szCs w:val="14"/>
                <w:color w:val="auto"/>
              </w:rPr>
              <w:t>9,253,304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6,395,016</w:t>
            </w:r>
          </w:p>
        </w:tc>
        <w:tc>
          <w:tcPr>
            <w:tcW w:w="100" w:type="dxa"/>
            <w:vAlign w:val="bottom"/>
          </w:tcPr>
          <w:p>
            <w:pPr>
              <w:spacing w:after="0"/>
              <w:rPr>
                <w:sz w:val="14"/>
                <w:szCs w:val="14"/>
                <w:color w:val="auto"/>
              </w:rPr>
            </w:pPr>
          </w:p>
        </w:tc>
      </w:tr>
      <w:tr>
        <w:trPr>
          <w:trHeight w:val="143"/>
        </w:trPr>
        <w:tc>
          <w:tcPr>
            <w:tcW w:w="2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2"/>
                <w:szCs w:val="12"/>
                <w:color w:val="auto"/>
              </w:rPr>
              <w:t>(3)(6)(13)(18)</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13.0%,</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10/31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9/27/2018</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24.8%</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9,594,090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8,530,753</w:t>
            </w:r>
          </w:p>
        </w:tc>
        <w:tc>
          <w:tcPr>
            <w:tcW w:w="100" w:type="dxa"/>
            <w:vAlign w:val="bottom"/>
            <w:shd w:val="clear" w:color="auto" w:fill="CFF0FC"/>
          </w:tcPr>
          <w:p>
            <w:pPr>
              <w:spacing w:after="0"/>
              <w:rPr>
                <w:sz w:val="14"/>
                <w:szCs w:val="14"/>
                <w:color w:val="auto"/>
              </w:rPr>
            </w:pPr>
          </w:p>
        </w:tc>
      </w:tr>
      <w:tr>
        <w:trPr>
          <w:trHeight w:val="162"/>
        </w:trPr>
        <w:tc>
          <w:tcPr>
            <w:tcW w:w="26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124"/>
        </w:trPr>
        <w:tc>
          <w:tcPr>
            <w:tcW w:w="2660" w:type="dxa"/>
            <w:vAlign w:val="bottom"/>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Investment in CLO</w:t>
            </w:r>
          </w:p>
        </w:tc>
        <w:tc>
          <w:tcPr>
            <w:tcW w:w="140" w:type="dxa"/>
            <w:vAlign w:val="bottom"/>
            <w:shd w:val="clear" w:color="auto" w:fill="CFF0FC"/>
          </w:tcPr>
          <w:p>
            <w:pPr>
              <w:spacing w:after="0"/>
              <w:rPr>
                <w:sz w:val="10"/>
                <w:szCs w:val="10"/>
                <w:color w:val="auto"/>
              </w:rPr>
            </w:pPr>
          </w:p>
        </w:tc>
        <w:tc>
          <w:tcPr>
            <w:tcW w:w="3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26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Subordinated Securities</w:t>
            </w:r>
          </w:p>
        </w:tc>
        <w:tc>
          <w:tcPr>
            <w:tcW w:w="140" w:type="dxa"/>
            <w:vAlign w:val="bottom"/>
            <w:shd w:val="clear" w:color="auto" w:fill="CFF0FC"/>
          </w:tcPr>
          <w:p>
            <w:pPr>
              <w:spacing w:after="0"/>
              <w:rPr>
                <w:sz w:val="13"/>
                <w:szCs w:val="13"/>
                <w:color w:val="auto"/>
              </w:rPr>
            </w:pPr>
          </w:p>
        </w:tc>
        <w:tc>
          <w:tcPr>
            <w:tcW w:w="3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46,618,717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31,968,202</w:t>
            </w:r>
          </w:p>
        </w:tc>
        <w:tc>
          <w:tcPr>
            <w:tcW w:w="100" w:type="dxa"/>
            <w:vAlign w:val="bottom"/>
            <w:shd w:val="clear" w:color="auto" w:fill="CFF0FC"/>
          </w:tcPr>
          <w:p>
            <w:pPr>
              <w:spacing w:after="0"/>
              <w:rPr>
                <w:sz w:val="13"/>
                <w:szCs w:val="13"/>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560" w:type="dxa"/>
            <w:vAlign w:val="bottom"/>
            <w:gridSpan w:val="3"/>
          </w:tcPr>
          <w:p>
            <w:pPr>
              <w:jc w:val="right"/>
              <w:ind w:right="677"/>
              <w:spacing w:after="0" w:line="135"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Value2</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(8)(13)(16)</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2" w:lineRule="exact"/>
              <w:rPr>
                <w:sz w:val="20"/>
                <w:szCs w:val="20"/>
                <w:color w:val="auto"/>
              </w:rPr>
            </w:pPr>
            <w:r>
              <w:rPr>
                <w:rFonts w:ascii="Arial" w:cs="Arial" w:eastAsia="Arial" w:hAnsi="Arial"/>
                <w:sz w:val="13"/>
                <w:szCs w:val="13"/>
                <w:color w:val="auto"/>
                <w:w w:val="86"/>
              </w:rPr>
              <w:t>12/11/2006</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24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0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Affiliates (2% of net asset value</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at fair value)</w:t>
            </w:r>
          </w:p>
        </w:tc>
        <w:tc>
          <w:tcPr>
            <w:tcW w:w="2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580" w:type="dxa"/>
            <w:vAlign w:val="bottom"/>
            <w:gridSpan w:val="3"/>
          </w:tcPr>
          <w:p>
            <w:pPr>
              <w:jc w:val="right"/>
              <w:ind w:right="708"/>
              <w:spacing w:after="0" w:line="135" w:lineRule="exact"/>
              <w:rPr>
                <w:sz w:val="20"/>
                <w:szCs w:val="20"/>
                <w:color w:val="auto"/>
              </w:rPr>
            </w:pPr>
            <w:r>
              <w:rPr>
                <w:rFonts w:ascii="Arial" w:cs="Arial" w:eastAsia="Arial" w:hAnsi="Arial"/>
                <w:sz w:val="13"/>
                <w:szCs w:val="13"/>
                <w:b w:val="1"/>
                <w:bCs w:val="1"/>
                <w:color w:val="auto"/>
              </w:rPr>
              <w:t>Percentage</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0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Pr>
          <w:p>
            <w:pPr>
              <w:spacing w:after="0"/>
              <w:rPr>
                <w:sz w:val="13"/>
                <w:szCs w:val="13"/>
                <w:color w:val="auto"/>
              </w:rPr>
            </w:pPr>
          </w:p>
        </w:tc>
        <w:tc>
          <w:tcPr>
            <w:tcW w:w="3020" w:type="dxa"/>
            <w:vAlign w:val="bottom"/>
            <w:gridSpan w:val="2"/>
          </w:tcPr>
          <w:p>
            <w:pPr>
              <w:ind w:left="10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580" w:type="dxa"/>
            <w:vAlign w:val="bottom"/>
            <w:gridSpan w:val="3"/>
          </w:tcPr>
          <w:p>
            <w:pPr>
              <w:jc w:val="right"/>
              <w:ind w:right="708"/>
              <w:spacing w:after="0"/>
              <w:rPr>
                <w:sz w:val="20"/>
                <w:szCs w:val="20"/>
                <w:color w:val="auto"/>
              </w:rPr>
            </w:pPr>
            <w:r>
              <w:rPr>
                <w:rFonts w:ascii="Arial" w:cs="Arial" w:eastAsia="Arial" w:hAnsi="Arial"/>
                <w:sz w:val="13"/>
                <w:szCs w:val="13"/>
                <w:b w:val="1"/>
                <w:bCs w:val="1"/>
                <w:color w:val="auto"/>
              </w:rPr>
              <w:t>Ownership</w:t>
            </w:r>
          </w:p>
        </w:tc>
        <w:tc>
          <w:tcPr>
            <w:tcW w:w="820" w:type="dxa"/>
            <w:vAlign w:val="bottom"/>
          </w:tcPr>
          <w:p>
            <w:pPr>
              <w:jc w:val="right"/>
              <w:ind w:right="337"/>
              <w:spacing w:after="0"/>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Fair Value</w:t>
            </w:r>
          </w:p>
        </w:tc>
      </w:tr>
      <w:tr>
        <w:trPr>
          <w:trHeight w:val="128"/>
        </w:trPr>
        <w:tc>
          <w:tcPr>
            <w:tcW w:w="29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(13)(22)</w:t>
            </w:r>
          </w:p>
        </w:tc>
        <w:tc>
          <w:tcPr>
            <w:tcW w:w="140" w:type="dxa"/>
            <w:vAlign w:val="bottom"/>
            <w:tcBorders>
              <w:top w:val="single" w:sz="8" w:color="CFF0FC"/>
            </w:tcBorders>
            <w:shd w:val="clear" w:color="auto" w:fill="CFF0FC"/>
          </w:tcPr>
          <w:p>
            <w:pPr>
              <w:spacing w:after="0"/>
              <w:rPr>
                <w:sz w:val="11"/>
                <w:szCs w:val="11"/>
                <w:color w:val="auto"/>
              </w:rPr>
            </w:pPr>
          </w:p>
        </w:tc>
        <w:tc>
          <w:tcPr>
            <w:tcW w:w="28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2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Banking, Finance, Insurance &amp; Real Estate</w:t>
            </w:r>
          </w:p>
        </w:tc>
        <w:tc>
          <w:tcPr>
            <w:tcW w:w="31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2"/>
                <w:szCs w:val="12"/>
                <w:color w:val="auto"/>
              </w:rPr>
            </w:pPr>
          </w:p>
        </w:tc>
        <w:tc>
          <w:tcPr>
            <w:tcW w:w="158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(41,093)</w:t>
            </w:r>
          </w:p>
        </w:tc>
      </w:tr>
      <w:tr>
        <w:trPr>
          <w:trHeight w:val="148"/>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(13)(22)</w:t>
            </w:r>
          </w:p>
        </w:tc>
        <w:tc>
          <w:tcPr>
            <w:tcW w:w="14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31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6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7,656</w:t>
            </w:r>
          </w:p>
        </w:tc>
        <w:tc>
          <w:tcPr>
            <w:tcW w:w="100" w:type="dxa"/>
            <w:vAlign w:val="bottom"/>
            <w:shd w:val="clear" w:color="auto" w:fill="CFF0FC"/>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8"/>
              </w:rPr>
              <w:t>Total Derivatives (0% of net asset value at fair value)</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spacing w:after="0"/>
              <w:rPr>
                <w:sz w:val="12"/>
                <w:szCs w:val="12"/>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(33,437)</w:t>
            </w: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Ventures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Percentage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Ownership</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FF0FC"/>
            </w:tcBorders>
          </w:tcPr>
          <w:p>
            <w:pPr>
              <w:spacing w:after="0"/>
              <w:rPr>
                <w:sz w:val="13"/>
                <w:szCs w:val="13"/>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LLC(9)(13)(16)</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60%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
              <w:spacing w:after="0" w:line="142"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60" w:type="dxa"/>
            <w:vAlign w:val="bottom"/>
            <w:gridSpan w:val="2"/>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2"/>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21,307,899</w:t>
            </w:r>
          </w:p>
        </w:tc>
        <w:tc>
          <w:tcPr>
            <w:tcW w:w="100" w:type="dxa"/>
            <w:vAlign w:val="bottom"/>
            <w:shd w:val="clear" w:color="auto" w:fill="CFF0FC"/>
          </w:tcPr>
          <w:p>
            <w:pPr>
              <w:spacing w:after="0"/>
              <w:rPr>
                <w:sz w:val="12"/>
                <w:szCs w:val="12"/>
                <w:color w:val="auto"/>
              </w:rPr>
            </w:pPr>
          </w:p>
        </w:tc>
      </w:tr>
      <w:tr>
        <w:trPr>
          <w:trHeight w:val="148"/>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 LP(10)(17)(18)</w:t>
            </w:r>
          </w:p>
        </w:tc>
        <w:tc>
          <w:tcPr>
            <w:tcW w:w="14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Limited Partnership</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Joint Venture</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37.2%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23,679,681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23,780,068</w:t>
            </w:r>
          </w:p>
        </w:tc>
        <w:tc>
          <w:tcPr>
            <w:tcW w:w="100" w:type="dxa"/>
            <w:vAlign w:val="bottom"/>
            <w:shd w:val="clear" w:color="auto" w:fill="CFF0FC"/>
          </w:tcPr>
          <w:p>
            <w:pPr>
              <w:spacing w:after="0"/>
              <w:rPr>
                <w:sz w:val="12"/>
                <w:szCs w:val="12"/>
                <w:color w:val="auto"/>
              </w:rPr>
            </w:pPr>
          </w:p>
        </w:tc>
      </w:tr>
      <w:tr>
        <w:trPr>
          <w:trHeight w:val="124"/>
        </w:trPr>
        <w:tc>
          <w:tcPr>
            <w:tcW w:w="290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Borders>
              <w:top w:val="single" w:sz="8" w:color="auto"/>
            </w:tcBorders>
          </w:tcPr>
          <w:p>
            <w:pPr>
              <w:spacing w:after="0"/>
              <w:rPr>
                <w:sz w:val="10"/>
                <w:szCs w:val="10"/>
                <w:color w:val="auto"/>
              </w:rPr>
            </w:pPr>
          </w:p>
        </w:tc>
        <w:tc>
          <w:tcPr>
            <w:tcW w:w="28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2900" w:type="dxa"/>
            <w:vAlign w:val="bottom"/>
          </w:tcPr>
          <w:p>
            <w:pPr>
              <w:ind w:left="100"/>
              <w:spacing w:after="0"/>
              <w:rPr>
                <w:sz w:val="20"/>
                <w:szCs w:val="20"/>
                <w:color w:val="auto"/>
              </w:rPr>
            </w:pPr>
            <w:r>
              <w:rPr>
                <w:rFonts w:ascii="Arial" w:cs="Arial" w:eastAsia="Arial" w:hAnsi="Arial"/>
                <w:sz w:val="13"/>
                <w:szCs w:val="13"/>
                <w:b w:val="1"/>
                <w:bCs w:val="1"/>
                <w:color w:val="auto"/>
              </w:rPr>
              <w:t>(29% of net asset value at fair value)</w:t>
            </w: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gridSpan w:val="2"/>
          </w:tcPr>
          <w:p>
            <w:pPr>
              <w:jc w:val="right"/>
              <w:ind w:right="44"/>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48,594,539</w:t>
            </w:r>
          </w:p>
        </w:tc>
        <w:tc>
          <w:tcPr>
            <w:tcW w:w="420" w:type="dxa"/>
            <w:vAlign w:val="bottom"/>
            <w:gridSpan w:val="4"/>
          </w:tcPr>
          <w:p>
            <w:pPr>
              <w:jc w:val="right"/>
              <w:ind w:right="62"/>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45,087,967</w:t>
            </w:r>
          </w:p>
        </w:tc>
        <w:tc>
          <w:tcPr>
            <w:tcW w:w="100" w:type="dxa"/>
            <w:vAlign w:val="bottom"/>
          </w:tcPr>
          <w:p>
            <w:pPr>
              <w:spacing w:after="0"/>
              <w:rPr>
                <w:sz w:val="13"/>
                <w:szCs w:val="13"/>
                <w:color w:val="auto"/>
              </w:rPr>
            </w:pPr>
          </w:p>
        </w:tc>
      </w:tr>
      <w:tr>
        <w:trPr>
          <w:trHeight w:val="426"/>
        </w:trPr>
        <w:tc>
          <w:tcPr>
            <w:tcW w:w="29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ind w:right="97"/>
              <w:spacing w:after="0"/>
              <w:rPr>
                <w:sz w:val="20"/>
                <w:szCs w:val="20"/>
                <w:color w:val="auto"/>
              </w:rPr>
            </w:pPr>
            <w:r>
              <w:rPr>
                <w:rFonts w:ascii="Arial" w:cs="Arial" w:eastAsia="Arial" w:hAnsi="Arial"/>
                <w:sz w:val="13"/>
                <w:szCs w:val="13"/>
                <w:b w:val="1"/>
                <w:bCs w:val="1"/>
                <w:color w:val="auto"/>
                <w:w w:val="85"/>
              </w:rPr>
              <w:t>Par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2"/>
              </w:rPr>
              <w:t>/Amortized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Short-term Investments</w:t>
            </w:r>
          </w:p>
        </w:tc>
        <w:tc>
          <w:tcPr>
            <w:tcW w:w="1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5"/>
              </w:rPr>
              <w:t>Fair Value2</w:t>
            </w:r>
          </w:p>
        </w:tc>
        <w:tc>
          <w:tcPr>
            <w:tcW w:w="100" w:type="dxa"/>
            <w:vAlign w:val="bottom"/>
            <w:tcBorders>
              <w:bottom w:val="single" w:sz="8" w:color="CFF0FC"/>
            </w:tcBorders>
          </w:tcPr>
          <w:p>
            <w:pPr>
              <w:spacing w:after="0"/>
              <w:rPr>
                <w:sz w:val="13"/>
                <w:szCs w:val="13"/>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US Bank Money Market Account(7)(8)</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Money Market Account</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917"/>
              <w:spacing w:after="0" w:line="142" w:lineRule="exact"/>
              <w:rPr>
                <w:sz w:val="20"/>
                <w:szCs w:val="20"/>
                <w:color w:val="auto"/>
              </w:rPr>
            </w:pPr>
            <w:r>
              <w:rPr>
                <w:rFonts w:ascii="Arial" w:cs="Arial" w:eastAsia="Arial" w:hAnsi="Arial"/>
                <w:sz w:val="13"/>
                <w:szCs w:val="13"/>
                <w:color w:val="auto"/>
                <w:w w:val="92"/>
              </w:rPr>
              <w:t>N/A</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0.45%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4,207,107</w:t>
            </w:r>
          </w:p>
        </w:tc>
        <w:tc>
          <w:tcPr>
            <w:tcW w:w="280" w:type="dxa"/>
            <w:vAlign w:val="bottom"/>
            <w:gridSpan w:val="3"/>
            <w:shd w:val="clear" w:color="auto" w:fill="CFF0FC"/>
          </w:tcPr>
          <w:p>
            <w:pPr>
              <w:spacing w:after="0"/>
              <w:rPr>
                <w:sz w:val="12"/>
                <w:szCs w:val="12"/>
                <w:color w:val="auto"/>
              </w:rPr>
            </w:pPr>
          </w:p>
        </w:tc>
        <w:tc>
          <w:tcPr>
            <w:tcW w:w="140" w:type="dxa"/>
            <w:vAlign w:val="bottom"/>
            <w:shd w:val="clear" w:color="auto" w:fill="CFF0FC"/>
          </w:tcPr>
          <w:p>
            <w:pPr>
              <w:jc w:val="right"/>
              <w:ind w:right="62"/>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4,207,107</w:t>
            </w:r>
          </w:p>
        </w:tc>
        <w:tc>
          <w:tcPr>
            <w:tcW w:w="100" w:type="dxa"/>
            <w:vAlign w:val="bottom"/>
            <w:shd w:val="clear" w:color="auto" w:fill="CFF0FC"/>
          </w:tcPr>
          <w:p>
            <w:pPr>
              <w:spacing w:after="0"/>
              <w:rPr>
                <w:sz w:val="12"/>
                <w:szCs w:val="12"/>
                <w:color w:val="auto"/>
              </w:rPr>
            </w:pPr>
          </w:p>
        </w:tc>
      </w:tr>
      <w:tr>
        <w:trPr>
          <w:trHeight w:val="149"/>
        </w:trPr>
        <w:tc>
          <w:tcPr>
            <w:tcW w:w="29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8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24"/>
        </w:trPr>
        <w:tc>
          <w:tcPr>
            <w:tcW w:w="2900" w:type="dxa"/>
            <w:vAlign w:val="bottom"/>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Short-term Investments</w:t>
            </w:r>
          </w:p>
        </w:tc>
        <w:tc>
          <w:tcPr>
            <w:tcW w:w="140" w:type="dxa"/>
            <w:vAlign w:val="bottom"/>
            <w:shd w:val="clear" w:color="auto" w:fill="CFF0FC"/>
          </w:tcPr>
          <w:p>
            <w:pPr>
              <w:spacing w:after="0"/>
              <w:rPr>
                <w:sz w:val="10"/>
                <w:szCs w:val="10"/>
                <w:color w:val="auto"/>
              </w:rPr>
            </w:pPr>
          </w:p>
        </w:tc>
        <w:tc>
          <w:tcPr>
            <w:tcW w:w="2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29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(2% of net asset value at fair value)</w:t>
            </w:r>
          </w:p>
        </w:tc>
        <w:tc>
          <w:tcPr>
            <w:tcW w:w="14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44"/>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4,207,107</w:t>
            </w:r>
          </w:p>
        </w:tc>
        <w:tc>
          <w:tcPr>
            <w:tcW w:w="420" w:type="dxa"/>
            <w:vAlign w:val="bottom"/>
            <w:gridSpan w:val="4"/>
            <w:shd w:val="clear" w:color="auto" w:fill="CFF0FC"/>
          </w:tcPr>
          <w:p>
            <w:pPr>
              <w:jc w:val="right"/>
              <w:ind w:right="62"/>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4,207,107</w:t>
            </w:r>
          </w:p>
        </w:tc>
        <w:tc>
          <w:tcPr>
            <w:tcW w:w="100" w:type="dxa"/>
            <w:vAlign w:val="bottom"/>
            <w:shd w:val="clear" w:color="auto" w:fill="CFF0FC"/>
          </w:tcPr>
          <w:p>
            <w:pPr>
              <w:spacing w:after="0"/>
              <w:rPr>
                <w:sz w:val="13"/>
                <w:szCs w:val="13"/>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w:t>
            </w: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334,089,559</w:t>
            </w:r>
          </w:p>
        </w:tc>
        <w:tc>
          <w:tcPr>
            <w:tcW w:w="280" w:type="dxa"/>
            <w:vAlign w:val="bottom"/>
            <w:gridSpan w:val="3"/>
          </w:tcPr>
          <w:p>
            <w:pPr>
              <w:spacing w:after="0"/>
              <w:rPr>
                <w:sz w:val="12"/>
                <w:szCs w:val="12"/>
                <w:color w:val="auto"/>
              </w:rPr>
            </w:pPr>
          </w:p>
        </w:tc>
        <w:tc>
          <w:tcPr>
            <w:tcW w:w="140" w:type="dxa"/>
            <w:vAlign w:val="bottom"/>
            <w:tcBorders>
              <w:top w:val="single" w:sz="8" w:color="auto"/>
            </w:tcBorders>
          </w:tcPr>
          <w:p>
            <w:pPr>
              <w:jc w:val="right"/>
              <w:ind w:right="62"/>
              <w:spacing w:after="0"/>
              <w:rPr>
                <w:sz w:val="20"/>
                <w:szCs w:val="20"/>
                <w:color w:val="auto"/>
              </w:rPr>
            </w:pPr>
            <w:r>
              <w:rPr>
                <w:rFonts w:ascii="Arial" w:cs="Arial" w:eastAsia="Arial" w:hAnsi="Arial"/>
                <w:sz w:val="5"/>
                <w:szCs w:val="5"/>
                <w:b w:val="1"/>
                <w:bCs w:val="1"/>
                <w:color w:val="auto"/>
                <w:w w:val="70"/>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277,897,166</w:t>
            </w:r>
          </w:p>
        </w:tc>
        <w:tc>
          <w:tcPr>
            <w:tcW w:w="100" w:type="dxa"/>
            <w:vAlign w:val="bottom"/>
          </w:tcPr>
          <w:p>
            <w:pPr>
              <w:spacing w:after="0"/>
              <w:rPr>
                <w:sz w:val="12"/>
                <w:szCs w:val="12"/>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380" w:right="60" w:hanging="372"/>
        <w:spacing w:after="0" w:line="253" w:lineRule="auto"/>
        <w:tabs>
          <w:tab w:leader="none" w:pos="380" w:val="left"/>
        </w:tabs>
        <w:numPr>
          <w:ilvl w:val="0"/>
          <w:numId w:val="9"/>
        </w:numPr>
        <w:rPr>
          <w:rFonts w:ascii="Arial" w:cs="Arial" w:eastAsia="Arial" w:hAnsi="Arial"/>
          <w:sz w:val="15"/>
          <w:szCs w:val="15"/>
          <w:color w:val="auto"/>
        </w:rPr>
      </w:pPr>
      <w:r>
        <w:rPr>
          <w:rFonts w:ascii="Arial" w:cs="Arial" w:eastAsia="Arial" w:hAnsi="Arial"/>
          <w:sz w:val="13"/>
          <w:szCs w:val="13"/>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December 31, 2019 loan. For each such loan, the Company has provided the weighted average annual stated interest rate in</w:t>
      </w:r>
    </w:p>
    <w:p>
      <w:pPr>
        <w:ind w:left="380"/>
        <w:spacing w:after="0" w:line="226" w:lineRule="auto"/>
        <w:rPr>
          <w:sz w:val="20"/>
          <w:szCs w:val="20"/>
          <w:color w:val="auto"/>
        </w:rPr>
      </w:pPr>
      <w:r>
        <w:rPr>
          <w:rFonts w:ascii="Arial" w:cs="Arial" w:eastAsia="Arial" w:hAnsi="Arial"/>
          <w:sz w:val="15"/>
          <w:szCs w:val="15"/>
          <w:color w:val="auto"/>
        </w:rPr>
        <w:t>effect at December 31, 2019. As noted in the table above, 82% (based on par) of debt securities contain floors which range between 1.00% and 1.50%.</w:t>
      </w:r>
    </w:p>
    <w:p>
      <w:pPr>
        <w:ind w:left="380" w:hanging="372"/>
        <w:spacing w:after="0" w:line="224"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5"/>
          <w:szCs w:val="15"/>
          <w:color w:val="auto"/>
        </w:rPr>
        <w:t>Reflects the fair market value of all investments as of December 31, 2019 as determined by the Company’s Board of Directors.</w:t>
      </w:r>
    </w:p>
    <w:p>
      <w:pPr>
        <w:spacing w:after="0" w:line="7" w:lineRule="exact"/>
        <w:rPr>
          <w:rFonts w:ascii="Arial" w:cs="Arial" w:eastAsia="Arial" w:hAnsi="Arial"/>
          <w:sz w:val="17"/>
          <w:szCs w:val="17"/>
          <w:color w:val="auto"/>
        </w:rPr>
      </w:pP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3    </w:t>
      </w:r>
      <w:r>
        <w:rPr>
          <w:rFonts w:ascii="Arial" w:cs="Arial" w:eastAsia="Arial" w:hAnsi="Arial"/>
          <w:sz w:val="15"/>
          <w:szCs w:val="15"/>
          <w:color w:val="auto"/>
        </w:rPr>
        <w:t>Non-U.S. company or principal place of business outside the U.S.</w:t>
      </w:r>
    </w:p>
    <w:p>
      <w:pPr>
        <w:ind w:left="380" w:right="1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5"/>
          <w:szCs w:val="15"/>
          <w:color w:val="auto"/>
        </w:rPr>
        <w:t>The aggregate cost of investments for federal income tax purposes is approximately $348 million. The aggregate gross unrealized appreciation is approximately $27.2 million,</w:t>
      </w:r>
      <w:r>
        <w:rPr>
          <w:rFonts w:ascii="Arial" w:cs="Arial" w:eastAsia="Arial" w:hAnsi="Arial"/>
          <w:sz w:val="17"/>
          <w:szCs w:val="17"/>
          <w:color w:val="auto"/>
        </w:rPr>
        <w:t xml:space="preserve"> </w:t>
      </w:r>
      <w:r>
        <w:rPr>
          <w:rFonts w:ascii="Arial" w:cs="Arial" w:eastAsia="Arial" w:hAnsi="Arial"/>
          <w:sz w:val="15"/>
          <w:szCs w:val="15"/>
          <w:color w:val="auto"/>
        </w:rPr>
        <w:t>the aggregate gross unrealized depreciation is approximately $94.9 million, and the net unrealized depreciation is approximately $67.9 million.</w:t>
      </w:r>
    </w:p>
    <w:p>
      <w:pPr>
        <w:spacing w:after="0" w:line="1" w:lineRule="exact"/>
        <w:rPr>
          <w:rFonts w:ascii="Arial" w:cs="Arial" w:eastAsia="Arial" w:hAnsi="Arial"/>
          <w:sz w:val="17"/>
          <w:szCs w:val="17"/>
          <w:color w:val="auto"/>
        </w:rPr>
      </w:pP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5"/>
          <w:szCs w:val="15"/>
          <w:color w:val="auto"/>
        </w:rPr>
        <w:t>Loan or debt security is on non-accrual status and therefore is considered non-income producing.</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6    </w:t>
      </w:r>
      <w:r>
        <w:rPr>
          <w:rFonts w:ascii="Arial" w:cs="Arial" w:eastAsia="Arial" w:hAnsi="Arial"/>
          <w:sz w:val="15"/>
          <w:szCs w:val="15"/>
          <w:color w:val="auto"/>
        </w:rPr>
        <w:t>A CLO Fund managed by an affiliate of LibreMax.</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5"/>
          <w:szCs w:val="15"/>
          <w:color w:val="auto"/>
        </w:rPr>
        <w:t>Money market account.</w:t>
      </w:r>
    </w:p>
    <w:p>
      <w:pPr>
        <w:ind w:left="3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8 </w:t>
      </w:r>
      <w:r>
        <w:rPr>
          <w:rFonts w:ascii="Arial" w:cs="Arial" w:eastAsia="Arial" w:hAnsi="Arial"/>
          <w:sz w:val="15"/>
          <w:szCs w:val="15"/>
          <w:color w:val="auto"/>
        </w:rPr>
        <w:t>Qualified asset for purposes of section 55(a) of the Investment Company Act of 1940, as amended (the “1940 Act”). Qualifying assets represent approximately 74.7% of the total</w:t>
      </w:r>
      <w:r>
        <w:rPr>
          <w:rFonts w:ascii="Arial" w:cs="Arial" w:eastAsia="Arial" w:hAnsi="Arial"/>
          <w:sz w:val="17"/>
          <w:szCs w:val="17"/>
          <w:color w:val="auto"/>
        </w:rPr>
        <w:t xml:space="preserve"> </w:t>
      </w:r>
      <w:r>
        <w:rPr>
          <w:rFonts w:ascii="Arial" w:cs="Arial" w:eastAsia="Arial" w:hAnsi="Arial"/>
          <w:sz w:val="15"/>
          <w:szCs w:val="15"/>
          <w:color w:val="auto"/>
        </w:rPr>
        <w:t>assets at December 31, 2019.</w:t>
      </w:r>
    </w:p>
    <w:p>
      <w:pPr>
        <w:spacing w:after="0" w:line="1" w:lineRule="exact"/>
        <w:rPr>
          <w:rFonts w:ascii="Arial" w:cs="Arial" w:eastAsia="Arial" w:hAnsi="Arial"/>
          <w:sz w:val="17"/>
          <w:szCs w:val="17"/>
          <w:color w:val="auto"/>
        </w:rPr>
      </w:pPr>
    </w:p>
    <w:p>
      <w:pPr>
        <w:ind w:left="380" w:right="40" w:hanging="364"/>
        <w:spacing w:after="0" w:line="207" w:lineRule="auto"/>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15"/>
          <w:szCs w:val="15"/>
          <w:color w:val="auto"/>
        </w:rPr>
        <w:t>As defined in the 1940 Act, the Company is deemed to be both an “Affiliated Person” and has “Control” of this portfolio company as the Company owns more than 25% of the</w:t>
      </w:r>
      <w:r>
        <w:rPr>
          <w:rFonts w:ascii="Arial" w:cs="Arial" w:eastAsia="Arial" w:hAnsi="Arial"/>
          <w:sz w:val="17"/>
          <w:szCs w:val="17"/>
          <w:color w:val="auto"/>
        </w:rPr>
        <w:t xml:space="preserve"> </w:t>
      </w:r>
      <w:r>
        <w:rPr>
          <w:rFonts w:ascii="Arial" w:cs="Arial" w:eastAsia="Arial" w:hAnsi="Arial"/>
          <w:sz w:val="15"/>
          <w:szCs w:val="15"/>
          <w:color w:val="auto"/>
        </w:rPr>
        <w:t>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5"/>
          <w:szCs w:val="15"/>
          <w:color w:val="auto"/>
        </w:rPr>
        <w:t>Non-voting.</w:t>
      </w:r>
    </w:p>
    <w:p>
      <w:pPr>
        <w:ind w:left="380" w:hanging="364"/>
        <w:spacing w:after="0" w:line="220" w:lineRule="auto"/>
        <w:rPr>
          <w:rFonts w:ascii="Arial" w:cs="Arial" w:eastAsia="Arial" w:hAnsi="Arial"/>
          <w:sz w:val="17"/>
          <w:szCs w:val="17"/>
          <w:color w:val="auto"/>
        </w:rPr>
      </w:pPr>
      <w:r>
        <w:rPr>
          <w:rFonts w:ascii="Arial" w:cs="Arial" w:eastAsia="Arial" w:hAnsi="Arial"/>
          <w:sz w:val="16"/>
          <w:szCs w:val="16"/>
          <w:color w:val="auto"/>
        </w:rPr>
        <w:t xml:space="preserve">11 </w:t>
      </w:r>
      <w:r>
        <w:rPr>
          <w:rFonts w:ascii="Arial" w:cs="Arial" w:eastAsia="Arial" w:hAnsi="Arial"/>
          <w:sz w:val="14"/>
          <w:szCs w:val="14"/>
          <w:color w:val="auto"/>
        </w:rPr>
        <w:t>CLO Subordinated Investments are entitled to periodic distributions which are generally equal to the remaining cash flow of the payments made by the underlying fund’s</w:t>
      </w:r>
      <w:r>
        <w:rPr>
          <w:rFonts w:ascii="Arial" w:cs="Arial" w:eastAsia="Arial" w:hAnsi="Arial"/>
          <w:sz w:val="16"/>
          <w:szCs w:val="16"/>
          <w:color w:val="auto"/>
        </w:rPr>
        <w:t xml:space="preserve"> </w:t>
      </w:r>
      <w:r>
        <w:rPr>
          <w:rFonts w:ascii="Arial" w:cs="Arial" w:eastAsia="Arial" w:hAnsi="Arial"/>
          <w:sz w:val="14"/>
          <w:szCs w:val="14"/>
          <w:color w:val="auto"/>
        </w:rPr>
        <w:t>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7"/>
          <w:szCs w:val="17"/>
          <w:color w:val="auto"/>
        </w:rPr>
      </w:pPr>
    </w:p>
    <w:p>
      <w:pPr>
        <w:ind w:left="380" w:right="2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12 </w:t>
      </w:r>
      <w:r>
        <w:rPr>
          <w:rFonts w:ascii="Arial" w:cs="Arial" w:eastAsia="Arial" w:hAnsi="Arial"/>
          <w:sz w:val="15"/>
          <w:szCs w:val="15"/>
          <w:color w:val="auto"/>
        </w:rPr>
        <w:t>This investment is on non-accrual status and receives a 5% royalty interest on oil being produced on certain fields. All production payments received are being applied to the</w:t>
      </w:r>
      <w:r>
        <w:rPr>
          <w:rFonts w:ascii="Arial" w:cs="Arial" w:eastAsia="Arial" w:hAnsi="Arial"/>
          <w:sz w:val="17"/>
          <w:szCs w:val="17"/>
          <w:color w:val="auto"/>
        </w:rPr>
        <w:t xml:space="preserve"> </w:t>
      </w:r>
      <w:r>
        <w:rPr>
          <w:rFonts w:ascii="Arial" w:cs="Arial" w:eastAsia="Arial" w:hAnsi="Arial"/>
          <w:sz w:val="15"/>
          <w:szCs w:val="15"/>
          <w:color w:val="auto"/>
        </w:rPr>
        <w:t>cost basis and are considered return of capital.</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13   </w:t>
      </w:r>
      <w:r>
        <w:rPr>
          <w:rFonts w:ascii="Arial" w:cs="Arial" w:eastAsia="Arial" w:hAnsi="Arial"/>
          <w:sz w:val="15"/>
          <w:szCs w:val="15"/>
          <w:color w:val="auto"/>
        </w:rPr>
        <w:t>Fair value of this investment was determined using significant unobservable inputs.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ind w:left="380" w:right="160" w:hanging="372"/>
        <w:spacing w:after="0" w:line="234"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4"/>
          <w:szCs w:val="14"/>
          <w:color w:val="auto"/>
        </w:rPr>
        <w:t>As of December 31, 2019, this investment is owned by Great Lakes Portman Ridge Funding, LLC and was pledged to secure Great Lakes Portman Ridge Funding, LLC’s debt obligation pursuant to its senior secured revolving credit facility (the “Revolving Credit Facility”) with JPMorgan Chase Bank, National Association (“JPM”).</w:t>
      </w:r>
    </w:p>
    <w:p>
      <w:pPr>
        <w:ind w:left="380" w:right="320" w:hanging="372"/>
        <w:spacing w:after="0" w:line="211"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380" w:right="120" w:hanging="372"/>
        <w:spacing w:after="0" w:line="211"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380" w:hanging="372"/>
        <w:spacing w:after="0" w:line="223"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7" w:lineRule="exact"/>
        <w:rPr>
          <w:rFonts w:ascii="Arial" w:cs="Arial" w:eastAsia="Arial" w:hAnsi="Arial"/>
          <w:sz w:val="17"/>
          <w:szCs w:val="17"/>
          <w:color w:val="auto"/>
        </w:rPr>
      </w:pPr>
    </w:p>
    <w:p>
      <w:pPr>
        <w:ind w:left="380" w:right="180" w:hanging="372"/>
        <w:spacing w:after="0" w:line="184" w:lineRule="auto"/>
        <w:tabs>
          <w:tab w:leader="none" w:pos="38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7" w:lineRule="auto"/>
        <w:tabs>
          <w:tab w:leader="none" w:pos="38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Non-income producing.</w:t>
      </w:r>
    </w:p>
    <w:p>
      <w:pPr>
        <w:ind w:left="380" w:hanging="372"/>
        <w:spacing w:after="0" w:line="187" w:lineRule="auto"/>
        <w:tabs>
          <w:tab w:leader="none" w:pos="38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Investment is entitled to skim interest which results in a higher interest rate spread of approximately 30 basis points.</w:t>
      </w:r>
    </w:p>
    <w:p>
      <w:pPr>
        <w:ind w:left="380" w:hanging="372"/>
        <w:spacing w:after="0" w:line="187" w:lineRule="auto"/>
        <w:tabs>
          <w:tab w:leader="none" w:pos="38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Owns 100% of Class A Units in OHA/OCI Investments, LLC representing 20.8% diluted ownership of OCI Holdings, LLC</w:t>
      </w:r>
    </w:p>
    <w:p>
      <w:pPr>
        <w:ind w:left="380" w:hanging="372"/>
        <w:spacing w:after="0" w:line="180" w:lineRule="auto"/>
        <w:tabs>
          <w:tab w:leader="none" w:pos="38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Information related to the Company’s derivatives is presented below as of December 31, 2019:</w:t>
      </w:r>
    </w:p>
    <w:tbl>
      <w:tblPr>
        <w:tblLayout w:type="fixed"/>
        <w:tblInd w:w="0" w:type="dxa"/>
        <w:tblCellMar>
          <w:top w:w="0" w:type="dxa"/>
          <w:left w:w="0" w:type="dxa"/>
          <w:bottom w:w="0" w:type="dxa"/>
          <w:right w:w="0" w:type="dxa"/>
        </w:tblCellMar>
      </w:tblPr>
      <w:tr>
        <w:trPr>
          <w:trHeight w:val="121"/>
        </w:trPr>
        <w:tc>
          <w:tcPr>
            <w:tcW w:w="206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4"/>
              </w:rPr>
              <w:t>Payments</w:t>
            </w:r>
          </w:p>
        </w:tc>
        <w:tc>
          <w:tcPr>
            <w:tcW w:w="1040" w:type="dxa"/>
            <w:vAlign w:val="bottom"/>
          </w:tcPr>
          <w:p>
            <w:pPr>
              <w:jc w:val="center"/>
              <w:ind w:left="137"/>
              <w:spacing w:after="0" w:line="121" w:lineRule="exact"/>
              <w:rPr>
                <w:sz w:val="20"/>
                <w:szCs w:val="20"/>
                <w:color w:val="auto"/>
              </w:rPr>
            </w:pPr>
            <w:r>
              <w:rPr>
                <w:rFonts w:ascii="Arial" w:cs="Arial" w:eastAsia="Arial" w:hAnsi="Arial"/>
                <w:sz w:val="13"/>
                <w:szCs w:val="13"/>
                <w:b w:val="1"/>
                <w:bCs w:val="1"/>
                <w:color w:val="auto"/>
                <w:w w:val="84"/>
              </w:rPr>
              <w:t>Payments</w:t>
            </w:r>
          </w:p>
        </w:tc>
        <w:tc>
          <w:tcPr>
            <w:tcW w:w="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left="17"/>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97"/>
              <w:spacing w:after="0" w:line="121" w:lineRule="exact"/>
              <w:rPr>
                <w:sz w:val="20"/>
                <w:szCs w:val="20"/>
                <w:color w:val="auto"/>
              </w:rPr>
            </w:pPr>
            <w:r>
              <w:rPr>
                <w:rFonts w:ascii="Arial" w:cs="Arial" w:eastAsia="Arial" w:hAnsi="Arial"/>
                <w:sz w:val="13"/>
                <w:szCs w:val="13"/>
                <w:b w:val="1"/>
                <w:bCs w:val="1"/>
                <w:color w:val="auto"/>
                <w:w w:val="89"/>
              </w:rPr>
              <w:t>Upfront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3"/>
          </w:tcPr>
          <w:p>
            <w:pPr>
              <w:jc w:val="center"/>
              <w:ind w:right="180"/>
              <w:spacing w:after="0" w:line="121" w:lineRule="exact"/>
              <w:rPr>
                <w:sz w:val="20"/>
                <w:szCs w:val="20"/>
                <w:color w:val="auto"/>
              </w:rPr>
            </w:pPr>
            <w:r>
              <w:rPr>
                <w:rFonts w:ascii="Arial" w:cs="Arial" w:eastAsia="Arial" w:hAnsi="Arial"/>
                <w:sz w:val="13"/>
                <w:szCs w:val="13"/>
                <w:b w:val="1"/>
                <w:bCs w:val="1"/>
                <w:color w:val="auto"/>
                <w:w w:val="88"/>
              </w:rPr>
              <w:t>Unrealized</w:t>
            </w:r>
          </w:p>
        </w:tc>
      </w:tr>
      <w:tr>
        <w:trPr>
          <w:trHeight w:val="153"/>
        </w:trPr>
        <w:tc>
          <w:tcPr>
            <w:tcW w:w="206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82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83"/>
              </w:rPr>
              <w:t>received</w:t>
            </w:r>
          </w:p>
        </w:tc>
        <w:tc>
          <w:tcPr>
            <w:tcW w:w="540" w:type="dxa"/>
            <w:vAlign w:val="bottom"/>
          </w:tcPr>
          <w:p>
            <w:pPr>
              <w:spacing w:after="0"/>
              <w:rPr>
                <w:sz w:val="13"/>
                <w:szCs w:val="13"/>
                <w:color w:val="auto"/>
              </w:rPr>
            </w:pPr>
          </w:p>
        </w:tc>
        <w:tc>
          <w:tcPr>
            <w:tcW w:w="1420" w:type="dxa"/>
            <w:vAlign w:val="bottom"/>
          </w:tcPr>
          <w:p>
            <w:pPr>
              <w:jc w:val="center"/>
              <w:ind w:right="37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Maturity date</w:t>
            </w:r>
          </w:p>
        </w:tc>
        <w:tc>
          <w:tcPr>
            <w:tcW w:w="820" w:type="dxa"/>
            <w:vAlign w:val="bottom"/>
            <w:gridSpan w:val="3"/>
          </w:tcPr>
          <w:p>
            <w:pPr>
              <w:jc w:val="center"/>
              <w:ind w:left="37"/>
              <w:spacing w:after="0"/>
              <w:rPr>
                <w:sz w:val="20"/>
                <w:szCs w:val="20"/>
                <w:color w:val="auto"/>
              </w:rPr>
            </w:pPr>
            <w:r>
              <w:rPr>
                <w:rFonts w:ascii="Arial" w:cs="Arial" w:eastAsia="Arial" w:hAnsi="Arial"/>
                <w:sz w:val="13"/>
                <w:szCs w:val="13"/>
                <w:b w:val="1"/>
                <w:bCs w:val="1"/>
                <w:color w:val="auto"/>
                <w:w w:val="85"/>
              </w:rPr>
              <w:t>amount</w:t>
            </w:r>
          </w:p>
        </w:tc>
        <w:tc>
          <w:tcPr>
            <w:tcW w:w="180" w:type="dxa"/>
            <w:vAlign w:val="bottom"/>
          </w:tcPr>
          <w:p>
            <w:pPr>
              <w:spacing w:after="0"/>
              <w:rPr>
                <w:sz w:val="13"/>
                <w:szCs w:val="13"/>
                <w:color w:val="auto"/>
              </w:rPr>
            </w:pPr>
          </w:p>
        </w:tc>
        <w:tc>
          <w:tcPr>
            <w:tcW w:w="1140" w:type="dxa"/>
            <w:vAlign w:val="bottom"/>
            <w:gridSpan w:val="4"/>
          </w:tcPr>
          <w:p>
            <w:pPr>
              <w:ind w:left="400"/>
              <w:spacing w:after="0"/>
              <w:rPr>
                <w:sz w:val="20"/>
                <w:szCs w:val="20"/>
                <w:color w:val="auto"/>
              </w:rPr>
            </w:pPr>
            <w:r>
              <w:rPr>
                <w:rFonts w:ascii="Arial" w:cs="Arial" w:eastAsia="Arial" w:hAnsi="Arial"/>
                <w:sz w:val="13"/>
                <w:szCs w:val="13"/>
                <w:b w:val="1"/>
                <w:bCs w:val="1"/>
                <w:color w:val="auto"/>
              </w:rPr>
              <w:t>Value</w:t>
            </w:r>
          </w:p>
        </w:tc>
        <w:tc>
          <w:tcPr>
            <w:tcW w:w="1180" w:type="dxa"/>
            <w:vAlign w:val="bottom"/>
          </w:tcPr>
          <w:p>
            <w:pPr>
              <w:jc w:val="center"/>
              <w:ind w:left="97"/>
              <w:spacing w:after="0"/>
              <w:rPr>
                <w:sz w:val="20"/>
                <w:szCs w:val="20"/>
                <w:color w:val="auto"/>
              </w:rPr>
            </w:pPr>
            <w:r>
              <w:rPr>
                <w:rFonts w:ascii="Arial" w:cs="Arial" w:eastAsia="Arial" w:hAnsi="Arial"/>
                <w:sz w:val="13"/>
                <w:szCs w:val="13"/>
                <w:b w:val="1"/>
                <w:bCs w:val="1"/>
                <w:color w:val="auto"/>
                <w:w w:val="85"/>
              </w:rPr>
              <w:t>payments/receipts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9"/>
              </w:rPr>
              <w:t>Securities Swap and Option Agreement</w:t>
            </w:r>
          </w:p>
        </w:tc>
        <w:tc>
          <w:tcPr>
            <w:tcW w:w="820" w:type="dxa"/>
            <w:vAlign w:val="bottom"/>
            <w:tcBorders>
              <w:top w:val="single" w:sz="8" w:color="auto"/>
            </w:tcBorders>
            <w:shd w:val="clear" w:color="auto" w:fill="CFF0FC"/>
          </w:tcPr>
          <w:p>
            <w:pPr>
              <w:ind w:left="40"/>
              <w:spacing w:after="0" w:line="142" w:lineRule="exact"/>
              <w:rPr>
                <w:sz w:val="20"/>
                <w:szCs w:val="20"/>
                <w:color w:val="auto"/>
              </w:rPr>
            </w:pPr>
            <w:r>
              <w:rPr>
                <w:rFonts w:ascii="Arial" w:cs="Arial" w:eastAsia="Arial" w:hAnsi="Arial"/>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color w:val="auto"/>
              </w:rPr>
              <w:t>16% Cash</w:t>
            </w:r>
          </w:p>
        </w:tc>
        <w:tc>
          <w:tcPr>
            <w:tcW w:w="1960" w:type="dxa"/>
            <w:vAlign w:val="bottom"/>
            <w:tcBorders>
              <w:top w:val="single" w:sz="8" w:color="auto"/>
            </w:tcBorders>
            <w:gridSpan w:val="2"/>
            <w:shd w:val="clear" w:color="auto" w:fill="CFF0FC"/>
          </w:tcPr>
          <w:p>
            <w:pPr>
              <w:jc w:val="center"/>
              <w:ind w:left="37"/>
              <w:spacing w:after="0" w:line="142" w:lineRule="exact"/>
              <w:rPr>
                <w:sz w:val="20"/>
                <w:szCs w:val="20"/>
                <w:color w:val="auto"/>
              </w:rPr>
            </w:pPr>
            <w:r>
              <w:rPr>
                <w:rFonts w:ascii="Arial" w:cs="Arial" w:eastAsia="Arial" w:hAnsi="Arial"/>
                <w:sz w:val="13"/>
                <w:szCs w:val="13"/>
                <w:color w:val="auto"/>
                <w:w w:val="90"/>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$ 5,500,000</w:t>
            </w:r>
          </w:p>
        </w:tc>
        <w:tc>
          <w:tcPr>
            <w:tcW w:w="1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ind w:left="60"/>
              <w:spacing w:after="0" w:line="142"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0"/>
              </w:rPr>
              <w:t>(41,093)</w:t>
            </w:r>
          </w:p>
        </w:tc>
        <w:tc>
          <w:tcPr>
            <w:tcW w:w="10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ind w:right="95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(41,093)</w:t>
            </w:r>
          </w:p>
        </w:tc>
        <w:tc>
          <w:tcPr>
            <w:tcW w:w="100" w:type="dxa"/>
            <w:vAlign w:val="bottom"/>
            <w:tcBorders>
              <w:top w:val="single" w:sz="8" w:color="CFF0FC"/>
            </w:tcBorders>
            <w:shd w:val="clear" w:color="auto" w:fill="CFF0FC"/>
          </w:tcPr>
          <w:p>
            <w:pPr>
              <w:spacing w:after="0"/>
              <w:rPr>
                <w:sz w:val="12"/>
                <w:szCs w:val="12"/>
                <w:color w:val="auto"/>
              </w:rPr>
            </w:pPr>
          </w:p>
        </w:tc>
      </w:tr>
      <w:tr>
        <w:trPr>
          <w:trHeight w:val="346"/>
        </w:trPr>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7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06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820" w:type="dxa"/>
            <w:vAlign w:val="bottom"/>
          </w:tcPr>
          <w:p>
            <w:pPr>
              <w:spacing w:after="0"/>
              <w:rPr>
                <w:sz w:val="13"/>
                <w:szCs w:val="13"/>
                <w:color w:val="auto"/>
              </w:rPr>
            </w:pPr>
          </w:p>
        </w:tc>
        <w:tc>
          <w:tcPr>
            <w:tcW w:w="1580" w:type="dxa"/>
            <w:vAlign w:val="bottom"/>
            <w:gridSpan w:val="2"/>
          </w:tcPr>
          <w:p>
            <w:pPr>
              <w:ind w:left="600"/>
              <w:spacing w:after="0"/>
              <w:rPr>
                <w:sz w:val="20"/>
                <w:szCs w:val="20"/>
                <w:color w:val="auto"/>
              </w:rPr>
            </w:pPr>
            <w:r>
              <w:rPr>
                <w:rFonts w:ascii="Arial" w:cs="Arial" w:eastAsia="Arial" w:hAnsi="Arial"/>
                <w:sz w:val="13"/>
                <w:szCs w:val="13"/>
                <w:b w:val="1"/>
                <w:bCs w:val="1"/>
                <w:color w:val="auto"/>
              </w:rPr>
              <w:t>Counterparty</w:t>
            </w:r>
          </w:p>
        </w:tc>
        <w:tc>
          <w:tcPr>
            <w:tcW w:w="2060" w:type="dxa"/>
            <w:vAlign w:val="bottom"/>
            <w:gridSpan w:val="2"/>
          </w:tcPr>
          <w:p>
            <w:pPr>
              <w:jc w:val="right"/>
              <w:ind w:right="497"/>
              <w:spacing w:after="0"/>
              <w:rPr>
                <w:sz w:val="20"/>
                <w:szCs w:val="20"/>
                <w:color w:val="auto"/>
              </w:rPr>
            </w:pPr>
            <w:r>
              <w:rPr>
                <w:rFonts w:ascii="Arial" w:cs="Arial" w:eastAsia="Arial" w:hAnsi="Arial"/>
                <w:sz w:val="13"/>
                <w:szCs w:val="13"/>
                <w:b w:val="1"/>
                <w:bCs w:val="1"/>
                <w:color w:val="auto"/>
              </w:rPr>
              <w:t>Number of shares</w:t>
            </w:r>
          </w:p>
        </w:tc>
        <w:tc>
          <w:tcPr>
            <w:tcW w:w="220" w:type="dxa"/>
            <w:vAlign w:val="bottom"/>
          </w:tcPr>
          <w:p>
            <w:pPr>
              <w:spacing w:after="0"/>
              <w:rPr>
                <w:sz w:val="13"/>
                <w:szCs w:val="13"/>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3"/>
                <w:szCs w:val="13"/>
                <w:color w:val="auto"/>
              </w:rPr>
            </w:pPr>
          </w:p>
        </w:tc>
        <w:tc>
          <w:tcPr>
            <w:tcW w:w="164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ind w:left="12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82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20"/>
              <w:spacing w:after="0" w:line="142" w:lineRule="exact"/>
              <w:rPr>
                <w:sz w:val="20"/>
                <w:szCs w:val="20"/>
                <w:color w:val="auto"/>
              </w:rPr>
            </w:pPr>
            <w:r>
              <w:rPr>
                <w:rFonts w:ascii="Arial" w:cs="Arial" w:eastAsia="Arial" w:hAnsi="Arial"/>
                <w:sz w:val="13"/>
                <w:szCs w:val="13"/>
                <w:color w:val="auto"/>
              </w:rPr>
              <w:t>HDNet Holdco LLC</w:t>
            </w:r>
          </w:p>
        </w:tc>
        <w:tc>
          <w:tcPr>
            <w:tcW w:w="14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22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center"/>
              <w:ind w:left="237"/>
              <w:spacing w:after="0" w:line="142" w:lineRule="exact"/>
              <w:rPr>
                <w:sz w:val="20"/>
                <w:szCs w:val="20"/>
                <w:color w:val="auto"/>
              </w:rPr>
            </w:pPr>
            <w:r>
              <w:rPr>
                <w:rFonts w:ascii="Arial" w:cs="Arial" w:eastAsia="Arial" w:hAnsi="Arial"/>
                <w:sz w:val="13"/>
                <w:szCs w:val="13"/>
                <w:color w:val="auto"/>
                <w:w w:val="85"/>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gridSpan w:val="2"/>
            <w:shd w:val="clear" w:color="auto" w:fill="CFF0FC"/>
          </w:tcPr>
          <w:p>
            <w:pPr>
              <w:jc w:val="right"/>
              <w:ind w:right="357"/>
              <w:spacing w:after="0" w:line="142" w:lineRule="exact"/>
              <w:rPr>
                <w:sz w:val="20"/>
                <w:szCs w:val="20"/>
                <w:color w:val="auto"/>
              </w:rPr>
            </w:pPr>
            <w:r>
              <w:rPr>
                <w:rFonts w:ascii="Arial" w:cs="Arial" w:eastAsia="Arial" w:hAnsi="Arial"/>
                <w:sz w:val="13"/>
                <w:szCs w:val="13"/>
                <w:color w:val="auto"/>
                <w:w w:val="88"/>
              </w:rPr>
              <w:t>$ 0.01</w:t>
            </w:r>
          </w:p>
        </w:tc>
        <w:tc>
          <w:tcPr>
            <w:tcW w:w="10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gridSpan w:val="2"/>
            <w:shd w:val="clear" w:color="auto" w:fill="CFF0FC"/>
          </w:tcPr>
          <w:p>
            <w:pPr>
              <w:jc w:val="center"/>
              <w:ind w:right="120"/>
              <w:spacing w:after="0" w:line="142" w:lineRule="exact"/>
              <w:rPr>
                <w:sz w:val="20"/>
                <w:szCs w:val="20"/>
                <w:color w:val="auto"/>
              </w:rPr>
            </w:pPr>
            <w:r>
              <w:rPr>
                <w:rFonts w:ascii="Arial" w:cs="Arial" w:eastAsia="Arial" w:hAnsi="Arial"/>
                <w:sz w:val="13"/>
                <w:szCs w:val="13"/>
                <w:color w:val="auto"/>
              </w:rPr>
              <w:t>N/A</w:t>
            </w:r>
          </w:p>
        </w:tc>
        <w:tc>
          <w:tcPr>
            <w:tcW w:w="118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8"/>
              </w:rPr>
              <w:t>For the Six Months Ended June 30,</w:t>
            </w:r>
          </w:p>
        </w:tc>
      </w:tr>
      <w:tr>
        <w:trPr>
          <w:trHeight w:val="243"/>
        </w:trPr>
        <w:tc>
          <w:tcPr>
            <w:tcW w:w="634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15"/>
                <w:szCs w:val="15"/>
                <w:b w:val="1"/>
                <w:bCs w:val="1"/>
                <w:color w:val="auto"/>
              </w:rPr>
              <w:t>4</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15"/>
                <w:szCs w:val="15"/>
                <w:b w:val="1"/>
                <w:bCs w:val="1"/>
                <w:color w:val="auto"/>
              </w:rPr>
              <w:t>4</w:t>
            </w:r>
          </w:p>
        </w:tc>
        <w:tc>
          <w:tcPr>
            <w:tcW w:w="340" w:type="dxa"/>
            <w:vAlign w:val="bottom"/>
            <w:tcBorders>
              <w:bottom w:val="single" w:sz="8" w:color="CFF0FC"/>
            </w:tcBorders>
          </w:tcPr>
          <w:p>
            <w:pPr>
              <w:spacing w:after="0"/>
              <w:rPr>
                <w:sz w:val="21"/>
                <w:szCs w:val="2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9"/>
                <w:szCs w:val="19"/>
                <w:color w:val="auto"/>
              </w:rPr>
            </w:pP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(loss) income</w:t>
            </w:r>
            <w:r>
              <w:rPr>
                <w:rFonts w:ascii="Arial" w:cs="Arial" w:eastAsia="Arial" w:hAnsi="Arial"/>
                <w:sz w:val="15"/>
                <w:szCs w:val="15"/>
                <w:color w:val="auto"/>
              </w:rPr>
              <w:t>1</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(0.04)</w:t>
            </w: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15"/>
                <w:szCs w:val="15"/>
                <w:color w:val="auto"/>
              </w:rPr>
              <w:t>1</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(losses) gains from extinguishment of debt</w:t>
            </w:r>
            <w:r>
              <w:rPr>
                <w:rFonts w:ascii="Arial" w:cs="Arial" w:eastAsia="Arial" w:hAnsi="Arial"/>
                <w:sz w:val="15"/>
                <w:szCs w:val="15"/>
                <w:color w:val="auto"/>
              </w:rPr>
              <w:t>1</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Net change in unrealized (depreciation) appreciation on investments</w:t>
            </w:r>
            <w:r>
              <w:rPr>
                <w:rFonts w:ascii="Arial" w:cs="Arial" w:eastAsia="Arial" w:hAnsi="Arial"/>
                <w:sz w:val="15"/>
                <w:szCs w:val="15"/>
                <w:color w:val="auto"/>
              </w:rPr>
              <w:t>1</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0.14</w:t>
            </w:r>
          </w:p>
        </w:tc>
        <w:tc>
          <w:tcPr>
            <w:tcW w:w="340" w:type="dxa"/>
            <w:vAlign w:val="bottom"/>
          </w:tcPr>
          <w:p>
            <w:pPr>
              <w:spacing w:after="0"/>
              <w:rPr>
                <w:sz w:val="19"/>
                <w:szCs w:val="19"/>
                <w:color w:val="auto"/>
              </w:rPr>
            </w:pPr>
          </w:p>
        </w:tc>
      </w:tr>
      <w:tr>
        <w:trPr>
          <w:trHeight w:val="223"/>
        </w:trPr>
        <w:tc>
          <w:tcPr>
            <w:tcW w:w="63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(decrease) increase in net assets resulting from operations</w:t>
            </w:r>
          </w:p>
        </w:tc>
        <w:tc>
          <w:tcPr>
            <w:tcW w:w="10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340" w:type="dxa"/>
            <w:vAlign w:val="bottom"/>
            <w:tcBorders>
              <w:top w:val="single" w:sz="8" w:color="CFF0FC"/>
            </w:tcBorders>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net assets relating to stock-based transactions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FF0FC"/>
          </w:tcPr>
          <w:p>
            <w:pPr>
              <w:spacing w:after="0"/>
              <w:rPr>
                <w:sz w:val="19"/>
                <w:szCs w:val="19"/>
                <w:color w:val="auto"/>
              </w:rPr>
            </w:pPr>
          </w:p>
        </w:tc>
      </w:tr>
      <w:tr>
        <w:trPr>
          <w:trHeight w:val="26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 value, end of period</w:t>
            </w:r>
          </w:p>
        </w:tc>
        <w:tc>
          <w:tcPr>
            <w:tcW w:w="10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3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40" w:type="dxa"/>
            <w:vAlign w:val="bottom"/>
            <w:tcBorders>
              <w:bottom w:val="single" w:sz="8" w:color="CFF0FC"/>
            </w:tcBorders>
          </w:tcPr>
          <w:p>
            <w:pPr>
              <w:spacing w:after="0"/>
              <w:rPr>
                <w:sz w:val="22"/>
                <w:szCs w:val="22"/>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 value return</w:t>
            </w:r>
            <w:r>
              <w:rPr>
                <w:rFonts w:ascii="Arial" w:cs="Arial" w:eastAsia="Arial" w:hAnsi="Arial"/>
                <w:sz w:val="15"/>
                <w:szCs w:val="15"/>
                <w:color w:val="auto"/>
              </w:rPr>
              <w:t>2</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w:t>
            </w:r>
          </w:p>
        </w:tc>
      </w:tr>
      <w:tr>
        <w:trPr>
          <w:trHeight w:val="230"/>
        </w:trPr>
        <w:tc>
          <w:tcPr>
            <w:tcW w:w="63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beginning of period</w:t>
            </w:r>
          </w:p>
        </w:tc>
        <w:tc>
          <w:tcPr>
            <w:tcW w:w="1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Total market return</w:t>
            </w:r>
            <w:r>
              <w:rPr>
                <w:rFonts w:ascii="Arial" w:cs="Arial" w:eastAsia="Arial" w:hAnsi="Arial"/>
                <w:sz w:val="15"/>
                <w:szCs w:val="15"/>
                <w:color w:val="auto"/>
              </w:rPr>
              <w:t>3</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(29.2)%</w:t>
            </w: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44,495,221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37,356,061</w:t>
            </w: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120,713,655</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139,177,591</w:t>
            </w:r>
          </w:p>
        </w:tc>
        <w:tc>
          <w:tcPr>
            <w:tcW w:w="34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Portfolio turnover rate</w:t>
            </w:r>
            <w:r>
              <w:rPr>
                <w:rFonts w:ascii="Arial" w:cs="Arial" w:eastAsia="Arial" w:hAnsi="Arial"/>
                <w:sz w:val="15"/>
                <w:szCs w:val="15"/>
                <w:color w:val="auto"/>
              </w:rPr>
              <w:t>5</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Asset coverage ratio</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211%</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(annualized)</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Ratio of total expenses to average net assets (annualized)</w:t>
            </w:r>
            <w:r>
              <w:rPr>
                <w:rFonts w:ascii="Arial" w:cs="Arial" w:eastAsia="Arial" w:hAnsi="Arial"/>
                <w:sz w:val="15"/>
                <w:szCs w:val="15"/>
                <w:color w:val="auto"/>
              </w:rPr>
              <w:t>6</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Ratio of interest expense to average net assets (annualized)</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Ratio of non-interest expenses to average net assets (annualized)</w:t>
            </w:r>
            <w:r>
              <w:rPr>
                <w:rFonts w:ascii="Arial" w:cs="Arial" w:eastAsia="Arial" w:hAnsi="Arial"/>
                <w:sz w:val="15"/>
                <w:szCs w:val="15"/>
                <w:color w:val="auto"/>
              </w:rPr>
              <w:t>6</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w:t>
            </w:r>
          </w:p>
        </w:tc>
      </w:tr>
    </w:tbl>
    <w:p>
      <w:pPr>
        <w:spacing w:after="0" w:line="20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Based on weighted average number of common shares outstanding-basic for the period.</w:t>
      </w:r>
    </w:p>
    <w:p>
      <w:pPr>
        <w:spacing w:after="0" w:line="22" w:lineRule="exact"/>
        <w:rPr>
          <w:sz w:val="20"/>
          <w:szCs w:val="20"/>
          <w:color w:val="auto"/>
        </w:rPr>
      </w:pPr>
    </w:p>
    <w:p>
      <w:pPr>
        <w:ind w:left="380" w:right="600" w:hanging="372"/>
        <w:spacing w:after="0" w:line="250" w:lineRule="auto"/>
        <w:tabs>
          <w:tab w:leader="none" w:pos="3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Total net asset value return (not annualized) equals the change in the net asset value per share over the period plus distributions, divided by the beginning net asset value per share.</w:t>
      </w:r>
    </w:p>
    <w:p>
      <w:pPr>
        <w:spacing w:after="0" w:line="1" w:lineRule="exact"/>
        <w:rPr>
          <w:sz w:val="20"/>
          <w:szCs w:val="20"/>
          <w:color w:val="auto"/>
        </w:rPr>
      </w:pPr>
    </w:p>
    <w:p>
      <w:pPr>
        <w:ind w:left="380" w:right="60" w:hanging="372"/>
        <w:spacing w:after="0" w:line="250"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Total market return (not annualized) equals the change in market price, per share during the period plus distributions, divided by the beginning market price per share.</w:t>
      </w:r>
    </w:p>
    <w:p>
      <w:pPr>
        <w:spacing w:after="0" w:line="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Totals may not sum due to rounding.</w:t>
      </w:r>
    </w:p>
    <w:p>
      <w:pPr>
        <w:spacing w:after="0" w:line="9"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Portfolio turnover rate equals the year-to-date sales and paydowns over the average of the invested assets at fair value.</w:t>
      </w:r>
    </w:p>
    <w:p>
      <w:pPr>
        <w:spacing w:after="0" w:line="9" w:lineRule="exact"/>
        <w:rPr>
          <w:sz w:val="20"/>
          <w:szCs w:val="20"/>
          <w:color w:val="auto"/>
        </w:rPr>
      </w:pPr>
    </w:p>
    <w:p>
      <w:pPr>
        <w:ind w:left="380" w:right="20" w:hanging="372"/>
        <w:spacing w:after="0" w:line="256" w:lineRule="auto"/>
        <w:tabs>
          <w:tab w:leader="none" w:pos="38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Incentive fees earned during the six months ended June 30, 2020, were approximately $557 thousand all of which were waived pursuant to the Externalization Agreement. Excluding the waiver, the ratio of total expenses to average net assets (annualized) was 15.0% and the ratio of non-interest expenses to average net assets (annualized) was 8.1%.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8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5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8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During the third quarter of 2017, the Company formed a joint venture with Freedom 3 Opportunities LLC (“Freedom 3 Opportunities”), an affiliate of Freedom 3 Capital LLC, to create KCAP Freedom 3 LLC (the “Joint Venture”). The Company and Freedom 3 Opportunities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(as defined below) subsidiaries.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69"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LibreMax Transaction</w:t>
      </w:r>
    </w:p>
    <w:p>
      <w:pPr>
        <w:spacing w:after="0" w:line="202"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June 30, 2020,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ind w:right="140" w:firstLine="374"/>
        <w:spacing w:after="0" w:line="273"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70"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70"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62"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Adviser is an affiliate of BC Partners. LibreMax owns a minority stake in the Adviser.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79"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On December 18, 2019, the Company completed its acquisition of OHA Investment Corporation (“OHAI”). In accordance with the terms of the merger agreement, each share of common stock, par value $0.001 per share, of OHAI (the “OHAI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ind w:right="140"/>
        <w:spacing w:after="0" w:line="311" w:lineRule="auto"/>
        <w:rPr>
          <w:sz w:val="20"/>
          <w:szCs w:val="20"/>
          <w:color w:val="auto"/>
        </w:rPr>
      </w:pPr>
      <w:r>
        <w:rPr>
          <w:rFonts w:ascii="Arial" w:cs="Arial" w:eastAsia="Arial" w:hAnsi="Arial"/>
          <w:sz w:val="16"/>
          <w:szCs w:val="16"/>
          <w:color w:val="auto"/>
        </w:rPr>
        <w:t>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4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the Company’s common stock is trading at a price below 75% of its net asset value, we will initiate an open-market stock repurchase program of up to $10 million to support the trading price of the combined entity for up to one year from the date such program is announced. The Board approved a stock repurchase program in March 2020 (see Note 10).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 with Garrison Capital, Inc.</w:t>
      </w:r>
    </w:p>
    <w:p>
      <w:pPr>
        <w:spacing w:after="0" w:line="229"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On June 24, 2020, the Company entered into a merger agreement with Garrison Capital Inc., a publicly traded BDC (“GARS”), the Adviser and a wholly-owned merger subsidiary of the Company.</w:t>
      </w:r>
    </w:p>
    <w:p>
      <w:pPr>
        <w:spacing w:after="0" w:line="170"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Under the terms of the proposed transaction, GARS stockholders will receive a combination of (i) $19.1 million in cash from the Company; (ii) shares of the Company’s common stock valued at 100% of its net asset value per share at the time of closing of the transaction in an aggregate number equal to GARS’ net asset value at closing minus the $19.1 million of cash merger consideration payable by the Company; and (iii) an additional cash payment from the Adviser of $5.0 million in the aggregate.</w:t>
      </w:r>
    </w:p>
    <w:p>
      <w:pPr>
        <w:spacing w:after="0" w:line="18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exchange ratio for the stock component of the merger will be determined by the net asset value of GARS and the Company as of the closing, calculated as of 5:00 p.m. New York City time on the day prior to the closing of the transaction. In addition to approval by GARS’ and the Company’s respective stockholders, the closing of the merger is subject to customary conditions. The Company currently expects the transaction to be completed in the fourth calendar quarter of 2020.</w:t>
      </w:r>
    </w:p>
    <w:p>
      <w:pPr>
        <w:spacing w:after="0" w:line="200" w:lineRule="exact"/>
        <w:rPr>
          <w:sz w:val="20"/>
          <w:szCs w:val="20"/>
          <w:color w:val="auto"/>
        </w:rPr>
      </w:pPr>
    </w:p>
    <w:p>
      <w:pPr>
        <w:spacing w:after="0" w:line="347" w:lineRule="exact"/>
        <w:rPr>
          <w:sz w:val="20"/>
          <w:szCs w:val="20"/>
          <w:color w:val="auto"/>
        </w:rPr>
      </w:pPr>
    </w:p>
    <w:p>
      <w:pPr>
        <w:ind w:left="380" w:right="7440" w:hanging="372"/>
        <w:spacing w:after="0" w:line="456" w:lineRule="auto"/>
        <w:tabs>
          <w:tab w:leader="none" w:pos="37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right="20" w:firstLine="37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2019, as filed with the U.S. Securities and Exchange Commission (the “Commission” or the “SEC”).</w:t>
      </w:r>
    </w:p>
    <w:p>
      <w:pPr>
        <w:spacing w:after="0" w:line="147"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70"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Great Lakes KCAP Funding I LLC, Kohlberg Capital Funding I LLC, KCAP Senior Funding I, LLC, KCAP Funding I Holdings, LLC and Great Lakes Portman Ridge Funding,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and Great Lakes KCAP Funding I, LLC have been fully repaid.</w:t>
      </w:r>
    </w:p>
    <w:p>
      <w:pPr>
        <w:spacing w:after="0" w:line="70"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qualifies for consolidation.</w:t>
      </w:r>
    </w:p>
    <w:p>
      <w:pPr>
        <w:spacing w:after="0" w:line="76"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ind w:right="240" w:firstLine="374"/>
        <w:spacing w:after="0" w:line="263"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5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June 30, 2020, the Company provided approximately $85.2 million to portfolio companies. Approximately $29.2 million of this support was contractually obligated. See also Note 9 – Commitments and Contingencies. As of June 30, 2020, the Company held loans it has made to 68 investee companies with aggregate principal amounts of approximately $268.7 million. The details of such loans have been disclosed on the unaudited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six months ended June 30, 2020, the Company did not recognize any fee income from such or similar activities.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In March 2017, the Financial Accounting Standards Board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The adoption of ASU 2017-08 did not have a material impact on the financial position or results of operations of the Company.</w:t>
      </w:r>
    </w:p>
    <w:p>
      <w:pPr>
        <w:spacing w:after="0" w:line="151" w:lineRule="exact"/>
        <w:rPr>
          <w:sz w:val="20"/>
          <w:szCs w:val="20"/>
          <w:color w:val="auto"/>
        </w:rPr>
      </w:pPr>
    </w:p>
    <w:p>
      <w:pPr>
        <w:ind w:right="160" w:firstLine="374"/>
        <w:spacing w:after="0" w:line="291" w:lineRule="auto"/>
        <w:rPr>
          <w:sz w:val="20"/>
          <w:szCs w:val="20"/>
          <w:color w:val="auto"/>
        </w:rPr>
      </w:pPr>
      <w:r>
        <w:rPr>
          <w:rFonts w:ascii="Arial" w:cs="Arial" w:eastAsia="Arial" w:hAnsi="Arial"/>
          <w:sz w:val="16"/>
          <w:szCs w:val="16"/>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58" w:lineRule="exact"/>
        <w:rPr>
          <w:sz w:val="20"/>
          <w:szCs w:val="20"/>
          <w:color w:val="auto"/>
        </w:rPr>
      </w:pPr>
    </w:p>
    <w:p>
      <w:pPr>
        <w:ind w:right="200" w:firstLine="374"/>
        <w:spacing w:after="0" w:line="286" w:lineRule="auto"/>
        <w:rPr>
          <w:sz w:val="20"/>
          <w:szCs w:val="20"/>
          <w:color w:val="auto"/>
        </w:rPr>
      </w:pPr>
      <w:r>
        <w:rPr>
          <w:rFonts w:ascii="Arial" w:cs="Arial" w:eastAsia="Arial" w:hAnsi="Arial"/>
          <w:sz w:val="17"/>
          <w:szCs w:val="17"/>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lease was terminated during the fourth quarter of 2019.</w:t>
      </w:r>
    </w:p>
    <w:p>
      <w:pPr>
        <w:spacing w:after="0" w:line="125"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 August 2018, the FASB issued Accounting Standards Update 2018-13, Fair Value Measurement (Topic 820): Disclosure Framework—Changes to the Disclosure Requirements for Fair Value Measurement (“ASU 2018-13”)</w:t>
      </w:r>
      <w:r>
        <w:rPr>
          <w:rFonts w:ascii="Arial" w:cs="Arial" w:eastAsia="Arial" w:hAnsi="Arial"/>
          <w:sz w:val="18"/>
          <w:szCs w:val="18"/>
          <w:i w:val="1"/>
          <w:iCs w:val="1"/>
          <w:color w:val="auto"/>
        </w:rPr>
        <w:t>.</w:t>
      </w:r>
      <w:r>
        <w:rPr>
          <w:rFonts w:ascii="Arial" w:cs="Arial" w:eastAsia="Arial" w:hAnsi="Arial"/>
          <w:sz w:val="18"/>
          <w:szCs w:val="18"/>
          <w:color w:val="auto"/>
        </w:rPr>
        <w:t xml:space="preserve"> The standard will modify the disclosure requirements for fair value measurements by removing, modifying, or adding certain disclosures. ASU 2018-13 is effective for annual reporting periods beginning after December 15, 2019, including interim periods within that reporting period. The adoption of ASU 2018-13 did not result in a material change in the Company's fair value disclosures.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The Company expects that the adoption of this guidance will not have a material impact on the Company’s financial position, results of operations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14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i w:val="1"/>
          <w:iCs w:val="1"/>
          <w:color w:val="auto"/>
        </w:rPr>
        <w:t xml:space="preserve">Valuation of Portfolio Investments. </w:t>
      </w:r>
      <w:r>
        <w:rPr>
          <w:rFonts w:ascii="Arial" w:cs="Arial" w:eastAsia="Arial" w:hAnsi="Arial"/>
          <w:sz w:val="18"/>
          <w:szCs w:val="18"/>
          <w:color w:val="auto"/>
        </w:rPr>
        <w:t>The Board is ultimately and solely responsible for making a good faith determination of the fair value of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32" w:name="page33"/>
    <w:bookmarkEnd w:id="32"/>
    <w:p>
      <w:pPr>
        <w:spacing w:after="0" w:line="301" w:lineRule="auto"/>
        <w:rPr>
          <w:sz w:val="20"/>
          <w:szCs w:val="20"/>
          <w:color w:val="auto"/>
        </w:rPr>
      </w:pPr>
      <w:r>
        <w:rPr>
          <w:rFonts w:ascii="Arial" w:cs="Arial" w:eastAsia="Arial" w:hAnsi="Arial"/>
          <w:sz w:val="16"/>
          <w:szCs w:val="16"/>
          <w:color w:val="auto"/>
        </w:rPr>
        <w:t>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49"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80"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0"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80" w:lineRule="exact"/>
        <w:rPr>
          <w:sz w:val="20"/>
          <w:szCs w:val="20"/>
          <w:color w:val="auto"/>
        </w:rPr>
      </w:pPr>
    </w:p>
    <w:p>
      <w:pPr>
        <w:ind w:right="60" w:firstLine="37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69"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66"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3" w:name="page34"/>
    <w:bookmarkEnd w:id="33"/>
    <w:p>
      <w:pPr>
        <w:ind w:right="260" w:firstLine="37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56"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The Company recognizes all derivative instruments as assets or liabilities at fair value in its financial statements. Derivative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57" w:lineRule="exact"/>
        <w:rPr>
          <w:sz w:val="20"/>
          <w:szCs w:val="20"/>
          <w:color w:val="auto"/>
        </w:rPr>
      </w:pPr>
    </w:p>
    <w:p>
      <w:pPr>
        <w:ind w:right="4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06"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The Company sold substantially all of its investment in the Asset Manager Affiliates on December 31, 2018. Previously,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w:t>
      </w:r>
    </w:p>
    <w:p>
      <w:pPr>
        <w:spacing w:after="0" w:line="56"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The investments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CLO Funds generally relate to non-investment grade credit instruments issued by corporations.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0"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58"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4" w:name="page35"/>
    <w:bookmarkEnd w:id="34"/>
    <w:p>
      <w:pPr>
        <w:ind w:right="320"/>
        <w:spacing w:after="0" w:line="277" w:lineRule="auto"/>
        <w:rPr>
          <w:sz w:val="20"/>
          <w:szCs w:val="20"/>
          <w:color w:val="auto"/>
        </w:rPr>
      </w:pPr>
      <w:r>
        <w:rPr>
          <w:rFonts w:ascii="Arial" w:cs="Arial" w:eastAsia="Arial" w:hAnsi="Arial"/>
          <w:sz w:val="18"/>
          <w:szCs w:val="18"/>
          <w:color w:val="auto"/>
        </w:rPr>
        <w:t>and recovery rates of underlying assets in the CLO Fund, as may be applicable. Such model assumptions may vary and incorporate adjustments for risk premiums and CLO Fund specific attributes.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129"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The Company carries investments in joint ventures (“Joint Ventures”) at fair value based upon the fair value of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joint venture. See Note 4 below, for more information regarding the Joint Ventures.</w:t>
      </w:r>
    </w:p>
    <w:p>
      <w:pPr>
        <w:spacing w:after="0" w:line="62"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62"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generally consists of cash held for interest and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borrowings.</w:t>
      </w:r>
    </w:p>
    <w:p>
      <w:pPr>
        <w:spacing w:after="0" w:line="62"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and accrual of payment-in-kind (“PIK”)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Loan origination fees, original issue discount (“OID”), and market discounts are capitalized and accreted into interest income over the respective terms of the applicable loans. Upon the prepayment of a loan, prepayment premiums, any unamortized loan origination fees, OID, or market discounts are recorded as interest income.</w:t>
      </w:r>
    </w:p>
    <w:p>
      <w:pPr>
        <w:spacing w:after="0" w:line="70" w:lineRule="exact"/>
        <w:rPr>
          <w:sz w:val="20"/>
          <w:szCs w:val="20"/>
          <w:color w:val="auto"/>
        </w:rPr>
      </w:pPr>
    </w:p>
    <w:p>
      <w:pPr>
        <w:ind w:right="200" w:firstLine="374"/>
        <w:spacing w:after="0" w:line="279" w:lineRule="auto"/>
        <w:rPr>
          <w:sz w:val="20"/>
          <w:szCs w:val="20"/>
          <w:color w:val="auto"/>
        </w:rPr>
      </w:pPr>
      <w:r>
        <w:rPr>
          <w:rFonts w:ascii="Arial" w:cs="Arial" w:eastAsia="Arial" w:hAnsi="Arial"/>
          <w:sz w:val="17"/>
          <w:szCs w:val="17"/>
          <w:color w:val="auto"/>
        </w:rPr>
        <w:t>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2020, nine of our debt investments were on non-accrual status.</w:t>
      </w:r>
    </w:p>
    <w:p>
      <w:pPr>
        <w:spacing w:after="0" w:line="131"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i w:val="1"/>
          <w:iCs w:val="1"/>
          <w:color w:val="auto"/>
        </w:rPr>
        <w:t xml:space="preserve">Distributions from Asset Manager Affiliates. </w:t>
      </w:r>
      <w:r>
        <w:rPr>
          <w:rFonts w:ascii="Arial" w:cs="Arial" w:eastAsia="Arial" w:hAnsi="Arial"/>
          <w:sz w:val="18"/>
          <w:szCs w:val="18"/>
          <w:color w:val="auto"/>
        </w:rPr>
        <w:t>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8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84"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jc w:val="both"/>
        <w:ind w:right="140" w:firstLine="374"/>
        <w:spacing w:after="0" w:line="257" w:lineRule="auto"/>
        <w:rPr>
          <w:sz w:val="20"/>
          <w:szCs w:val="20"/>
          <w:color w:val="auto"/>
        </w:rPr>
      </w:pPr>
      <w:r>
        <w:rPr>
          <w:rFonts w:ascii="Arial" w:cs="Arial" w:eastAsia="Arial" w:hAnsi="Arial"/>
          <w:sz w:val="18"/>
          <w:szCs w:val="18"/>
          <w:i w:val="1"/>
          <w:iCs w:val="1"/>
          <w:color w:val="auto"/>
        </w:rPr>
        <w:t>Investment income on Joint Ventures</w:t>
      </w:r>
      <w:r>
        <w:rPr>
          <w:rFonts w:ascii="Arial" w:cs="Arial" w:eastAsia="Arial" w:hAnsi="Arial"/>
          <w:sz w:val="18"/>
          <w:szCs w:val="18"/>
          <w:color w:val="auto"/>
        </w:rPr>
        <w:t>. The Company recognizes investment income on its investment in the Joint Ventures based upon its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0" w:lineRule="exact"/>
        <w:rPr>
          <w:sz w:val="20"/>
          <w:szCs w:val="20"/>
          <w:color w:val="auto"/>
        </w:rPr>
      </w:pPr>
    </w:p>
    <w:p>
      <w:pPr>
        <w:jc w:val="both"/>
        <w:ind w:right="320" w:firstLine="37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right="40" w:firstLine="374"/>
        <w:spacing w:after="0" w:line="342" w:lineRule="auto"/>
        <w:rPr>
          <w:sz w:val="20"/>
          <w:szCs w:val="20"/>
          <w:color w:val="auto"/>
        </w:rPr>
      </w:pPr>
      <w:r>
        <w:rPr>
          <w:rFonts w:ascii="Arial" w:cs="Arial" w:eastAsia="Arial" w:hAnsi="Arial"/>
          <w:sz w:val="16"/>
          <w:szCs w:val="16"/>
          <w:i w:val="1"/>
          <w:iCs w:val="1"/>
          <w:color w:val="auto"/>
        </w:rPr>
        <w:t>Debt Issuance Costs</w:t>
      </w:r>
      <w:r>
        <w:rPr>
          <w:rFonts w:ascii="Arial" w:cs="Arial" w:eastAsia="Arial" w:hAnsi="Arial"/>
          <w:sz w:val="16"/>
          <w:szCs w:val="16"/>
          <w:color w:val="auto"/>
        </w:rPr>
        <w:t>. Debt issuance costs represent fees and other direct costs incurred in connection with the Company’s borrowings. These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are capitalized, presented as a reduction of debt, and amortized using the effective interest method over the expected term of the borrowing.</w:t>
      </w:r>
    </w:p>
    <w:p>
      <w:pPr>
        <w:spacing w:after="0" w:line="16" w:lineRule="exact"/>
        <w:rPr>
          <w:sz w:val="20"/>
          <w:szCs w:val="20"/>
          <w:color w:val="auto"/>
        </w:rPr>
      </w:pPr>
    </w:p>
    <w:p>
      <w:pPr>
        <w:ind w:right="220" w:firstLine="374"/>
        <w:spacing w:after="0" w:line="301"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49"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Prior to April 1, 2019, the Company was internally managed and expensed costs, as incurred, with regard to the running of its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6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Until its termination in the fourth quarter of 2019, the Company continued to bear the costs associated with the office lease entered into by the Company prior to the Closing.</w:t>
      </w:r>
    </w:p>
    <w:p>
      <w:pPr>
        <w:spacing w:after="0" w:line="77" w:lineRule="exact"/>
        <w:rPr>
          <w:sz w:val="20"/>
          <w:szCs w:val="20"/>
          <w:color w:val="auto"/>
        </w:rPr>
      </w:pPr>
    </w:p>
    <w:p>
      <w:pPr>
        <w:ind w:right="680" w:firstLine="374"/>
        <w:spacing w:after="0" w:line="259"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83"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4"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six months ended June 30, 2020 and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jc w:val="center"/>
              <w:ind w:right="241"/>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5"/>
          </w:tcPr>
          <w:p>
            <w:pPr>
              <w:jc w:val="center"/>
              <w:ind w:right="241"/>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w w:val="93"/>
              </w:rPr>
              <w:t>Six Months Ended June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shd w:val="clear" w:color="auto" w:fill="CFF0FC"/>
              </w:rPr>
              <w:t>Net increase (decrease) increase in net assets available to common stockholders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3,283,694</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shd w:val="clear" w:color="auto" w:fill="CFF0FC"/>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(848,322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shd w:val="clear" w:color="auto" w:fill="CFF0FC"/>
              </w:rPr>
              <w:t>)</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shd w:val="clear" w:color="auto" w:fill="CFF0FC"/>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(25,769,235</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shd w:val="clear" w:color="auto" w:fill="CFF0FC"/>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shd w:val="clear" w:color="auto" w:fill="CFF0FC"/>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shd w:val="clear" w:color="auto" w:fill="CFF0FC"/>
              </w:rPr>
              <w:t>(11,765,891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shd w:val="clear" w:color="auto" w:fill="CFF0FC"/>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w w:val="98"/>
              </w:rPr>
              <w:t>Weighted average number of common and common stock equivalent shares</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for diluted shares computation</w:t>
            </w: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44,610,714</w:t>
            </w:r>
          </w:p>
        </w:tc>
        <w:tc>
          <w:tcPr>
            <w:tcW w:w="2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37,349,371</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44,716,953</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37,342,272</w:t>
            </w:r>
          </w:p>
        </w:tc>
        <w:tc>
          <w:tcPr>
            <w:tcW w:w="12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(0.58)</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(0.58)</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6000" w:type="dxa"/>
            <w:vAlign w:val="bottom"/>
          </w:tcPr>
          <w:p>
            <w:pPr>
              <w:ind w:left="55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36" w:name="page37"/>
    <w:bookmarkEnd w:id="36"/>
    <w:p>
      <w:pPr>
        <w:ind w:right="200" w:firstLine="37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46" w:lineRule="exact"/>
        <w:rPr>
          <w:sz w:val="20"/>
          <w:szCs w:val="20"/>
          <w:color w:val="auto"/>
        </w:rPr>
      </w:pPr>
    </w:p>
    <w:p>
      <w:pPr>
        <w:jc w:val="both"/>
        <w:ind w:right="220" w:firstLine="374"/>
        <w:spacing w:after="0" w:line="263" w:lineRule="auto"/>
        <w:rPr>
          <w:sz w:val="20"/>
          <w:szCs w:val="20"/>
          <w:color w:val="auto"/>
        </w:rPr>
      </w:pPr>
      <w:r>
        <w:rPr>
          <w:rFonts w:ascii="Arial" w:cs="Arial" w:eastAsia="Arial" w:hAnsi="Arial"/>
          <w:sz w:val="18"/>
          <w:szCs w:val="18"/>
          <w:color w:val="auto"/>
        </w:rPr>
        <w:t>There were no options to purchase shares of common stock considered for the computation of the diluted per share information for the three and six months ended June 30, 2020 and 2019. Since the effects are anti-dilutive for both periods, the options were not included in the computation. These stock options were cancelled in connection with the Externalization.</w:t>
      </w:r>
    </w:p>
    <w:p>
      <w:pPr>
        <w:spacing w:after="0" w:line="153"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June 30,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June 30, 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132,085,591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127,628,674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88,788,639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90,130,391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78,366,056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242,726</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Bond</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252,025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250,340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Subordinated Note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2,165,304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2,383,900</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2,165,304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2,422,281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46,138,878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16,891,608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46,618,717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21,760,483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9,537,926</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22,160,993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53,232,923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43,925,633</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48,594,539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(571,419)</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(33,437)</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366,275,396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280,723,261</w:t>
            </w:r>
          </w:p>
        </w:tc>
        <w:tc>
          <w:tcPr>
            <w:tcW w:w="2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334,089,559</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277,897,166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Represents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right="54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June 30, 2020 and December 31,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June 30, 2020 (Unaudited)</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0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Cost/Amortized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Cost/Amortized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40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3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12,079,777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12,054,514</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5,494,693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5,207,510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w w:val="97"/>
              </w:rPr>
              <w:t>Banking, Finance, Insurance &amp; Real Estate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5,521,546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4,747,628</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4,554,055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4,245,252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3,895,521</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Capital Equipment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12,354,826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10,506,400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6,453,900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3,275,544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3,297,668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46,138,878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16,891,608</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6,053,483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5,153,265</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2,558,619</w:t>
            </w:r>
          </w:p>
        </w:tc>
        <w:tc>
          <w:tcPr>
            <w:tcW w:w="2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Containers, Packaging and Glass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2,819,901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2,494,575</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2,616,480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Electronics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12,674,162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13,176,075</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13,636,090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10,906,970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3,425,149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4,919,950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3,968,525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3,450,066</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3,924,947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1,573,605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1,378,080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1,534,240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13,815,523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12,976,718</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9,136,345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53,432,874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43,577,464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33,637,136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High Tech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19,830,600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16,544,359</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17,481,155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&amp; Leisure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Joint Ventures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53,232,923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43,925,633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Advertising, Printing &amp; Publishing</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4,353,914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4,318,087</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4,567,266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Diversified &amp; Production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2,781,657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2,632,779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2,887,230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Metals &amp; Mining</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1,199,978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1,206,800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1,319,500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Personal, Food and</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Miscellaneous Services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2,829,436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Services: Business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40,656,374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39,447,964</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4,376,836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4,169,749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Telecommunication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6,560,798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6,331,640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8,164,050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12,402,364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11,090,844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2,067,817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2,067,817</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6,665,346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6,755,348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Obligations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366,275,396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280,723,261</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85"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or equity of middle market companies located outside of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ind w:right="40" w:firstLine="374"/>
        <w:spacing w:after="0" w:line="259" w:lineRule="auto"/>
        <w:rPr>
          <w:sz w:val="20"/>
          <w:szCs w:val="20"/>
          <w:color w:val="auto"/>
        </w:rPr>
      </w:pPr>
      <w:r>
        <w:rPr>
          <w:rFonts w:ascii="Arial" w:cs="Arial" w:eastAsia="Arial" w:hAnsi="Arial"/>
          <w:sz w:val="18"/>
          <w:szCs w:val="18"/>
          <w:color w:val="auto"/>
        </w:rPr>
        <w:t>At June 30, 2020 and December 31, 2019, the total amount of non-qualifying assets was approximately 22.3% and 25.3% of total assets, respectively. The majority of non-qualifying assets were foreign investments which were approximately 7.9% and 10.6%, respectively, of the Company’s total assets (including the Company’s investments in CLO Funds, which are typically domiciled outside the U.S. and represented approximately 5.5% and 10.3% of its total assets on such dates,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189" w:lineRule="exact"/>
        <w:rPr>
          <w:sz w:val="20"/>
          <w:szCs w:val="20"/>
          <w:color w:val="auto"/>
        </w:rPr>
      </w:pPr>
    </w:p>
    <w:p>
      <w:pPr>
        <w:ind w:right="260" w:firstLine="374"/>
        <w:spacing w:after="0" w:line="291" w:lineRule="auto"/>
        <w:rPr>
          <w:sz w:val="20"/>
          <w:szCs w:val="20"/>
          <w:color w:val="auto"/>
        </w:rPr>
      </w:pPr>
      <w:r>
        <w:rPr>
          <w:rFonts w:ascii="Arial" w:cs="Arial" w:eastAsia="Arial" w:hAnsi="Arial"/>
          <w:sz w:val="16"/>
          <w:szCs w:val="16"/>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26"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In September 2018, the Company purchased $10 million par value of the subordinated notes of Catamaran CLO 2018-1 at a cost of approximately $9.5 million.</w:t>
      </w:r>
    </w:p>
    <w:p>
      <w:pPr>
        <w:spacing w:after="0" w:line="143" w:lineRule="exact"/>
        <w:rPr>
          <w:sz w:val="20"/>
          <w:szCs w:val="20"/>
          <w:color w:val="auto"/>
        </w:rPr>
      </w:pPr>
    </w:p>
    <w:p>
      <w:pPr>
        <w:ind w:right="520" w:firstLine="374"/>
        <w:spacing w:after="0" w:line="263" w:lineRule="auto"/>
        <w:rPr>
          <w:sz w:val="20"/>
          <w:szCs w:val="20"/>
          <w:color w:val="auto"/>
        </w:rPr>
      </w:pPr>
      <w:r>
        <w:rPr>
          <w:rFonts w:ascii="Arial" w:cs="Arial" w:eastAsia="Arial" w:hAnsi="Arial"/>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143"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ind w:right="60" w:firstLine="374"/>
        <w:spacing w:after="0" w:line="263"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reverse the previously recorded unrealized depreciation with respect to these investments.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2019, the Company sold $2.0 million notional amount of subordinated notes of Catamaran CLO 2014-1 for $800,000.</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196"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As a result of the severe economic consequences resulting from the COVID 19 pandemic,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Funds. The estimated timing and amount of future distributions if any, from these CLO Fund Securities is uncertain.</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Affiliate Investments: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June 30, 2020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0"/>
              </w:rPr>
              <w:t>Purchases/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Transfers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December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78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85"/>
              </w:rPr>
              <w:t>Net change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1"/>
              </w:rPr>
              <w:t>of</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1380" w:type="dxa"/>
            <w:vAlign w:val="bottom"/>
            <w:gridSpan w:val="2"/>
          </w:tcPr>
          <w:p>
            <w:pPr>
              <w:ind w:left="420"/>
              <w:spacing w:after="0" w:line="135" w:lineRule="exact"/>
              <w:rPr>
                <w:sz w:val="20"/>
                <w:szCs w:val="20"/>
                <w:color w:val="auto"/>
              </w:rPr>
            </w:pPr>
            <w:r>
              <w:rPr>
                <w:rFonts w:ascii="Arial" w:cs="Arial" w:eastAsia="Arial" w:hAnsi="Arial"/>
                <w:sz w:val="13"/>
                <w:szCs w:val="13"/>
                <w:b w:val="1"/>
                <w:bCs w:val="1"/>
                <w:color w:val="auto"/>
              </w:rPr>
              <w:t>Industry</w:t>
            </w:r>
          </w:p>
        </w:tc>
        <w:tc>
          <w:tcPr>
            <w:tcW w:w="60" w:type="dxa"/>
            <w:vAlign w:val="bottom"/>
          </w:tcPr>
          <w:p>
            <w:pPr>
              <w:spacing w:after="0"/>
              <w:rPr>
                <w:sz w:val="11"/>
                <w:szCs w:val="11"/>
                <w:color w:val="auto"/>
              </w:rPr>
            </w:pPr>
          </w:p>
        </w:tc>
        <w:tc>
          <w:tcPr>
            <w:tcW w:w="6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Advances/</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1"/>
                <w:szCs w:val="11"/>
                <w:color w:val="auto"/>
              </w:rPr>
            </w:pPr>
          </w:p>
        </w:tc>
        <w:tc>
          <w:tcPr>
            <w:tcW w:w="5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1"/>
              </w:rPr>
              <w:t>of</w:t>
            </w:r>
          </w:p>
        </w:tc>
        <w:tc>
          <w:tcPr>
            <w:tcW w:w="840" w:type="dxa"/>
            <w:vAlign w:val="bottom"/>
            <w:gridSpan w:val="3"/>
          </w:tcPr>
          <w:p>
            <w:pPr>
              <w:jc w:val="center"/>
              <w:ind w:right="58"/>
              <w:spacing w:after="0" w:line="135" w:lineRule="exact"/>
              <w:rPr>
                <w:sz w:val="20"/>
                <w:szCs w:val="20"/>
                <w:color w:val="auto"/>
              </w:rPr>
            </w:pPr>
            <w:r>
              <w:rPr>
                <w:rFonts w:ascii="Arial" w:cs="Arial" w:eastAsia="Arial" w:hAnsi="Arial"/>
                <w:sz w:val="13"/>
                <w:szCs w:val="13"/>
                <w:b w:val="1"/>
                <w:bCs w:val="1"/>
                <w:color w:val="auto"/>
                <w:w w:val="88"/>
              </w:rPr>
              <w:t>in 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Realized</w:t>
            </w: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4"/>
              </w:rPr>
              <w:t>June 30,</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Dividend</w:t>
            </w:r>
          </w:p>
        </w:tc>
      </w:tr>
      <w:tr>
        <w:trPr>
          <w:trHeight w:val="153"/>
        </w:trPr>
        <w:tc>
          <w:tcPr>
            <w:tcW w:w="1600" w:type="dxa"/>
            <w:vAlign w:val="bottom"/>
          </w:tcPr>
          <w:p>
            <w:pPr>
              <w:spacing w:after="0"/>
              <w:rPr>
                <w:sz w:val="13"/>
                <w:szCs w:val="13"/>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b w:val="1"/>
                <w:bCs w:val="1"/>
                <w:color w:val="auto"/>
              </w:rPr>
              <w:t>Classification</w:t>
            </w: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11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(Distributions)</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Accretion</w:t>
            </w: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Affiliates</w:t>
            </w:r>
          </w:p>
        </w:tc>
        <w:tc>
          <w:tcPr>
            <w:tcW w:w="840" w:type="dxa"/>
            <w:vAlign w:val="bottom"/>
            <w:gridSpan w:val="3"/>
          </w:tcPr>
          <w:p>
            <w:pPr>
              <w:jc w:val="center"/>
              <w:ind w:right="78"/>
              <w:spacing w:after="0"/>
              <w:rPr>
                <w:sz w:val="20"/>
                <w:szCs w:val="20"/>
                <w:color w:val="auto"/>
              </w:rPr>
            </w:pPr>
            <w:r>
              <w:rPr>
                <w:rFonts w:ascii="Arial" w:cs="Arial" w:eastAsia="Arial" w:hAnsi="Arial"/>
                <w:sz w:val="13"/>
                <w:szCs w:val="13"/>
                <w:b w:val="1"/>
                <w:bCs w:val="1"/>
                <w:color w:val="auto"/>
                <w:w w:val="89"/>
              </w:rPr>
              <w:t>Gain/(Loss)</w:t>
            </w:r>
          </w:p>
        </w:tc>
        <w:tc>
          <w:tcPr>
            <w:tcW w:w="860" w:type="dxa"/>
            <w:vAlign w:val="bottom"/>
            <w:gridSpan w:val="4"/>
          </w:tcPr>
          <w:p>
            <w:pPr>
              <w:ind w:left="60"/>
              <w:spacing w:after="0"/>
              <w:rPr>
                <w:sz w:val="20"/>
                <w:szCs w:val="20"/>
                <w:color w:val="auto"/>
              </w:rPr>
            </w:pPr>
            <w:r>
              <w:rPr>
                <w:rFonts w:ascii="Arial" w:cs="Arial" w:eastAsia="Arial" w:hAnsi="Arial"/>
                <w:sz w:val="13"/>
                <w:szCs w:val="13"/>
                <w:b w:val="1"/>
                <w:bCs w:val="1"/>
                <w:color w:val="auto"/>
              </w:rPr>
              <w:t>Gain/(Loss)</w:t>
            </w:r>
          </w:p>
        </w:tc>
        <w:tc>
          <w:tcPr>
            <w:tcW w:w="80" w:type="dxa"/>
            <w:vAlign w:val="bottom"/>
          </w:tcPr>
          <w:p>
            <w:pPr>
              <w:spacing w:after="0"/>
              <w:rPr>
                <w:sz w:val="13"/>
                <w:szCs w:val="13"/>
                <w:color w:val="auto"/>
              </w:rPr>
            </w:pPr>
          </w:p>
        </w:tc>
        <w:tc>
          <w:tcPr>
            <w:tcW w:w="600" w:type="dxa"/>
            <w:vAlign w:val="bottom"/>
          </w:tcPr>
          <w:p>
            <w:pPr>
              <w:jc w:val="center"/>
              <w:ind w:right="17"/>
              <w:spacing w:after="0"/>
              <w:rPr>
                <w:sz w:val="20"/>
                <w:szCs w:val="20"/>
                <w:color w:val="auto"/>
              </w:rPr>
            </w:pPr>
            <w:r>
              <w:rPr>
                <w:rFonts w:ascii="Arial" w:cs="Arial" w:eastAsia="Arial" w:hAnsi="Arial"/>
                <w:sz w:val="13"/>
                <w:szCs w:val="13"/>
                <w:b w:val="1"/>
                <w:bCs w:val="1"/>
                <w:color w:val="auto"/>
                <w:w w:val="82"/>
              </w:rPr>
              <w:t>2020</w:t>
            </w:r>
          </w:p>
        </w:tc>
        <w:tc>
          <w:tcPr>
            <w:tcW w:w="8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r>
      <w:tr>
        <w:trPr>
          <w:trHeight w:val="128"/>
        </w:trPr>
        <w:tc>
          <w:tcPr>
            <w:tcW w:w="160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5"/>
              </w:rPr>
              <w:t>Asset Manager Affiliates</w:t>
            </w:r>
            <w:r>
              <w:rPr>
                <w:rFonts w:ascii="Arial" w:cs="Arial" w:eastAsia="Arial" w:hAnsi="Arial"/>
                <w:sz w:val="10"/>
                <w:szCs w:val="10"/>
                <w:color w:val="auto"/>
                <w:w w:val="95"/>
              </w:rPr>
              <w:t>(4)(6)</w:t>
            </w:r>
          </w:p>
        </w:tc>
        <w:tc>
          <w:tcPr>
            <w:tcW w:w="13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160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Management</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Company</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$ 17,791,230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rPr>
              <w:t>Tank Partners Equipment</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(3)(4)(5)(8)</w:t>
            </w:r>
          </w:p>
        </w:tc>
        <w:tc>
          <w:tcPr>
            <w:tcW w:w="1380" w:type="dxa"/>
            <w:vAlign w:val="bottom"/>
            <w:gridSpan w:val="2"/>
          </w:tcPr>
          <w:p>
            <w:pPr>
              <w:spacing w:after="0"/>
              <w:rPr>
                <w:sz w:val="20"/>
                <w:szCs w:val="20"/>
                <w:color w:val="auto"/>
              </w:rPr>
            </w:pPr>
            <w:r>
              <w:rPr>
                <w:rFonts w:ascii="Arial" w:cs="Arial" w:eastAsia="Arial" w:hAnsi="Arial"/>
                <w:sz w:val="13"/>
                <w:szCs w:val="13"/>
                <w:color w:val="auto"/>
              </w:rPr>
              <w:t>Gas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49,000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(3)(4)(5)</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(160,888)</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242,728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682,006</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1600" w:type="dxa"/>
            <w:vAlign w:val="bottom"/>
          </w:tcPr>
          <w:p>
            <w:pPr>
              <w:spacing w:after="0"/>
              <w:rPr>
                <w:sz w:val="20"/>
                <w:szCs w:val="20"/>
                <w:color w:val="auto"/>
              </w:rPr>
            </w:pPr>
            <w:r>
              <w:rPr>
                <w:rFonts w:ascii="Arial" w:cs="Arial" w:eastAsia="Arial" w:hAnsi="Arial"/>
                <w:sz w:val="13"/>
                <w:szCs w:val="13"/>
                <w:color w:val="auto"/>
                <w:w w:val="98"/>
              </w:rPr>
              <w:t xml:space="preserve">KCAP Freedom 3, LLC </w:t>
            </w:r>
            <w:r>
              <w:rPr>
                <w:rFonts w:ascii="Arial" w:cs="Arial" w:eastAsia="Arial" w:hAnsi="Arial"/>
                <w:sz w:val="10"/>
                <w:szCs w:val="10"/>
                <w:color w:val="auto"/>
                <w:w w:val="98"/>
              </w:rPr>
              <w:t>(3)(5)</w:t>
            </w:r>
          </w:p>
        </w:tc>
        <w:tc>
          <w:tcPr>
            <w:tcW w:w="138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21,307,899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(4,621,899)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16,686,000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24,720,000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1,494,891</w:t>
            </w:r>
          </w:p>
        </w:tc>
        <w:tc>
          <w:tcPr>
            <w:tcW w:w="100" w:type="dxa"/>
            <w:vAlign w:val="bottom"/>
          </w:tcPr>
          <w:p>
            <w:pPr>
              <w:spacing w:after="0"/>
              <w:rPr>
                <w:sz w:val="12"/>
                <w:szCs w:val="12"/>
                <w:color w:val="auto"/>
              </w:rPr>
            </w:pPr>
          </w:p>
        </w:tc>
      </w:tr>
      <w:tr>
        <w:trPr>
          <w:trHeight w:val="142"/>
        </w:trPr>
        <w:tc>
          <w:tcPr>
            <w:tcW w:w="16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13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21,711,515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ind w:left="28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(4,782,787)</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ind w:left="42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16,928,728</w:t>
            </w:r>
          </w:p>
        </w:tc>
        <w:tc>
          <w:tcPr>
            <w:tcW w:w="1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1,494,891</w:t>
            </w:r>
          </w:p>
        </w:tc>
        <w:tc>
          <w:tcPr>
            <w:tcW w:w="100" w:type="dxa"/>
            <w:vAlign w:val="bottom"/>
            <w:tcBorders>
              <w:top w:val="single" w:sz="8" w:color="CFF0FC"/>
            </w:tcBorders>
            <w:shd w:val="clear" w:color="auto" w:fill="CFF0FC"/>
          </w:tcPr>
          <w:p>
            <w:pPr>
              <w:spacing w:after="0"/>
              <w:rPr>
                <w:sz w:val="12"/>
                <w:szCs w:val="12"/>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3"/>
                <w:szCs w:val="13"/>
                <w:color w:val="auto"/>
              </w:rPr>
              <w:t>BCP Great Lakes Holdings</w:t>
            </w:r>
          </w:p>
        </w:tc>
        <w:tc>
          <w:tcPr>
            <w:tcW w:w="138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(7)(9)</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23,780,068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4,638,384</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(1,178,819)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27,239,633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28,318,065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1,083,128</w:t>
            </w:r>
          </w:p>
        </w:tc>
        <w:tc>
          <w:tcPr>
            <w:tcW w:w="100" w:type="dxa"/>
            <w:vAlign w:val="bottom"/>
          </w:tcPr>
          <w:p>
            <w:pPr>
              <w:spacing w:after="0"/>
              <w:rPr>
                <w:sz w:val="12"/>
                <w:szCs w:val="12"/>
                <w:color w:val="auto"/>
              </w:rPr>
            </w:pP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Catamaran CLO 2013-1, Ltd.</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(336,207)</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268,294</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(3,423,475)</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1,534,148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11,720,000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268,294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4"/>
              </w:rPr>
              <w:t>Catamaran CLO 2014-1, Ltd.</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6,379,580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(386,448)</w:t>
            </w:r>
          </w:p>
        </w:tc>
        <w:tc>
          <w:tcPr>
            <w:tcW w:w="640" w:type="dxa"/>
            <w:vAlign w:val="bottom"/>
          </w:tcPr>
          <w:p>
            <w:pPr>
              <w:jc w:val="right"/>
              <w:spacing w:after="0"/>
              <w:rPr>
                <w:sz w:val="20"/>
                <w:szCs w:val="20"/>
                <w:color w:val="auto"/>
              </w:rPr>
            </w:pPr>
            <w:r>
              <w:rPr>
                <w:rFonts w:ascii="Arial" w:cs="Arial" w:eastAsia="Arial" w:hAnsi="Arial"/>
                <w:sz w:val="13"/>
                <w:szCs w:val="13"/>
                <w:color w:val="auto"/>
              </w:rPr>
              <w:t>404,086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(3,233,959)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3,163,259</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15,160,600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404,086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Catamaran CLO 2014-2, Ltd.</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(60,226)</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(1,131,933)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4"/>
              </w:rPr>
              <w:t>Catamaran CLO 2015-1, Ltd.</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2,514,130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(147,608)</w:t>
            </w:r>
          </w:p>
        </w:tc>
        <w:tc>
          <w:tcPr>
            <w:tcW w:w="640" w:type="dxa"/>
            <w:vAlign w:val="bottom"/>
          </w:tcPr>
          <w:p>
            <w:pPr>
              <w:jc w:val="right"/>
              <w:spacing w:after="0"/>
              <w:rPr>
                <w:sz w:val="20"/>
                <w:szCs w:val="20"/>
                <w:color w:val="auto"/>
              </w:rPr>
            </w:pPr>
            <w:r>
              <w:rPr>
                <w:rFonts w:ascii="Arial" w:cs="Arial" w:eastAsia="Arial" w:hAnsi="Arial"/>
                <w:sz w:val="13"/>
                <w:szCs w:val="13"/>
                <w:color w:val="auto"/>
              </w:rPr>
              <w:t>159,317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(1,590,406)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935,433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4,952,000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159,317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Catamaran CLO 2016-1, Ltd.</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(608,669)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413,355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(3,107,510)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3,092,193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10,140,000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413,355</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4"/>
              </w:rPr>
              <w:t>Catamaran CLO 2018-1, Ltd.</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8,530,751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(807,255)</w:t>
            </w:r>
          </w:p>
        </w:tc>
        <w:tc>
          <w:tcPr>
            <w:tcW w:w="640" w:type="dxa"/>
            <w:vAlign w:val="bottom"/>
          </w:tcPr>
          <w:p>
            <w:pPr>
              <w:jc w:val="right"/>
              <w:spacing w:after="0"/>
              <w:rPr>
                <w:sz w:val="20"/>
                <w:szCs w:val="20"/>
                <w:color w:val="auto"/>
              </w:rPr>
            </w:pPr>
            <w:r>
              <w:rPr>
                <w:rFonts w:ascii="Arial" w:cs="Arial" w:eastAsia="Arial" w:hAnsi="Arial"/>
                <w:sz w:val="13"/>
                <w:szCs w:val="13"/>
                <w:color w:val="auto"/>
              </w:rPr>
              <w:t>608,182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(1,254,178)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7,077,500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608,182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1600" w:type="dxa"/>
            <w:vAlign w:val="bottom"/>
            <w:shd w:val="clear" w:color="auto" w:fill="CFF0FC"/>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Electronics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7,636,090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41,744</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(208,833)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7,469,000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315,112</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6"/>
              </w:rPr>
              <w:t>Zest Acquisition Corp.</w:t>
            </w:r>
            <w:r>
              <w:rPr>
                <w:rFonts w:ascii="Arial" w:cs="Arial" w:eastAsia="Arial" w:hAnsi="Arial"/>
                <w:sz w:val="10"/>
                <w:szCs w:val="10"/>
                <w:color w:val="auto"/>
                <w:w w:val="96"/>
              </w:rPr>
              <w:t>(3)(4)(7)</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Healthcare, Education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12"/>
                <w:szCs w:val="12"/>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and Childcare</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3,306,092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(247,446)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3,060,050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156,572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(3)(4)(7)</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Healthcare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Pharmaceuticals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2,422,281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(38,381)</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2,383,900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35,388,820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28"/>
        </w:trPr>
        <w:tc>
          <w:tcPr>
            <w:tcW w:w="1600" w:type="dxa"/>
            <w:vAlign w:val="bottom"/>
          </w:tcPr>
          <w:p>
            <w:pPr>
              <w:spacing w:after="0" w:line="128" w:lineRule="exact"/>
              <w:rPr>
                <w:sz w:val="20"/>
                <w:szCs w:val="20"/>
                <w:color w:val="auto"/>
              </w:rPr>
            </w:pPr>
            <w:r>
              <w:rPr>
                <w:rFonts w:ascii="Arial" w:cs="Arial" w:eastAsia="Arial" w:hAnsi="Arial"/>
                <w:sz w:val="13"/>
                <w:szCs w:val="13"/>
                <w:color w:val="auto"/>
              </w:rPr>
              <w:t>Total Non-controlled</w:t>
            </w: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affiliates</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67,128,578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2,291,971</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1,949,508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w w:val="94"/>
              </w:rPr>
              <w:t>(15,414,940)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55,955,117</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9"/>
              </w:rPr>
              <w:t>2,378,044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1,083,128</w:t>
            </w:r>
          </w:p>
        </w:tc>
        <w:tc>
          <w:tcPr>
            <w:tcW w:w="100" w:type="dxa"/>
            <w:vAlign w:val="bottom"/>
          </w:tcPr>
          <w:p>
            <w:pPr>
              <w:spacing w:after="0"/>
              <w:rPr>
                <w:sz w:val="12"/>
                <w:szCs w:val="12"/>
                <w:color w:val="auto"/>
              </w:rPr>
            </w:pPr>
          </w:p>
        </w:tc>
      </w:tr>
      <w:tr>
        <w:trPr>
          <w:trHeight w:val="142"/>
        </w:trPr>
        <w:tc>
          <w:tcPr>
            <w:tcW w:w="160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Total Affiliated Investments</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88,840,092</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2,291,971</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7"/>
              </w:rPr>
              <w:t>$ 1,949,508</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(20,197,727</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72,883,844</w:t>
            </w:r>
          </w:p>
        </w:tc>
        <w:tc>
          <w:tcPr>
            <w:tcW w:w="1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2,378,044</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2,578,019</w:t>
            </w:r>
          </w:p>
        </w:tc>
        <w:tc>
          <w:tcPr>
            <w:tcW w:w="10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31"/>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ind w:left="380" w:right="260" w:hanging="372"/>
        <w:spacing w:after="0" w:line="263" w:lineRule="auto"/>
        <w:tabs>
          <w:tab w:leader="none" w:pos="380" w:val="left"/>
        </w:tabs>
        <w:numPr>
          <w:ilvl w:val="0"/>
          <w:numId w:val="32"/>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86"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7"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7"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07" w:lineRule="exact"/>
        <w:rPr>
          <w:rFonts w:ascii="Arial" w:cs="Arial" w:eastAsia="Arial" w:hAnsi="Arial"/>
          <w:sz w:val="27"/>
          <w:szCs w:val="27"/>
          <w:color w:val="auto"/>
          <w:vertAlign w:val="superscript"/>
        </w:rPr>
      </w:pPr>
    </w:p>
    <w:p>
      <w:pPr>
        <w:ind w:left="380"/>
        <w:spacing w:after="0"/>
        <w:rPr>
          <w:rFonts w:ascii="Arial" w:cs="Arial" w:eastAsia="Arial" w:hAnsi="Arial"/>
          <w:sz w:val="27"/>
          <w:szCs w:val="27"/>
          <w:color w:val="auto"/>
          <w:vertAlign w:val="superscript"/>
        </w:rPr>
      </w:pPr>
      <w:r>
        <w:rPr>
          <w:rFonts w:ascii="Arial" w:cs="Arial" w:eastAsia="Arial" w:hAnsi="Arial"/>
          <w:sz w:val="18"/>
          <w:szCs w:val="18"/>
          <w:color w:val="auto"/>
        </w:rPr>
        <w:t>The following table details investments in affiliates at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Purchases/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3"/>
          </w:tcPr>
          <w:p>
            <w:pPr>
              <w:jc w:val="center"/>
              <w:ind w:right="138"/>
              <w:spacing w:after="0" w:line="135" w:lineRule="exact"/>
              <w:rPr>
                <w:sz w:val="20"/>
                <w:szCs w:val="20"/>
                <w:color w:val="auto"/>
              </w:rPr>
            </w:pPr>
            <w:r>
              <w:rPr>
                <w:rFonts w:ascii="Arial" w:cs="Arial" w:eastAsia="Arial" w:hAnsi="Arial"/>
                <w:sz w:val="13"/>
                <w:szCs w:val="13"/>
                <w:b w:val="1"/>
                <w:bCs w:val="1"/>
                <w:color w:val="auto"/>
                <w:w w:val="85"/>
              </w:rPr>
              <w:t>Net change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1"/>
              </w:rPr>
              <w:t>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800" w:type="dxa"/>
            <w:vAlign w:val="bottom"/>
            <w:gridSpan w:val="2"/>
          </w:tcPr>
          <w:p>
            <w:pPr>
              <w:jc w:val="center"/>
              <w:ind w:right="218"/>
              <w:spacing w:after="0" w:line="135" w:lineRule="exact"/>
              <w:rPr>
                <w:sz w:val="20"/>
                <w:szCs w:val="20"/>
                <w:color w:val="auto"/>
              </w:rPr>
            </w:pPr>
            <w:r>
              <w:rPr>
                <w:rFonts w:ascii="Arial" w:cs="Arial" w:eastAsia="Arial" w:hAnsi="Arial"/>
                <w:sz w:val="13"/>
                <w:szCs w:val="13"/>
                <w:b w:val="1"/>
                <w:bCs w:val="1"/>
                <w:color w:val="auto"/>
                <w:w w:val="86"/>
              </w:rPr>
              <w:t>in</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December</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December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Industry</w:t>
            </w:r>
          </w:p>
        </w:tc>
        <w:tc>
          <w:tcPr>
            <w:tcW w:w="8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Advances/</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Net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0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7"/>
              </w:rPr>
              <w:t>unrealized</w:t>
            </w:r>
          </w:p>
        </w:tc>
        <w:tc>
          <w:tcPr>
            <w:tcW w:w="840" w:type="dxa"/>
            <w:vAlign w:val="bottom"/>
            <w:gridSpan w:val="2"/>
          </w:tcPr>
          <w:p>
            <w:pPr>
              <w:jc w:val="right"/>
              <w:ind w:right="238"/>
              <w:spacing w:after="0" w:line="135" w:lineRule="exact"/>
              <w:rPr>
                <w:sz w:val="20"/>
                <w:szCs w:val="20"/>
                <w:color w:val="auto"/>
              </w:rPr>
            </w:pPr>
            <w:r>
              <w:rPr>
                <w:rFonts w:ascii="Arial" w:cs="Arial" w:eastAsia="Arial" w:hAnsi="Arial"/>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5"/>
              </w:rPr>
              <w:t>Classification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1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7"/>
              </w:rPr>
              <w:t>(Distributions)</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Accretion</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Affiliates</w:t>
            </w:r>
          </w:p>
        </w:tc>
        <w:tc>
          <w:tcPr>
            <w:tcW w:w="860" w:type="dxa"/>
            <w:vAlign w:val="bottom"/>
            <w:gridSpan w:val="3"/>
          </w:tcPr>
          <w:p>
            <w:pPr>
              <w:jc w:val="center"/>
              <w:ind w:right="138"/>
              <w:spacing w:after="0"/>
              <w:rPr>
                <w:sz w:val="20"/>
                <w:szCs w:val="20"/>
                <w:color w:val="auto"/>
              </w:rPr>
            </w:pPr>
            <w:r>
              <w:rPr>
                <w:rFonts w:ascii="Arial" w:cs="Arial" w:eastAsia="Arial" w:hAnsi="Arial"/>
                <w:sz w:val="13"/>
                <w:szCs w:val="13"/>
                <w:b w:val="1"/>
                <w:bCs w:val="1"/>
                <w:color w:val="auto"/>
                <w:w w:val="89"/>
              </w:rPr>
              <w:t>Gain/(Loss)</w:t>
            </w:r>
          </w:p>
        </w:tc>
        <w:tc>
          <w:tcPr>
            <w:tcW w:w="840" w:type="dxa"/>
            <w:vAlign w:val="bottom"/>
            <w:gridSpan w:val="2"/>
          </w:tcPr>
          <w:p>
            <w:pPr>
              <w:jc w:val="right"/>
              <w:ind w:right="158"/>
              <w:spacing w:after="0"/>
              <w:rPr>
                <w:sz w:val="20"/>
                <w:szCs w:val="20"/>
                <w:color w:val="auto"/>
              </w:rPr>
            </w:pPr>
            <w:r>
              <w:rPr>
                <w:rFonts w:ascii="Arial" w:cs="Arial" w:eastAsia="Arial" w:hAnsi="Arial"/>
                <w:sz w:val="13"/>
                <w:szCs w:val="13"/>
                <w:b w:val="1"/>
                <w:bCs w:val="1"/>
                <w:color w:val="auto"/>
                <w:w w:val="86"/>
              </w:rPr>
              <w:t>Gain/(Loss)</w:t>
            </w: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148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5"/>
              </w:rPr>
              <w:t>Asset Manager Affiliates</w:t>
            </w:r>
            <w:r>
              <w:rPr>
                <w:rFonts w:ascii="Arial" w:cs="Arial" w:eastAsia="Arial" w:hAnsi="Arial"/>
                <w:sz w:val="10"/>
                <w:szCs w:val="10"/>
                <w:color w:val="auto"/>
                <w:w w:val="95"/>
              </w:rPr>
              <w:t>(4)</w:t>
            </w:r>
          </w:p>
        </w:tc>
        <w:tc>
          <w:tcPr>
            <w:tcW w:w="6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FF0FC"/>
          </w:tcPr>
          <w:p>
            <w:pPr>
              <w:spacing w:after="0"/>
              <w:rPr>
                <w:sz w:val="20"/>
                <w:szCs w:val="20"/>
                <w:color w:val="auto"/>
              </w:rPr>
            </w:pPr>
            <w:r>
              <w:rPr>
                <w:rFonts w:ascii="Arial" w:cs="Arial" w:eastAsia="Arial" w:hAnsi="Arial"/>
                <w:sz w:val="11"/>
                <w:szCs w:val="11"/>
                <w:color w:val="auto"/>
              </w:rPr>
              <w:t>(6)</w:t>
            </w:r>
          </w:p>
        </w:tc>
        <w:tc>
          <w:tcPr>
            <w:tcW w:w="13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rPr>
              <w:t>Management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Company</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0"/>
              </w:rPr>
              <w:t>$ (3,470,000)</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4"/>
              </w:rPr>
              <w:t>$ 17,791,230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Tank Partners Holdings,</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(3)(4)(5)(8)</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Gas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6,228,000</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w w:val="99"/>
              </w:rPr>
              <w:t>(5,064,000)</w:t>
            </w: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(1,165,000)</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(216,529)</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line="140" w:lineRule="exact"/>
              <w:rPr>
                <w:sz w:val="20"/>
                <w:szCs w:val="20"/>
                <w:color w:val="auto"/>
              </w:rPr>
            </w:pPr>
            <w:r>
              <w:rPr>
                <w:rFonts w:ascii="Arial" w:cs="Arial" w:eastAsia="Arial" w:hAnsi="Arial"/>
                <w:sz w:val="13"/>
                <w:szCs w:val="13"/>
                <w:color w:val="auto"/>
                <w:w w:val="98"/>
              </w:rPr>
              <w:t xml:space="preserve">KCAP Freedom 3, LLC </w:t>
            </w:r>
            <w:r>
              <w:rPr>
                <w:rFonts w:ascii="Arial" w:cs="Arial" w:eastAsia="Arial" w:hAnsi="Arial"/>
                <w:sz w:val="10"/>
                <w:szCs w:val="10"/>
                <w:color w:val="auto"/>
                <w:w w:val="98"/>
              </w:rPr>
              <w:t>(3)</w:t>
            </w:r>
          </w:p>
        </w:tc>
        <w:tc>
          <w:tcPr>
            <w:tcW w:w="1340" w:type="dxa"/>
            <w:vAlign w:val="bottom"/>
            <w:gridSpan w:val="2"/>
          </w:tcPr>
          <w:p>
            <w:pPr>
              <w:ind w:left="60"/>
              <w:spacing w:after="0" w:line="140" w:lineRule="exact"/>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8"/>
              </w:rPr>
              <w:t>18,390,440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2,917,459</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89"/>
              </w:rPr>
              <w:t>21,307,899</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24,720,000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3,750,000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tcPr>
          <w:p>
            <w:pPr>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6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21,861,440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6,848,145</w:t>
            </w:r>
          </w:p>
        </w:tc>
        <w:tc>
          <w:tcPr>
            <w:tcW w:w="1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(2,363,070)</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(4,635,000)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21,711,515</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3,750,000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480" w:type="dxa"/>
            <w:vAlign w:val="bottom"/>
          </w:tcPr>
          <w:p>
            <w:pPr>
              <w:spacing w:after="0"/>
              <w:rPr>
                <w:sz w:val="20"/>
                <w:szCs w:val="20"/>
                <w:color w:val="auto"/>
              </w:rPr>
            </w:pPr>
            <w:r>
              <w:rPr>
                <w:rFonts w:ascii="Arial" w:cs="Arial" w:eastAsia="Arial" w:hAnsi="Arial"/>
                <w:sz w:val="13"/>
                <w:szCs w:val="13"/>
                <w:color w:val="auto"/>
                <w:w w:val="93"/>
              </w:rPr>
              <w:t>BCP Great Lakes Holdings</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(5)(9)</w:t>
            </w: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12,466,667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11,213,014</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100,387</w:t>
            </w: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23,780,068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23,679,681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2013-1,</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(1,208,865)</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7,506,434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(2,204,062)</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11,720,000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Catamaran CLO 2014-1,</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(1,254,962)</w:t>
            </w:r>
          </w:p>
        </w:tc>
        <w:tc>
          <w:tcPr>
            <w:tcW w:w="620" w:type="dxa"/>
            <w:vAlign w:val="bottom"/>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9,112,278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w w:val="99"/>
              </w:rPr>
              <w:t>(2,411,715)</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6,379,580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15,160,600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(521,228)</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2,591,820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(1,209,124)</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Catamaran CLO 2015-1,</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(551,159)</w:t>
            </w:r>
          </w:p>
        </w:tc>
        <w:tc>
          <w:tcPr>
            <w:tcW w:w="620" w:type="dxa"/>
            <w:vAlign w:val="bottom"/>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3,157,769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(428,544)</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2,514,130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4,952,000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(1,033,625)</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7,502,959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(740,809)</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10,140,000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Catamaran CLO 2018-1,</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(1,597,115)</w:t>
            </w:r>
          </w:p>
        </w:tc>
        <w:tc>
          <w:tcPr>
            <w:tcW w:w="620" w:type="dxa"/>
            <w:vAlign w:val="bottom"/>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8,950,000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185,978</w:t>
            </w: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8,530,751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KCAP F3C Senior Funding</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Rated Notes</w:t>
            </w:r>
            <w:r>
              <w:rPr>
                <w:rFonts w:ascii="Arial" w:cs="Arial" w:eastAsia="Arial" w:hAnsi="Arial"/>
                <w:sz w:val="10"/>
                <w:szCs w:val="10"/>
                <w:color w:val="auto"/>
              </w:rPr>
              <w:t>(3)(7)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4,473,840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(4,417,967)</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18,496</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(66,734)</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(7,635)</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289,373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Electronics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496,995</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5,067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6,646,229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492,653</w:t>
            </w:r>
          </w:p>
        </w:tc>
        <w:tc>
          <w:tcPr>
            <w:tcW w:w="1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(4,854)</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7,636,090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380,167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Zest Acquisition Corp.</w:t>
            </w:r>
            <w:r>
              <w:rPr>
                <w:rFonts w:ascii="Arial" w:cs="Arial" w:eastAsia="Arial" w:hAnsi="Arial"/>
                <w:sz w:val="10"/>
                <w:szCs w:val="10"/>
                <w:color w:val="auto"/>
                <w:w w:val="96"/>
              </w:rPr>
              <w:t>(3)(4)</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w w:val="98"/>
              </w:rPr>
              <w:t>Healthcare, Education</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1"/>
                <w:szCs w:val="11"/>
                <w:color w:val="auto"/>
              </w:rPr>
              <w:t>(7)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and Childcare</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3,231,683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74,300</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3,306,092</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244,729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(3)(4)(7)</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Healthcare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Pharmaceuticals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31,817,483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48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Total Non-controlled</w:t>
            </w:r>
          </w:p>
        </w:tc>
        <w:tc>
          <w:tcPr>
            <w:tcW w:w="6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affiliates</w:t>
            </w:r>
          </w:p>
        </w:tc>
        <w:tc>
          <w:tcPr>
            <w:tcW w:w="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16,940,507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1,125,088</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4,161,686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51,121,453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(6,207,668)</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(12,489)</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67,128,578</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5,052,283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3"/>
              </w:rPr>
              <w:t>Total Affiliated Investments</w:t>
            </w:r>
          </w:p>
        </w:tc>
        <w:tc>
          <w:tcPr>
            <w:tcW w:w="6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38,801,947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7,973,232</w:t>
            </w: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$ 4,161,686</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$ 51,121,453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(8,570,738</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(4,647,489</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88,840,092</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5,052,283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4,859,780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40"/>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9" w:lineRule="exact"/>
        <w:rPr>
          <w:sz w:val="20"/>
          <w:szCs w:val="20"/>
          <w:color w:val="auto"/>
        </w:rPr>
      </w:pPr>
    </w:p>
    <w:p>
      <w:pPr>
        <w:ind w:left="380" w:right="260" w:hanging="372"/>
        <w:spacing w:after="0" w:line="263" w:lineRule="auto"/>
        <w:tabs>
          <w:tab w:leader="none" w:pos="380" w:val="left"/>
        </w:tabs>
        <w:numPr>
          <w:ilvl w:val="0"/>
          <w:numId w:val="41"/>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77" w:lineRule="auto"/>
        <w:tabs>
          <w:tab w:leader="none" w:pos="380" w:val="left"/>
        </w:tabs>
        <w:numPr>
          <w:ilvl w:val="0"/>
          <w:numId w:val="42"/>
        </w:numPr>
        <w:rPr>
          <w:rFonts w:ascii="Arial" w:cs="Arial" w:eastAsia="Arial" w:hAnsi="Arial"/>
          <w:sz w:val="15"/>
          <w:szCs w:val="15"/>
          <w:color w:val="auto"/>
        </w:rPr>
      </w:pPr>
      <w:r>
        <w:rPr>
          <w:rFonts w:ascii="Arial" w:cs="Arial" w:eastAsia="Arial" w:hAnsi="Arial"/>
          <w:sz w:val="18"/>
          <w:szCs w:val="18"/>
          <w:color w:val="auto"/>
        </w:rPr>
        <w:t>Under the 1940 Act, the Company is deemed to be an “Affiliated Person” of, as defined in the 1940 Act, this portfolio company as the Company owns at least 5% but no more than 25% of the portfolio company’s outstanding voting securities or is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380" w:right="320"/>
        <w:spacing w:after="0" w:line="277" w:lineRule="auto"/>
        <w:rPr>
          <w:sz w:val="20"/>
          <w:szCs w:val="20"/>
          <w:color w:val="auto"/>
        </w:rPr>
      </w:pPr>
      <w:r>
        <w:rPr>
          <w:rFonts w:ascii="Arial" w:cs="Arial" w:eastAsia="Arial" w:hAnsi="Arial"/>
          <w:sz w:val="18"/>
          <w:szCs w:val="18"/>
          <w:color w:val="auto"/>
        </w:rPr>
        <w:t>common control with such portfolio company. Other than for purposes of the 1940 Act, the Company does not believe that it has control over this portfolio company.</w:t>
      </w:r>
    </w:p>
    <w:p>
      <w:pPr>
        <w:spacing w:after="0" w:line="62"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7"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08"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During the third quarter of 2019, the Company sold its entire investment in Bristol Hospice, LLC to an affiliate. This transaction was approved by the Board of Directors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9" w:lineRule="exact"/>
        <w:rPr>
          <w:sz w:val="20"/>
          <w:szCs w:val="20"/>
          <w:color w:val="auto"/>
        </w:rPr>
      </w:pPr>
    </w:p>
    <w:p>
      <w:pPr>
        <w:jc w:val="both"/>
        <w:ind w:right="40" w:firstLine="374"/>
        <w:spacing w:after="0" w:line="259" w:lineRule="auto"/>
        <w:rPr>
          <w:sz w:val="20"/>
          <w:szCs w:val="20"/>
          <w:color w:val="auto"/>
        </w:rPr>
      </w:pPr>
      <w:r>
        <w:rPr>
          <w:rFonts w:ascii="Arial" w:cs="Arial" w:eastAsia="Arial" w:hAnsi="Arial"/>
          <w:sz w:val="18"/>
          <w:szCs w:val="18"/>
          <w:color w:val="auto"/>
        </w:rPr>
        <w:t>For the three months ended June 30, 2020 and 2019, the Company recognized $1.0 million and $1.3 million, respectively, in investment income from its investments in Joint Ventures. For the six months ended June 30, 2020 and 2019, the Company recognized $2.6 million and $2.2 million, respectively, in investment income from its investments in Joint Ventures. As of June 30, 2020 and December 31, 2019, the fair value of the Company’s investments in Joint Ventures was approximately $43.9 million and $45.1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89"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56"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53"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7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72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June 30, 2020</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26,279,124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26,279,124</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729,954</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12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25,549,170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26,279,124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ind w:left="64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6"/>
          </w:tcPr>
          <w:p>
            <w:pPr>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34"/>
        </w:trPr>
        <w:tc>
          <w:tcPr>
            <w:tcW w:w="63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1,178,220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1,008,338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2,395,633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2,159,724</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1,166,720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1,006,859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2,140,732</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3,835,990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w w:val="91"/>
              </w:rPr>
              <w:t>(1,278,063)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(7,363,326)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4,048,759</w:t>
            </w:r>
          </w:p>
        </w:tc>
        <w:tc>
          <w:tcPr>
            <w:tcW w:w="100" w:type="dxa"/>
            <w:vAlign w:val="bottom"/>
          </w:tcPr>
          <w:p>
            <w:pPr>
              <w:spacing w:after="0"/>
              <w:rPr>
                <w:sz w:val="19"/>
                <w:szCs w:val="19"/>
                <w:color w:val="auto"/>
              </w:rPr>
            </w:pP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5,002,710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(271,204</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(4,999,193</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6,189,492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18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interest 21.5%,</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12/29 maturity</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40,706,201</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26,279,124</w:t>
            </w:r>
          </w:p>
        </w:tc>
        <w:tc>
          <w:tcPr>
            <w:tcW w:w="100" w:type="dxa"/>
            <w:vAlign w:val="bottom"/>
            <w:shd w:val="clear" w:color="auto" w:fill="CFF0FC"/>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40,706,201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26,279,124</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80" w:right="160" w:hanging="372"/>
        <w:spacing w:after="0" w:line="254" w:lineRule="auto"/>
        <w:tabs>
          <w:tab w:leader="none" w:pos="3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18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(1)(2)(3)</w:t>
            </w:r>
          </w:p>
        </w:tc>
        <w:tc>
          <w:tcPr>
            <w:tcW w:w="16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interest 11.2%,</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12/29 maturity</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40,801,382</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00" w:type="dxa"/>
            <w:vAlign w:val="bottom"/>
            <w:shd w:val="clear" w:color="auto" w:fill="CFF0FC"/>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40,801,382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80" w:right="160" w:hanging="372"/>
        <w:spacing w:after="0" w:line="254" w:lineRule="auto"/>
        <w:tabs>
          <w:tab w:leader="none" w:pos="380" w:val="left"/>
        </w:tabs>
        <w:numPr>
          <w:ilvl w:val="0"/>
          <w:numId w:val="47"/>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50" w:lineRule="auto"/>
        <w:tabs>
          <w:tab w:leader="none" w:pos="380" w:val="left"/>
        </w:tabs>
        <w:numPr>
          <w:ilvl w:val="0"/>
          <w:numId w:val="47"/>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380" w:hanging="372"/>
        <w:spacing w:after="0"/>
        <w:tabs>
          <w:tab w:leader="none" w:pos="380" w:val="left"/>
        </w:tabs>
        <w:numPr>
          <w:ilvl w:val="0"/>
          <w:numId w:val="47"/>
        </w:numPr>
        <w:rPr>
          <w:rFonts w:ascii="Arial" w:cs="Arial" w:eastAsia="Arial" w:hAnsi="Arial"/>
          <w:sz w:val="15"/>
          <w:szCs w:val="15"/>
          <w:color w:val="auto"/>
        </w:rPr>
      </w:pPr>
      <w:r>
        <w:rPr>
          <w:rFonts w:ascii="Arial" w:cs="Arial" w:eastAsia="Arial" w:hAnsi="Arial"/>
          <w:sz w:val="18"/>
          <w:szCs w:val="18"/>
          <w:color w:val="auto"/>
        </w:rPr>
        <w:t>Formerly known as KCAP F3C Senior Funding, LLC</w:t>
      </w:r>
    </w:p>
    <w:p>
      <w:pPr>
        <w:spacing w:after="0" w:line="170" w:lineRule="exact"/>
        <w:rPr>
          <w:sz w:val="20"/>
          <w:szCs w:val="20"/>
          <w:color w:val="auto"/>
        </w:rPr>
      </w:pPr>
    </w:p>
    <w:p>
      <w:pPr>
        <w:ind w:right="420" w:firstLine="374"/>
        <w:spacing w:after="0" w:line="263" w:lineRule="auto"/>
        <w:rPr>
          <w:sz w:val="20"/>
          <w:szCs w:val="20"/>
          <w:color w:val="auto"/>
        </w:rPr>
      </w:pPr>
      <w:r>
        <w:rPr>
          <w:rFonts w:ascii="Arial" w:cs="Arial" w:eastAsia="Arial" w:hAnsi="Arial"/>
          <w:sz w:val="18"/>
          <w:szCs w:val="18"/>
          <w:color w:val="auto"/>
        </w:rPr>
        <w:t>As a result of the severe economic consequences resulting from the COVID-19 pandemic, it is possible that the subordinated securities issued by Great Lakes KCAP F3C Senior LLC CLO, which are owned by KCAP Freedom 3 Joint Venture, could also cease making distributions to the KCAP Freedom 3 Joint Venture.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121"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5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The fair value of the Company’s investment in the BCP Great Lakes Partnership at June 30, 2020 and December 31, 2019 was $27.2 million and $23.8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52" w:lineRule="exact"/>
        <w:rPr>
          <w:sz w:val="20"/>
          <w:szCs w:val="20"/>
          <w:color w:val="auto"/>
        </w:rPr>
      </w:pPr>
    </w:p>
    <w:p>
      <w:pPr>
        <w:ind w:right="280" w:firstLine="374"/>
        <w:spacing w:after="0" w:line="257" w:lineRule="auto"/>
        <w:rPr>
          <w:sz w:val="20"/>
          <w:szCs w:val="20"/>
          <w:color w:val="auto"/>
        </w:rPr>
      </w:pPr>
      <w:r>
        <w:rPr>
          <w:rFonts w:ascii="Arial" w:cs="Arial" w:eastAsia="Arial" w:hAnsi="Arial"/>
          <w:sz w:val="18"/>
          <w:szCs w:val="18"/>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June 30, 2020 and December 31, 2019, the Company has a $21.7 million and $26.3 million, respectively unfunded commitment to the BCP Great Lakes Partnership. However, at June 30, 2020 our funding commitment was limited to approximately $6.7 million pursuant to the limitations described above.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2" w:lineRule="exact"/>
        <w:rPr>
          <w:sz w:val="20"/>
          <w:szCs w:val="20"/>
          <w:color w:val="auto"/>
        </w:rPr>
      </w:pPr>
    </w:p>
    <w:p>
      <w:pPr>
        <w:ind w:right="260" w:firstLine="8"/>
        <w:spacing w:after="0" w:line="253" w:lineRule="auto"/>
        <w:tabs>
          <w:tab w:leader="none" w:pos="3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right="160"/>
        <w:spacing w:after="0" w:line="259" w:lineRule="auto"/>
        <w:rPr>
          <w:sz w:val="20"/>
          <w:szCs w:val="20"/>
          <w:color w:val="auto"/>
        </w:rPr>
      </w:pPr>
      <w:r>
        <w:rPr>
          <w:rFonts w:ascii="Arial" w:cs="Arial" w:eastAsia="Arial" w:hAnsi="Arial"/>
          <w:sz w:val="18"/>
          <w:szCs w:val="18"/>
          <w:color w:val="auto"/>
        </w:rPr>
        <w:t>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0"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30"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5"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49"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37"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0"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June 30, 2020 (unaudited) and December 31, 2019,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7"/>
          </w:tcPr>
          <w:p>
            <w:pPr>
              <w:jc w:val="right"/>
              <w:ind w:right="410"/>
              <w:spacing w:after="0"/>
              <w:rPr>
                <w:sz w:val="20"/>
                <w:szCs w:val="20"/>
                <w:color w:val="auto"/>
              </w:rPr>
            </w:pPr>
            <w:r>
              <w:rPr>
                <w:rFonts w:ascii="Arial" w:cs="Arial" w:eastAsia="Arial" w:hAnsi="Arial"/>
                <w:sz w:val="18"/>
                <w:szCs w:val="18"/>
                <w:b w:val="1"/>
                <w:bCs w:val="1"/>
                <w:color w:val="auto"/>
              </w:rPr>
              <w:t>As of June 30, 2020 (Unaudited)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1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Debt securities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29,432,811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179,438,885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208,871,696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16,891,608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16,891,608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Equity securities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9,537,926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9,537,926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16,686,000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27,239,633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43,925,633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Derivatives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(571,419)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(571,419)</w:t>
            </w:r>
          </w:p>
        </w:tc>
        <w:tc>
          <w:tcPr>
            <w:tcW w:w="20" w:type="dxa"/>
            <w:vAlign w:val="bottom"/>
          </w:tcPr>
          <w:p>
            <w:pPr>
              <w:spacing w:after="0"/>
              <w:rPr>
                <w:sz w:val="19"/>
                <w:szCs w:val="19"/>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31,500,628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221,983,000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27,239,633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280,723,261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2500" w:type="dxa"/>
            <w:vAlign w:val="bottom"/>
            <w:gridSpan w:val="2"/>
          </w:tcPr>
          <w:p>
            <w:pPr>
              <w:jc w:val="right"/>
              <w:ind w:right="161"/>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8"/>
          </w:tcPr>
          <w:p>
            <w:pPr>
              <w:ind w:left="640"/>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NAV</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800" w:type="dxa"/>
            <w:vAlign w:val="bottom"/>
            <w:tcBorders>
              <w:top w:val="single" w:sz="8" w:color="auto"/>
            </w:tcBorders>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Debt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38,420,182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148,382,726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186,802,908</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31,968,202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31,968,202</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Equity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9,864,419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9,864,419</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21,307,899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45,087,967</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Derivatives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(33,437)</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(33,437)</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42,627,289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211,489,810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277,897,166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third-party pricing service are generally deemed to be Level III values. For those that have observable trades, the Company considers them to be Level II.</w:t>
      </w:r>
    </w:p>
    <w:p>
      <w:pPr>
        <w:spacing w:after="0" w:line="146"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The fair value of the Company’s investment in the BCP Great Lakes Partnership at June 30, 2020 and December 31, 2019 was $27.2 million and $23.8 million. Fair value has been determined utilizing the practical expedient pursuant to ASC 820-10.</w:t>
      </w:r>
    </w:p>
    <w:p>
      <w:pPr>
        <w:spacing w:after="0" w:line="143"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6"/>
                <w:szCs w:val="16"/>
                <w:b w:val="1"/>
                <w:bCs w:val="1"/>
                <w:color w:val="auto"/>
              </w:rPr>
              <w:t>Six months ended June 30, 2020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Asset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Debt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CLO Fund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Manager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Joint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Securities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Affiliate</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Ventures</w:t>
            </w:r>
          </w:p>
        </w:tc>
        <w:tc>
          <w:tcPr>
            <w:tcW w:w="1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Derivatives</w:t>
            </w: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$ 148,382,726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31,968,202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9,864,419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21,307,899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(33,437)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$ 211,489,811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Transfers out of Level III¹</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(1,825,648)</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(1,825,648)</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Transfers into Level III²</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14,750,638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14,750,638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Net accretion</w:t>
            </w:r>
          </w:p>
        </w:tc>
        <w:tc>
          <w:tcPr>
            <w:tcW w:w="940" w:type="dxa"/>
            <w:vAlign w:val="bottom"/>
          </w:tcPr>
          <w:p>
            <w:pPr>
              <w:jc w:val="right"/>
              <w:spacing w:after="0"/>
              <w:rPr>
                <w:sz w:val="20"/>
                <w:szCs w:val="20"/>
                <w:color w:val="auto"/>
              </w:rPr>
            </w:pPr>
            <w:r>
              <w:rPr>
                <w:rFonts w:ascii="Arial" w:cs="Arial" w:eastAsia="Arial" w:hAnsi="Arial"/>
                <w:sz w:val="16"/>
                <w:szCs w:val="16"/>
                <w:color w:val="auto"/>
              </w:rPr>
              <w:t>1,125,567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2,111,322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3,236,889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Purchases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55,919,574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1,285,833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57,205,407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Sales/Paydowns/Return of Capital</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(26,415,672)</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(2,591,162)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(497,058)</w:t>
            </w: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(536,968)</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(30,040,860)</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Total realized gain (loss) included in earnings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(1,400,535)</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(1,189,287)</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536,968</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(2,052,854)</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w w:val="95"/>
              </w:rPr>
              <w:t>Change in unrealized gain (loss) included in earnings</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(11,097,765)</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(14,596,754)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74,018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(4,621,899)</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(537,983)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(30,780,383)</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June 30, 2020</w:t>
            </w: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$ 179,438,885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16,891,608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9,537,926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16,686,000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9"/>
              </w:rPr>
              <w:t>(571,419)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$ 221,983,000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Changes in unrealized gains (losses) included in</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w w:val="97"/>
              </w:rPr>
              <w:t>earnings related to investments still held at reporting</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6"/>
                <w:szCs w:val="16"/>
                <w:color w:val="auto"/>
              </w:rPr>
              <w:t>date</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 (14,331,172)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(14,596,754)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74,018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(4,621,899)</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(537,983)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 (34,013,790)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3"/>
          <w:szCs w:val="13"/>
          <w:color w:val="auto"/>
        </w:rPr>
      </w:pPr>
      <w:r>
        <w:rPr>
          <w:rFonts w:ascii="Arial" w:cs="Arial" w:eastAsia="Arial" w:hAnsi="Arial"/>
          <w:sz w:val="16"/>
          <w:szCs w:val="16"/>
          <w:color w:val="auto"/>
        </w:rPr>
        <w:t>Transfers out of Level III represent a transfer of $1.8 million relating to debt securities for which pricing inputs, other than their quoted prices in active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markets were observable as of June 30, 2020</w:t>
      </w:r>
    </w:p>
    <w:p>
      <w:pPr>
        <w:spacing w:after="0" w:line="8" w:lineRule="exact"/>
        <w:rPr>
          <w:sz w:val="20"/>
          <w:szCs w:val="20"/>
          <w:color w:val="auto"/>
        </w:rPr>
      </w:pPr>
    </w:p>
    <w:p>
      <w:pPr>
        <w:ind w:left="380" w:right="60" w:hanging="372"/>
        <w:spacing w:after="0" w:line="262" w:lineRule="auto"/>
        <w:tabs>
          <w:tab w:leader="none" w:pos="380" w:val="left"/>
        </w:tabs>
        <w:numPr>
          <w:ilvl w:val="0"/>
          <w:numId w:val="50"/>
        </w:numPr>
        <w:rPr>
          <w:rFonts w:ascii="Arial" w:cs="Arial" w:eastAsia="Arial" w:hAnsi="Arial"/>
          <w:sz w:val="15"/>
          <w:szCs w:val="15"/>
          <w:color w:val="auto"/>
        </w:rPr>
      </w:pPr>
      <w:r>
        <w:rPr>
          <w:rFonts w:ascii="Arial" w:cs="Arial" w:eastAsia="Arial" w:hAnsi="Arial"/>
          <w:sz w:val="18"/>
          <w:szCs w:val="18"/>
          <w:color w:val="auto"/>
        </w:rPr>
        <w:t>Transfers into Level III represent a transfer of $14.8 million relating to debt securities for which pricing inputs, other than their quoted prices in active markets were unobservable as of June 30,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right"/>
              <w:ind w:right="351"/>
              <w:spacing w:after="0"/>
              <w:rPr>
                <w:sz w:val="20"/>
                <w:szCs w:val="20"/>
                <w:color w:val="auto"/>
              </w:rPr>
            </w:pPr>
            <w:r>
              <w:rPr>
                <w:rFonts w:ascii="Arial" w:cs="Arial" w:eastAsia="Arial" w:hAnsi="Arial"/>
                <w:sz w:val="18"/>
                <w:szCs w:val="18"/>
                <w:b w:val="1"/>
                <w:bCs w:val="1"/>
                <w:color w:val="auto"/>
                <w:w w:val="97"/>
              </w:rPr>
              <w:t>Year Ended December 31, 2019</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5"/>
              </w:rPr>
              <w:t>Asset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Debt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CLO Fund</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Manager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b w:val="1"/>
                <w:bCs w:val="1"/>
                <w:color w:val="auto"/>
              </w:rPr>
              <w:t>Joint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Affiliate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Venture</w:t>
            </w:r>
          </w:p>
        </w:tc>
        <w:tc>
          <w:tcPr>
            <w:tcW w:w="1240" w:type="dxa"/>
            <w:vAlign w:val="bottom"/>
            <w:gridSpan w:val="4"/>
          </w:tcPr>
          <w:p>
            <w:pPr>
              <w:jc w:val="right"/>
              <w:ind w:right="121"/>
              <w:spacing w:after="0"/>
              <w:rPr>
                <w:sz w:val="20"/>
                <w:szCs w:val="20"/>
                <w:color w:val="auto"/>
              </w:rPr>
            </w:pPr>
            <w:r>
              <w:rPr>
                <w:rFonts w:ascii="Arial" w:cs="Arial" w:eastAsia="Arial" w:hAnsi="Arial"/>
                <w:sz w:val="18"/>
                <w:szCs w:val="18"/>
                <w:b w:val="1"/>
                <w:bCs w:val="1"/>
                <w:color w:val="auto"/>
              </w:rPr>
              <w:t>Derivatives</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106,741,671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44,325,000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2,038,020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3,470,000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18,390,440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174,965,131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(10,079,999)</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(10,079,999)</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10,415,885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10,415,885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Net accretion</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6,162,690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6,371,742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108,079,125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14,966,500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123,076,234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(71,139,395)</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(13,629,382)</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(371,222)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(85,139,999)</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gain included in earnings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4"/>
              </w:rPr>
              <w:t>(10,084,819)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(1,395,218)</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(1,912,048)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(3,470,000)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(16,862,085)</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8"/>
                <w:szCs w:val="18"/>
                <w:color w:val="auto"/>
              </w:rPr>
              <w:t>Total unrealized gain (loss) included in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14,241,206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(3,494,888)</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(4,856,831)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2,917,459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(64,046)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8,742,900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148,382,726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31,968,202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9,864,419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21,307,899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211,489,810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6"/>
              </w:rPr>
              <w:t>included in earnings related to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still held at reporting date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(4,160,677)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(4,346,029)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(4,856,831)</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2,917,459</w:t>
            </w:r>
          </w:p>
        </w:tc>
        <w:tc>
          <w:tcPr>
            <w:tcW w:w="3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6"/>
                <w:szCs w:val="16"/>
                <w:color w:val="auto"/>
              </w:rPr>
              <w:t>(64,046)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(10,510,124)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400" w:hanging="372"/>
        <w:spacing w:after="0" w:line="258" w:lineRule="auto"/>
        <w:tabs>
          <w:tab w:leader="none" w:pos="380" w:val="left"/>
        </w:tabs>
        <w:numPr>
          <w:ilvl w:val="0"/>
          <w:numId w:val="51"/>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$10.1 million relating to debt securities for which pricing inputs, other than their quoted prices in active markets were observable as of December 31, 2019.</w:t>
      </w:r>
    </w:p>
    <w:p>
      <w:pPr>
        <w:ind w:left="380" w:right="60" w:hanging="372"/>
        <w:spacing w:after="0" w:line="262" w:lineRule="auto"/>
        <w:tabs>
          <w:tab w:leader="none" w:pos="380" w:val="left"/>
        </w:tabs>
        <w:numPr>
          <w:ilvl w:val="0"/>
          <w:numId w:val="52"/>
        </w:numPr>
        <w:rPr>
          <w:rFonts w:ascii="Arial" w:cs="Arial" w:eastAsia="Arial" w:hAnsi="Arial"/>
          <w:sz w:val="15"/>
          <w:szCs w:val="15"/>
          <w:color w:val="auto"/>
        </w:rPr>
      </w:pPr>
      <w:r>
        <w:rPr>
          <w:rFonts w:ascii="Arial" w:cs="Arial" w:eastAsia="Arial" w:hAnsi="Arial"/>
          <w:sz w:val="18"/>
          <w:szCs w:val="18"/>
          <w:color w:val="auto"/>
        </w:rPr>
        <w:t>Transfers into Level III represent a transfer of $10.4 million relating to debt securities for which pricing inputs, other than their quoted prices in active markets were unobservable as of December 31, 2019.</w:t>
      </w:r>
    </w:p>
    <w:p>
      <w:pPr>
        <w:spacing w:after="0" w:line="143"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As of June 30, 2020 and December 31, 2019,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$31.5 million and $42.6 million as of June 30, 2020 and December 31, 2019,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ind w:left="380"/>
        <w:spacing w:after="0"/>
        <w:rPr>
          <w:sz w:val="20"/>
          <w:szCs w:val="20"/>
          <w:color w:val="auto"/>
        </w:rPr>
      </w:pPr>
      <w:r>
        <w:rPr>
          <w:rFonts w:ascii="Arial" w:cs="Arial" w:eastAsia="Arial" w:hAnsi="Arial"/>
          <w:sz w:val="18"/>
          <w:szCs w:val="18"/>
          <w:color w:val="auto"/>
        </w:rPr>
        <w:t>As of June 30, 2020,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Unobservable</w:t>
            </w:r>
          </w:p>
        </w:tc>
        <w:tc>
          <w:tcPr>
            <w:tcW w:w="194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6"/>
                <w:szCs w:val="16"/>
                <w:b w:val="1"/>
                <w:bCs w:val="1"/>
                <w:color w:val="auto"/>
              </w:rPr>
              <w:t>Methodology</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4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11,660,575</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3.0x-7.8x (6.0x)</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Multiple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167,778,310</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6.0%-44.7% (11.8%)</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Equity Securities</w:t>
            </w: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9,532,926</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3.0x-9.0x (0.62x)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Multiple /</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WACC</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5,000</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Options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Qualitative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line="216" w:lineRule="exact"/>
              <w:rPr>
                <w:sz w:val="20"/>
                <w:szCs w:val="20"/>
                <w:color w:val="auto"/>
              </w:rPr>
            </w:pPr>
            <w:r>
              <w:rPr>
                <w:rFonts w:ascii="Arial" w:cs="Arial" w:eastAsia="Arial" w:hAnsi="Arial"/>
                <w:sz w:val="15"/>
                <w:szCs w:val="15"/>
                <w:color w:val="auto"/>
              </w:rPr>
              <w:t>Inputs</w:t>
            </w:r>
            <w:r>
              <w:rPr>
                <w:rFonts w:ascii="Arial" w:cs="Arial" w:eastAsia="Arial" w:hAnsi="Arial"/>
                <w:sz w:val="25"/>
                <w:szCs w:val="25"/>
                <w:color w:val="auto"/>
                <w:vertAlign w:val="superscript"/>
              </w:rPr>
              <w:t>(1)</w:t>
            </w: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14.8%-16.8% (15.4%)</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2.0%-7.5% (4.1%)</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16,891,608</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20.0%-31.0% (26.6%)</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69.5%-80.0% (73.5%)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17.0%-19.0% (18.0%)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3.5%-8.0% (5.8%)</w:t>
            </w:r>
          </w:p>
        </w:tc>
        <w:tc>
          <w:tcPr>
            <w:tcW w:w="0" w:type="dxa"/>
            <w:vAlign w:val="bottom"/>
          </w:tcPr>
          <w:p>
            <w:pPr>
              <w:spacing w:after="0"/>
              <w:rPr>
                <w:sz w:val="1"/>
                <w:szCs w:val="1"/>
                <w:color w:val="auto"/>
              </w:rPr>
            </w:pPr>
          </w:p>
        </w:tc>
      </w:tr>
      <w:tr>
        <w:trPr>
          <w:trHeight w:val="212"/>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16,686,000</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21.0%-31.0% (26.0%)</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69.0%-79.0% (74.0%)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Transacted</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(571,419)</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Value/Contractual</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Financing Rate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221,983,000</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91" w:lineRule="auto"/>
        <w:tabs>
          <w:tab w:leader="none" w:pos="380" w:val="left"/>
        </w:tabs>
        <w:numPr>
          <w:ilvl w:val="0"/>
          <w:numId w:val="53"/>
        </w:numPr>
        <w:rPr>
          <w:rFonts w:ascii="Arial" w:cs="Arial" w:eastAsia="Arial" w:hAnsi="Arial"/>
          <w:sz w:val="13"/>
          <w:szCs w:val="13"/>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ind w:left="38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8" w:lineRule="exact"/>
        <w:rPr>
          <w:sz w:val="20"/>
          <w:szCs w:val="20"/>
          <w:color w:val="auto"/>
        </w:rPr>
      </w:pPr>
    </w:p>
    <w:p>
      <w:pPr>
        <w:ind w:left="5540" w:right="3560" w:hanging="5532"/>
        <w:spacing w:after="0" w:line="512" w:lineRule="auto"/>
        <w:tabs>
          <w:tab w:leader="none" w:pos="378" w:val="left"/>
        </w:tabs>
        <w:numPr>
          <w:ilvl w:val="0"/>
          <w:numId w:val="54"/>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ind w:left="380"/>
        <w:spacing w:after="0"/>
        <w:rPr>
          <w:sz w:val="20"/>
          <w:szCs w:val="20"/>
          <w:color w:val="auto"/>
        </w:rPr>
      </w:pPr>
      <w:r>
        <w:rPr>
          <w:rFonts w:ascii="Arial" w:cs="Arial" w:eastAsia="Arial" w:hAnsi="Arial"/>
          <w:sz w:val="18"/>
          <w:szCs w:val="18"/>
          <w:color w:val="auto"/>
        </w:rPr>
        <w:t>As of December 31, 2019,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Unobservable</w:t>
            </w:r>
          </w:p>
        </w:tc>
        <w:tc>
          <w:tcPr>
            <w:tcW w:w="194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6"/>
                <w:szCs w:val="16"/>
                <w:b w:val="1"/>
                <w:bCs w:val="1"/>
                <w:color w:val="auto"/>
              </w:rPr>
              <w:t>Methodology</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4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11,959,848</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5.0x-8.3x (7.0x)</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Multiple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136,422,878</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5.9%-24.0% (10.3%)</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Equity Securities</w:t>
            </w: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9,859,419</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3.2x-14.5x (14.0x)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Multiple /</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WACC</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5,000</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Options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Qualitative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line="216" w:lineRule="exact"/>
              <w:rPr>
                <w:sz w:val="20"/>
                <w:szCs w:val="20"/>
                <w:color w:val="auto"/>
              </w:rPr>
            </w:pPr>
            <w:r>
              <w:rPr>
                <w:rFonts w:ascii="Arial" w:cs="Arial" w:eastAsia="Arial" w:hAnsi="Arial"/>
                <w:sz w:val="15"/>
                <w:szCs w:val="15"/>
                <w:color w:val="auto"/>
              </w:rPr>
              <w:t>Inputs</w:t>
            </w:r>
            <w:r>
              <w:rPr>
                <w:rFonts w:ascii="Arial" w:cs="Arial" w:eastAsia="Arial" w:hAnsi="Arial"/>
                <w:sz w:val="25"/>
                <w:szCs w:val="25"/>
                <w:color w:val="auto"/>
                <w:vertAlign w:val="superscript"/>
              </w:rPr>
              <w:t>(1)</w:t>
            </w: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13.3%-15.0% (13.9%)</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1%-2% (1.5%)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31,968,202</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20.0%-39.5% (29.5%)</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60.5%-80.0% (70.5%)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16.0%-17.3% (16.6%)</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2%-3% (2.5%)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21,307,899</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20.5%-39.5% (30.0%)</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60.5%-79.5% (70.0%)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Transacted</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(33,437)</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Value/Contractual</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Financing Rate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211,489,810</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91" w:lineRule="auto"/>
        <w:tabs>
          <w:tab w:leader="none" w:pos="380" w:val="left"/>
        </w:tabs>
        <w:numPr>
          <w:ilvl w:val="0"/>
          <w:numId w:val="55"/>
        </w:numPr>
        <w:rPr>
          <w:rFonts w:ascii="Arial" w:cs="Arial" w:eastAsia="Arial" w:hAnsi="Arial"/>
          <w:sz w:val="13"/>
          <w:szCs w:val="13"/>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ind w:left="38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8"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85"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46" w:lineRule="exact"/>
        <w:rPr>
          <w:sz w:val="20"/>
          <w:szCs w:val="20"/>
          <w:color w:val="auto"/>
        </w:rPr>
      </w:pPr>
    </w:p>
    <w:p>
      <w:pPr>
        <w:jc w:val="both"/>
        <w:ind w:right="220" w:firstLine="374"/>
        <w:spacing w:after="0" w:line="263"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ind w:right="20" w:firstLine="374"/>
        <w:spacing w:after="0" w:line="288"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4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62" w:lineRule="exact"/>
        <w:rPr>
          <w:sz w:val="20"/>
          <w:szCs w:val="20"/>
          <w:color w:val="auto"/>
        </w:rPr>
      </w:pPr>
    </w:p>
    <w:p>
      <w:pPr>
        <w:ind w:right="6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derivative investments at June 30, 2020 and December 31,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center"/>
              <w:ind w:right="520"/>
              <w:spacing w:after="0" w:line="205" w:lineRule="exact"/>
              <w:rPr>
                <w:sz w:val="20"/>
                <w:szCs w:val="20"/>
                <w:color w:val="auto"/>
              </w:rPr>
            </w:pPr>
            <w:r>
              <w:rPr>
                <w:rFonts w:ascii="Arial" w:cs="Arial" w:eastAsia="Arial" w:hAnsi="Arial"/>
                <w:sz w:val="18"/>
                <w:szCs w:val="18"/>
                <w:b w:val="1"/>
                <w:bCs w:val="1"/>
                <w:color w:val="auto"/>
                <w:w w:val="86"/>
              </w:rPr>
              <w:t>Derivative assets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0"/>
              </w:rPr>
              <w:t>Realized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120"/>
              <w:spacing w:after="0"/>
              <w:rPr>
                <w:sz w:val="20"/>
                <w:szCs w:val="20"/>
                <w:color w:val="auto"/>
              </w:rPr>
            </w:pPr>
            <w:r>
              <w:rPr>
                <w:rFonts w:ascii="Arial" w:cs="Arial" w:eastAsia="Arial" w:hAnsi="Arial"/>
                <w:sz w:val="18"/>
                <w:szCs w:val="18"/>
                <w:b w:val="1"/>
                <w:bCs w:val="1"/>
                <w:color w:val="auto"/>
              </w:rPr>
              <w:t>Types of contracts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 amounts</w:t>
            </w:r>
          </w:p>
        </w:tc>
        <w:tc>
          <w:tcPr>
            <w:tcW w:w="160" w:type="dxa"/>
            <w:vAlign w:val="bottom"/>
          </w:tcPr>
          <w:p>
            <w:pPr>
              <w:spacing w:after="0"/>
              <w:rPr>
                <w:sz w:val="20"/>
                <w:szCs w:val="20"/>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gain(loss)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gain(loss)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Call option</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54,276</w:t>
            </w:r>
          </w:p>
        </w:tc>
        <w:tc>
          <w:tcPr>
            <w:tcW w:w="3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Securities Swap and Option Agreement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5,500,000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(625,695)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(625,695)</w:t>
            </w: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5,507,656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(571,419)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(602,028)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gridSpan w:val="2"/>
          </w:tcPr>
          <w:p>
            <w:pPr>
              <w:spacing w:after="0"/>
              <w:rPr>
                <w:sz w:val="20"/>
                <w:szCs w:val="20"/>
                <w:color w:val="auto"/>
              </w:rPr>
            </w:pPr>
            <w:r>
              <w:rPr>
                <w:rFonts w:ascii="Arial" w:cs="Arial" w:eastAsia="Arial" w:hAnsi="Arial"/>
                <w:sz w:val="14"/>
                <w:szCs w:val="14"/>
                <w:color w:val="auto"/>
                <w:w w:val="92"/>
              </w:rPr>
              <w:t>(1) Net amount included in the derivative caption on the consolidated</w:t>
            </w:r>
          </w:p>
        </w:tc>
        <w:tc>
          <w:tcPr>
            <w:tcW w:w="1680" w:type="dxa"/>
            <w:vAlign w:val="bottom"/>
            <w:gridSpan w:val="2"/>
          </w:tcPr>
          <w:p>
            <w:pPr>
              <w:jc w:val="right"/>
              <w:ind w:right="730"/>
              <w:spacing w:after="0"/>
              <w:rPr>
                <w:sz w:val="20"/>
                <w:szCs w:val="20"/>
                <w:color w:val="auto"/>
              </w:rPr>
            </w:pPr>
            <w:r>
              <w:rPr>
                <w:rFonts w:ascii="Arial" w:cs="Arial" w:eastAsia="Arial" w:hAnsi="Arial"/>
                <w:sz w:val="14"/>
                <w:szCs w:val="14"/>
                <w:color w:val="auto"/>
                <w:w w:val="96"/>
              </w:rPr>
              <w:t>balance sheet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December 31, 2019</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center"/>
              <w:ind w:right="520"/>
              <w:spacing w:after="0" w:line="205" w:lineRule="exact"/>
              <w:rPr>
                <w:sz w:val="20"/>
                <w:szCs w:val="20"/>
                <w:color w:val="auto"/>
              </w:rPr>
            </w:pPr>
            <w:r>
              <w:rPr>
                <w:rFonts w:ascii="Arial" w:cs="Arial" w:eastAsia="Arial" w:hAnsi="Arial"/>
                <w:sz w:val="18"/>
                <w:szCs w:val="18"/>
                <w:b w:val="1"/>
                <w:bCs w:val="1"/>
                <w:color w:val="auto"/>
                <w:w w:val="86"/>
              </w:rPr>
              <w:t>Derivative assets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0"/>
              </w:rPr>
              <w:t>Realized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120"/>
              <w:spacing w:after="0"/>
              <w:rPr>
                <w:sz w:val="20"/>
                <w:szCs w:val="20"/>
                <w:color w:val="auto"/>
              </w:rPr>
            </w:pPr>
            <w:r>
              <w:rPr>
                <w:rFonts w:ascii="Arial" w:cs="Arial" w:eastAsia="Arial" w:hAnsi="Arial"/>
                <w:sz w:val="18"/>
                <w:szCs w:val="18"/>
                <w:b w:val="1"/>
                <w:bCs w:val="1"/>
                <w:color w:val="auto"/>
              </w:rPr>
              <w:t>Types of contracts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 amounts</w:t>
            </w:r>
          </w:p>
        </w:tc>
        <w:tc>
          <w:tcPr>
            <w:tcW w:w="160" w:type="dxa"/>
            <w:vAlign w:val="bottom"/>
          </w:tcPr>
          <w:p>
            <w:pPr>
              <w:spacing w:after="0"/>
              <w:rPr>
                <w:sz w:val="20"/>
                <w:szCs w:val="20"/>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gain(loss)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gain(loss)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Call option</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4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Securities Swap and Option Agreement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5,500,000</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(41,093)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(41,093)</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5,507,656</w:t>
            </w:r>
          </w:p>
        </w:tc>
        <w:tc>
          <w:tcPr>
            <w:tcW w:w="4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0</wp:posOffset>
            </wp:positionV>
            <wp:extent cx="456882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68825" cy="254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Net amount included in the derivative caption on the consolidated balance sheet</w:t>
      </w:r>
    </w:p>
    <w:p>
      <w:pPr>
        <w:spacing w:after="0" w:line="200" w:lineRule="exact"/>
        <w:rPr>
          <w:sz w:val="20"/>
          <w:szCs w:val="20"/>
          <w:color w:val="auto"/>
        </w:rPr>
      </w:pPr>
    </w:p>
    <w:p>
      <w:pPr>
        <w:spacing w:after="0" w:line="224"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The recent outbreak of the novel coronavirus, or COVID-19, in many countries continues to adversely impact global commercial activity and has contributed to significant volatility in financial markets. The global impact of the outbreak has been rapidly evolving, and as cases of the virus have continued to be identified in additional countries, many countries have reacted by instituting quarantines, restrictions on travel and other measures to mitigate the impact of this pandemic. Such actions are creating disruption in global supply chains, and adversely impacting a number of industries, including, among others, transportation, hospitality and entertainment. The outbreak could have a continued adverse impact on economic and market conditions and trigger a period of global economic slowdown and continued volatility. The rapid development and fluidity of this situation precludes any prediction as to the duration and extent of this pandemic and its impact on the Company’s business, financial condition and results of operations, as well as the business, financial condition and results of operations of the Company’s portfolio companies. Nevertheless, the novel coronavirus presents material uncertainty and risk with respect to our and our portfolio companies’ performance and financial results. The Company is actively monitoring developments with respect to this pandemic and its impact as part of the Company’s overall investment objective and strategy.</w:t>
      </w:r>
    </w:p>
    <w:p>
      <w:pPr>
        <w:spacing w:after="0" w:line="181"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ind w:right="40" w:firstLine="374"/>
        <w:spacing w:after="0" w:line="259" w:lineRule="auto"/>
        <w:rPr>
          <w:sz w:val="20"/>
          <w:szCs w:val="20"/>
          <w:color w:val="auto"/>
        </w:rPr>
      </w:pPr>
      <w:r>
        <w:rPr>
          <w:rFonts w:ascii="Arial" w:cs="Arial" w:eastAsia="Arial" w:hAnsi="Arial"/>
          <w:sz w:val="18"/>
          <w:szCs w:val="18"/>
          <w:color w:val="auto"/>
        </w:rPr>
        <w:t>The Asset Manager Affiliates manage CLO Funds primarily for third party investors that invest primarily in broadly syndicated loans, high yield bonds and other credit instruments issued by corporations. At June 30, 2020 and December 31, 2019, the Asset Manager Affiliates had approximately $300 million of par value of assets under management, respectively, and the Company’s 100% equity interest in the Asset Manager Affiliates was deemed to have no value.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distributions were declared during the three and six months ended June 30, 2020.</w:t>
      </w:r>
    </w:p>
    <w:p>
      <w:pPr>
        <w:spacing w:after="0" w:line="225"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273"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is required to be included in the Company’s SEC filings.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6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19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0"/>
                <w:szCs w:val="20"/>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Ended June 30,</w:t>
            </w:r>
          </w:p>
        </w:tc>
      </w:tr>
      <w:tr>
        <w:trPr>
          <w:trHeight w:val="223"/>
        </w:trPr>
        <w:tc>
          <w:tcPr>
            <w:tcW w:w="6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Fee Revenue</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2,890,867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5,950,527</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1,582,005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2,268,591</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Total Income</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4,472,872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8,219,118</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2,819,121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5,345,206</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1,535,588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2,713,106</w:t>
            </w:r>
          </w:p>
        </w:tc>
        <w:tc>
          <w:tcPr>
            <w:tcW w:w="100" w:type="dxa"/>
            <w:vAlign w:val="bottom"/>
            <w:shd w:val="clear" w:color="auto" w:fill="CFF0FC"/>
          </w:tcPr>
          <w:p>
            <w:pPr>
              <w:spacing w:after="0"/>
              <w:rPr>
                <w:sz w:val="19"/>
                <w:szCs w:val="19"/>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4,354,709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8,058,312</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160,806</w:t>
            </w:r>
          </w:p>
        </w:tc>
        <w:tc>
          <w:tcPr>
            <w:tcW w:w="10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Unrealized gains on investments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(616,810)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203,461</w:t>
            </w:r>
          </w:p>
        </w:tc>
        <w:tc>
          <w:tcPr>
            <w:tcW w:w="100" w:type="dxa"/>
            <w:vAlign w:val="bottom"/>
          </w:tcPr>
          <w:p>
            <w:pPr>
              <w:spacing w:after="0"/>
              <w:rPr>
                <w:sz w:val="19"/>
                <w:szCs w:val="19"/>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(498,647)</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(201,612)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(328,566)</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(297,035)</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692,833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200" w:lineRule="exact"/>
        <w:rPr>
          <w:sz w:val="20"/>
          <w:szCs w:val="20"/>
          <w:color w:val="auto"/>
        </w:rPr>
      </w:pPr>
    </w:p>
    <w:p>
      <w:pPr>
        <w:spacing w:after="0" w:line="393"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84" w:lineRule="exact"/>
        <w:rPr>
          <w:sz w:val="20"/>
          <w:szCs w:val="20"/>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184"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84"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130"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85" w:lineRule="exact"/>
        <w:rPr>
          <w:sz w:val="20"/>
          <w:szCs w:val="20"/>
          <w:color w:val="auto"/>
        </w:rPr>
      </w:pPr>
    </w:p>
    <w:p>
      <w:pPr>
        <w:ind w:right="160" w:firstLine="374"/>
        <w:spacing w:after="0" w:line="291" w:lineRule="auto"/>
        <w:rPr>
          <w:sz w:val="20"/>
          <w:szCs w:val="20"/>
          <w:color w:val="auto"/>
        </w:rPr>
      </w:pPr>
      <w:r>
        <w:rPr>
          <w:rFonts w:ascii="Arial" w:cs="Arial" w:eastAsia="Arial" w:hAnsi="Arial"/>
          <w:sz w:val="16"/>
          <w:szCs w:val="16"/>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w:t>
      </w:r>
    </w:p>
    <w:p>
      <w:pPr>
        <w:ind w:right="260"/>
        <w:spacing w:after="0" w:line="260" w:lineRule="auto"/>
        <w:rPr>
          <w:sz w:val="20"/>
          <w:szCs w:val="20"/>
          <w:color w:val="auto"/>
        </w:rPr>
      </w:pPr>
      <w:r>
        <w:rPr>
          <w:rFonts w:ascii="Arial" w:cs="Arial" w:eastAsia="Arial" w:hAnsi="Arial"/>
          <w:sz w:val="18"/>
          <w:szCs w:val="18"/>
          <w:color w:val="auto"/>
        </w:rPr>
        <w:t>effect from year-to-year thereafter if approved annually by a majority of the Board or by the holders of a majority of the outstanding shares, and, in each case, a majority of the independent directors.</w:t>
      </w:r>
    </w:p>
    <w:p>
      <w:pPr>
        <w:spacing w:after="0" w:line="158"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85" w:lineRule="exact"/>
        <w:rPr>
          <w:sz w:val="20"/>
          <w:szCs w:val="20"/>
          <w:color w:val="auto"/>
        </w:rPr>
      </w:pPr>
    </w:p>
    <w:p>
      <w:pPr>
        <w:ind w:right="180" w:firstLine="374"/>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185"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average gross assets, excluding cash and cash equivalents, but including assets purchased with borrowed amounts, that exceed the product of (i) 200% and</w:t>
      </w:r>
    </w:p>
    <w:p>
      <w:pPr>
        <w:spacing w:after="0" w:line="46" w:lineRule="exact"/>
        <w:rPr>
          <w:sz w:val="20"/>
          <w:szCs w:val="20"/>
          <w:color w:val="auto"/>
        </w:rPr>
      </w:pPr>
    </w:p>
    <w:p>
      <w:pPr>
        <w:ind w:right="240" w:firstLine="8"/>
        <w:spacing w:after="0" w:line="252" w:lineRule="auto"/>
        <w:tabs>
          <w:tab w:leader="none" w:pos="2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67"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37"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26"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39" w:lineRule="exact"/>
        <w:rPr>
          <w:sz w:val="20"/>
          <w:szCs w:val="20"/>
          <w:color w:val="auto"/>
        </w:rPr>
      </w:pPr>
    </w:p>
    <w:p>
      <w:pPr>
        <w:ind w:right="2120" w:firstLine="374"/>
        <w:spacing w:after="0" w:line="453" w:lineRule="auto"/>
        <w:rPr>
          <w:sz w:val="20"/>
          <w:szCs w:val="20"/>
          <w:color w:val="auto"/>
        </w:rPr>
      </w:pPr>
      <w:r>
        <w:rPr>
          <w:rFonts w:ascii="Arial" w:cs="Arial" w:eastAsia="Arial" w:hAnsi="Arial"/>
          <w:sz w:val="18"/>
          <w:szCs w:val="18"/>
          <w:color w:val="auto"/>
        </w:rPr>
        <w:t xml:space="preserve">The fees that are payable under the Investment Advisory Agreement for any partial period will be appropriately prorated. </w:t>
      </w:r>
      <w:r>
        <w:rPr>
          <w:rFonts w:ascii="Arial" w:cs="Arial" w:eastAsia="Arial" w:hAnsi="Arial"/>
          <w:sz w:val="18"/>
          <w:szCs w:val="18"/>
          <w:i w:val="1"/>
          <w:iCs w:val="1"/>
          <w:color w:val="auto"/>
        </w:rPr>
        <w:t>Limitations of Liability and Indemnification</w:t>
      </w:r>
    </w:p>
    <w:p>
      <w:pPr>
        <w:spacing w:after="0" w:line="2"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85"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On December 12, 2018, the then-current Board of the Company held an in-person meeting to consider and approve the Advisory Agreement and related matters.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3" w:name="page54"/>
    <w:bookmarkEnd w:id="53"/>
    <w:p>
      <w:pPr>
        <w:ind w:right="220"/>
        <w:spacing w:after="0" w:line="257" w:lineRule="auto"/>
        <w:rPr>
          <w:sz w:val="20"/>
          <w:szCs w:val="20"/>
          <w:color w:val="auto"/>
        </w:rPr>
      </w:pPr>
      <w:r>
        <w:rPr>
          <w:rFonts w:ascii="Arial" w:cs="Arial" w:eastAsia="Arial" w:hAnsi="Arial"/>
          <w:sz w:val="18"/>
          <w:szCs w:val="18"/>
          <w:color w:val="auto"/>
        </w:rPr>
        <w:t>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61" w:lineRule="exact"/>
        <w:rPr>
          <w:sz w:val="20"/>
          <w:szCs w:val="20"/>
          <w:color w:val="auto"/>
        </w:rPr>
      </w:pPr>
    </w:p>
    <w:p>
      <w:pPr>
        <w:ind w:right="160" w:firstLine="374"/>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106" w:lineRule="exact"/>
        <w:rPr>
          <w:sz w:val="20"/>
          <w:szCs w:val="20"/>
          <w:color w:val="auto"/>
        </w:rPr>
      </w:pPr>
    </w:p>
    <w:p>
      <w:pPr>
        <w:ind w:right="160" w:firstLine="374"/>
        <w:spacing w:after="0" w:line="279" w:lineRule="auto"/>
        <w:rPr>
          <w:sz w:val="20"/>
          <w:szCs w:val="20"/>
          <w:color w:val="auto"/>
        </w:rPr>
      </w:pPr>
      <w:r>
        <w:rPr>
          <w:rFonts w:ascii="Arial" w:cs="Arial" w:eastAsia="Arial" w:hAnsi="Arial"/>
          <w:sz w:val="17"/>
          <w:szCs w:val="17"/>
          <w:color w:val="auto"/>
        </w:rPr>
        <w:t>Management fees for the three months ended June 30, 2020 and 2019, were approximately $1.0 million and $1.0 million, respectively. Management fees for the six months ended June 30, 2020 and 2019, were approximately $2.0 million and $1.0 million, respectively. Incentive fees earned during the three and six months ended June 30, 2020, were approximately $455 thousand $557 thousand, all of which were waived pursuant to the Externalization Agreement. There were no incentive fees earned for the three and six months ended June 30,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right="120" w:firstLine="374"/>
        <w:spacing w:after="0" w:line="272"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69"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84"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On April 1, 2019, the Board approved the Administration Agreement with the Administrator. Unless earlier terminated as described below, the Administration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79"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incurred $0.4 million and $0.9 million, respectively, of Administrative services expense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2020.The Company incurred $0.4 million and $0.4 million, respectively, of Administrative services expense for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Expenses under the Advisory and Administration Agreements</w:t>
      </w:r>
    </w:p>
    <w:p>
      <w:pPr>
        <w:spacing w:after="0" w:line="185"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54" w:name="page55"/>
    <w:bookmarkEnd w:id="54"/>
    <w:p>
      <w:pPr>
        <w:ind w:right="20"/>
        <w:spacing w:after="0" w:line="277" w:lineRule="auto"/>
        <w:rPr>
          <w:sz w:val="20"/>
          <w:szCs w:val="20"/>
          <w:color w:val="auto"/>
        </w:rPr>
      </w:pPr>
      <w:r>
        <w:rPr>
          <w:rFonts w:ascii="Arial" w:cs="Arial" w:eastAsia="Arial" w:hAnsi="Arial"/>
          <w:sz w:val="18"/>
          <w:szCs w:val="18"/>
          <w:color w:val="auto"/>
        </w:rPr>
        <w:t>performing its administrative obligations under the Advisory Agreement, and (iii) all other expenses of our operations and transactions including, without limitation, those relating to:</w:t>
      </w:r>
    </w:p>
    <w:p>
      <w:pPr>
        <w:spacing w:after="0" w:line="143" w:lineRule="exact"/>
        <w:rPr>
          <w:sz w:val="20"/>
          <w:szCs w:val="20"/>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96" w:lineRule="exact"/>
        <w:rPr>
          <w:rFonts w:ascii="Arial" w:cs="Arial" w:eastAsia="Arial" w:hAnsi="Arial"/>
          <w:sz w:val="17"/>
          <w:szCs w:val="17"/>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84"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84" w:lineRule="exact"/>
        <w:rPr>
          <w:rFonts w:ascii="Arial" w:cs="Arial" w:eastAsia="Arial" w:hAnsi="Arial"/>
          <w:sz w:val="18"/>
          <w:szCs w:val="18"/>
          <w:color w:val="auto"/>
        </w:rPr>
      </w:pPr>
    </w:p>
    <w:p>
      <w:pPr>
        <w:ind w:left="740" w:right="420" w:hanging="368"/>
        <w:spacing w:after="0" w:line="263"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3" w:lineRule="exact"/>
        <w:rPr>
          <w:rFonts w:ascii="Arial" w:cs="Arial" w:eastAsia="Arial" w:hAnsi="Arial"/>
          <w:sz w:val="18"/>
          <w:szCs w:val="18"/>
          <w:color w:val="auto"/>
        </w:rPr>
      </w:pPr>
    </w:p>
    <w:p>
      <w:pPr>
        <w:ind w:left="740" w:right="20" w:hanging="368"/>
        <w:spacing w:after="0" w:line="308" w:lineRule="auto"/>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5" w:lineRule="exact"/>
        <w:rPr>
          <w:rFonts w:ascii="Arial" w:cs="Arial" w:eastAsia="Arial" w:hAnsi="Arial"/>
          <w:sz w:val="17"/>
          <w:szCs w:val="17"/>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84"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costs associated with reporting and compliance obligations under the 1940 Act and applicable federal and state securities laws; and</w:t>
      </w:r>
    </w:p>
    <w:p>
      <w:pPr>
        <w:spacing w:after="0" w:line="196" w:lineRule="exact"/>
        <w:rPr>
          <w:rFonts w:ascii="Arial" w:cs="Arial" w:eastAsia="Arial" w:hAnsi="Arial"/>
          <w:sz w:val="17"/>
          <w:szCs w:val="17"/>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associated with the Company’s legacy 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225"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01" w:right="47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exemptive order from the SEC. However, BDCs are permitted to, and may, simultaneously co-invest in transactions where price is the only negotiated term.</w:t>
      </w:r>
    </w:p>
    <w:p>
      <w:pPr>
        <w:spacing w:after="0" w:line="248" w:lineRule="exact"/>
        <w:rPr>
          <w:sz w:val="20"/>
          <w:szCs w:val="20"/>
          <w:color w:val="auto"/>
        </w:rPr>
      </w:pPr>
    </w:p>
    <w:p>
      <w:pPr>
        <w:ind w:right="20" w:firstLine="374"/>
        <w:spacing w:after="0" w:line="285" w:lineRule="auto"/>
        <w:rPr>
          <w:sz w:val="20"/>
          <w:szCs w:val="20"/>
          <w:color w:val="auto"/>
        </w:rPr>
      </w:pPr>
      <w:r>
        <w:rPr>
          <w:rFonts w:ascii="Arial" w:cs="Arial" w:eastAsia="Arial" w:hAnsi="Arial"/>
          <w:sz w:val="16"/>
          <w:szCs w:val="16"/>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w:t>
      </w:r>
    </w:p>
    <w:p>
      <w:pPr>
        <w:spacing w:after="0" w:line="2" w:lineRule="exact"/>
        <w:rPr>
          <w:sz w:val="20"/>
          <w:szCs w:val="20"/>
          <w:color w:val="auto"/>
        </w:rPr>
      </w:pPr>
    </w:p>
    <w:p>
      <w:pPr>
        <w:ind w:right="120" w:firstLine="8"/>
        <w:spacing w:after="0" w:line="253" w:lineRule="auto"/>
        <w:tabs>
          <w:tab w:leader="none" w:pos="2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93"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 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Trimaran Credit Facility</w:t>
      </w:r>
    </w:p>
    <w:p>
      <w:pPr>
        <w:spacing w:after="0" w:line="225"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 At June 30, 2020 and December 31, 2019, there were no loans outstanding under the Trimaran Credit Facility.</w:t>
      </w:r>
    </w:p>
    <w:p>
      <w:pPr>
        <w:spacing w:after="0" w:line="195" w:lineRule="exact"/>
        <w:rPr>
          <w:sz w:val="20"/>
          <w:szCs w:val="20"/>
          <w:color w:val="auto"/>
        </w:rPr>
      </w:pPr>
    </w:p>
    <w:p>
      <w:pPr>
        <w:ind w:right="140" w:firstLine="374"/>
        <w:spacing w:after="0" w:line="293" w:lineRule="auto"/>
        <w:rPr>
          <w:sz w:val="20"/>
          <w:szCs w:val="20"/>
          <w:color w:val="auto"/>
        </w:rPr>
      </w:pPr>
      <w:r>
        <w:rPr>
          <w:rFonts w:ascii="Arial" w:cs="Arial" w:eastAsia="Arial" w:hAnsi="Arial"/>
          <w:sz w:val="16"/>
          <w:szCs w:val="16"/>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164"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 $27.4 million notional amount of notes issued by Catamaran CLO 2015-1, Ltd. for aggregate consideration of $27.4 million.</w:t>
      </w:r>
    </w:p>
    <w:p>
      <w:pPr>
        <w:spacing w:after="0" w:line="165"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7.   BORROWINGS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720" w:type="dxa"/>
            <w:vAlign w:val="bottom"/>
          </w:tcPr>
          <w:p>
            <w:pPr>
              <w:ind w:left="380"/>
              <w:spacing w:after="0"/>
              <w:rPr>
                <w:sz w:val="20"/>
                <w:szCs w:val="20"/>
                <w:color w:val="auto"/>
              </w:rPr>
            </w:pPr>
            <w:r>
              <w:rPr>
                <w:rFonts w:ascii="Arial" w:cs="Arial" w:eastAsia="Arial" w:hAnsi="Arial"/>
                <w:sz w:val="18"/>
                <w:szCs w:val="18"/>
                <w:color w:val="auto"/>
              </w:rPr>
              <w:t>The Company’s debt obligations consist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r>
      <w:tr>
        <w:trPr>
          <w:trHeight w:val="225"/>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29"/>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2020-$1,354,444; 2019 - $1,651,946)</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75,371,531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75,755,253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2020-$1,280,775; 2019 - $1,462,364)</w:t>
            </w:r>
          </w:p>
        </w:tc>
        <w:tc>
          <w:tcPr>
            <w:tcW w:w="1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97,040,123</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78,108,535</w:t>
            </w:r>
          </w:p>
        </w:tc>
        <w:tc>
          <w:tcPr>
            <w:tcW w:w="120" w:type="dxa"/>
            <w:vAlign w:val="bottom"/>
            <w:shd w:val="clear" w:color="auto" w:fill="CFF0FC"/>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172,411,654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153,863,788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2020 were 5.0% and 2.9 years, respectively, and as of December 31, 2019 were 5.4% and 3.4 years,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6.125% Notes Due 2022</w:t>
      </w:r>
    </w:p>
    <w:p>
      <w:pPr>
        <w:spacing w:after="0" w:line="185"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The indenture governing the 6.125% Notes Due 2022 contains certain restrictive covenants, including compliance with certain provisions of the 1940 Act related to borrowing and dividends. At June 30, 2020, the Company was in compliance with all of its debt covenants.</w:t>
      </w:r>
    </w:p>
    <w:p>
      <w:pPr>
        <w:spacing w:after="0" w:line="125"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For the three months ended June 30, 2020 and 2019, interest expense related to the 6.125% Notes Due 2022 was approximately $1.2 million and $1.2 million, respectively. For the six months ended June 30, 2020 and 2019, interest expense related to the 6.125% Notes Due 2022 was approximately $2.4 million and $2.4 million, respectively.</w:t>
      </w:r>
    </w:p>
    <w:p>
      <w:pPr>
        <w:spacing w:after="0" w:line="157" w:lineRule="exact"/>
        <w:rPr>
          <w:sz w:val="20"/>
          <w:szCs w:val="20"/>
          <w:color w:val="auto"/>
        </w:rPr>
      </w:pPr>
    </w:p>
    <w:p>
      <w:pPr>
        <w:jc w:val="both"/>
        <w:ind w:right="280" w:firstLine="374"/>
        <w:spacing w:after="0" w:line="259"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$1.4 million and $1.7 million remains to be amortized as of June 30, 2020 and December 31, 2019, respectively, and is included on the consolidated balance sheets as a reduction in the related debt liability.</w:t>
      </w:r>
    </w:p>
    <w:p>
      <w:pPr>
        <w:spacing w:after="0" w:line="146"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During the six months ended June 30, 2020, the Company repurchased approximately $681 thousand of principal amount of the 6.125% Notes Due 2022 at a cost of approximately $513 thousand, resulting in a realized gain on extinguishment of approximately $155 thousand. The Company subsequently surrendered these notes to the Trustee for cancellation.</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Fair Value of 6.125% Notes Due 2022.</w:t>
      </w:r>
    </w:p>
    <w:p>
      <w:pPr>
        <w:spacing w:after="0" w:line="198" w:lineRule="exact"/>
        <w:rPr>
          <w:sz w:val="20"/>
          <w:szCs w:val="20"/>
          <w:color w:val="auto"/>
        </w:rPr>
      </w:pPr>
    </w:p>
    <w:p>
      <w:pPr>
        <w:ind w:right="460" w:firstLine="374"/>
        <w:spacing w:after="0" w:line="301" w:lineRule="auto"/>
        <w:rPr>
          <w:sz w:val="20"/>
          <w:szCs w:val="20"/>
          <w:color w:val="auto"/>
        </w:rPr>
      </w:pPr>
      <w:r>
        <w:rPr>
          <w:rFonts w:ascii="Arial" w:cs="Arial" w:eastAsia="Arial" w:hAnsi="Arial"/>
          <w:sz w:val="16"/>
          <w:szCs w:val="16"/>
          <w:color w:val="auto"/>
        </w:rPr>
        <w:t>The 6.125% Notes Due 2022 were issued via public offering during the third quarter of 2017 and are carried at cost, net of offering costs of $1.4 million and $1.7 million at June 30, 2020 and December 31, 2019. The fair value of the Company’s outstanding 6.125% Notes Due 2022 was approximately $74.0 million and $78.1 million at June 30, 2020 and December 31, 2019. The fair value was determined based on the closing price on June 30, 2020 for the 6.125% Notes Due 2022. The 6.125% Notes Due 2022 are categorized as Level I under the ASC 820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140" w:firstLine="374"/>
        <w:spacing w:after="0" w:line="272" w:lineRule="auto"/>
        <w:rPr>
          <w:sz w:val="20"/>
          <w:szCs w:val="20"/>
          <w:color w:val="auto"/>
        </w:rPr>
      </w:pPr>
      <w:r>
        <w:rPr>
          <w:rFonts w:ascii="Arial" w:cs="Arial" w:eastAsia="Arial" w:hAnsi="Arial"/>
          <w:sz w:val="17"/>
          <w:szCs w:val="17"/>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69"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Borrowings under the Prior Revolving Credit Facility bore interest at a rate per annum equal to (i) in the case of LIBOR rate loans, an adjusted LIBOR rate for the applicable interest period plus 3.25% or (ii) in the case of base rate loans, the prime rate plus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right="40"/>
        <w:spacing w:after="0" w:line="277" w:lineRule="auto"/>
        <w:rPr>
          <w:sz w:val="20"/>
          <w:szCs w:val="20"/>
          <w:color w:val="auto"/>
        </w:rPr>
      </w:pPr>
      <w:r>
        <w:rPr>
          <w:rFonts w:ascii="Arial" w:cs="Arial" w:eastAsia="Arial" w:hAnsi="Arial"/>
          <w:sz w:val="18"/>
          <w:szCs w:val="18"/>
          <w:color w:val="auto"/>
        </w:rPr>
        <w:t>3.25%. Funding will pay a fee on any undrawn amounts of 0.375% per annum; provided that if 50% or less of the Prior Revolving Credit Facility is drawn, the fee will be 0.50% per annum.</w:t>
      </w:r>
    </w:p>
    <w:p>
      <w:pPr>
        <w:spacing w:after="0" w:line="62" w:lineRule="exact"/>
        <w:rPr>
          <w:sz w:val="20"/>
          <w:szCs w:val="20"/>
          <w:color w:val="auto"/>
        </w:rPr>
      </w:pPr>
    </w:p>
    <w:p>
      <w:pPr>
        <w:ind w:right="420" w:firstLine="374"/>
        <w:spacing w:after="0" w:line="279" w:lineRule="auto"/>
        <w:rPr>
          <w:sz w:val="20"/>
          <w:szCs w:val="20"/>
          <w:color w:val="auto"/>
        </w:rPr>
      </w:pPr>
      <w:r>
        <w:rPr>
          <w:rFonts w:ascii="Arial" w:cs="Arial" w:eastAsia="Arial" w:hAnsi="Arial"/>
          <w:sz w:val="17"/>
          <w:szCs w:val="17"/>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131"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For the three months ended June 30, 2020 and 2019 interest and fees expense related to the Prior Revolving Credit Facility was approximately $0 and $0.5 million, respectively. For the six months ended June 30, 2020 and 2019, interest and fees expense related to the Prior Revolving Credit Facility was approximately $0 and $0.9 million, respectively.</w:t>
      </w:r>
    </w:p>
    <w:p>
      <w:pPr>
        <w:spacing w:after="0" w:line="76"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79"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70"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At June 30, 2020, GLPRF LLC was in compliance with all of its debt covenants and $98.3 million principal amount of borrowings was outstanding under the Revolving Credit Facility. The fair value of GLPRF LLC was approximately $98.3 million at June 30, 2020.</w:t>
      </w:r>
    </w:p>
    <w:p>
      <w:pPr>
        <w:spacing w:after="0" w:line="143"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For the three and six months ended June 30, 2020 interest and fees expense related to the Revolving Credit Facility was approximately $1.1 million and $2.1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185"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All of the 7.375% Notes Due 2019 have either been repurchased or redeemed, and retired and there have been none outstanding since the fourth quarter of 2018. Interest on the 7.375% Notes Due 2019 was paid quarterly in arrears on March 30, June 30, September 30 and December 30, at a rate of 7.375%, commencing December 30,</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was limited in its ability to make distributions in certain circumstances. The indenture governing the 7.375% Notes Due 2019 contains certain restrictive covenants, including compliance with certain provisions of the 1940 Act relating to borrowing and dividends.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right="300" w:firstLine="37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97" w:lineRule="exact"/>
        <w:rPr>
          <w:sz w:val="20"/>
          <w:szCs w:val="20"/>
          <w:color w:val="auto"/>
        </w:rPr>
      </w:pPr>
    </w:p>
    <w:p>
      <w:pPr>
        <w:ind w:right="180" w:firstLine="374"/>
        <w:spacing w:after="0" w:line="342" w:lineRule="auto"/>
        <w:rPr>
          <w:sz w:val="20"/>
          <w:szCs w:val="20"/>
          <w:color w:val="auto"/>
        </w:rPr>
      </w:pPr>
      <w:r>
        <w:rPr>
          <w:rFonts w:ascii="Arial" w:cs="Arial" w:eastAsia="Arial" w:hAnsi="Arial"/>
          <w:sz w:val="16"/>
          <w:szCs w:val="16"/>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79"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189" w:lineRule="exact"/>
        <w:rPr>
          <w:sz w:val="20"/>
          <w:szCs w:val="20"/>
          <w:color w:val="auto"/>
        </w:rPr>
      </w:pPr>
    </w:p>
    <w:p>
      <w:pPr>
        <w:ind w:right="20" w:firstLine="374"/>
        <w:spacing w:after="0" w:line="284"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2020). Depending on the level of taxable income earned in a tax year, the Company may choose to carry forward taxable income in excess of current year distributions into the next tax year and pay a 4% excise tax on such income, to the extent required. 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10% of the total distribution, for distributions declared on or before December 31, 2020, and after that,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reconciles net increase in net assets resulting from operations to taxable income for the six months ended June 30, 2020 and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(25,769,235)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(11,765,891)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4"/>
              </w:rPr>
              <w:t>Net change in unrealized depreciation (appreciation) from investments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29,359,742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(5,169,945)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1,775,191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15,620,391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479,839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384,914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Book/tax differences on lease impairment</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book/tax differences</w:t>
            </w:r>
          </w:p>
        </w:tc>
        <w:tc>
          <w:tcPr>
            <w:tcW w:w="2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615,647</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962,187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Taxable (loss) income before deductions for distributions</w:t>
            </w:r>
          </w:p>
        </w:tc>
        <w:tc>
          <w:tcPr>
            <w:tcW w:w="2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6,461,184</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1,462,686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w w:val="94"/>
              </w:rPr>
              <w:t>Taxable (loss) income before deductions for distributions per weighted</w:t>
            </w: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average basic shares for the period</w:t>
            </w:r>
          </w:p>
        </w:tc>
        <w:tc>
          <w:tcPr>
            <w:tcW w:w="2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w w:val="94"/>
              </w:rPr>
              <w:t>Taxable (loss) income before deductions for distributions per weighted</w:t>
            </w:r>
          </w:p>
        </w:tc>
        <w:tc>
          <w:tcPr>
            <w:tcW w:w="2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diluted shares for the period</w:t>
            </w:r>
          </w:p>
        </w:tc>
        <w:tc>
          <w:tcPr>
            <w:tcW w:w="2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320" w:type="dxa"/>
            <w:vAlign w:val="bottom"/>
          </w:tcPr>
          <w:p>
            <w:pPr>
              <w:spacing w:after="0"/>
              <w:rPr>
                <w:sz w:val="24"/>
                <w:szCs w:val="24"/>
                <w:color w:val="auto"/>
              </w:rPr>
            </w:pPr>
          </w:p>
        </w:tc>
        <w:tc>
          <w:tcPr>
            <w:tcW w:w="2420" w:type="dxa"/>
            <w:vAlign w:val="bottom"/>
          </w:tcPr>
          <w:p>
            <w:pPr>
              <w:jc w:val="right"/>
              <w:ind w:right="193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9" w:name="page60"/>
    <w:bookmarkEnd w:id="59"/>
    <w:p>
      <w:pPr>
        <w:ind w:firstLine="374"/>
        <w:spacing w:after="0" w:line="257"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and six months ended June 30, 2019 the Asset Manager Affiliates did not make any cash distributions to the Company.</w:t>
      </w:r>
    </w:p>
    <w:p>
      <w:pPr>
        <w:spacing w:after="0" w:line="80"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47"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At June 30, 2020, the Company had a net capital loss carryforward of $236.6 million to offset net capital gains. This net capital loss carryforward is not subject to expiration.</w:t>
      </w:r>
    </w:p>
    <w:p>
      <w:pPr>
        <w:spacing w:after="0" w:line="62"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The Company has certain taxable subsidiaries which have elected to be taxed as corporations for U.S. tax purposes. For the six months ended June 30, 2020, the taxable subsidiaries’ activity did not result in a material provision for income taxes. As of June 30, 2020 and December 31, 2019, $158 thousand of refundable AMT tax credits receivable was included as an asset on the consolidated balance sheets. The taxable subsidiaries have, in aggregate, approximately $23.2 million of deferred tax assets (primarily due to net operating loss and capital loss carryovers) and approximately $741 thousand of deferred tax liabilities (primarily due to unrealized appreciation on investments). The Company has assessed the realizability of the deferred tax assets and recorded a valuation allowance of approximately $22.4 million. A portion of the taxable subsidiaries’ net operating loss and capital loss carryovers are subject to an annual use limitation under the Code and related regulations.</w:t>
      </w:r>
    </w:p>
    <w:p>
      <w:pPr>
        <w:spacing w:after="0" w:line="150"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41"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140" w:firstLine="374"/>
        <w:spacing w:after="0" w:line="291"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2020 and December 31, 2019, the Company had $29.2 million and $31.9 million outstanding commitments, respectively. However, at June 30, 2020 only $2.4 million of our Debt Securities Portfolio is subject to a unilateral draw right by the borrower and the remaining commitments are subject to certain restrictions such as borrowing base, use of proceeds or leverage that must be satisfied before a borrower can draw down on the commitment.</w:t>
      </w:r>
    </w:p>
    <w:p>
      <w:pPr>
        <w:spacing w:after="0" w:line="126"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Investment Company Act of 1940). As of June 30, 2020 and December 31, 2019, the Company had a $21.7 million and $26.3 million, respectively unfunded commitment to the BCP Great Lakes Partnership, subject to the limitations noted above. However, at June 30, 2020 our funding commitment was limited to approximately $6.7 million pursuant to the limitations described above.</w:t>
      </w:r>
    </w:p>
    <w:p>
      <w:pPr>
        <w:spacing w:after="0" w:line="16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former office space. Such obligation was previously with Katonah Debt Advisors. During 2018, the Company and the Asset Manager Affiliates shared the cost of such lease pursuant to an Overhead Allocation agreement. The Company’s portion of rent expense was approximately $0 and $149 thousand for the three months ended June 30, 2020 and 2019, respectively. The Company’s portion of rent expense was approximately $0 and $353 thousand for the six months ended June 30, 2020 and 2019, respectively.</w:t>
      </w:r>
    </w:p>
    <w:p>
      <w:pPr>
        <w:spacing w:after="0" w:line="147"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Effective January 1, 2019, the Company adopted ASU 2016-02, “Leases (Topic 842)”. The right-of-use asset and lease liability related to the Company’s office lease were recognized at lease commencement by calculating the present value of lease payments over the lease term. The discount rate used in determining the lease liability was the Company’s estimated incremental borrowing rate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right="540"/>
        <w:spacing w:after="0" w:line="277" w:lineRule="auto"/>
        <w:rPr>
          <w:sz w:val="20"/>
          <w:szCs w:val="20"/>
          <w:color w:val="auto"/>
        </w:rPr>
      </w:pPr>
      <w:r>
        <w:rPr>
          <w:rFonts w:ascii="Arial" w:cs="Arial" w:eastAsia="Arial" w:hAnsi="Arial"/>
          <w:sz w:val="18"/>
          <w:szCs w:val="18"/>
          <w:color w:val="auto"/>
        </w:rPr>
        <w:t>6.03%. In calculating the initial operating lease liability, the effect of the discounting was approximately $626 thousand. The lease agreement had an expiration date of May 31, 2024.</w:t>
      </w:r>
    </w:p>
    <w:p>
      <w:pPr>
        <w:spacing w:after="0" w:line="62"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During the second quarter of 2019, the Company recognized an impairment to the operating lease right-of-use asset of approximately $1.4 million to reduce the right-of-use asset to its estimated fair market value. The remaining right of use asset will be amortized to expense in future periods as a component of Other general and administrative expenses. There was no impact to the lease liability as a result of this impairment. The impairment charge was measured using a discounted cash flow analysis and recognized in the statement of operations during the second quarter of 2019 as a result of the Company’s estimated impact of entering into a sublease.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November 1, 2019, the Company terminated the lease agreement.</w:t>
      </w:r>
    </w:p>
    <w:p>
      <w:pPr>
        <w:spacing w:after="0" w:line="23"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70"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components of Stockholders’ Equity for the six months ended June 30,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 2020</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1"/>
                <w:szCs w:val="11"/>
                <w:color w:val="auto"/>
              </w:rPr>
            </w:pP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1100" w:type="dxa"/>
            <w:vAlign w:val="bottom"/>
          </w:tcPr>
          <w:p>
            <w:pPr>
              <w:jc w:val="center"/>
              <w:ind w:right="72"/>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of Par Value</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8"/>
              </w:rPr>
              <w:t>(loss) earnings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Balance, January 1, 2020</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448,297</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451,353,379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(299,603,106)</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152,198,570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investment income</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2,765,790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2,765,790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(894,041)</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(894,041)</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(30,924,682)</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(30,924,682)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(2,689,779)</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(2,689,779)</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Stock-repurchase</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(1,215)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(122,114)</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(123,330)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3"/>
                <w:szCs w:val="13"/>
                <w:color w:val="auto"/>
              </w:rPr>
              <w:t>Balance at March 31, 2020</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80" w:type="dxa"/>
            <w:vAlign w:val="bottom"/>
            <w:vMerge w:val="continue"/>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447,259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451,268,171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(331,345,818)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120,369,612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Net investment income</w:t>
            </w: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2,599,906</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2,599,906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(881,151)</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(881,151)</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1,564,939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1,564,939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(2,683,782)</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(2,683,782)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27,894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Stock-repurchase</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(2,539)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(281,456)</w:t>
            </w: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(283,995)</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June 30, 2020</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444,952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451,014,609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(330,745,906)</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120,713,655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1"/>
                <w:szCs w:val="11"/>
                <w:color w:val="auto"/>
              </w:rPr>
            </w:pP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1100" w:type="dxa"/>
            <w:vAlign w:val="bottom"/>
          </w:tcPr>
          <w:p>
            <w:pPr>
              <w:jc w:val="center"/>
              <w:ind w:right="72"/>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of Par 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8"/>
              </w:rPr>
              <w:t>(loss) earnings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20"/>
                <w:szCs w:val="20"/>
                <w:color w:val="auto"/>
              </w:rPr>
            </w:pPr>
            <w:r>
              <w:rPr>
                <w:rFonts w:ascii="Arial" w:cs="Arial" w:eastAsia="Arial" w:hAnsi="Arial"/>
                <w:sz w:val="13"/>
                <w:szCs w:val="13"/>
                <w:color w:val="auto"/>
              </w:rPr>
              <w:t>Balance, January 1, 2019</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373,268</w:t>
            </w:r>
          </w:p>
        </w:tc>
        <w:tc>
          <w:tcPr>
            <w:tcW w:w="1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306,784,387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(149,136,644)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158,021,011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investment loss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(2,195,187)</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(2,195,187)</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(13,349,430)</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(13,349,430)</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4,627,045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4,627,045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(3,732,836)</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(3,732,836)</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56,334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259,042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258,936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at March 31, 2019</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373,317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307,099,763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(163,787,052)</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143,686,028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Net investment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3"/>
                <w:szCs w:val="13"/>
                <w:color w:val="auto"/>
              </w:rPr>
              <w:t>897,740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Arial" w:cs="Arial" w:eastAsia="Arial" w:hAnsi="Arial"/>
                <w:sz w:val="13"/>
                <w:szCs w:val="13"/>
                <w:color w:val="auto"/>
              </w:rPr>
              <w:t>897,740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(2,270,962)</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(2,270,962)</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542,900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542,900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(3,733,415)</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(3,733,415)</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73,056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73,300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20"/>
                <w:szCs w:val="20"/>
                <w:color w:val="auto"/>
              </w:rPr>
            </w:pPr>
            <w:r>
              <w:rPr>
                <w:rFonts w:ascii="Arial" w:cs="Arial" w:eastAsia="Arial" w:hAnsi="Arial"/>
                <w:sz w:val="13"/>
                <w:szCs w:val="13"/>
                <w:color w:val="auto"/>
              </w:rPr>
              <w:t>Balance, June 30, 2019</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373,561</w:t>
            </w:r>
          </w:p>
        </w:tc>
        <w:tc>
          <w:tcPr>
            <w:tcW w:w="1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307,172,819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(168,350,789)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139,195,591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ind w:right="80" w:firstLine="374"/>
        <w:spacing w:after="0" w:line="277" w:lineRule="auto"/>
        <w:rPr>
          <w:sz w:val="20"/>
          <w:szCs w:val="20"/>
          <w:color w:val="auto"/>
        </w:rPr>
      </w:pPr>
      <w:r>
        <w:rPr>
          <w:rFonts w:ascii="Arial" w:cs="Arial" w:eastAsia="Arial" w:hAnsi="Arial"/>
          <w:sz w:val="18"/>
          <w:szCs w:val="18"/>
          <w:color w:val="auto"/>
        </w:rPr>
        <w:t>During the three and six months ended June 30, 2020, the Company repurchased 253,896 and 375,444 of shares under the Stock Repurchase Program at an aggregate cost of approximately $284 thousand and $407 thousand.</w:t>
      </w:r>
    </w:p>
    <w:p>
      <w:pPr>
        <w:spacing w:after="0" w:line="170"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During the three months ended June 30, 2020 and 2019, the Company issued 23,245 and 24,352, shares, respectively, of common stock under its dividend reinvestment plan. During the six months ended June 30, 2020 and 2019, the Company issued 40,989 and 39,786 shares, respectively, of common stock under its dividend reinvestment plan. For the six months ended June 30, 2020 and 2019, there were no grants of restricted stock. For the six months ended June 30, 2019, 10,571 shares of restricted stock were forfeited, and 113,382 shares of restricted stock vested. The total number of shares of the Company’s common stock outstanding as of June 30, 2020 and December 31, 2019 was 44,495,221 and 44,829,676,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COMPENSATION PLANS</w:t>
      </w:r>
    </w:p>
    <w:p>
      <w:pPr>
        <w:spacing w:after="0" w:line="189"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52"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43"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2019 through June 30,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8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 Share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Value</w:t>
            </w:r>
            <w:r>
              <w:rPr>
                <w:rFonts w:ascii="Arial" w:cs="Arial" w:eastAsia="Arial" w:hAnsi="Arial"/>
                <w:sz w:val="15"/>
                <w:szCs w:val="15"/>
                <w:b w:val="1"/>
                <w:bCs w:val="1"/>
                <w:color w:val="auto"/>
                <w:w w:val="88"/>
              </w:rPr>
              <w:t>1</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June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gridSpan w:val="2"/>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 vested at June 30,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5"/>
          <w:szCs w:val="15"/>
          <w:color w:val="auto"/>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198"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31,2019, the Company did not recognize any non-cash compensation expense related to stock options. At June 30, 2020, the Company had no remaining compensation costs related to unvested stock based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Restricted Stock</w:t>
      </w:r>
    </w:p>
    <w:p>
      <w:pPr>
        <w:spacing w:after="0" w:line="198"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30" w:lineRule="exact"/>
        <w:rPr>
          <w:sz w:val="20"/>
          <w:szCs w:val="20"/>
          <w:color w:val="auto"/>
        </w:rPr>
      </w:pPr>
    </w:p>
    <w:p>
      <w:pPr>
        <w:ind w:left="600" w:hanging="218"/>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84" w:lineRule="exact"/>
        <w:rPr>
          <w:rFonts w:ascii="Arial" w:cs="Arial" w:eastAsia="Arial" w:hAnsi="Arial"/>
          <w:sz w:val="18"/>
          <w:szCs w:val="18"/>
          <w:color w:val="auto"/>
        </w:rPr>
      </w:pPr>
    </w:p>
    <w:p>
      <w:pPr>
        <w:ind w:left="640" w:hanging="25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185"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43"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44" w:lineRule="exact"/>
        <w:rPr>
          <w:sz w:val="20"/>
          <w:szCs w:val="20"/>
          <w:color w:val="auto"/>
        </w:rPr>
      </w:pPr>
    </w:p>
    <w:p>
      <w:pPr>
        <w:jc w:val="both"/>
        <w:ind w:right="180" w:firstLine="374"/>
        <w:spacing w:after="0" w:line="263" w:lineRule="auto"/>
        <w:rPr>
          <w:sz w:val="20"/>
          <w:szCs w:val="20"/>
          <w:color w:val="auto"/>
        </w:rPr>
      </w:pPr>
      <w:r>
        <w:rPr>
          <w:rFonts w:ascii="Arial" w:cs="Arial" w:eastAsia="Arial" w:hAnsi="Arial"/>
          <w:sz w:val="18"/>
          <w:szCs w:val="18"/>
          <w:color w:val="auto"/>
        </w:rPr>
        <w:t>On June 23, 2015, the Company’s Board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43"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On September 19, 2017, the Company’s Board approved the grant of 133,620 shares of restricted stock to the employees of the Company as partial compensation for their services. 50% of such awards were scheduled to vest on the third anniversary of the grant date and the remaining 50% of the shares were scheduled to vest on the fourth anniversary of the grant date.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Immediately prior to the Closing, 110,382 shares of restricted stock outstanding and not previously forfeited under the Equity Incentive Plan and the</w:t>
      </w:r>
    </w:p>
    <w:p>
      <w:pPr>
        <w:spacing w:after="0" w:line="46"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11"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2019 through June 30,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89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23"/>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January 1, 2019</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(113,382)</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8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Outstanding at June 30, 2019</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six months ended June 30, 2019, non-cash compensation expense related to restricted stock was approximately $0 and $259,000.</w:t>
      </w:r>
    </w:p>
    <w:p>
      <w:pPr>
        <w:spacing w:after="0" w:line="208" w:lineRule="exact"/>
        <w:rPr>
          <w:sz w:val="20"/>
          <w:szCs w:val="20"/>
          <w:color w:val="auto"/>
        </w:rPr>
      </w:pPr>
    </w:p>
    <w:p>
      <w:pPr>
        <w:jc w:val="both"/>
        <w:ind w:right="60" w:firstLine="374"/>
        <w:spacing w:after="0" w:line="277" w:lineRule="auto"/>
        <w:rPr>
          <w:sz w:val="20"/>
          <w:szCs w:val="20"/>
          <w:color w:val="auto"/>
        </w:rPr>
      </w:pPr>
      <w:r>
        <w:rPr>
          <w:rFonts w:ascii="Arial" w:cs="Arial" w:eastAsia="Arial" w:hAnsi="Arial"/>
          <w:sz w:val="18"/>
          <w:szCs w:val="18"/>
          <w:color w:val="auto"/>
        </w:rPr>
        <w:t>Distributions are paid on all outstanding shares of restricted stock, whether or not vested. In general, shares of unvested restricted stock were forfeited upon the recipient’s termination of employment.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12.  OTHER EMPLOYEE COMPENSATION</w:t>
      </w:r>
    </w:p>
    <w:p>
      <w:pPr>
        <w:spacing w:after="0" w:line="189"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was open to all full-time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Approximately $9,000 was expensed during the three and six months ended June 30, 2019, respectively, related to the 401K Plan. This Plan was terminated effective March 31, 2019.</w:t>
      </w:r>
    </w:p>
    <w:p>
      <w:pPr>
        <w:spacing w:after="0" w:line="16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The Company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This Plan was terminated effective March 31, 2019, and no expense was recognized during the three and six months ended June 30,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OF OHA INVESTMENT CORPORATION</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7"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our common stock is trading at a price below 75% of its net asset value, we will initiate a share buyback program of up to $10 million to support the trading price of the combined entity for up to one year from the date such program is announced.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ind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360" w:hanging="372"/>
        <w:spacing w:after="0" w:line="293" w:lineRule="auto"/>
        <w:tabs>
          <w:tab w:leader="none" w:pos="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3" w:lineRule="exact"/>
        <w:rPr>
          <w:rFonts w:ascii="Arial" w:cs="Arial" w:eastAsia="Arial" w:hAnsi="Arial"/>
          <w:sz w:val="16"/>
          <w:szCs w:val="16"/>
          <w:color w:val="auto"/>
        </w:rPr>
      </w:pPr>
    </w:p>
    <w:p>
      <w:pPr>
        <w:ind w:left="380" w:right="360" w:hanging="372"/>
        <w:spacing w:after="0" w:line="293" w:lineRule="auto"/>
        <w:tabs>
          <w:tab w:leader="none" w:pos="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Sierra Crest and LibreMax.</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08" w:lineRule="exact"/>
        <w:rPr>
          <w:sz w:val="20"/>
          <w:szCs w:val="20"/>
          <w:color w:val="auto"/>
        </w:rPr>
      </w:pPr>
    </w:p>
    <w:p>
      <w:pPr>
        <w:ind w:right="480" w:firstLine="374"/>
        <w:spacing w:after="0" w:line="342" w:lineRule="auto"/>
        <w:rPr>
          <w:sz w:val="20"/>
          <w:szCs w:val="20"/>
          <w:color w:val="auto"/>
        </w:rPr>
      </w:pPr>
      <w:r>
        <w:rPr>
          <w:rFonts w:ascii="Arial" w:cs="Arial" w:eastAsia="Arial" w:hAnsi="Arial"/>
          <w:sz w:val="16"/>
          <w:szCs w:val="16"/>
          <w:color w:val="auto"/>
        </w:rPr>
        <w:t>On August 5, 2020, the Board of Directors of the Company declared a cash distribution of $0.06 per share of common stock, consistent with the current dividend policy. The distribution is payable on August 28, 2020 to shareholders of record at the close of business as of August 17, 2020.</w:t>
      </w:r>
    </w:p>
    <w:p>
      <w:pPr>
        <w:spacing w:after="0" w:line="313"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The Company has evaluated events and transactions occurring subsequent to June 30, 2020 for items that should potentially be recognized or disclosed in these financial statements. Other than as described above, management has determined that there are no other material subsequent events that would require adjustment to, or disclosure in, these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our condensed and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2019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color w:val="auto"/>
        </w:rPr>
        <w:t>We are an externally managed, non-diversified closed-end investment company that has elected to be regulated as a BDC under the 1940 Act. Sierra Crest Investment Management LLC (the “Adviser”) is an affiliate of BC Partners LLP, (“BC Partners”) and LibreMax Intermediate Holdings, LP (“LibreMax”) owns a minority stake in the Adviser.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13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56"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8"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87"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ind w:right="20" w:firstLine="374"/>
        <w:spacing w:after="0" w:line="270" w:lineRule="auto"/>
        <w:rPr>
          <w:sz w:val="20"/>
          <w:szCs w:val="20"/>
          <w:color w:val="auto"/>
        </w:rPr>
      </w:pPr>
      <w:r>
        <w:rPr>
          <w:rFonts w:ascii="Arial" w:cs="Arial" w:eastAsia="Arial" w:hAnsi="Arial"/>
          <w:sz w:val="17"/>
          <w:szCs w:val="17"/>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Depending on the duration of the novel coronavirus (also known as “COVID-19”) pandemic and the extent of its impact on our portfolio companies’ operations and our net investment income, any future distributions to our stockholders may be for amounts less than our historical distributions, may be made less frequently than historical practices, and may be made in part cash and part stock, subject to a limitation that the aggregate amount of cash to be distributed to all stockholders must be at least 10% of the total distribution, for distributions declared on or before December 31, 2020, and after that, at least 20% of the aggregate declared distribution.</w:t>
      </w:r>
    </w:p>
    <w:p>
      <w:pPr>
        <w:spacing w:after="0" w:line="73"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jc w:val="both"/>
        <w:ind w:right="40" w:firstLine="374"/>
        <w:spacing w:after="0" w:line="286" w:lineRule="auto"/>
        <w:rPr>
          <w:sz w:val="20"/>
          <w:szCs w:val="20"/>
          <w:color w:val="auto"/>
        </w:rPr>
      </w:pPr>
      <w:r>
        <w:rPr>
          <w:rFonts w:ascii="Arial" w:cs="Arial" w:eastAsia="Arial" w:hAnsi="Arial"/>
          <w:sz w:val="17"/>
          <w:szCs w:val="17"/>
          <w:color w:val="auto"/>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w:t>
      </w:r>
    </w:p>
    <w:p>
      <w:pPr>
        <w:spacing w:after="0" w:line="5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70"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231F20"/>
        </w:rPr>
        <w:t>On the date of the Closing, we changed our name from KCAP Financial, Inc. to Portman Ridge Finance Corporation and on April 2, 2019, began trading on the NASDAQ Global Select Market under the symbol “PTMN.”</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231F20"/>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we issued an aggregate of 7,439,559 shares of our common stock to former OHAI stockholders (approximately 16.6% of the Company’s outstanding shares at December 31, 2019).</w:t>
      </w:r>
    </w:p>
    <w:p>
      <w:pPr>
        <w:spacing w:after="0" w:line="8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231F20"/>
        </w:rPr>
        <w:t>Pursuant to the merger agreement, if at any time within one year after the closing date of the transaction our common stock is trading at a price below 75% of its net asset value, we will initiate an open-market stock repurchase of up to $10 million to support the trading price of the combined entity for up to one year from the date such program is announced. Our board approved a repurchase program on March 5, 2020. See “Item 2. Unregistered Sales of Equity Securities and Use of Proceeds.”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7" w:name="page68"/>
    <w:bookmarkEnd w:id="67"/>
    <w:p>
      <w:pPr>
        <w:ind w:right="20" w:firstLine="374"/>
        <w:spacing w:after="0" w:line="270" w:lineRule="auto"/>
        <w:rPr>
          <w:sz w:val="20"/>
          <w:szCs w:val="20"/>
          <w:color w:val="auto"/>
        </w:rPr>
      </w:pPr>
      <w:r>
        <w:rPr>
          <w:rFonts w:ascii="Arial" w:cs="Arial" w:eastAsia="Arial" w:hAnsi="Arial"/>
          <w:sz w:val="17"/>
          <w:szCs w:val="17"/>
          <w:color w:val="231F20"/>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Immediately following the acquisition of OHAI, we recorded OHAI’s net assets at their respective fair values and, as a result, the purchase discount was allocated to the cost basis of the OHAI investments acquired and was immediately recognized as unrealized gain on our Consolidated Statement of Operations. The purchase discount was allocated to the acquired investments on a relative fair value basis and, for debt securities, will generally amortize over the life of the investments through interest income with a corresponding reversal of the unrealized appreciation on the OHAI investments acquired through their maturity. Upon the sale of any of the OHAI acquired investments, we will recognize a realized gain or a reduction in realized losses with a corresponding reversal of the unrealized losses.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360" w:hanging="372"/>
        <w:spacing w:after="0" w:line="293" w:lineRule="auto"/>
        <w:tabs>
          <w:tab w:leader="none" w:pos="3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3" w:lineRule="exact"/>
        <w:rPr>
          <w:rFonts w:ascii="Arial" w:cs="Arial" w:eastAsia="Arial" w:hAnsi="Arial"/>
          <w:sz w:val="16"/>
          <w:szCs w:val="16"/>
          <w:color w:val="auto"/>
        </w:rPr>
      </w:pPr>
    </w:p>
    <w:p>
      <w:pPr>
        <w:ind w:left="380" w:right="360" w:hanging="372"/>
        <w:spacing w:after="0" w:line="293" w:lineRule="auto"/>
        <w:tabs>
          <w:tab w:leader="none" w:pos="3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Sierra Crest and LibreMax.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Developments</w:t>
      </w:r>
    </w:p>
    <w:p>
      <w:pPr>
        <w:spacing w:after="0" w:line="337" w:lineRule="exact"/>
        <w:rPr>
          <w:sz w:val="20"/>
          <w:szCs w:val="20"/>
          <w:color w:val="auto"/>
        </w:rPr>
      </w:pPr>
    </w:p>
    <w:p>
      <w:pPr>
        <w:ind w:right="100" w:firstLine="499"/>
        <w:spacing w:after="0" w:line="273" w:lineRule="auto"/>
        <w:rPr>
          <w:sz w:val="20"/>
          <w:szCs w:val="20"/>
          <w:color w:val="auto"/>
        </w:rPr>
      </w:pPr>
      <w:r>
        <w:rPr>
          <w:rFonts w:ascii="Arial" w:cs="Arial" w:eastAsia="Arial" w:hAnsi="Arial"/>
          <w:sz w:val="17"/>
          <w:szCs w:val="17"/>
          <w:color w:val="auto"/>
        </w:rPr>
        <w:t>The spread of the novel coronavirus and the COVID-19 pandemic, and the related effect on the U.S. and global economies, has had adverse consequences for the business operations of some of our portfolio companies and has adversely affected, and threatens to continue to adversely affect, our operations and the operations of the Adviser. The Adviser has taken proactive steps around COVID-19 to address the potential impacts on its employees and clients, including shifting to a 100% remote-working model. While we have been carefully monitoring the COVID-19 pandemic and its impact on our business and the businesses of our portfolio companies, we have continued to fund our existing debt commitments and underwrite both follow-on investments in existing borrowers and investments in new borrowers.</w:t>
      </w:r>
    </w:p>
    <w:p>
      <w:pPr>
        <w:spacing w:after="0" w:line="70" w:lineRule="exact"/>
        <w:rPr>
          <w:sz w:val="20"/>
          <w:szCs w:val="20"/>
          <w:color w:val="auto"/>
        </w:rPr>
      </w:pPr>
    </w:p>
    <w:p>
      <w:pPr>
        <w:ind w:right="60" w:firstLine="499"/>
        <w:spacing w:after="0" w:line="269" w:lineRule="auto"/>
        <w:rPr>
          <w:sz w:val="20"/>
          <w:szCs w:val="20"/>
          <w:color w:val="auto"/>
        </w:rPr>
      </w:pPr>
      <w:r>
        <w:rPr>
          <w:rFonts w:ascii="Arial" w:cs="Arial" w:eastAsia="Arial" w:hAnsi="Arial"/>
          <w:sz w:val="17"/>
          <w:szCs w:val="17"/>
          <w:color w:val="auto"/>
        </w:rPr>
        <w:t>We cannot predict the full impact of the COVID-19 pandemic, including its duration in the United States and worldwide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As such, we are unable to predict the duration of any business and supply-chain disruptions, the extent to which COVID-19 will negatively affect our portfolio companies’ operating results or the impact that such disruptions may have on our results of operations and financial condition. Depending on the duration and extent of the disruption to the operations of our portfolio companies, we expect that certain portfolio companies will experience financial distress and possibly default on their financial obligations to us and their other capital providers. It is possible that some of our portfolio companies may significantly curtail business operations, furlough or lay off employees and terminate service providers, and defer capital expenditures if subjected to prolonged and severe financial distress, which would likely impair their business on a permanent basis. These developments would likely result in a decrease in the value of our investment in any such portfolio company.</w:t>
      </w:r>
    </w:p>
    <w:p>
      <w:pPr>
        <w:spacing w:after="0" w:line="77" w:lineRule="exact"/>
        <w:rPr>
          <w:sz w:val="20"/>
          <w:szCs w:val="20"/>
          <w:color w:val="auto"/>
        </w:rPr>
      </w:pPr>
    </w:p>
    <w:p>
      <w:pPr>
        <w:jc w:val="both"/>
        <w:ind w:right="460" w:firstLine="499"/>
        <w:spacing w:after="0" w:line="286" w:lineRule="auto"/>
        <w:rPr>
          <w:sz w:val="20"/>
          <w:szCs w:val="20"/>
          <w:color w:val="auto"/>
        </w:rPr>
      </w:pPr>
      <w:r>
        <w:rPr>
          <w:rFonts w:ascii="Arial" w:cs="Arial" w:eastAsia="Arial" w:hAnsi="Arial"/>
          <w:sz w:val="17"/>
          <w:szCs w:val="17"/>
          <w:color w:val="auto"/>
        </w:rPr>
        <w:t>In this regard, the pandemic and the resulting economic dislocations have had adverse consequences for the business operations of some of the Company’s portfolio companies and CLO Fund investments and have adversely affected, and threaten to continue to adversely affect, the Company’s operations, particularly with respect to interest income received from our investments. We may need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ind w:right="140"/>
        <w:spacing w:after="0" w:line="277" w:lineRule="auto"/>
        <w:rPr>
          <w:sz w:val="20"/>
          <w:szCs w:val="20"/>
          <w:color w:val="auto"/>
        </w:rPr>
      </w:pPr>
      <w:r>
        <w:rPr>
          <w:rFonts w:ascii="Arial" w:cs="Arial" w:eastAsia="Arial" w:hAnsi="Arial"/>
          <w:sz w:val="18"/>
          <w:szCs w:val="18"/>
          <w:color w:val="auto"/>
        </w:rPr>
        <w:t>to restructure our investments in some of our portfolio companies, which could result in reduced interest payments, an increase in the amount of payment-in-kind (“PIK”) interest we receive, or result in permanent impairments on our investments.</w:t>
      </w:r>
    </w:p>
    <w:p>
      <w:pPr>
        <w:spacing w:after="0" w:line="130"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In the event that a CLO Fund fails certain tests, holders of debt senior to us may be entitled to additional payments that would, in turn, reduce the payments we would otherwise be entitled to receive. In this regard,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The estimated timing and amount of future distributions, if any, from these CLO Fund Securities is uncertain. It is also possible, based upon current economic conditions resulting from the COVID-19 pandemic, that additional CLO Fund Securities owned by the Company, and including the subordinated securities issued by Great Lakes KCAP F3C Senior LLC CLO, which are owned by the KCAP Freedom 3 Joint Venture, could also cease making distributions to the Company. Separately, the Company may incur expenses to the extent necessary to seek recovery upon default or to negotiate new terms with a defaulting CLO Fund or any other investment we may make. If any of these occur, it could materially and adversely affect our operating results and cash flows.</w:t>
      </w:r>
    </w:p>
    <w:p>
      <w:pPr>
        <w:spacing w:after="0" w:line="382" w:lineRule="exact"/>
        <w:rPr>
          <w:sz w:val="20"/>
          <w:szCs w:val="20"/>
          <w:color w:val="auto"/>
        </w:rPr>
      </w:pPr>
    </w:p>
    <w:p>
      <w:pPr>
        <w:ind w:right="80" w:firstLine="499"/>
        <w:spacing w:after="0" w:line="253" w:lineRule="auto"/>
        <w:rPr>
          <w:sz w:val="20"/>
          <w:szCs w:val="20"/>
          <w:color w:val="auto"/>
        </w:rPr>
      </w:pPr>
      <w:r>
        <w:rPr>
          <w:rFonts w:ascii="Arial" w:cs="Arial" w:eastAsia="Arial" w:hAnsi="Arial"/>
          <w:sz w:val="18"/>
          <w:szCs w:val="18"/>
          <w:color w:val="auto"/>
        </w:rPr>
        <w:t>We have had a significant reduction in our net asset value since December 31, 2019 which is primarily the result of the impact of the COVID-19 pandemic. The decrease in net asset value as of June 30, 2020 primarily resulted from an increase in the aggregate unrealized depreciation of our investment portfolio resulting from decreases in the fair value of some of our portfolio company investments primarily due to the immediate adverse economic effects of the COVID-19 pandemic and the continuing uncertainty surrounding its long-term impact, as well as the re-pricing of credit risk in the market.</w:t>
      </w:r>
    </w:p>
    <w:p>
      <w:pPr>
        <w:spacing w:after="0" w:line="3" w:lineRule="exact"/>
        <w:rPr>
          <w:sz w:val="20"/>
          <w:szCs w:val="20"/>
          <w:color w:val="auto"/>
        </w:rPr>
      </w:pPr>
    </w:p>
    <w:p>
      <w:pPr>
        <w:ind w:right="60" w:firstLine="499"/>
        <w:spacing w:after="0" w:line="281" w:lineRule="auto"/>
        <w:rPr>
          <w:sz w:val="20"/>
          <w:szCs w:val="20"/>
          <w:color w:val="auto"/>
        </w:rPr>
      </w:pPr>
      <w:r>
        <w:rPr>
          <w:rFonts w:ascii="Arial" w:cs="Arial" w:eastAsia="Arial" w:hAnsi="Arial"/>
          <w:sz w:val="16"/>
          <w:szCs w:val="16"/>
          <w:color w:val="auto"/>
        </w:rPr>
        <w:t>We are permitted under the 1940 Act, as a BDC, to borrow amounts such that our asset coverage, as defined in the 1940 Act, equals at least 150% after such borrowing. In addition, our and our wholly-owned subsidiary’s outstanding borrowings contain affirmative and negative covenants, including, in the case of us, compliance with certain provisions of the 1940 Act relating to borrowing and dividends, and events of default. As of June 30, 2020, we were in compliance with our asset coverage requirements under the 1940 Act and we and our wholly-owned subsidiary were in compliance with all of the covenants pertaining to all of our borrowings. However, any continued increase in unrealized depreciation of our investment portfolio or further significant reductions in our net asset value as a result of the effects of the COVID-19 pandemic increases the risk of breaching the relevant covenants. If we or our wholly-owned subsidiary fail to satisfy the respective covenants of our borrowings, or are unable to cure any event of default or obtain a waiver, it could result in foreclosure under the borrowing arrangement, which would accelerate our repayment obligations under the borrowing arrangement and thereby have a material adverse effect on our business, liquidity, financial condition, results of operations and ability to pay distributions to our stockholders. See “Item 1A - “Risk Factors - Risks Relating to our Business and Structure” included in our most recent Annual Report on Form 10-K and the other risk factors contained therein and in our subsequent filings with the SEC, including this Quarterly Report on Form 10-Q.</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 with Garrison Capital, Inc.</w:t>
      </w:r>
    </w:p>
    <w:p>
      <w:pPr>
        <w:spacing w:after="0" w:line="211"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On June 24, 2020, the Company entered into a merger agreement with Garrison Capital Inc., a publicly traded BDC (“GARS”), the Adviser and a wholly-owned merger subsidiary of the Company.</w:t>
      </w:r>
    </w:p>
    <w:p>
      <w:pPr>
        <w:spacing w:after="0" w:line="170"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Under the terms of the proposed transaction, GARS stockholders will receive a combination of (i) $19.1 million in cash from the Company; (ii) shares of the Company’s common stock valued at 100% of its net asset value per share at the time of closing of the transaction in an aggregate number equal to GARS’ net asset value at closing minus the $19.1 million of cash merger consideration payable by the Company; and (iii) an additional cash payment from the Adviser of $5.0 million in the aggregate.</w:t>
      </w:r>
    </w:p>
    <w:p>
      <w:pPr>
        <w:spacing w:after="0" w:line="1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exchange ratio for the stock component of the merger will be determined by the net asset value of GARS and the Company as of the closing, calculated as of 5:00 p.m. New York City time on the day prior to the closing of the transaction. In addition to approval by GARS’ and the Company’s respective stockholders, the closing of the merger is subject to customary conditions. The Company currently expects the transaction to be completed in the fourth calendar quarter of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02"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143"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Total portfolio investment activity (excluding activity in short-term investments) for the six months ended June 30, 2020 (unaudited) and for the year ended December 31, 2019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Asset</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CLO Fund</w:t>
            </w:r>
          </w:p>
        </w:tc>
        <w:tc>
          <w:tcPr>
            <w:tcW w:w="16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Manager</w:t>
            </w:r>
          </w:p>
        </w:tc>
        <w:tc>
          <w:tcPr>
            <w:tcW w:w="18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Joint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Securities</w:t>
            </w:r>
          </w:p>
        </w:tc>
        <w:tc>
          <w:tcPr>
            <w:tcW w:w="14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Affiliates</w:t>
            </w:r>
          </w:p>
        </w:tc>
        <w:tc>
          <w:tcPr>
            <w:tcW w:w="18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Ventures</w:t>
            </w:r>
          </w:p>
        </w:tc>
        <w:tc>
          <w:tcPr>
            <w:tcW w:w="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Derivatives</w:t>
            </w:r>
          </w:p>
        </w:tc>
        <w:tc>
          <w:tcPr>
            <w:tcW w:w="1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Portfolio</w:t>
            </w: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2018</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2019 Activity:</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147,861,744</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44,325,000</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2,038,020</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30,857,107</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228,551,871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164,680,210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14,966,500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15,857,536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30,609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195,534,855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(123,783,352)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(13,629,382)</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(371,222)</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(4,644,523)</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(142,428,478)</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366,805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6,162,690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6,529,495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(8,841,780)</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(1,395,218)</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(1,912,048)</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(3,470,000)</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(15,619,046)</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6,519,282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(3,494,888)</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(4,856,831)</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3,017,847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(64,046)</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1,121,364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2019</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2020 Activity:</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186,802,908</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31,968,202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9,864,419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45,087,967</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(33,437)</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273,690,061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76,904,791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1,285,833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9,373,102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87,563,726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(46,340,276)</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(2,591,162)</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(497,058)</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(4,734,718)</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(536,968)</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(54,700,182)</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1,280,021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2,111,322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3,391,343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(1,277,443)</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(1,189,287)</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536,968</w:t>
            </w:r>
          </w:p>
        </w:tc>
        <w:tc>
          <w:tcPr>
            <w:tcW w:w="1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(1,929,762)</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(8,498,305)</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(14,596,754)</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74,018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(5,800,718)</w:t>
            </w: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(537,983)</w:t>
            </w:r>
          </w:p>
        </w:tc>
        <w:tc>
          <w:tcPr>
            <w:tcW w:w="1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(29,359,742)</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Fair Value at June 30, 2020</w:t>
            </w: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20" w:type="dxa"/>
            <w:vAlign w:val="bottom"/>
            <w:vMerge w:val="continue"/>
            <w:shd w:val="clear" w:color="auto" w:fill="CFF0FC"/>
          </w:tcPr>
          <w:p>
            <w:pPr>
              <w:spacing w:after="0"/>
              <w:rPr>
                <w:sz w:val="13"/>
                <w:szCs w:val="13"/>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208,871,696</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16,891,608</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9,537,926</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43,925,633</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(571,420)</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278,655,444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portfolio by security type at June 30,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June 30, 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132,085,591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127,628,674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88,788,639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90,130,391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78,366,056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242,726</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Bond</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252,025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250,340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Subordinated Note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2,165,304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2,383,900</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2,165,304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2,422,281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46,138,878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16,891,608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46,618,717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21,760,483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9,537,926</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22,160,993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53,232,923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43,925,633</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48,594,539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(571,419)</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(33,437)</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366,275,396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280,723,261</w:t>
            </w:r>
          </w:p>
        </w:tc>
        <w:tc>
          <w:tcPr>
            <w:tcW w:w="2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334,089,559</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277,897,166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ind w:right="46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June 30, 2020 and December 31,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June 30, 2020 (Unaudited)</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0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Cost/Amortized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Cost/Amortized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40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3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12,079,777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12,054,514</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5,494,693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5,207,510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w w:val="97"/>
              </w:rPr>
              <w:t>Banking, Finance, Insurance &amp; Real Estate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5,521,546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4,747,628</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4,554,055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4,245,252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3,895,521</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Capital Equipment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12,354,826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10,506,400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6,453,900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3,275,544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3,297,668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46,138,878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16,891,608</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6,053,483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5,153,265</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2,558,619</w:t>
            </w:r>
          </w:p>
        </w:tc>
        <w:tc>
          <w:tcPr>
            <w:tcW w:w="2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Containers, Packaging and Glass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2,819,901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2,494,575</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2,616,480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Electronics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12,674,162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13,176,075</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13,636,090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10,906,970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3,425,149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4,919,950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3,968,525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3,450,066</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3,924,947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1,573,605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1,378,080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1,534,240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13,815,523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12,976,718</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9,136,345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53,432,874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43,577,464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33,637,136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High Tech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19,830,600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16,544,359</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17,481,155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&amp; Leisure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Joint Ventures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53,232,923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43,925,633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Advertising, Printing &amp; Publishing</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4,353,914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4,318,087</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4,567,266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Diversified &amp; Production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2,781,657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2,632,779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2,887,230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Metals &amp; Mining</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1,199,978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1,206,800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1,319,500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Personal, Food and</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Miscellaneous Services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2,829,436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Services: Business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40,656,374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39,447,964</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4,376,836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4,169,749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Telecommunication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6,560,798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6,331,640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8,164,050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12,402,364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11,090,844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2,067,817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2,067,817</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6,665,346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6,755,348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Obligations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366,275,396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280,723,261</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189"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color w:val="auto"/>
        </w:rPr>
        <w:t>At June 30, 2020 and December 31, 2019, the weighted average contractual interest rate on our loans and debt securities was approximately 9.7% and 10.9%, respectively. At June 30, 2020 and December 31, 2019, the weighted average contractual interest rate on our loans and debt securities, excluding non-accrual and partial non-accrual investments, and excluding CLO Fund Securities and Joint Ventures, was approximately 7.7% and 9.0%, respectively.</w:t>
      </w:r>
    </w:p>
    <w:p>
      <w:pPr>
        <w:spacing w:after="0" w:line="108" w:lineRule="exact"/>
        <w:rPr>
          <w:sz w:val="20"/>
          <w:szCs w:val="20"/>
          <w:color w:val="auto"/>
        </w:rPr>
      </w:pPr>
    </w:p>
    <w:p>
      <w:pPr>
        <w:ind w:right="280" w:firstLine="374"/>
        <w:spacing w:after="0" w:line="286" w:lineRule="auto"/>
        <w:rPr>
          <w:sz w:val="20"/>
          <w:szCs w:val="20"/>
          <w:color w:val="auto"/>
        </w:rPr>
      </w:pPr>
      <w:r>
        <w:rPr>
          <w:rFonts w:ascii="Arial" w:cs="Arial" w:eastAsia="Arial" w:hAnsi="Arial"/>
          <w:sz w:val="17"/>
          <w:szCs w:val="17"/>
          <w:color w:val="auto"/>
        </w:rPr>
        <w:t>The investment portfolio (excluding our investments in the CLO Funds, Joint Ventures and short-term investments) at June 30, 2020 was spread across 23 different industries and 68 different entities with an average par balance per entity of approximately $4.0 million. As of June 30, 2020, nine of our investments were on non-accrual status. As of December 31, 2019, seven of our investments were on non-accrual status.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p>
      <w:pPr>
        <w:ind w:right="20" w:firstLine="374"/>
        <w:spacing w:after="0" w:line="272" w:lineRule="auto"/>
        <w:rPr>
          <w:sz w:val="20"/>
          <w:szCs w:val="20"/>
          <w:color w:val="auto"/>
        </w:rPr>
      </w:pPr>
      <w:r>
        <w:rPr>
          <w:rFonts w:ascii="Arial" w:cs="Arial" w:eastAsia="Arial" w:hAnsi="Arial"/>
          <w:sz w:val="17"/>
          <w:szCs w:val="17"/>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June 30, 2020 and December 31, 2019, the total amount of non-qualifying assets to total assets was approximately 22.3% and 25.3%, respectively. The majority of non-qualifying assets were foreign investments which were approximately 7.9% and 10.6%, respectively, of our total assets (including our investments in CLO Funds, which are typically domiciled outside the U.S. and represented approximately 5.5% and 10.6%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89"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As of June 30, 2020, our Asset Manager Affiliates had approximately $300 million of par value of assets under management, for which management fees were waived and thus were deemed to have no value.</w:t>
      </w:r>
    </w:p>
    <w:p>
      <w:pPr>
        <w:spacing w:after="0" w:line="70"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49" w:lineRule="exact"/>
        <w:rPr>
          <w:sz w:val="20"/>
          <w:szCs w:val="20"/>
          <w:color w:val="auto"/>
        </w:rPr>
      </w:pPr>
    </w:p>
    <w:p>
      <w:pPr>
        <w:ind w:right="340" w:firstLine="374"/>
        <w:spacing w:after="0" w:line="301" w:lineRule="auto"/>
        <w:rPr>
          <w:sz w:val="20"/>
          <w:szCs w:val="20"/>
          <w:color w:val="auto"/>
        </w:rPr>
      </w:pPr>
      <w:r>
        <w:rPr>
          <w:rFonts w:ascii="Arial" w:cs="Arial" w:eastAsia="Arial" w:hAnsi="Arial"/>
          <w:sz w:val="16"/>
          <w:szCs w:val="16"/>
          <w:color w:val="auto"/>
        </w:rPr>
        <w:t>Although the investment in the Asset Manager Affiliates is deemed to have no value at June 30, 2020 and December 31, 2019,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02"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We have made minority investments in the subordinated securities or preferred shares of CLO Funds managed by the Disposed Manager Affiliates and may selectively invest in securities issued by CLO Funds managed by other asset management companies. As of June 30, 2020 and December 31, 2019, we had approximately $16.9 million and $32.0 million, respectively, invested in CLO Fund Securities, issued primarily by CLO Funds managed by the Disposed Manager Affiliates.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26" w:lineRule="exact"/>
        <w:rPr>
          <w:sz w:val="20"/>
          <w:szCs w:val="20"/>
          <w:color w:val="auto"/>
        </w:rPr>
      </w:pPr>
    </w:p>
    <w:p>
      <w:pPr>
        <w:ind w:right="20" w:firstLine="499"/>
        <w:spacing w:after="0" w:line="28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Our CLO Fund investments are generally thinly traded or have only a limited trading market. CLO Funds are typically privately offered and sold, even in the secondary market. As a result, investments in CLO Funds may be characterized as illiquid securities. In addition to the general risks associated with investing in debt securities, CLO Funds carry additional risks, including, but not limited to: (i) the possibility that distributions from collateral securities will not be adequate to make interest or other payments; (ii) the quality of the collateral may decline in value or default; (iii) the fact that the Company’s investments in CLO tranches will likely be subordinate to other senior classes of note tranches thereof; and (iv) the complex structure of the security may not be fully understood at the time of investment and may produce disputes with the CLO Fund or unexpected investment results. The Company’s net asset value may also decline over time if the Company’s principal recovery with respect to CLO subordinated note investments is less than the price that the Company paid for those investments. For a more detailed discussion of the risks related to our investments in CLO Funds, please see “Risk Factors — Risks Related to Our Investments — Our investments may be risky, and you could lose all or part of your investment.” in Part I, “Item 1A. Risk Factors” in our Annual Report on Form 10-K for the year ended December 31, 2019.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ind w:left="380"/>
        <w:spacing w:after="0"/>
        <w:rPr>
          <w:sz w:val="20"/>
          <w:szCs w:val="20"/>
          <w:color w:val="auto"/>
        </w:rPr>
      </w:pPr>
      <w:r>
        <w:rPr>
          <w:rFonts w:ascii="Arial" w:cs="Arial" w:eastAsia="Arial" w:hAnsi="Arial"/>
          <w:sz w:val="18"/>
          <w:szCs w:val="18"/>
          <w:color w:val="auto"/>
        </w:rPr>
        <w:t>Our CLO Fund Securities as of June 30, 2020 and December 31, 2019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June 30, 2020(2)</w:t>
            </w:r>
          </w:p>
        </w:tc>
        <w:tc>
          <w:tcPr>
            <w:tcW w:w="26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2019</w:t>
            </w:r>
            <w:r>
              <w:rPr>
                <w:rFonts w:ascii="Arial" w:cs="Arial" w:eastAsia="Arial" w:hAnsi="Arial"/>
                <w:sz w:val="15"/>
                <w:szCs w:val="15"/>
                <w:b w:val="1"/>
                <w:bCs w:val="1"/>
                <w:color w:val="auto"/>
              </w:rPr>
              <w:t>(2)</w:t>
            </w:r>
          </w:p>
        </w:tc>
      </w:tr>
      <w:tr>
        <w:trPr>
          <w:trHeight w:val="205"/>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Catamaran CLO 2013- 1 Ltd.</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6,026,908</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1,534,148</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6,094,823</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5,025,536</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10,013,294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3,163,259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9,995,658</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6,379,580</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1,479,856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1,089,075</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1,519,641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1,984,155</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2014-2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6,065,598</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6,072,697</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1,139,032</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4,100,213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935,433</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4,088,504</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2,514,130</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2016-1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9,057,996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3,092,193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9,253,304</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6,395,016</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9,395,013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7,077,500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9,594,090</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8,530,751</w:t>
            </w:r>
          </w:p>
        </w:tc>
        <w:tc>
          <w:tcPr>
            <w:tcW w:w="120" w:type="dxa"/>
            <w:vAlign w:val="bottom"/>
            <w:shd w:val="clear" w:color="auto" w:fill="CFF0FC"/>
          </w:tcPr>
          <w:p>
            <w:pPr>
              <w:spacing w:after="0"/>
              <w:rPr>
                <w:sz w:val="20"/>
                <w:szCs w:val="20"/>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46,138,878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16,891,608</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46,618,717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31,968,202</w:t>
            </w:r>
          </w:p>
        </w:tc>
        <w:tc>
          <w:tcPr>
            <w:tcW w:w="1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5"/>
          <w:szCs w:val="15"/>
          <w:color w:val="auto"/>
        </w:rPr>
      </w:pPr>
      <w:r>
        <w:rPr>
          <w:rFonts w:ascii="Arial" w:cs="Arial" w:eastAsia="Arial" w:hAnsi="Arial"/>
          <w:sz w:val="18"/>
          <w:szCs w:val="18"/>
          <w:color w:val="auto"/>
        </w:rPr>
        <w:t>Represents percentage of class held at June 30, 2020.</w:t>
      </w:r>
    </w:p>
    <w:p>
      <w:pPr>
        <w:spacing w:after="0" w:line="117" w:lineRule="exact"/>
        <w:rPr>
          <w:sz w:val="20"/>
          <w:szCs w:val="20"/>
          <w:color w:val="auto"/>
        </w:rPr>
      </w:pPr>
    </w:p>
    <w:p>
      <w:pPr>
        <w:ind w:left="380" w:right="1020" w:hanging="372"/>
        <w:spacing w:after="0" w:line="277" w:lineRule="auto"/>
        <w:tabs>
          <w:tab w:leader="none" w:pos="380" w:val="left"/>
        </w:tabs>
        <w:numPr>
          <w:ilvl w:val="0"/>
          <w:numId w:val="76"/>
        </w:numPr>
        <w:rPr>
          <w:rFonts w:ascii="Arial" w:cs="Arial" w:eastAsia="Arial" w:hAnsi="Arial"/>
          <w:sz w:val="15"/>
          <w:szCs w:val="15"/>
          <w:color w:val="auto"/>
        </w:rPr>
      </w:pPr>
      <w:r>
        <w:rPr>
          <w:rFonts w:ascii="Arial" w:cs="Arial" w:eastAsia="Arial" w:hAnsi="Arial"/>
          <w:sz w:val="18"/>
          <w:szCs w:val="18"/>
          <w:color w:val="auto"/>
        </w:rPr>
        <w:t>Other than Dryden 30 Senior Loan Fund, all of our CLO Fund securities investments were managed by affiliates as of June 30, 2020 and December 31, 2019.</w:t>
      </w:r>
    </w:p>
    <w:p>
      <w:pPr>
        <w:spacing w:after="0" w:line="346"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As a result of the severe economic consequences resulting from the COVID 19 pandemic,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The estimated timing and amount of future distributions, if any, from these CLO Fund Securities is uncertain. It is also possible, based upon current economic conditions resulting from the COVID 19 pandemic, that additional CLO Fund Securities owned by the Company, and including the subordinated securities issued by Great Lakes KCAP F3C Senior LLC CLO, which are owned by the KCAP Freedom 3 Joint Venture, could also cease making distributions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84"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ind w:right="12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30"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While we own a 60%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36" w:lineRule="exact"/>
        <w:rPr>
          <w:sz w:val="20"/>
          <w:szCs w:val="20"/>
          <w:color w:val="auto"/>
        </w:rPr>
      </w:pPr>
    </w:p>
    <w:p>
      <w:pPr>
        <w:ind w:right="340" w:firstLine="374"/>
        <w:spacing w:after="0" w:line="257" w:lineRule="auto"/>
        <w:rPr>
          <w:sz w:val="20"/>
          <w:szCs w:val="20"/>
          <w:color w:val="auto"/>
        </w:rPr>
      </w:pPr>
      <w:r>
        <w:rPr>
          <w:rFonts w:ascii="Arial" w:cs="Arial" w:eastAsia="Arial" w:hAnsi="Arial"/>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7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72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June 30, 2020</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26,279,124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26,279,124</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729,954</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12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25,549,170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26,279,124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ind w:left="64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6"/>
          </w:tcPr>
          <w:p>
            <w:pPr>
              <w:spacing w:after="0"/>
              <w:rPr>
                <w:sz w:val="20"/>
                <w:szCs w:val="20"/>
                <w:color w:val="auto"/>
              </w:rPr>
            </w:pPr>
            <w:r>
              <w:rPr>
                <w:rFonts w:ascii="Arial" w:cs="Arial" w:eastAsia="Arial" w:hAnsi="Arial"/>
                <w:sz w:val="18"/>
                <w:szCs w:val="18"/>
                <w:b w:val="1"/>
                <w:bCs w:val="1"/>
                <w:color w:val="auto"/>
                <w:w w:val="98"/>
              </w:rPr>
              <w:t>Six Months Ended 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Borders>
              <w:bottom w:val="single" w:sz="8" w:color="CFF0FC"/>
            </w:tcBorders>
          </w:tcPr>
          <w:p>
            <w:pPr>
              <w:spacing w:after="0"/>
              <w:rPr>
                <w:sz w:val="20"/>
                <w:szCs w:val="20"/>
                <w:color w:val="auto"/>
              </w:rPr>
            </w:pPr>
          </w:p>
        </w:tc>
        <w:tc>
          <w:tcPr>
            <w:tcW w:w="2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1,178,220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1,008,338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2,395,633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2,159,724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1,166,720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1,006,859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2,140,732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3,835,990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w w:val="91"/>
              </w:rPr>
              <w:t>(1,278,063)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(7,363,326)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4,048,759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5,002,710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(271,204</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(4,999,193</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6,189,492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100" w:type="dxa"/>
            <w:vAlign w:val="bottom"/>
            <w:vMerge w:val="restart"/>
          </w:tcPr>
          <w:p>
            <w:pPr>
              <w:jc w:val="right"/>
              <w:ind w:right="490"/>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by Joint</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Venture</w:t>
            </w:r>
          </w:p>
        </w:tc>
        <w:tc>
          <w:tcPr>
            <w:tcW w:w="14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21.5%, 12/29 maturity</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40,706,201</w:t>
            </w:r>
          </w:p>
        </w:tc>
        <w:tc>
          <w:tcPr>
            <w:tcW w:w="2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26,279,124</w:t>
            </w:r>
          </w:p>
        </w:tc>
        <w:tc>
          <w:tcPr>
            <w:tcW w:w="100" w:type="dxa"/>
            <w:vAlign w:val="bottom"/>
            <w:shd w:val="clear" w:color="auto" w:fill="CFF0FC"/>
          </w:tcPr>
          <w:p>
            <w:pPr>
              <w:spacing w:after="0"/>
              <w:rPr>
                <w:sz w:val="20"/>
                <w:szCs w:val="20"/>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40,706,201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26,279,124</w:t>
            </w:r>
          </w:p>
        </w:tc>
        <w:tc>
          <w:tcPr>
            <w:tcW w:w="100" w:type="dxa"/>
            <w:vAlign w:val="bottom"/>
          </w:tcPr>
          <w:p>
            <w:pPr>
              <w:spacing w:after="0"/>
              <w:rPr>
                <w:sz w:val="19"/>
                <w:szCs w:val="19"/>
                <w:color w:val="auto"/>
              </w:rPr>
            </w:pPr>
          </w:p>
        </w:tc>
      </w:tr>
    </w:tbl>
    <w:p>
      <w:pPr>
        <w:spacing w:after="0" w:line="377" w:lineRule="exact"/>
        <w:rPr>
          <w:sz w:val="20"/>
          <w:szCs w:val="20"/>
          <w:color w:val="auto"/>
        </w:rPr>
      </w:pPr>
    </w:p>
    <w:p>
      <w:pPr>
        <w:ind w:left="380" w:right="160" w:hanging="372"/>
        <w:spacing w:after="0" w:line="254" w:lineRule="auto"/>
        <w:tabs>
          <w:tab w:leader="none" w:pos="380" w:val="left"/>
        </w:tabs>
        <w:numPr>
          <w:ilvl w:val="0"/>
          <w:numId w:val="77"/>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77"/>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47"/>
              <w:spacing w:after="0"/>
              <w:rPr>
                <w:sz w:val="20"/>
                <w:szCs w:val="20"/>
                <w:color w:val="auto"/>
              </w:rPr>
            </w:pPr>
            <w:r>
              <w:rPr>
                <w:rFonts w:ascii="Arial" w:cs="Arial" w:eastAsia="Arial" w:hAnsi="Arial"/>
                <w:sz w:val="18"/>
                <w:szCs w:val="18"/>
                <w:b w:val="1"/>
                <w:bCs w:val="1"/>
                <w:color w:val="auto"/>
                <w:w w:val="86"/>
              </w:rPr>
              <w:t>Percentage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Ownership</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89"/>
              </w:rPr>
              <w:t>by Joint</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Venture</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Great Lakes KCAP F3C Senior, LLC</w:t>
            </w:r>
            <w:r>
              <w:rPr>
                <w:rFonts w:ascii="Arial" w:cs="Arial" w:eastAsia="Arial" w:hAnsi="Arial"/>
                <w:sz w:val="15"/>
                <w:szCs w:val="15"/>
                <w:color w:val="auto"/>
                <w:w w:val="97"/>
              </w:rPr>
              <w:t>(1)(2)</w:t>
            </w:r>
          </w:p>
        </w:tc>
        <w:tc>
          <w:tcPr>
            <w:tcW w:w="16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11.2%, 12/29 maturity</w:t>
            </w:r>
          </w:p>
        </w:tc>
        <w:tc>
          <w:tcPr>
            <w:tcW w:w="17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100.0%  $</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40,801,382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40,801,382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20" w:type="dxa"/>
            <w:vAlign w:val="bottom"/>
          </w:tcPr>
          <w:p>
            <w:pPr>
              <w:spacing w:after="0"/>
              <w:rPr>
                <w:sz w:val="19"/>
                <w:szCs w:val="19"/>
                <w:color w:val="auto"/>
              </w:rPr>
            </w:pPr>
          </w:p>
        </w:tc>
      </w:tr>
    </w:tbl>
    <w:p>
      <w:pPr>
        <w:spacing w:after="0" w:line="391" w:lineRule="exact"/>
        <w:rPr>
          <w:sz w:val="20"/>
          <w:szCs w:val="20"/>
          <w:color w:val="auto"/>
        </w:rPr>
      </w:pPr>
    </w:p>
    <w:p>
      <w:pPr>
        <w:ind w:left="380" w:right="160" w:hanging="372"/>
        <w:spacing w:after="0" w:line="251" w:lineRule="auto"/>
        <w:tabs>
          <w:tab w:leader="none" w:pos="380" w:val="left"/>
        </w:tabs>
        <w:numPr>
          <w:ilvl w:val="0"/>
          <w:numId w:val="78"/>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380" w:right="640" w:hanging="372"/>
        <w:spacing w:after="0" w:line="249" w:lineRule="auto"/>
        <w:tabs>
          <w:tab w:leader="none" w:pos="380" w:val="left"/>
        </w:tabs>
        <w:numPr>
          <w:ilvl w:val="0"/>
          <w:numId w:val="78"/>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380" w:hanging="372"/>
        <w:spacing w:after="0"/>
        <w:tabs>
          <w:tab w:leader="none" w:pos="380" w:val="left"/>
        </w:tabs>
        <w:numPr>
          <w:ilvl w:val="0"/>
          <w:numId w:val="78"/>
        </w:numPr>
        <w:rPr>
          <w:rFonts w:ascii="Arial" w:cs="Arial" w:eastAsia="Arial" w:hAnsi="Arial"/>
          <w:sz w:val="15"/>
          <w:szCs w:val="15"/>
          <w:color w:val="auto"/>
        </w:rPr>
      </w:pPr>
      <w:r>
        <w:rPr>
          <w:rFonts w:ascii="Arial" w:cs="Arial" w:eastAsia="Arial" w:hAnsi="Arial"/>
          <w:sz w:val="18"/>
          <w:szCs w:val="18"/>
          <w:color w:val="auto"/>
        </w:rPr>
        <w:t>Formerly known as KCAP F3C Senior Funding, LLC</w:t>
      </w:r>
    </w:p>
    <w:p>
      <w:pPr>
        <w:spacing w:after="0" w:line="9"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As a result of the severe economic consequences resulting from the COVID 19 pandemic, it is possible that the subordinated securities issued by</w:t>
      </w:r>
    </w:p>
    <w:p>
      <w:pPr>
        <w:spacing w:after="0" w:line="3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Great Lakes KCAP F3C Senior LLC CLO, which are owned by the KCAP Freedom 3 Joint Venture, could also cease making distributions to the KCAP Freedom 3 Joint Venture.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BCP Great Lakes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right="20" w:firstLine="374"/>
        <w:spacing w:after="0" w:line="254" w:lineRule="auto"/>
        <w:rPr>
          <w:sz w:val="20"/>
          <w:szCs w:val="20"/>
          <w:color w:val="auto"/>
        </w:rPr>
      </w:pPr>
      <w:r>
        <w:rPr>
          <w:rFonts w:ascii="Arial" w:cs="Arial" w:eastAsia="Arial" w:hAnsi="Arial"/>
          <w:sz w:val="18"/>
          <w:szCs w:val="18"/>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and together with the Joint Venture, the “Joint Ventures”).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87"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The fair value of our investment in the BCP Great Lakes Partnership at June 30, 2020 and December 31, 2019 was $27.2 million and $23.8 million.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70"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Investment Company Act of 1940). As of June 30, 2020 and December 31, 2019, we have a $21.7 million and $26.3 million, respectively unfunded commitment to the BCP Great Lakes Partnership. However, at June 30, 2020 our funding commitment was limited to approximately $6.7 million pursuant to the limitations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43"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46"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our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were reflected as “managed by non-affiliates”. Effective April 1, 2019, as a result of the Externalization and related transactions, CLO Fund investments managed by LibreMax were assigned to CLO Funds Managed by 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6" w:name="page77"/>
    <w:bookmarkEnd w:id="76"/>
    <w:p>
      <w:pPr>
        <w:ind w:right="60" w:firstLine="374"/>
        <w:spacing w:after="0" w:line="291"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85"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Substantially all of our investment in the Asset Manager Affiliates was sold on December 31, 2018. Prior</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we had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137" w:lineRule="exact"/>
        <w:rPr>
          <w:sz w:val="20"/>
          <w:szCs w:val="20"/>
          <w:color w:val="auto"/>
        </w:rPr>
      </w:pPr>
    </w:p>
    <w:p>
      <w:pPr>
        <w:ind w:right="200" w:firstLine="374"/>
        <w:spacing w:after="0" w:line="289" w:lineRule="auto"/>
        <w:rPr>
          <w:sz w:val="20"/>
          <w:szCs w:val="20"/>
          <w:color w:val="auto"/>
        </w:rPr>
      </w:pPr>
      <w:r>
        <w:rPr>
          <w:rFonts w:ascii="Arial" w:cs="Arial" w:eastAsia="Arial" w:hAnsi="Arial"/>
          <w:sz w:val="16"/>
          <w:szCs w:val="16"/>
          <w:color w:val="auto"/>
        </w:rPr>
        <w:t>As a result of tax-basis goodwill amortization and certain other tax-related adjustments, portions of distributions received may be deemed return of capital. Our Asset Manager Affiliates was deemed to have no value at June 30, 2020 and December 31, 2019. There were no distributions from the Asset Manager Affiliates during the first three quarters of 2019.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June 30, 2020 and December 31, 2019.</w:t>
      </w:r>
    </w:p>
    <w:p>
      <w:pPr>
        <w:spacing w:after="0" w:line="139"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i w:val="1"/>
          <w:iCs w:val="1"/>
          <w:color w:val="auto"/>
        </w:rPr>
        <w:t xml:space="preserve">Investment in Joint Ventures. </w:t>
      </w:r>
      <w:r>
        <w:rPr>
          <w:rFonts w:ascii="Arial" w:cs="Arial" w:eastAsia="Arial" w:hAnsi="Arial"/>
          <w:sz w:val="17"/>
          <w:szCs w:val="17"/>
          <w:color w:val="auto"/>
        </w:rPr>
        <w:t>For the three months ended June 30, 2020 and 2019, the Company recognized $1.0 million and $1.3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 investment income from its investments in Joint Ventures. For the six months ended June 30, 2020 and 2019, the Company recognized $2.6 million and $2.2 million, respectively, in investment income from its investments in Joint Ventures. As of June 30, 2020 and December 31, 2019, the fair value of our investments in Joint Ventures was approximately $43.9 million and $45.1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38"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98" w:lineRule="exact"/>
        <w:rPr>
          <w:sz w:val="20"/>
          <w:szCs w:val="20"/>
          <w:color w:val="auto"/>
        </w:rPr>
      </w:pPr>
    </w:p>
    <w:p>
      <w:pPr>
        <w:ind w:right="200" w:firstLine="374"/>
        <w:spacing w:after="0" w:line="308" w:lineRule="auto"/>
        <w:rPr>
          <w:sz w:val="20"/>
          <w:szCs w:val="20"/>
          <w:color w:val="auto"/>
        </w:rPr>
      </w:pPr>
      <w:r>
        <w:rPr>
          <w:rFonts w:ascii="Arial" w:cs="Arial" w:eastAsia="Arial" w:hAnsi="Arial"/>
          <w:sz w:val="17"/>
          <w:szCs w:val="17"/>
          <w:color w:val="auto"/>
        </w:rPr>
        <w:t>Investment income for the three months ended June 30, 2020 and 2019 and was approximately $7.3 million and $6.9 million, respectively. Of these amounts, approximately $5.2 million and $3.8 million, respectively was attributable to interest income on our Debt Securities Portfolio.</w:t>
      </w:r>
    </w:p>
    <w:p>
      <w:pPr>
        <w:spacing w:after="0" w:line="106" w:lineRule="exact"/>
        <w:rPr>
          <w:sz w:val="20"/>
          <w:szCs w:val="20"/>
          <w:color w:val="auto"/>
        </w:rPr>
      </w:pPr>
    </w:p>
    <w:p>
      <w:pPr>
        <w:ind w:right="520" w:firstLine="374"/>
        <w:spacing w:after="0" w:line="308" w:lineRule="auto"/>
        <w:rPr>
          <w:sz w:val="20"/>
          <w:szCs w:val="20"/>
          <w:color w:val="auto"/>
        </w:rPr>
      </w:pPr>
      <w:r>
        <w:rPr>
          <w:rFonts w:ascii="Arial" w:cs="Arial" w:eastAsia="Arial" w:hAnsi="Arial"/>
          <w:sz w:val="17"/>
          <w:szCs w:val="17"/>
          <w:color w:val="auto"/>
        </w:rPr>
        <w:t>Investment income for the six months ended June 30, 2020 and 2019 was approximately $15.1 million and $12.7 million, respectively. Of these amounts, approximately $10.1 million and $6.8 million, respectively was attributable to interest income on our Debt Securities Portfolio.</w:t>
      </w:r>
    </w:p>
    <w:p>
      <w:pPr>
        <w:spacing w:after="0" w:line="106"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At June 30, 2020 and December 31, 2019, the weighted average contractual interest rate on our loans and debt securities was approximately 9.7% and 10.9%, respectively. At June 30, 2020 and December 31, 2019, the weighted average contractual interest rate on our loans and debt securities, excluding non-accrual and partial non-accrual investments, was approximately 7.7% and 9.0%, respectively.</w:t>
      </w:r>
    </w:p>
    <w:p>
      <w:pPr>
        <w:spacing w:after="0" w:line="157"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ind w:right="60" w:firstLine="374"/>
        <w:spacing w:after="0" w:line="269" w:lineRule="auto"/>
        <w:rPr>
          <w:sz w:val="20"/>
          <w:szCs w:val="20"/>
          <w:color w:val="auto"/>
        </w:rPr>
      </w:pPr>
      <w:r>
        <w:rPr>
          <w:rFonts w:ascii="Arial" w:cs="Arial" w:eastAsia="Arial" w:hAnsi="Arial"/>
          <w:sz w:val="17"/>
          <w:szCs w:val="17"/>
          <w:color w:val="auto"/>
        </w:rPr>
        <w:t>For the three months ended June 30, 2020 and 2019, approximately $0.9 million and $1.7 million, respectively, of investment income was attributable to investments in CLO Fund Securities. For the six months ended June 30, 2020 and 2019, approximately $2.1 million and $3.5 million, respectively, of investment income was attributable to investments in CLO Fund Securities. On a tax basis, the Company recognized $2.6 million and $3.9 million of taxable distributable income on distributions from our CLO Fund Securities during the six months ended June 30, 2020 and 2019,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8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Since the Closing,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41" w:lineRule="exact"/>
        <w:rPr>
          <w:sz w:val="20"/>
          <w:szCs w:val="20"/>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96" w:lineRule="exact"/>
        <w:rPr>
          <w:rFonts w:ascii="Arial" w:cs="Arial" w:eastAsia="Arial" w:hAnsi="Arial"/>
          <w:sz w:val="17"/>
          <w:szCs w:val="17"/>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84"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84" w:lineRule="exact"/>
        <w:rPr>
          <w:rFonts w:ascii="Arial" w:cs="Arial" w:eastAsia="Arial" w:hAnsi="Arial"/>
          <w:sz w:val="18"/>
          <w:szCs w:val="18"/>
          <w:color w:val="auto"/>
        </w:rPr>
      </w:pPr>
    </w:p>
    <w:p>
      <w:pPr>
        <w:ind w:left="740" w:right="560" w:hanging="368"/>
        <w:spacing w:after="0" w:line="263" w:lineRule="auto"/>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3" w:lineRule="exact"/>
        <w:rPr>
          <w:rFonts w:ascii="Arial" w:cs="Arial" w:eastAsia="Arial" w:hAnsi="Arial"/>
          <w:sz w:val="18"/>
          <w:szCs w:val="18"/>
          <w:color w:val="auto"/>
        </w:rPr>
      </w:pPr>
    </w:p>
    <w:p>
      <w:pPr>
        <w:ind w:left="740" w:right="160" w:hanging="368"/>
        <w:spacing w:after="0" w:line="308" w:lineRule="auto"/>
        <w:tabs>
          <w:tab w:leader="none" w:pos="7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5" w:lineRule="exact"/>
        <w:rPr>
          <w:rFonts w:ascii="Arial" w:cs="Arial" w:eastAsia="Arial" w:hAnsi="Arial"/>
          <w:sz w:val="17"/>
          <w:szCs w:val="17"/>
          <w:color w:val="auto"/>
        </w:rPr>
      </w:pPr>
    </w:p>
    <w:p>
      <w:pPr>
        <w:ind w:left="740" w:hanging="368"/>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ind w:left="740" w:hanging="368"/>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84"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185"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i w:val="1"/>
          <w:iCs w:val="1"/>
          <w:color w:val="auto"/>
        </w:rPr>
        <w:t xml:space="preserve">Management Fees. </w:t>
      </w:r>
      <w:r>
        <w:rPr>
          <w:rFonts w:ascii="Arial" w:cs="Arial" w:eastAsia="Arial" w:hAnsi="Arial"/>
          <w:sz w:val="18"/>
          <w:szCs w:val="18"/>
          <w:color w:val="auto"/>
        </w:rPr>
        <w:t>Management fees for the three months ended June 30, 2020 and 2019, were approximately $1.0 million and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Incentive fees earned during the three months ended June 30, 2020 and 2019, were approximately $455 thousand and $0, all of which were waived pursuant to the Externalization Agreement.</w:t>
      </w:r>
    </w:p>
    <w:p>
      <w:pPr>
        <w:spacing w:after="0" w:line="157" w:lineRule="exact"/>
        <w:rPr>
          <w:sz w:val="20"/>
          <w:szCs w:val="20"/>
          <w:color w:val="auto"/>
        </w:rPr>
      </w:pPr>
    </w:p>
    <w:p>
      <w:pPr>
        <w:ind w:right="180" w:firstLine="374"/>
        <w:spacing w:after="0" w:line="263" w:lineRule="auto"/>
        <w:rPr>
          <w:sz w:val="20"/>
          <w:szCs w:val="20"/>
          <w:color w:val="auto"/>
        </w:rPr>
      </w:pPr>
      <w:r>
        <w:rPr>
          <w:rFonts w:ascii="Arial" w:cs="Arial" w:eastAsia="Arial" w:hAnsi="Arial"/>
          <w:sz w:val="18"/>
          <w:szCs w:val="18"/>
          <w:color w:val="auto"/>
        </w:rPr>
        <w:t>Management fees for the six months ended June 30, 2020 and 2019, were approximately $2.0 million and $1.0 million, respectively. Incentive fees earned during six months ended June 30, 2020 and 2019, were approximately $557 thousand and $0, all of which were waived pursuant to the Externalization Agreement.</w:t>
      </w:r>
    </w:p>
    <w:p>
      <w:pPr>
        <w:spacing w:after="0" w:line="143"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our borrowings. These amounts are capitalized and amortized ratably over the expected term of the borrowing.</w:t>
      </w:r>
    </w:p>
    <w:p>
      <w:pPr>
        <w:spacing w:after="0" w:line="143"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i w:val="1"/>
          <w:iCs w:val="1"/>
          <w:color w:val="auto"/>
        </w:rPr>
        <w:t>Compensation Expense</w:t>
      </w:r>
      <w:r>
        <w:rPr>
          <w:rFonts w:ascii="Arial" w:cs="Arial" w:eastAsia="Arial" w:hAnsi="Arial"/>
          <w:sz w:val="18"/>
          <w:szCs w:val="18"/>
          <w:color w:val="auto"/>
        </w:rPr>
        <w:t>. 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61"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i w:val="1"/>
          <w:iCs w:val="1"/>
          <w:color w:val="auto"/>
        </w:rPr>
        <w:t>Professional Fees, Administrative Services Expense and General Administrative Expenses</w:t>
      </w:r>
      <w:r>
        <w:rPr>
          <w:rFonts w:ascii="Arial" w:cs="Arial" w:eastAsia="Arial" w:hAnsi="Arial"/>
          <w:sz w:val="18"/>
          <w:szCs w:val="18"/>
          <w:color w:val="auto"/>
        </w:rPr>
        <w:t>. The balance of our expenses includes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legal, accounting, director fees, valuation and other professional services), insurance costs, Administrative services expense under the Administration Agreement and general administrative and other costs.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expenses for the three months ended June 30, 2020 and 2019 were approximately $4.7 million and $6.0 million, respectively.</w:t>
      </w:r>
    </w:p>
    <w:p>
      <w:pPr>
        <w:spacing w:after="0" w:line="185"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For the three months ended June 30, 2020 and 2019, interest expense and amortization on debt issuance costs for the period was approximately $2.4 million and $2.0 million, respectively, on average debt outstanding of $169 million and $121 million, respectively.</w:t>
      </w:r>
    </w:p>
    <w:p>
      <w:pPr>
        <w:spacing w:after="0" w:line="14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For the three months ended June 30, 2020 and 2019, respectively, professional fees and insurance expenses totaled approximately $0.7 million and $0.9 million. Other general and administrative costs, (which in 2019 include rent expense on the Company’s lease obligation, which was terminated in the fourth quarter of 2019), and other administrative expenses, totaled approximately $0.2 million and $0.3 million for the three months ended June 30, 2020 and 2019, respectively.</w:t>
      </w:r>
    </w:p>
    <w:p>
      <w:pPr>
        <w:spacing w:after="0" w:line="146"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During the second quarter of 2019, the Company recorded an impairment charge of approximately $1.4 million to write down the lease right-of-use asset for office space previously occupied by the Company. The impairment charge is recorded as a separate line item within the expense section of the consolidated statement of operations.</w:t>
      </w:r>
    </w:p>
    <w:p>
      <w:pPr>
        <w:spacing w:after="0" w:line="143"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color w:val="auto"/>
        </w:rPr>
        <w:t>For the six months ended June 30, 2020 and 2019, professional fees and insurance expenses totaled approximately $1.7 million and $2.6 million respectively. For the six months ended June 30, 2019, the Company incurred approximately $1.0 million of professional fees in connection with the Externalization. Other general and administrative expenses, which in 2019 includes rent expense on the Company’s lease obligation, technology and other office and administrative expenses, totaled approximately $0.4 million and $1.1 million for the six months ended June 30, 2020 and 2019, respectively.</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9" w:name="page80"/>
    <w:bookmarkEnd w:id="79"/>
    <w:p>
      <w:pPr>
        <w:ind w:right="100" w:firstLine="374"/>
        <w:spacing w:after="0" w:line="269" w:lineRule="auto"/>
        <w:rPr>
          <w:sz w:val="20"/>
          <w:szCs w:val="20"/>
          <w:color w:val="auto"/>
        </w:rPr>
      </w:pPr>
      <w:r>
        <w:rPr>
          <w:rFonts w:ascii="Arial" w:cs="Arial" w:eastAsia="Arial" w:hAnsi="Arial"/>
          <w:sz w:val="17"/>
          <w:szCs w:val="17"/>
          <w:color w:val="auto"/>
        </w:rPr>
        <w:t>Total expenses for the six months ended June 30, 2020 and 2019 were approximately $9.7 million and $14.0 million, respectively. For the six months ended June 30, 2019, we incurred approximately $3.4 million in total expenses in connection with the Externalization and approximately $1.4 million related to a non-cash impairment charge to write down the value of the right-of-use asset for the lease of office space formerly occupied by the Company prior to the Externalization. The impairment charge related to our write down of the lease right-of-use asset is recorded as a separate line item within the expense section of the consolidated statement of operations. For the six months ended June 30, 2020 and 2019, interest expense and amortization on debt issuance costs for the period was approximately $4.7 million and $3.8 million, respectively, on average debt outstanding of $154 million and $113 million, respectively. For the six months ended June 30, 2019, we incurred approximately $187,000 in administrative costs in connection with the Externalization. Since April 1, 2019, as a result of the Externalization, the Company no longer has employees and does not incur employee compensation costs. For the six months ended June 30, 2019, we incurred approximately $2.2 million in compensation expense (primarily severance) in connection with the Externalization.</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85"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Net investment income and net realized gains (losses) represents the change in stockholder’s equity before net unrealized appreciation or depreciation on investments. For the three months ended June 30, 2020, net investment income and net realized gains were approximately $1.7 million, or $0.04 per share. For the three months ended June 30, 2019, net investment income and net realized losses were approximately ($1.4) million, or ($0.04) per share. Net investment income represents the income earned on our investments less operating and interest expense before net realized gains or losses and unrealized appreciation or depreciation on investments.</w:t>
      </w:r>
    </w:p>
    <w:p>
      <w:pPr>
        <w:spacing w:after="0" w:line="147" w:lineRule="exact"/>
        <w:rPr>
          <w:sz w:val="20"/>
          <w:szCs w:val="20"/>
          <w:color w:val="auto"/>
        </w:rPr>
      </w:pPr>
    </w:p>
    <w:p>
      <w:pPr>
        <w:ind w:right="220" w:firstLine="374"/>
        <w:spacing w:after="0" w:line="308" w:lineRule="auto"/>
        <w:rPr>
          <w:sz w:val="20"/>
          <w:szCs w:val="20"/>
          <w:color w:val="auto"/>
        </w:rPr>
      </w:pPr>
      <w:r>
        <w:rPr>
          <w:rFonts w:ascii="Arial" w:cs="Arial" w:eastAsia="Arial" w:hAnsi="Arial"/>
          <w:sz w:val="17"/>
          <w:szCs w:val="17"/>
          <w:color w:val="auto"/>
        </w:rPr>
        <w:t>For the six months ended June 30, 2020, net investment income and net realized losses were approximately $3.4 million, or $0.08 per share. For the six months ended June 30, 2019, net investment loss and net realized losses were approximately ($16.9) million, or ($0.45) per share.</w:t>
      </w:r>
    </w:p>
    <w:p>
      <w:pPr>
        <w:spacing w:after="0" w:line="11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six months ended June 30, 2020, GAAP-basis net investment income was approximately $5.4 million or $0.12 per share, while tax-basis distributable income was approximately $6.5 million or $0.14 per share. For the six months ended June 30, 2019, GAAP-basis net investment income was approximately $(1.3) million or $(0.04) per basic share, while tax-basis distributable income was approximately $1.5 million or $0.04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189"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During the three months ended June 30, 2020, our total investments had net unrealized appreciation of approximately $1.6 million. Included in the net unrealized appreciation are unrealized depreciation on CLO Fund Securities of approximately $2.9 million unrealized appreciation and on equity securities of approximately $0.4 million, an unrealized appreciation of $2.3 million on our Joint Ventures investment, unrealized appreciation on our debt securities of $2.3 million, and unrealized depreciation of $0.5 million on our derivatives. During the three months ended June 30, 2019, our total investments had net unrealized appreciation of approximately $0.5 million. Included in the net unrealized appreciation are unrealized depreciation on CLO Fund Securities of approximately $0.6 million unrealized appreciation and on equity securities of approximately $0.2 million, an unrealized depreciation of $1.3 million on our Joint Ventures investment and unrealized appreciation on our debt securities of $2.3 million.</w:t>
      </w:r>
    </w:p>
    <w:p>
      <w:pPr>
        <w:spacing w:after="0" w:line="150" w:lineRule="exact"/>
        <w:rPr>
          <w:sz w:val="20"/>
          <w:szCs w:val="20"/>
          <w:color w:val="auto"/>
        </w:rPr>
      </w:pPr>
    </w:p>
    <w:p>
      <w:pPr>
        <w:ind w:right="100" w:firstLine="374"/>
        <w:spacing w:after="0" w:line="290" w:lineRule="auto"/>
        <w:rPr>
          <w:sz w:val="20"/>
          <w:szCs w:val="20"/>
          <w:color w:val="auto"/>
        </w:rPr>
      </w:pPr>
      <w:r>
        <w:rPr>
          <w:rFonts w:ascii="Arial" w:cs="Arial" w:eastAsia="Arial" w:hAnsi="Arial"/>
          <w:sz w:val="16"/>
          <w:szCs w:val="16"/>
          <w:color w:val="auto"/>
        </w:rPr>
        <w:t>During the six months ended June 30, 2020, our total investments had net unrealized depreciation of approximately $29.4 million. Included in the net unrealized depreciation for the six months ended June 30, 2020, are unrealized depreciation on CLO Fund Securities of approximately $14.6 million, net unrealized appreciation on equity securities of approximately $0.1 million, unrealized depreciation of $0.5 million on our derivatives, no unrealized on the Asset Manager Affiliates, as well as an unrealized depreciation of $5.8 million on our Joint Ventures investment and unrealized depreciation on our debt securities of approximately $8.5 million. During the six months ended June 30, 2019, our total investments had net unrealized appreciation of approximately $5.2 million. Included in the net unrealized appreciation are unrealized appreciation on CLO Fund Securities of approximately $1.9 million unrealized depreciation and on equity securities of approximately $4.9 million, no unrealized depreciation on the Asset Manager Affiliates, as well as an unrealized appreciation of $4.0 million on our Joint Ventures investment and unrealized appreciation on our debt securities of $4.2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net increase in stockholders’ equity resulting from operations for the three months ended June 30, 2020 was $3.3 million, or $0.07 per basic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stockholders’ equity resulting from operations for the three months ended June 30, 2019 was ($0.8) million, or $(0.02) per share.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ind w:right="260" w:firstLine="374"/>
        <w:spacing w:after="0" w:line="342" w:lineRule="auto"/>
        <w:rPr>
          <w:sz w:val="20"/>
          <w:szCs w:val="20"/>
          <w:color w:val="auto"/>
        </w:rPr>
      </w:pPr>
      <w:r>
        <w:rPr>
          <w:rFonts w:ascii="Arial" w:cs="Arial" w:eastAsia="Arial" w:hAnsi="Arial"/>
          <w:sz w:val="16"/>
          <w:szCs w:val="16"/>
          <w:color w:val="auto"/>
        </w:rPr>
        <w:t>The net decrease in stockholders’ equity resulting from operations for the six months ended June 30, 2020 was ($25.8) million, or $(0.58) per basic share. Net decrease in stockholders’ equity resulting from operations for the six months ended June 30, 2019 was ($11.8) million, or $(0.32) per share.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9"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2020 and December 31, 2019 the fair value of investments and cash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414,159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11,398,350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4,967,491</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2,067,817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127,628,674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88,788,639</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78,366,056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Subordinated Note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2,383,900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2,422,281</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242,726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403,615</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Senior Secured Bond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250,340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16,891,608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9,537,926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43,925,633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(571,419)</w:t>
            </w:r>
          </w:p>
        </w:tc>
        <w:tc>
          <w:tcPr>
            <w:tcW w:w="14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(33,437)</w:t>
            </w: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292,535,771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283,001,520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June 30, 2020, we had approximately $175 million of par value of outstanding borrowings and our asset coverage ratio of total assets to total borrowings was 167%, compliant with the minimum asset coverage level of 150% generally required for a BDC by the 1940 Act. We may also borrow amounts of up to 5% of the value of our total assets for temporary purposes.</w:t>
      </w:r>
    </w:p>
    <w:p>
      <w:pPr>
        <w:spacing w:after="0" w:line="152" w:lineRule="exact"/>
        <w:rPr>
          <w:sz w:val="20"/>
          <w:szCs w:val="20"/>
          <w:color w:val="auto"/>
        </w:rPr>
      </w:pPr>
    </w:p>
    <w:p>
      <w:pPr>
        <w:ind w:right="340" w:firstLine="374"/>
        <w:spacing w:after="0" w:line="257" w:lineRule="auto"/>
        <w:rPr>
          <w:sz w:val="20"/>
          <w:szCs w:val="20"/>
          <w:color w:val="auto"/>
        </w:rPr>
      </w:pPr>
      <w:r>
        <w:rPr>
          <w:rFonts w:ascii="Arial" w:cs="Arial" w:eastAsia="Arial" w:hAnsi="Arial"/>
          <w:sz w:val="18"/>
          <w:szCs w:val="18"/>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14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On April 8, 2020, in connection with the outbreak of the COVID-19 pandemic, the SEC issued the Order Under Sections 6(c), 17(d), 38(a) and 57(i) of the Investment Company Act of 1940 and Rule 17d-1 Thereunder Granting Exemptions from Specified Provisions of the Investment Company Act and Certain Rules Thereunder, Investment Company Act Release No. 33837 (Apr. 8, 2020) (the “April 2020 Order”), which provides exemptions from certain requirements of the 1940 Act. Section II of the April 2020 Order (i) affords BDCs greater flexibility in calculating asset coverage ratios for purposes of the 1940 Act asset coverage requirements, (ii) requires a BDC’s board of directors, including a required majority of such board, as defined in Section 57(o) of the 1940 Act, to determine that the issuance or sale of covered senior securities is permitted by this Order and is in the best interests of the BDC and its stockholders, (iii) requires prior disclosure on Form 8-K of the election to rely on Section II of the April 2020 Order, and (iv) includes certain limitations on new investments, among other requirements detailed in the April 2020 Order.</w:t>
      </w:r>
    </w:p>
    <w:p>
      <w:pPr>
        <w:spacing w:after="0" w:line="151" w:lineRule="exact"/>
        <w:rPr>
          <w:sz w:val="20"/>
          <w:szCs w:val="20"/>
          <w:color w:val="auto"/>
        </w:rPr>
      </w:pPr>
    </w:p>
    <w:p>
      <w:pPr>
        <w:ind w:right="320" w:firstLine="374"/>
        <w:spacing w:after="0" w:line="259" w:lineRule="auto"/>
        <w:rPr>
          <w:sz w:val="20"/>
          <w:szCs w:val="20"/>
          <w:color w:val="auto"/>
        </w:rPr>
      </w:pPr>
      <w:r>
        <w:rPr>
          <w:rFonts w:ascii="Arial" w:cs="Arial" w:eastAsia="Arial" w:hAnsi="Arial"/>
          <w:sz w:val="18"/>
          <w:szCs w:val="18"/>
          <w:color w:val="auto"/>
        </w:rPr>
        <w:t>In particular, election to be subject to Section II of the April 2020 Order would permit us to use a modified formula to calculate our asset coverage ratios for purposes of the 1940 Act asset coverage requirements and, in doing so, would permit us to rely in part on the fair value of our assets as of December 31, 2019. The overall effect of any election to be subject to Section II of the April 2020 Order would be to make it easier for us to meet our applicable asset coverage ratios for purposes of the 1940 Act asset coverage</w:t>
      </w:r>
    </w:p>
    <w:p>
      <w:pPr>
        <w:sectPr>
          <w:pgSz w:w="11900" w:h="16838" w:orient="portrait"/>
          <w:cols w:equalWidth="0" w:num="1">
            <w:col w:w="11240"/>
          </w:cols>
          <w:pgMar w:left="320" w:top="30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color w:val="auto"/>
        </w:rPr>
        <w:t>requirements, as well as for purposes of covenants referencing the 1940 Act asset coverage requirements, including under the indenture governing our</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6.125% Notes due 2022. As of the date of this filing, our board of directors has no intention to elect to be subject to Section II of the April 2020 Order but will continue to assess its potential benefits to the Company with respect to providing additional flexibility to manage our portfolio and support our portfolio companies during the economic disruption caused by the COVID-19 pandemic.</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intend to maintain adequate liquidity and compliance with regulatory and contractual asset coverage requirements.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Outstanding Notes</w:t>
      </w:r>
    </w:p>
    <w:p>
      <w:pPr>
        <w:spacing w:after="0" w:line="185"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During the third quarter of 2017, we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The indenture governing the 6.125% Notes Due 2022 contains certain restrictive covenants, including compliance with certain provisions of the 1940 Act relating to borrowing and dividends. In this regard, the 1940 Act-related indenture covenants provide that, for the period of time during which the 6.125% Notes Due 2022 are outstanding, the Company will not violate (regardless of whether it is subject to):</w:t>
      </w:r>
    </w:p>
    <w:p>
      <w:pPr>
        <w:spacing w:after="0" w:line="154" w:lineRule="exact"/>
        <w:rPr>
          <w:sz w:val="20"/>
          <w:szCs w:val="20"/>
          <w:color w:val="auto"/>
        </w:rPr>
      </w:pPr>
    </w:p>
    <w:p>
      <w:pPr>
        <w:ind w:left="1120" w:right="40" w:hanging="370"/>
        <w:spacing w:after="0" w:line="301" w:lineRule="auto"/>
        <w:tabs>
          <w:tab w:leader="none" w:pos="11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Section 18(a)(1)(A) as modified by Section 61(a)(1) of the 1940 Act or any successor provisions, whether or not the Company continues to be subject to such provisions of the 1940 Act, but giving effect, in either case, to any exemptive relief granted to it by the SEC. These provisions generally prohibit the Company from making additional borrowings, including through the issuance of additional debt or the sale of additional debt securities, unless our asset coverage, as defined in the 1940 Act, equals at least 150% after such borrowings.</w:t>
      </w:r>
    </w:p>
    <w:p>
      <w:pPr>
        <w:spacing w:after="0" w:line="116" w:lineRule="exact"/>
        <w:rPr>
          <w:rFonts w:ascii="Arial" w:cs="Arial" w:eastAsia="Arial" w:hAnsi="Arial"/>
          <w:sz w:val="16"/>
          <w:szCs w:val="16"/>
          <w:color w:val="auto"/>
        </w:rPr>
      </w:pPr>
    </w:p>
    <w:p>
      <w:pPr>
        <w:ind w:left="1120" w:right="40" w:hanging="370"/>
        <w:spacing w:after="0" w:line="272" w:lineRule="auto"/>
        <w:tabs>
          <w:tab w:leader="none" w:pos="11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Section 18(a)(1)(B) as modified by Section 61(a)(1) of the 1940 Act or any successor provisions,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These provisions generally prohibit us from declaring any cash dividend or distribution upon any class of our capital stock, or purchasing any such capital stock if our asset coverage, as defined in the 1940 Act, is below 150% at the time of the declaration of the dividend or distribution or the purchase and after deducting the amount of such dividend, distribution or purchase.</w:t>
      </w:r>
    </w:p>
    <w:p>
      <w:pPr>
        <w:spacing w:after="0" w:line="200" w:lineRule="exact"/>
        <w:rPr>
          <w:sz w:val="20"/>
          <w:szCs w:val="20"/>
          <w:color w:val="auto"/>
        </w:rPr>
      </w:pPr>
    </w:p>
    <w:p>
      <w:pPr>
        <w:spacing w:after="0" w:line="342"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During the three and six months ended June 30, 2020, the Company repurchased approximately $109 thousand and $681 thousand of principal amount of the 6.125% Notes Due 2022 at a cost of approximately $95 thousand and $513 thousand, resulting in a realized gain on extinguishment of $464 and $154,571, respectively. The Company subsequently surrendered these notes to the Trustee for cancellation.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 Funding paid a fee on any undrawn amounts of 0.375% per annum; provided that if 50% or less of the Prior Revolving Credit Facility was drawn, the fee would be 0.50% per annum.</w:t>
      </w:r>
    </w:p>
    <w:p>
      <w:pPr>
        <w:spacing w:after="0" w:line="5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7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ind w:right="4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300" w:firstLine="374"/>
        <w:spacing w:after="0" w:line="286"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57"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8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79"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At June 30, 2020, GLPRF LLC was in compliance with all of its debt covenants and $98.3 million principal amount of borrowings was outstanding under the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0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30" w:lineRule="exact"/>
        <w:rPr>
          <w:sz w:val="20"/>
          <w:szCs w:val="20"/>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184"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30"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30"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43"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10% of the total distribution, for distributions declared on or before December 31, 2020, and after that,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74" w:lineRule="exact"/>
        <w:rPr>
          <w:sz w:val="20"/>
          <w:szCs w:val="20"/>
          <w:color w:val="auto"/>
        </w:rPr>
      </w:pPr>
    </w:p>
    <w:p>
      <w:pPr>
        <w:ind w:right="480" w:firstLine="374"/>
        <w:spacing w:after="0" w:line="342" w:lineRule="auto"/>
        <w:rPr>
          <w:sz w:val="20"/>
          <w:szCs w:val="20"/>
          <w:color w:val="auto"/>
        </w:rPr>
      </w:pPr>
      <w:r>
        <w:rPr>
          <w:rFonts w:ascii="Arial" w:cs="Arial" w:eastAsia="Arial" w:hAnsi="Arial"/>
          <w:sz w:val="16"/>
          <w:szCs w:val="16"/>
          <w:color w:val="auto"/>
        </w:rPr>
        <w:t>On August 5, 2020, the Board of Directors of the Company declared a cash distribution of $0.06 per share of common stock, consistent with the current dividend policy. The distribution is payable on August 28, 2020 to shareholders of record at the close of business as of August 17, 2020.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ind w:right="60" w:firstLine="374"/>
        <w:spacing w:after="0" w:line="293" w:lineRule="auto"/>
        <w:rPr>
          <w:sz w:val="20"/>
          <w:szCs w:val="20"/>
          <w:color w:val="auto"/>
        </w:rPr>
      </w:pPr>
      <w:r>
        <w:rPr>
          <w:rFonts w:ascii="Arial" w:cs="Arial" w:eastAsia="Arial" w:hAnsi="Arial"/>
          <w:sz w:val="16"/>
          <w:szCs w:val="16"/>
          <w:color w:val="auto"/>
        </w:rPr>
        <w:t>As described above, we are prohibited by the 1940 Act and the indenture governing our 6.125% Notes Due 2022 from making distributions on our common stock if, at the time of declaration, our asset coverage, as defined in the 1940 Act, is below 150% (subject to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since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3/17/2020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0" w:type="dxa"/>
            <w:vAlign w:val="bottom"/>
            <w:tcBorders>
              <w:bottom w:val="single" w:sz="8" w:color="CFF0FC"/>
            </w:tcBorders>
            <w:gridSpan w:val="3"/>
          </w:tcPr>
          <w:p>
            <w:pPr>
              <w:ind w:left="840"/>
              <w:spacing w:after="0"/>
              <w:rPr>
                <w:sz w:val="20"/>
                <w:szCs w:val="20"/>
                <w:color w:val="auto"/>
              </w:rPr>
            </w:pPr>
            <w:r>
              <w:rPr>
                <w:rFonts w:ascii="Arial" w:cs="Arial" w:eastAsia="Arial" w:hAnsi="Arial"/>
                <w:sz w:val="18"/>
                <w:szCs w:val="18"/>
                <w:color w:val="auto"/>
                <w:w w:val="94"/>
              </w:rPr>
              <w:t>2/5/2020</w:t>
            </w:r>
            <w:r>
              <w:rPr>
                <w:rFonts w:ascii="Arial" w:cs="Arial" w:eastAsia="Arial" w:hAnsi="Arial"/>
                <w:sz w:val="15"/>
                <w:szCs w:val="15"/>
                <w:color w:val="auto"/>
                <w:w w:val="94"/>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w w:val="88"/>
              </w:rPr>
              <w:t>8/5/2019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12/12/2018</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9/18/2018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10/29/2018</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6/19/2018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7/27/2018</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4/27/2018</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12/13/2017</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1/5/2018</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2018</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hanging="368"/>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78"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During the three and six months ended June 30, 2020, the Company repurchased 253,896 and 375,444 of shares under the Stock Repurchase Program at an aggregate cost of approximately $284 thousand and $407 thousand,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June 30, 2020 and December 31, 2019, we had approximately $29.2 million and $31.9 million commitments to fund investments, respectively. However, at June 30, 2020 only $2.4 million of our Debt Securities Portfolio is subject to a unilateral draw right by the borrower and the remaining commitments are subject to certain restrictions such as borrowing base, use of proceeds or leverage that must be satisfied before a borrower can draw down on the commitment. We may also enter into derivative contracts with off-balance sheet risk in connection with its investing activities.</w:t>
      </w:r>
    </w:p>
    <w:p>
      <w:pPr>
        <w:spacing w:after="0" w:line="70"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color w:val="auto"/>
        </w:rPr>
        <w:t>We have made an aggregate commitment to the BCP Great Lakes Partnership of $50 million, subject to certain limitations (including that we are not obligated to fund capital calls if such funding would cause us to be out of compliance with certain provisions of the Investment Company Act of 1940). As of June 30, 2020 and December 31, 2019, we had a $21.7 million and $26.3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ind w:right="380"/>
        <w:spacing w:after="0" w:line="277" w:lineRule="auto"/>
        <w:rPr>
          <w:sz w:val="20"/>
          <w:szCs w:val="20"/>
          <w:color w:val="auto"/>
        </w:rPr>
      </w:pPr>
      <w:r>
        <w:rPr>
          <w:rFonts w:ascii="Arial" w:cs="Arial" w:eastAsia="Arial" w:hAnsi="Arial"/>
          <w:sz w:val="18"/>
          <w:szCs w:val="18"/>
          <w:color w:val="auto"/>
        </w:rPr>
        <w:t>million, respectively unfunded commitment to the BCP Great Lakes Partnership, subject to the limitations noted above. However, at June 30, 2020 our funding commitment was limited to approximately $6.7 million pursuant to the limitations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June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9"/>
              </w:rPr>
              <w:t>Payments Due by Period</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8"/>
              </w:rPr>
              <w:t>Less than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one year</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1 - 3 years</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3 - 5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$ 175,046,874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$ 76,725,975</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$ 98,320,899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r>
        <w:rPr>
          <w:rFonts w:ascii="Arial" w:cs="Arial" w:eastAsia="Arial" w:hAnsi="Arial"/>
          <w:sz w:val="17"/>
          <w:szCs w:val="17"/>
          <w:i w:val="1"/>
          <w:iCs w:val="1"/>
          <w:color w:val="auto"/>
        </w:rPr>
        <w:t>.</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98"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30"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52"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0"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30"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31"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left="740" w:right="440" w:hanging="368"/>
        <w:spacing w:after="0" w:line="277"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I –Unadjusted quoted prices are available in active markets for identical investments as of the reporting date. The type of investments included in Level I include listed equities and listed securities. As required by ASC 820: Fair Value, we do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ind w:left="740" w:right="120"/>
        <w:spacing w:after="0" w:line="277" w:lineRule="auto"/>
        <w:rPr>
          <w:sz w:val="20"/>
          <w:szCs w:val="20"/>
          <w:color w:val="auto"/>
        </w:rPr>
      </w:pPr>
      <w:r>
        <w:rPr>
          <w:rFonts w:ascii="Arial" w:cs="Arial" w:eastAsia="Arial" w:hAnsi="Arial"/>
          <w:sz w:val="18"/>
          <w:szCs w:val="18"/>
          <w:color w:val="auto"/>
        </w:rPr>
        <w:t>not adjust the quoted price for these investments, even in situations where we hold a large position and a sale could reasonably affect the quoted price.</w:t>
      </w:r>
    </w:p>
    <w:p>
      <w:pPr>
        <w:spacing w:after="0" w:line="130" w:lineRule="exact"/>
        <w:rPr>
          <w:sz w:val="20"/>
          <w:szCs w:val="20"/>
          <w:color w:val="auto"/>
        </w:rPr>
      </w:pPr>
    </w:p>
    <w:p>
      <w:pPr>
        <w:ind w:left="740" w:right="60" w:hanging="368"/>
        <w:spacing w:after="0" w:line="296" w:lineRule="auto"/>
        <w:tabs>
          <w:tab w:leader="none" w:pos="7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20" w:lineRule="exact"/>
        <w:rPr>
          <w:rFonts w:ascii="Arial" w:cs="Arial" w:eastAsia="Arial" w:hAnsi="Arial"/>
          <w:sz w:val="16"/>
          <w:szCs w:val="16"/>
          <w:color w:val="auto"/>
        </w:rPr>
      </w:pPr>
    </w:p>
    <w:p>
      <w:pPr>
        <w:ind w:left="740" w:right="80" w:hanging="368"/>
        <w:spacing w:after="0" w:line="293" w:lineRule="auto"/>
        <w:tabs>
          <w:tab w:leader="none" w:pos="7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24"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54" w:lineRule="exact"/>
        <w:rPr>
          <w:sz w:val="20"/>
          <w:szCs w:val="20"/>
          <w:color w:val="auto"/>
        </w:rPr>
      </w:pPr>
    </w:p>
    <w:p>
      <w:pPr>
        <w:ind w:right="340" w:firstLine="374"/>
        <w:spacing w:after="0" w:line="311" w:lineRule="auto"/>
        <w:rPr>
          <w:sz w:val="20"/>
          <w:szCs w:val="20"/>
          <w:color w:val="auto"/>
        </w:rPr>
      </w:pPr>
      <w:r>
        <w:rPr>
          <w:rFonts w:ascii="Arial" w:cs="Arial" w:eastAsia="Arial" w:hAnsi="Arial"/>
          <w:sz w:val="16"/>
          <w:szCs w:val="16"/>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08"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31"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ind w:firstLine="37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54"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6"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25"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160" w:lineRule="exact"/>
        <w:rPr>
          <w:sz w:val="20"/>
          <w:szCs w:val="20"/>
          <w:color w:val="auto"/>
        </w:rPr>
      </w:pPr>
    </w:p>
    <w:p>
      <w:pPr>
        <w:ind w:left="380" w:right="1020"/>
        <w:spacing w:after="0" w:line="453" w:lineRule="auto"/>
        <w:rPr>
          <w:sz w:val="20"/>
          <w:szCs w:val="20"/>
          <w:color w:val="auto"/>
        </w:rPr>
      </w:pPr>
      <w:r>
        <w:rPr>
          <w:rFonts w:ascii="Arial" w:cs="Arial" w:eastAsia="Arial" w:hAnsi="Arial"/>
          <w:sz w:val="18"/>
          <w:szCs w:val="18"/>
          <w:color w:val="auto"/>
        </w:rPr>
        <w:t xml:space="preserve">Our Board may consider other methods of valuation to determine the fair value of investments as appropriate in conformity with GAAP. </w:t>
      </w:r>
      <w:r>
        <w:rPr>
          <w:rFonts w:ascii="Arial" w:cs="Arial" w:eastAsia="Arial" w:hAnsi="Arial"/>
          <w:sz w:val="18"/>
          <w:szCs w:val="18"/>
          <w:b w:val="1"/>
          <w:bCs w:val="1"/>
          <w:i w:val="1"/>
          <w:iCs w:val="1"/>
          <w:color w:val="auto"/>
        </w:rPr>
        <w:t>Interest Income</w:t>
      </w:r>
    </w:p>
    <w:p>
      <w:pPr>
        <w:spacing w:after="0" w:line="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Interest income, including amortization of premium and accretion of discount and accrual of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2020, nine of our investments were on non-accrual status.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185"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40"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7" w:name="page88"/>
    <w:bookmarkEnd w:id="87"/>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185"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We record any distributions from our Asset Manager Affiliates on the declaration date, which represents the ex-dividend date. Any distributions in excess of tax-basis earnings and profits are recorded as tax-basis return of capital. For interim periods, we estimate the tax attributes of any distributions as being either from tax-basis earnings and profits (i.e. dividend income) or return of capital (i.e. adjustment to our cost basis in the Asset Manager Affiliates). The final determination of the tax attributes of any distributions from our Asset Manager Affiliates is made on an annual (full calendar year) basis at the end of the year based upon taxable income and distributions for the full-year. Therefore, any estimate of tax attributes of any distributions made on a quarterly basis may not be representative of the actual tax attributes of distributions for a full year.</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198"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Fee Income</w:t>
      </w:r>
    </w:p>
    <w:p>
      <w:pPr>
        <w:spacing w:after="0" w:line="185"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185"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As a result of the Closing we will no longer issue stock options or restricted stock under the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2008 Non-Employee Director Plan that was outstanding immediately prior to the Externalization (each, a “Company Stock Option”) was cancelled in exchange for the payment in cash to the holder thereof.</w:t>
      </w:r>
    </w:p>
    <w:p>
      <w:pPr>
        <w:spacing w:after="0" w:line="121"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made to stockholders in connection with the Externalization.</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185"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We have elected to be treated as a RIC and intend to continue to qualify for the tax treatment applicable to RICs under Subchapter M of the Code and, among other things, intends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198"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w:t>
      </w:r>
    </w:p>
    <w:p>
      <w:pPr>
        <w:spacing w:after="0" w:line="62" w:lineRule="exact"/>
        <w:rPr>
          <w:sz w:val="20"/>
          <w:szCs w:val="20"/>
          <w:color w:val="auto"/>
        </w:rPr>
      </w:pPr>
    </w:p>
    <w:p>
      <w:pPr>
        <w:ind w:right="480" w:firstLine="374"/>
        <w:spacing w:after="0" w:line="308" w:lineRule="auto"/>
        <w:rPr>
          <w:sz w:val="20"/>
          <w:szCs w:val="20"/>
          <w:color w:val="auto"/>
        </w:rPr>
      </w:pPr>
      <w:r>
        <w:rPr>
          <w:rFonts w:ascii="Arial" w:cs="Arial" w:eastAsia="Arial" w:hAnsi="Arial"/>
          <w:sz w:val="17"/>
          <w:szCs w:val="17"/>
          <w:color w:val="auto"/>
        </w:rPr>
        <w:t>On August 5, 2020, our Board declared a cash distribution of $0.06 per share of common stock, consistent with the current dividend policy. The distribution is payable on August 28, 2020 to stockholders of record at the close of business as of August 17, 2020.</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8" w:name="page89"/>
    <w:bookmarkEnd w:id="88"/>
    <w:p>
      <w:pPr>
        <w:ind w:left="380"/>
        <w:spacing w:after="0"/>
        <w:rPr>
          <w:sz w:val="20"/>
          <w:szCs w:val="20"/>
          <w:color w:val="auto"/>
        </w:rPr>
      </w:pPr>
      <w:r>
        <w:rPr>
          <w:rFonts w:ascii="Arial" w:cs="Arial" w:eastAsia="Arial" w:hAnsi="Arial"/>
          <w:sz w:val="18"/>
          <w:szCs w:val="18"/>
          <w:color w:val="auto"/>
        </w:rPr>
        <w:t>The following table sets forth the quarterly distributions paid by us for the 2020, 2019 and 2018 calendar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3/17/2020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0" w:type="dxa"/>
            <w:vAlign w:val="bottom"/>
            <w:tcBorders>
              <w:bottom w:val="single" w:sz="8" w:color="CFF0FC"/>
            </w:tcBorders>
            <w:gridSpan w:val="3"/>
          </w:tcPr>
          <w:p>
            <w:pPr>
              <w:ind w:left="840"/>
              <w:spacing w:after="0"/>
              <w:rPr>
                <w:sz w:val="20"/>
                <w:szCs w:val="20"/>
                <w:color w:val="auto"/>
              </w:rPr>
            </w:pPr>
            <w:r>
              <w:rPr>
                <w:rFonts w:ascii="Arial" w:cs="Arial" w:eastAsia="Arial" w:hAnsi="Arial"/>
                <w:sz w:val="18"/>
                <w:szCs w:val="18"/>
                <w:color w:val="auto"/>
                <w:w w:val="94"/>
              </w:rPr>
              <w:t>2/5/2020</w:t>
            </w:r>
            <w:r>
              <w:rPr>
                <w:rFonts w:ascii="Arial" w:cs="Arial" w:eastAsia="Arial" w:hAnsi="Arial"/>
                <w:sz w:val="15"/>
                <w:szCs w:val="15"/>
                <w:color w:val="auto"/>
                <w:w w:val="94"/>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w w:val="88"/>
              </w:rPr>
              <w:t>8/5/2019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12/12/2018</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9/18/2018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10/29/2018</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6/19/2018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7/27/2018</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4/27/2018</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12/13/2017</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1/5/2018</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2018</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8"/>
          <w:szCs w:val="18"/>
          <w:color w:val="auto"/>
        </w:rPr>
        <w:t>Since the record date of this distribution is subsequent to year-end, it is a subsequent year tax event.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On June 24, 2020, the Company entered into a merger agreement with Garrison Capital Inc., a publicly traded BDC (“GARS”), the Adviser and a wholly-owned merger subsidiary of the Company.</w:t>
      </w:r>
    </w:p>
    <w:p>
      <w:pPr>
        <w:spacing w:after="0" w:line="170"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Under the terms of the proposed transaction, GARS stockholders will receive a combination of (i) $19.1 million in cash from the Company; (ii) shares of the Company’s common stock valued at 100% of its net asset value per share at the time of closing of the transaction in an aggregate number equal to GARS’ net asset value at closing minus the $19.1 million of cash merger consideration payable by the Company; and (iii) an additional cash payment from the Adviser of $5.0 million in the aggregate.</w:t>
      </w:r>
    </w:p>
    <w:p>
      <w:pPr>
        <w:spacing w:after="0" w:line="1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exchange ratio for the stock component of the merger will be determined by the net asset value of GARS and the Company as of the closing, calculated as of 5:00 p.m. New York City time on the day prior to the closing of the transaction. In addition to approval by GARS’ and the Company’s respective stockholders, the closing of the merger is subject to customary conditions. The Company currently expects the transaction to be completed in the fourth calendar quarter of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147"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June 30, 2020, approximately 80% of our Debt Securities Portfolio were either floating rate with a spread to an interest rate index such as LIBOR or the prime rate. 64% of these floating rate loans contain LIBOR floors ranging between 1.00% and 1.50%. We generally expect that future portfolio investments will predominately be floating rate investments. As of June 30, 2020, we had $175.0 million (par value) of borrowings outstanding at a current weighted average rate of 5.0%, of which $76.7 million par value had a fixed rate and $98.3 million par value has a floating rate.</w:t>
      </w:r>
    </w:p>
    <w:p>
      <w:pPr>
        <w:spacing w:after="0" w:line="149"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Revolving Credit Facility would fluctuate with changes in interest rates.</w:t>
      </w:r>
    </w:p>
    <w:p>
      <w:pPr>
        <w:spacing w:after="0" w:line="146"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43" w:lineRule="exact"/>
        <w:rPr>
          <w:sz w:val="20"/>
          <w:szCs w:val="20"/>
          <w:color w:val="auto"/>
        </w:rPr>
      </w:pPr>
    </w:p>
    <w:p>
      <w:pPr>
        <w:ind w:right="300" w:firstLine="374"/>
        <w:spacing w:after="0" w:line="263"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2020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0"/>
              </w:rPr>
              <w:t>Impact on net investment income from</w:t>
            </w:r>
          </w:p>
        </w:tc>
      </w:tr>
      <w:tr>
        <w:trPr>
          <w:trHeight w:val="234"/>
        </w:trPr>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a change in interest rates at:</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8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Increase in interest rate</w:t>
            </w:r>
          </w:p>
        </w:tc>
        <w:tc>
          <w:tcPr>
            <w:tcW w:w="2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2,020,917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4,287,495</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2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(938,006)</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(1,667,334)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(2,453,684)</w:t>
            </w:r>
          </w:p>
        </w:tc>
      </w:tr>
    </w:tbl>
    <w:p>
      <w:pPr>
        <w:spacing w:after="0" w:line="201"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As shown above, net investment income assuming a 1% increase in interest rates would increase by approximately $1.0 million on an annualized basis. If the increase in rates was more significant, such as 2% or 3%, the net effect on net investment income would be an increase of approximately $2.0 million and $4.3 million, respectively.</w:t>
      </w:r>
    </w:p>
    <w:p>
      <w:pPr>
        <w:spacing w:after="0" w:line="157"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On an annualized basis, a decrease in interest rates of 1%, 2% and 3% would result in a decrease in net investment income of approximately $0.9 million, $1.7 million and $2.5 million, respectively. The effect on net investment income from declines in interest rates impacted by interest rate floors on certain of our floating rate investments, as there is no floor on our floating rate debt facility</w:t>
      </w:r>
    </w:p>
    <w:p>
      <w:pPr>
        <w:spacing w:after="0" w:line="143"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198"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 under a valuation policy and consistently applied valuation process. However, due to the inherent uncertainty of determining the fair value of investments that cannot be marked to market, the fair value of our investments may differ materially from the values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line="296" w:lineRule="auto"/>
        <w:rPr>
          <w:sz w:val="20"/>
          <w:szCs w:val="20"/>
          <w:color w:val="auto"/>
        </w:rPr>
      </w:pPr>
      <w:r>
        <w:rPr>
          <w:rFonts w:ascii="Arial" w:cs="Arial" w:eastAsia="Arial" w:hAnsi="Arial"/>
          <w:sz w:val="16"/>
          <w:szCs w:val="16"/>
          <w:color w:val="auto"/>
        </w:rPr>
        <w:t>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34"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sectPr>
      </w:pPr>
    </w:p>
    <w:bookmarkStart w:id="91" w:name="page92"/>
    <w:bookmarkEnd w:id="91"/>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Securities Exchange Act of 1934, as amended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ended June 30, 2020 that have materially affected, or are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19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Other than the items noted below, there have been no material changes during fiscal 2019 to the risk factors that were included in our Annual Report on Form 10-K for the year ended December 31, 2019.</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novel coronavirus COVID-19, could have an adverse impact on our financial condition and results of operations and other aspects of our business</w:t>
      </w:r>
      <w:r>
        <w:rPr>
          <w:rFonts w:ascii="Arial" w:cs="Arial" w:eastAsia="Arial" w:hAnsi="Arial"/>
          <w:sz w:val="14"/>
          <w:szCs w:val="14"/>
          <w:color w:val="auto"/>
        </w:rPr>
        <w:t>.</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are closely monitoring developments related to the COVID-19 pandemic to assess its impact on our and our portfolio companies’ business; while, due to the evolving and highly uncertain nature of this event, it currently is not possible to estimate its impact precisely, the COVID-19 pandemic could impact our business, financial condition, results of operations, liquidity or prospects and those of our portfolio companies in a number of ways. For instance, our investment portfolio (and, specifically, the valuations of investment assets we hold) has been, and may continue to be, adversely affected as a result of market developments from the COVID-19 pandemic and uncertainty regarding its outcome. Moreover, changes in interest rates, reduced liquidity or a continued slowdown in U.S. or global economic conditions may also adversely affect our business, financial condition, results of operations, liquidity or prospects and those of our portfolio companies. Further, extreme market volatility may leave us and our portfolio companies unable to react to market events in a prudent manner consistent with our historical practices in dealing with more orderly markets. Although it is impossible to predict with certainty the full magnitude of the business and economic ramifications, COVID-19 has impacted, and may further impact, our business in various ways, including but not limited to:</w:t>
      </w:r>
    </w:p>
    <w:p>
      <w:pPr>
        <w:spacing w:after="0" w:line="91" w:lineRule="exact"/>
        <w:rPr>
          <w:sz w:val="20"/>
          <w:szCs w:val="20"/>
          <w:color w:val="auto"/>
        </w:rPr>
      </w:pPr>
    </w:p>
    <w:p>
      <w:pPr>
        <w:ind w:left="1000" w:right="120" w:hanging="439"/>
        <w:spacing w:after="0" w:line="259"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From an operational perspective, our Adviser’s employees, as well as the workforces of our vendors, service providers and counterparties, may also be adversely affected by the COVID-19 pandemic or efforts to mitigate the pandemic, including government-mandated shutdowns, requests or orders for employees to work remotely, and other social distancing measures, which could result in an adverse impact on our ability to conduct our business;</w:t>
      </w:r>
    </w:p>
    <w:p>
      <w:pPr>
        <w:spacing w:after="0" w:line="9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While the market dislocation caused by COVID-19 may present attractive investment opportunities, due to increased volatility in the financial markets, we may not be able to complete those investments;</w:t>
      </w:r>
    </w:p>
    <w:p>
      <w:pPr>
        <w:spacing w:after="0" w:line="75" w:lineRule="exact"/>
        <w:rPr>
          <w:rFonts w:ascii="Arial" w:cs="Arial" w:eastAsia="Arial" w:hAnsi="Arial"/>
          <w:sz w:val="18"/>
          <w:szCs w:val="18"/>
          <w:color w:val="auto"/>
        </w:rPr>
      </w:pPr>
    </w:p>
    <w:p>
      <w:pPr>
        <w:ind w:left="1000" w:right="60" w:hanging="439"/>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impact of COVID-19 continues, we may have more limited opportunities to successfully exit existing investments, due to, among other reasons, lower valuations, decreased revenues and earnings, or lack of potential buyers with financial resources to pursue an acquisition, resulting in a reduced ability to realize value from such investments;</w:t>
      </w:r>
    </w:p>
    <w:p>
      <w:pPr>
        <w:spacing w:after="0" w:line="89" w:lineRule="exact"/>
        <w:rPr>
          <w:rFonts w:ascii="Arial" w:cs="Arial" w:eastAsia="Arial" w:hAnsi="Arial"/>
          <w:sz w:val="18"/>
          <w:szCs w:val="18"/>
          <w:color w:val="auto"/>
        </w:rPr>
      </w:pPr>
    </w:p>
    <w:p>
      <w:pPr>
        <w:ind w:left="1000" w:right="120" w:hanging="439"/>
        <w:spacing w:after="0" w:line="279"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Our portfolio companies are facing or may face in the future increased credit and liquidity risk due to volatility in financial markets, reduced revenue streams, and limited or higher cost of access to preferred sources of funding, which may result in write-downs or write-offs in the value of our investments. Changes in the debt financing markets are impacting, or, if the volatility in financial market continues, may in the future impact, the ability of our portfolio companies to meet their respective financial obligations;</w:t>
      </w:r>
    </w:p>
    <w:p>
      <w:pPr>
        <w:spacing w:after="0" w:line="76" w:lineRule="exact"/>
        <w:rPr>
          <w:rFonts w:ascii="Arial" w:cs="Arial" w:eastAsia="Arial" w:hAnsi="Arial"/>
          <w:sz w:val="17"/>
          <w:szCs w:val="17"/>
          <w:color w:val="auto"/>
        </w:rPr>
      </w:pPr>
    </w:p>
    <w:p>
      <w:pPr>
        <w:ind w:left="1000" w:right="180" w:hanging="439"/>
        <w:spacing w:after="0" w:line="259"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Borrowers of loans, notes and other credit instruments in our portfolio may be unable to meet their principal or interest payment obligations or satisfy financial covenants, resulting in a decrease in value of our investments and lower-than-expected return. In addition, for variable interest instruments, lower reference rates resulting from government stimulus programs in response to COVID-19 could lead to lower interest income;</w:t>
      </w:r>
    </w:p>
    <w:p>
      <w:pPr>
        <w:spacing w:after="0" w:line="92" w:lineRule="exact"/>
        <w:rPr>
          <w:rFonts w:ascii="Arial" w:cs="Arial" w:eastAsia="Arial" w:hAnsi="Arial"/>
          <w:sz w:val="18"/>
          <w:szCs w:val="18"/>
          <w:color w:val="auto"/>
        </w:rPr>
      </w:pPr>
    </w:p>
    <w:p>
      <w:pPr>
        <w:ind w:left="1000" w:right="100" w:hanging="439"/>
        <w:spacing w:after="0" w:line="275"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Many of our portfolio companies operate in industries that are materially impacted by COVID-19, including but not limited to healthcare, travel, entertainment and hospitality. Many of these companies are facing operational and financial hardships resulting from the spread of COVID-19 and related governmental measures, such as the closure of stores, restrictions on travel, quarantines or stay-at-home orders. If the disruptions caused by COVID-19 continue and such measures are not lifted, the businesses of these portfolio companies could suffer materially or become insolvent, which would decrease the value of our investments;</w:t>
      </w:r>
    </w:p>
    <w:p>
      <w:pPr>
        <w:spacing w:after="0" w:line="203" w:lineRule="exact"/>
        <w:rPr>
          <w:rFonts w:ascii="Arial" w:cs="Arial" w:eastAsia="Arial" w:hAnsi="Arial"/>
          <w:sz w:val="17"/>
          <w:szCs w:val="17"/>
          <w:color w:val="auto"/>
        </w:rPr>
      </w:pPr>
    </w:p>
    <w:p>
      <w:pPr>
        <w:ind w:left="1000" w:right="20" w:hanging="439"/>
        <w:spacing w:after="0" w:line="286"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extended period of remote working by our Adviser’s employees could strain its technology resources and introduce operational risks, including heightened cybersecurity risk. Remote working environments may be less secure and more susceptible to hacking attacks, including phishing and social engineering attempts that seek to exploit the COVID-19 pandemic;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1000" w:right="200" w:hanging="439"/>
        <w:spacing w:after="0" w:line="255"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COVID-19 presents a significant threat to our Adviser’s employees’ well-being and morale. While our Adviser has implemented a business continuity plan to protect the health of its employees and has contingency plans in place for key employees or executive officers who may become sick or otherwise unable to perform their duties for an extended period</w:t>
      </w:r>
    </w:p>
    <w:p>
      <w:pPr>
        <w:spacing w:after="0" w:line="2" w:lineRule="exact"/>
        <w:rPr>
          <w:rFonts w:ascii="Arial" w:cs="Arial" w:eastAsia="Arial" w:hAnsi="Arial"/>
          <w:sz w:val="18"/>
          <w:szCs w:val="18"/>
          <w:color w:val="auto"/>
        </w:rPr>
      </w:pPr>
    </w:p>
    <w:p>
      <w:pPr>
        <w:ind w:left="1000" w:right="160"/>
        <w:spacing w:after="0" w:line="260" w:lineRule="auto"/>
        <w:rPr>
          <w:rFonts w:ascii="Arial" w:cs="Arial" w:eastAsia="Arial" w:hAnsi="Arial"/>
          <w:sz w:val="18"/>
          <w:szCs w:val="18"/>
          <w:color w:val="auto"/>
        </w:rPr>
      </w:pPr>
      <w:r>
        <w:rPr>
          <w:rFonts w:ascii="Arial" w:cs="Arial" w:eastAsia="Arial" w:hAnsi="Arial"/>
          <w:sz w:val="18"/>
          <w:szCs w:val="18"/>
          <w:color w:val="auto"/>
        </w:rPr>
        <w:t>of time, such plans cannot anticipate all scenarios, and our Adviser may experience potential loss of productivity or a delay in the roll out of certain strategic plans.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U.S. capital markets have experienced extreme volatility and disruption following the global outbreak of COVID-19 that began in December 2019.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8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Although we have historically paid distributions to our stockholders, we cannot assure you that we will achieve investment results that will allow us to make a specified level of cash distributions or year-to-year increases in cash distributions going forward. Our ability to pay distributions has been, and may continue to be, adversely affected by the impact of one or more of the risk factors described in this report or in our Annual Report on Form 10-K for the fiscal year ended December 31, 2019,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are unable to satisfy the asset coverage test applicable to us under the 1940 Act as a BDC or if we violate certain covenants under our existing or future credit facilities or other borrowing arrangements, we may be limited in our ability to make distributions in the future. If we declare a distribution,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90"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In addition to the foregoing, the pandemic is exacerbating many of the other risks described in our Annual Report on Form 10-K for the year ended December 31, 2019.</w:t>
      </w:r>
    </w:p>
    <w:p>
      <w:pPr>
        <w:spacing w:after="0" w:line="12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right="20" w:firstLine="374"/>
        <w:spacing w:after="0" w:line="311" w:lineRule="auto"/>
        <w:rPr>
          <w:sz w:val="20"/>
          <w:szCs w:val="20"/>
          <w:color w:val="auto"/>
        </w:rPr>
      </w:pPr>
      <w:r>
        <w:rPr>
          <w:rFonts w:ascii="Arial" w:cs="Arial" w:eastAsia="Arial" w:hAnsi="Arial"/>
          <w:sz w:val="16"/>
          <w:szCs w:val="16"/>
          <w:color w:val="auto"/>
        </w:rPr>
        <w:t>While we did not engage in any sales of unregistered securities during the six months ended June 30, 2020, we issued a total of 40,989 shares of common stock under our dividend reinvestment plan (“DRIP”). This issuance was not subject to the registration requirements of the Securities Act of 1933. For the six months ended June 30, 2020, the aggregate value of the shares of our common stock issued under our DRIP was approximately $65,000.</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information regarding repurchases of shares of our common stock during the six months ended June 30, 2020:</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2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Average Price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80" w:type="dxa"/>
            <w:vAlign w:val="bottom"/>
          </w:tcPr>
          <w:p>
            <w:pPr>
              <w:spacing w:after="0"/>
              <w:rPr>
                <w:sz w:val="12"/>
                <w:szCs w:val="12"/>
                <w:color w:val="auto"/>
              </w:rPr>
            </w:pPr>
          </w:p>
        </w:tc>
        <w:tc>
          <w:tcPr>
            <w:tcW w:w="2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80" w:type="dxa"/>
            <w:vAlign w:val="bottom"/>
          </w:tcPr>
          <w:p>
            <w:pPr>
              <w:spacing w:after="0"/>
              <w:rPr>
                <w:sz w:val="12"/>
                <w:szCs w:val="12"/>
                <w:color w:val="auto"/>
              </w:rPr>
            </w:pPr>
          </w:p>
        </w:tc>
        <w:tc>
          <w:tcPr>
            <w:tcW w:w="2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Under the Program (Dollars in</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9"/>
              </w:rPr>
              <w:t>Shares Purchase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per Share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(a)</w:t>
            </w:r>
          </w:p>
        </w:tc>
        <w:tc>
          <w:tcPr>
            <w:tcW w:w="28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Thousands) (a)</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1-March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9,878,452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May 1-May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9,624,556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June 30,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375,444</w:t>
            </w: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40" w:hanging="368"/>
        <w:spacing w:after="0" w:line="257"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in the 1940 Act or the indenture for our 6.125% Notes Due 2022. The timing and actual number of shares repurchased will depend on a variety of factors, including legal requirements, price, and economic and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ind w:left="740" w:right="200"/>
        <w:spacing w:after="0" w:line="277" w:lineRule="auto"/>
        <w:rPr>
          <w:sz w:val="20"/>
          <w:szCs w:val="20"/>
          <w:color w:val="auto"/>
        </w:rPr>
      </w:pPr>
      <w:r>
        <w:rPr>
          <w:rFonts w:ascii="Arial" w:cs="Arial" w:eastAsia="Arial" w:hAnsi="Arial"/>
          <w:sz w:val="18"/>
          <w:szCs w:val="18"/>
          <w:color w:val="auto"/>
        </w:rPr>
        <w:t>conditions. This Stock Repurchase Program may be suspended or discontinued at any time. Subject to these restrictions, we will selectively pursue opportunities to repurchase shares which are accretive to net asset value per share.</w:t>
      </w:r>
    </w:p>
    <w:p>
      <w:pPr>
        <w:spacing w:after="0" w:line="170"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spacing w:after="0" w:line="13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95" w:name="page96"/>
    <w:bookmarkEnd w:id="95"/>
    <w:p>
      <w:pPr>
        <w:spacing w:after="0" w:line="200" w:lineRule="exact"/>
        <w:rPr>
          <w:sz w:val="20"/>
          <w:szCs w:val="20"/>
          <w:color w:val="auto"/>
        </w:rPr>
      </w:pPr>
    </w:p>
    <w:p>
      <w:pPr>
        <w:spacing w:after="0" w:line="23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29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33" w:lineRule="exact"/>
        <w:rPr>
          <w:sz w:val="20"/>
          <w:szCs w:val="20"/>
          <w:color w:val="auto"/>
        </w:rPr>
      </w:pPr>
    </w:p>
    <w:p>
      <w:pPr>
        <w:spacing w:after="0"/>
        <w:rPr>
          <w:rFonts w:ascii="Arial" w:cs="Arial" w:eastAsia="Arial" w:hAnsi="Arial"/>
          <w:sz w:val="18"/>
          <w:szCs w:val="18"/>
          <w:color w:val="0000EE"/>
        </w:rPr>
      </w:pPr>
      <w:hyperlink r:id="rId129">
        <w:r>
          <w:rPr>
            <w:rFonts w:ascii="Arial" w:cs="Arial" w:eastAsia="Arial" w:hAnsi="Arial"/>
            <w:sz w:val="18"/>
            <w:szCs w:val="18"/>
            <w:u w:val="single" w:color="auto"/>
            <w:color w:val="0000EE"/>
          </w:rPr>
          <w:t>2</w:t>
        </w:r>
        <w:r>
          <w:rPr>
            <w:rFonts w:ascii="Arial" w:cs="Arial" w:eastAsia="Arial" w:hAnsi="Arial"/>
            <w:sz w:val="21"/>
            <w:szCs w:val="21"/>
            <w:color w:val="0000EE"/>
          </w:rPr>
          <w:t>.</w:t>
        </w:r>
        <w:r>
          <w:rPr>
            <w:rFonts w:ascii="Arial" w:cs="Arial" w:eastAsia="Arial" w:hAnsi="Arial"/>
            <w:sz w:val="18"/>
            <w:szCs w:val="18"/>
            <w:u w:val="single" w:color="auto"/>
            <w:color w:val="0000EE"/>
          </w:rPr>
          <w:t>1</w:t>
        </w:r>
      </w:hyperlink>
    </w:p>
    <w:p>
      <w:pPr>
        <w:spacing w:after="0" w:line="20" w:lineRule="exact"/>
        <w:rPr>
          <w:sz w:val="20"/>
          <w:szCs w:val="20"/>
          <w:color w:val="auto"/>
        </w:rPr>
      </w:pPr>
      <w:r>
        <w:rPr>
          <w:sz w:val="20"/>
          <w:szCs w:val="20"/>
          <w:color w:val="auto"/>
        </w:rPr>
        <w:br w:type="column"/>
      </w:r>
    </w:p>
    <w:p>
      <w:pPr>
        <w:ind w:left="40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4808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50" w:lineRule="exact"/>
        <w:rPr>
          <w:sz w:val="20"/>
          <w:szCs w:val="20"/>
          <w:color w:val="auto"/>
        </w:rPr>
      </w:pPr>
    </w:p>
    <w:p>
      <w:pPr>
        <w:ind w:right="20"/>
        <w:spacing w:after="0" w:line="263"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Agreement and Plan of Merger, dated as of June 24, 2020 by and among Portman Ridge Finance Corporation, Citadel Acquisition Sub Inc.,</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Garrison Capital Inc. and Sierra Crest Investment Management LLC (incorporated by reference to Exhibit 2.1 of the Current Report on Form</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8-K, as filed on June 24, 2020).</w:t>
        </w:r>
      </w:hyperlink>
    </w:p>
    <w:p>
      <w:pPr>
        <w:spacing w:after="0" w:line="166" w:lineRule="exact"/>
        <w:rPr>
          <w:rFonts w:ascii="Arial" w:cs="Arial" w:eastAsia="Arial" w:hAnsi="Arial"/>
          <w:sz w:val="18"/>
          <w:szCs w:val="18"/>
          <w:u w:val="single" w:color="auto"/>
          <w:color w:val="0000EE"/>
        </w:rPr>
      </w:pPr>
    </w:p>
    <w:p>
      <w:pPr>
        <w:sectPr>
          <w:pgSz w:w="11900" w:h="16838" w:orient="portrait"/>
          <w:cols w:equalWidth="0" w:num="2">
            <w:col w:w="640" w:space="400"/>
            <w:col w:w="10180"/>
          </w:cols>
          <w:pgMar w:left="320" w:top="121" w:right="359" w:bottom="1440" w:gutter="0" w:footer="0" w:header="0"/>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3.1</w:t>
              </w:r>
            </w:hyperlink>
          </w:p>
        </w:tc>
        <w:tc>
          <w:tcPr>
            <w:tcW w:w="10180" w:type="dxa"/>
            <w:vAlign w:val="bottom"/>
            <w:gridSpan w:val="11"/>
          </w:tcPr>
          <w:p>
            <w:pPr>
              <w:spacing w:after="0"/>
              <w:rPr>
                <w:rFonts w:ascii="Arial" w:cs="Arial" w:eastAsia="Arial" w:hAnsi="Arial"/>
                <w:sz w:val="18"/>
                <w:szCs w:val="18"/>
                <w:color w:val="0000EE"/>
                <w:w w:val="94"/>
              </w:rPr>
            </w:pPr>
            <w:hyperlink r:id="rId131">
              <w:r>
                <w:rPr>
                  <w:rFonts w:ascii="Arial" w:cs="Arial" w:eastAsia="Arial" w:hAnsi="Arial"/>
                  <w:sz w:val="18"/>
                  <w:szCs w:val="18"/>
                  <w:color w:val="0000EE"/>
                  <w:w w:val="94"/>
                </w:rPr>
                <w:t>Form of Certificate of Incorporation of Company (incorporated by reference to the exhibit included in Pre-Effective Amendment No. 1 on</w:t>
              </w:r>
            </w:hyperlink>
          </w:p>
        </w:tc>
      </w:tr>
      <w:tr>
        <w:trPr>
          <w:trHeight w:val="196"/>
        </w:trPr>
        <w:tc>
          <w:tcPr>
            <w:tcW w:w="1040" w:type="dxa"/>
            <w:vAlign w:val="bottom"/>
          </w:tcPr>
          <w:p>
            <w:pPr>
              <w:spacing w:after="0"/>
              <w:rPr>
                <w:sz w:val="17"/>
                <w:szCs w:val="17"/>
                <w:color w:val="auto"/>
              </w:rPr>
            </w:pPr>
          </w:p>
        </w:tc>
        <w:tc>
          <w:tcPr>
            <w:tcW w:w="9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Form N-2, as filed on October 6, 2006 ).</w:t>
              </w:r>
            </w:hyperlink>
          </w:p>
        </w:tc>
        <w:tc>
          <w:tcPr>
            <w:tcW w:w="2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3.1.1</w:t>
              </w:r>
            </w:hyperlink>
          </w:p>
        </w:tc>
        <w:tc>
          <w:tcPr>
            <w:tcW w:w="10180" w:type="dxa"/>
            <w:vAlign w:val="bottom"/>
            <w:gridSpan w:val="11"/>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Certificate of Amendment to Certificate of Incorporation of Portman Ridge Finance Corporation (incorporated by reference to Exhibit 3.1 of</w:t>
              </w:r>
            </w:hyperlink>
          </w:p>
        </w:tc>
      </w:tr>
      <w:tr>
        <w:trPr>
          <w:trHeight w:val="196"/>
        </w:trPr>
        <w:tc>
          <w:tcPr>
            <w:tcW w:w="104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the Current Report on Form 8-K, as filed on April 2, 2019).</w:t>
              </w:r>
            </w:hyperlink>
          </w:p>
        </w:tc>
        <w:tc>
          <w:tcPr>
            <w:tcW w:w="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3.2</w:t>
              </w:r>
            </w:hyperlink>
          </w:p>
        </w:tc>
        <w:tc>
          <w:tcPr>
            <w:tcW w:w="10180" w:type="dxa"/>
            <w:vAlign w:val="bottom"/>
            <w:gridSpan w:val="11"/>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Second Amended and Restated Bylaws of KCAP Financial, Inc., dated as of December 12, 2018 (incorporated by reference to Exhibit 3.1 of</w:t>
              </w:r>
            </w:hyperlink>
          </w:p>
        </w:tc>
      </w:tr>
      <w:tr>
        <w:trPr>
          <w:trHeight w:val="196"/>
        </w:trPr>
        <w:tc>
          <w:tcPr>
            <w:tcW w:w="10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the Current Report on Form 8-K, as filed on December 14, 2018).</w:t>
              </w:r>
            </w:hyperlink>
          </w:p>
        </w:tc>
        <w:tc>
          <w:tcPr>
            <w:tcW w:w="538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40" w:type="dxa"/>
            <w:vAlign w:val="bottom"/>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3.2.1</w:t>
              </w:r>
            </w:hyperlink>
          </w:p>
        </w:tc>
        <w:tc>
          <w:tcPr>
            <w:tcW w:w="10180" w:type="dxa"/>
            <w:vAlign w:val="bottom"/>
            <w:gridSpan w:val="11"/>
          </w:tcPr>
          <w:p>
            <w:pPr>
              <w:spacing w:after="0"/>
              <w:rPr>
                <w:rFonts w:ascii="Arial" w:cs="Arial" w:eastAsia="Arial" w:hAnsi="Arial"/>
                <w:sz w:val="18"/>
                <w:szCs w:val="18"/>
                <w:color w:val="0000EE"/>
                <w:w w:val="95"/>
              </w:rPr>
            </w:pPr>
            <w:hyperlink r:id="rId134">
              <w:r>
                <w:rPr>
                  <w:rFonts w:ascii="Arial" w:cs="Arial" w:eastAsia="Arial" w:hAnsi="Arial"/>
                  <w:sz w:val="18"/>
                  <w:szCs w:val="18"/>
                  <w:color w:val="0000EE"/>
                  <w:w w:val="95"/>
                </w:rPr>
                <w:t>Amendment No. 1 to the Second Amended and Restated Bylaws of Portman Ridge Finance Corporation (incorporated by reference to</w:t>
              </w:r>
            </w:hyperlink>
          </w:p>
        </w:tc>
      </w:tr>
      <w:tr>
        <w:trPr>
          <w:trHeight w:val="196"/>
        </w:trPr>
        <w:tc>
          <w:tcPr>
            <w:tcW w:w="1040" w:type="dxa"/>
            <w:vAlign w:val="bottom"/>
          </w:tcPr>
          <w:p>
            <w:pPr>
              <w:spacing w:after="0"/>
              <w:rPr>
                <w:sz w:val="17"/>
                <w:szCs w:val="17"/>
                <w:color w:val="auto"/>
              </w:rPr>
            </w:pPr>
          </w:p>
        </w:tc>
        <w:tc>
          <w:tcPr>
            <w:tcW w:w="96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Exhibit 3.2 of the Current Report on Form 8-K, as filed on April 2, 2019).</w:t>
              </w:r>
            </w:hyperlink>
          </w:p>
        </w:tc>
        <w:tc>
          <w:tcPr>
            <w:tcW w:w="50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628"/>
        </w:trPr>
        <w:tc>
          <w:tcPr>
            <w:tcW w:w="104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31.1**</w:t>
              </w:r>
            </w:hyperlink>
          </w:p>
        </w:tc>
        <w:tc>
          <w:tcPr>
            <w:tcW w:w="97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Certification of Chief Executive Officer Pursuant to Rule 13a-14(a) under the Securities Exchange Act of 1934, as adopted pursuant to</w:t>
              </w:r>
            </w:hyperlink>
          </w:p>
        </w:tc>
        <w:tc>
          <w:tcPr>
            <w:tcW w:w="4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Section 302 of the Sarbanes-Oxley Act of 2002.</w:t>
              </w:r>
            </w:hyperlink>
          </w:p>
        </w:tc>
        <w:tc>
          <w:tcPr>
            <w:tcW w:w="6720" w:type="dxa"/>
            <w:vAlign w:val="bottom"/>
            <w:gridSpan w:val="9"/>
          </w:tcPr>
          <w:p>
            <w:pPr>
              <w:spacing w:after="0"/>
              <w:rPr>
                <w:sz w:val="17"/>
                <w:szCs w:val="17"/>
                <w:color w:val="auto"/>
              </w:rPr>
            </w:pPr>
          </w:p>
        </w:tc>
      </w:tr>
      <w:tr>
        <w:trPr>
          <w:trHeight w:val="318"/>
        </w:trPr>
        <w:tc>
          <w:tcPr>
            <w:tcW w:w="104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31.2**</w:t>
              </w:r>
            </w:hyperlink>
          </w:p>
        </w:tc>
        <w:tc>
          <w:tcPr>
            <w:tcW w:w="10180" w:type="dxa"/>
            <w:vAlign w:val="bottom"/>
            <w:gridSpan w:val="11"/>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Certification of Chief Financial Officer Pursuant to Rule 13a-14(a) under the Securities Exchange Act of 1934, as adopted pursuant to</w:t>
              </w:r>
            </w:hyperlink>
          </w:p>
        </w:tc>
      </w:tr>
      <w:tr>
        <w:trPr>
          <w:trHeight w:val="196"/>
        </w:trPr>
        <w:tc>
          <w:tcPr>
            <w:tcW w:w="10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Section 302 of the Sarbanes-Oxley Act of 2002.</w:t>
              </w:r>
            </w:hyperlink>
          </w:p>
        </w:tc>
        <w:tc>
          <w:tcPr>
            <w:tcW w:w="6180" w:type="dxa"/>
            <w:vAlign w:val="bottom"/>
            <w:tcBorders>
              <w:top w:val="single" w:sz="8" w:color="0000EE"/>
            </w:tcBorders>
            <w:gridSpan w:val="4"/>
          </w:tcPr>
          <w:p>
            <w:pPr>
              <w:spacing w:after="0"/>
              <w:rPr>
                <w:sz w:val="17"/>
                <w:szCs w:val="17"/>
                <w:color w:val="auto"/>
              </w:rPr>
            </w:pPr>
          </w:p>
        </w:tc>
        <w:tc>
          <w:tcPr>
            <w:tcW w:w="540" w:type="dxa"/>
            <w:vAlign w:val="bottom"/>
            <w:gridSpan w:val="5"/>
          </w:tcPr>
          <w:p>
            <w:pPr>
              <w:spacing w:after="0"/>
              <w:rPr>
                <w:sz w:val="17"/>
                <w:szCs w:val="17"/>
                <w:color w:val="auto"/>
              </w:rPr>
            </w:pPr>
          </w:p>
        </w:tc>
      </w:tr>
      <w:tr>
        <w:trPr>
          <w:trHeight w:val="358"/>
        </w:trPr>
        <w:tc>
          <w:tcPr>
            <w:tcW w:w="104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32.1**</w:t>
              </w:r>
            </w:hyperlink>
          </w:p>
        </w:tc>
        <w:tc>
          <w:tcPr>
            <w:tcW w:w="10180" w:type="dxa"/>
            <w:vAlign w:val="bottom"/>
            <w:gridSpan w:val="11"/>
          </w:tcPr>
          <w:p>
            <w:pPr>
              <w:spacing w:after="0"/>
              <w:rPr>
                <w:rFonts w:ascii="Arial" w:cs="Arial" w:eastAsia="Arial" w:hAnsi="Arial"/>
                <w:sz w:val="18"/>
                <w:szCs w:val="18"/>
                <w:u w:val="single" w:color="auto"/>
                <w:color w:val="0000EE"/>
                <w:w w:val="90"/>
              </w:rPr>
            </w:pPr>
            <w:hyperlink w:anchor="page100">
              <w:r>
                <w:rPr>
                  <w:rFonts w:ascii="Arial" w:cs="Arial" w:eastAsia="Arial" w:hAnsi="Arial"/>
                  <w:sz w:val="18"/>
                  <w:szCs w:val="18"/>
                  <w:u w:val="single" w:color="auto"/>
                  <w:color w:val="0000EE"/>
                  <w:w w:val="90"/>
                </w:rPr>
                <w:t>Certification of Chief Executive Officer Pursuant to 18 U. S. C. 1350, as adopted pursuant to Section 906 of the Sarbanes-Oxley Act of 2002.</w:t>
              </w:r>
            </w:hyperlink>
          </w:p>
        </w:tc>
      </w:tr>
      <w:tr>
        <w:trPr>
          <w:trHeight w:val="338"/>
        </w:trPr>
        <w:tc>
          <w:tcPr>
            <w:tcW w:w="104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32.2**</w:t>
              </w:r>
            </w:hyperlink>
          </w:p>
        </w:tc>
        <w:tc>
          <w:tcPr>
            <w:tcW w:w="10180" w:type="dxa"/>
            <w:vAlign w:val="bottom"/>
            <w:gridSpan w:val="11"/>
          </w:tcPr>
          <w:p>
            <w:pPr>
              <w:spacing w:after="0"/>
              <w:rPr>
                <w:rFonts w:ascii="Arial" w:cs="Arial" w:eastAsia="Arial" w:hAnsi="Arial"/>
                <w:sz w:val="18"/>
                <w:szCs w:val="18"/>
                <w:u w:val="single" w:color="auto"/>
                <w:color w:val="0000EE"/>
                <w:w w:val="91"/>
              </w:rPr>
            </w:pPr>
            <w:hyperlink w:anchor="page101">
              <w:r>
                <w:rPr>
                  <w:rFonts w:ascii="Arial" w:cs="Arial" w:eastAsia="Arial" w:hAnsi="Arial"/>
                  <w:sz w:val="18"/>
                  <w:szCs w:val="18"/>
                  <w:u w:val="single" w:color="auto"/>
                  <w:color w:val="0000EE"/>
                  <w:w w:val="91"/>
                </w:rPr>
                <w:t>Certification of Chief Financial Officer Pursuant to 18 U. S. C. 1350, as adopted pursuant to Section 906 of the Sarbanes-Oxley Act of 2002.</w:t>
              </w:r>
            </w:hyperlink>
          </w:p>
        </w:tc>
      </w:tr>
    </w:tbl>
    <w:p>
      <w:pPr>
        <w:spacing w:after="0" w:line="200" w:lineRule="exact"/>
        <w:rPr>
          <w:sz w:val="20"/>
          <w:szCs w:val="20"/>
          <w:color w:val="auto"/>
        </w:rPr>
      </w:pPr>
    </w:p>
    <w:p>
      <w:pPr>
        <w:spacing w:after="0" w:line="366" w:lineRule="exact"/>
        <w:rPr>
          <w:sz w:val="20"/>
          <w:szCs w:val="20"/>
          <w:color w:val="auto"/>
        </w:rPr>
      </w:pPr>
    </w:p>
    <w:p>
      <w:pPr>
        <w:ind w:left="380" w:hanging="372"/>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PORTMAN RIDGE FINANCE CORPORATION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Goldthorpe</w:t>
            </w:r>
          </w:p>
        </w:tc>
      </w:tr>
      <w:tr>
        <w:trPr>
          <w:trHeight w:val="195"/>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91"/>
              </w:rPr>
              <w:t>Edward Goldthorpe</w:t>
            </w:r>
          </w:p>
        </w:tc>
      </w:tr>
      <w:tr>
        <w:trPr>
          <w:trHeight w:val="216"/>
        </w:trPr>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Edward Goldthorpe, certify that:</w:t>
      </w:r>
    </w:p>
    <w:p>
      <w:pPr>
        <w:spacing w:after="0" w:line="117" w:lineRule="exact"/>
        <w:rPr>
          <w:sz w:val="20"/>
          <w:szCs w:val="20"/>
          <w:color w:val="auto"/>
        </w:rPr>
      </w:pPr>
    </w:p>
    <w:p>
      <w:pPr>
        <w:ind w:left="640" w:hanging="184"/>
        <w:spacing w:after="0"/>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2020 of Portman Ridge Finance Corporation (the “registrant”);</w:t>
      </w:r>
    </w:p>
    <w:p>
      <w:pPr>
        <w:spacing w:after="0" w:line="140" w:lineRule="exact"/>
        <w:rPr>
          <w:rFonts w:ascii="Arial" w:cs="Arial" w:eastAsia="Arial" w:hAnsi="Arial"/>
          <w:sz w:val="16"/>
          <w:szCs w:val="16"/>
          <w:color w:val="auto"/>
        </w:rPr>
      </w:pPr>
    </w:p>
    <w:p>
      <w:pPr>
        <w:ind w:right="80" w:firstLine="456"/>
        <w:spacing w:after="0" w:line="342" w:lineRule="auto"/>
        <w:tabs>
          <w:tab w:leader="none" w:pos="628"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456"/>
        <w:spacing w:after="0" w:line="308" w:lineRule="auto"/>
        <w:tabs>
          <w:tab w:leader="none" w:pos="628"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80" w:firstLine="456"/>
        <w:spacing w:after="0" w:line="263" w:lineRule="auto"/>
        <w:tabs>
          <w:tab w:leader="none" w:pos="6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60" w:firstLine="456"/>
        <w:spacing w:after="0" w:line="263" w:lineRule="auto"/>
        <w:tabs>
          <w:tab w:leader="none" w:pos="6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380" w:firstLine="456"/>
        <w:spacing w:after="0" w:line="263" w:lineRule="auto"/>
        <w:tabs>
          <w:tab w:leader="none" w:pos="7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456"/>
        <w:spacing w:after="0" w:line="342" w:lineRule="auto"/>
        <w:tabs>
          <w:tab w:leader="none" w:pos="693" w:val="left"/>
        </w:tabs>
        <w:numPr>
          <w:ilvl w:val="0"/>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456"/>
        <w:spacing w:after="0" w:line="263" w:lineRule="auto"/>
        <w:tabs>
          <w:tab w:leader="none" w:pos="7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00" w:firstLine="456"/>
        <w:spacing w:after="0" w:line="308" w:lineRule="auto"/>
        <w:tabs>
          <w:tab w:leader="none" w:pos="62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456"/>
        <w:spacing w:after="0" w:line="277" w:lineRule="auto"/>
        <w:tabs>
          <w:tab w:leader="none" w:pos="6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456"/>
        <w:spacing w:after="0" w:line="277" w:lineRule="auto"/>
        <w:tabs>
          <w:tab w:leader="none" w:pos="7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752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Edward U. Gilpin, certify that:</w:t>
      </w:r>
    </w:p>
    <w:p>
      <w:pPr>
        <w:spacing w:after="0" w:line="117" w:lineRule="exact"/>
        <w:rPr>
          <w:sz w:val="20"/>
          <w:szCs w:val="20"/>
          <w:color w:val="auto"/>
        </w:rPr>
      </w:pPr>
    </w:p>
    <w:p>
      <w:pPr>
        <w:ind w:left="640" w:hanging="184"/>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2020 of Portman Ridge Finance Corporation (the “registrant”);</w:t>
      </w:r>
    </w:p>
    <w:p>
      <w:pPr>
        <w:spacing w:after="0" w:line="140" w:lineRule="exact"/>
        <w:rPr>
          <w:rFonts w:ascii="Arial" w:cs="Arial" w:eastAsia="Arial" w:hAnsi="Arial"/>
          <w:sz w:val="16"/>
          <w:szCs w:val="16"/>
          <w:color w:val="auto"/>
        </w:rPr>
      </w:pPr>
    </w:p>
    <w:p>
      <w:pPr>
        <w:ind w:right="80" w:firstLine="456"/>
        <w:spacing w:after="0" w:line="342" w:lineRule="auto"/>
        <w:tabs>
          <w:tab w:leader="none" w:pos="6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6"/>
        <w:spacing w:after="0" w:line="277" w:lineRule="auto"/>
        <w:tabs>
          <w:tab w:leader="none" w:pos="6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6"/>
        <w:spacing w:after="0" w:line="263" w:lineRule="auto"/>
        <w:tabs>
          <w:tab w:leader="none" w:pos="6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60" w:firstLine="456"/>
        <w:spacing w:after="0" w:line="263" w:lineRule="auto"/>
        <w:tabs>
          <w:tab w:leader="none" w:pos="6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20" w:hanging="264"/>
        <w:spacing w:after="0"/>
        <w:tabs>
          <w:tab w:leader="none" w:pos="7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40" w:firstLine="456"/>
        <w:spacing w:after="0" w:line="342" w:lineRule="auto"/>
        <w:tabs>
          <w:tab w:leader="none" w:pos="69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456"/>
        <w:spacing w:after="0" w:line="263" w:lineRule="auto"/>
        <w:tabs>
          <w:tab w:leader="none" w:pos="7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00" w:firstLine="456"/>
        <w:spacing w:after="0" w:line="308" w:lineRule="auto"/>
        <w:tabs>
          <w:tab w:leader="none" w:pos="62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456"/>
        <w:spacing w:after="0" w:line="277" w:lineRule="auto"/>
        <w:tabs>
          <w:tab w:leader="none" w:pos="6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456"/>
        <w:spacing w:after="0" w:line="277" w:lineRule="auto"/>
        <w:tabs>
          <w:tab w:leader="none" w:pos="7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June 30, 2020 (the “Report”), I, Edward Goldthorpe, President and Chief Executive Officer of the Company, certify, pursuant to 18 U.S.C. §1350, as adopted pursuant to §906 of the Sarbanes-Oxley Act of 2002, that:</w:t>
      </w:r>
    </w:p>
    <w:p>
      <w:pPr>
        <w:spacing w:after="0" w:line="143" w:lineRule="exact"/>
        <w:rPr>
          <w:sz w:val="20"/>
          <w:szCs w:val="20"/>
          <w:color w:val="auto"/>
        </w:rPr>
      </w:pPr>
    </w:p>
    <w:p>
      <w:pPr>
        <w:ind w:left="700" w:hanging="260"/>
        <w:spacing w:after="0"/>
        <w:tabs>
          <w:tab w:leader="none" w:pos="7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60"/>
        <w:spacing w:after="0"/>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20" w:val="left"/>
          <w:tab w:leader="none" w:pos="752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June 30, 2020 (the “Report”), I, Edward U. Gilpin, Chief Financial Officer of the Company, certify, pursuant to 18 U.S.C. §1350, as adopted pursuant to §906 of the Sarbanes-Oxley Act of 2002, that:</w:t>
      </w:r>
    </w:p>
    <w:p>
      <w:pPr>
        <w:spacing w:after="0" w:line="143" w:lineRule="exact"/>
        <w:rPr>
          <w:sz w:val="20"/>
          <w:szCs w:val="20"/>
          <w:color w:val="auto"/>
        </w:rPr>
      </w:pPr>
    </w:p>
    <w:p>
      <w:pPr>
        <w:ind w:left="700" w:hanging="260"/>
        <w:spacing w:after="0"/>
        <w:tabs>
          <w:tab w:leader="none" w:pos="7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60"/>
        <w:spacing w:after="0"/>
        <w:tabs>
          <w:tab w:leader="none" w:pos="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bullet"/>
      <w:start w:val="1"/>
    </w:lvl>
  </w:abstractNum>
  <w:abstractNum w:abstractNumId="6">
    <w:nsid w:val="520EEDD1"/>
    <w:multiLevelType w:val="hybridMultilevel"/>
    <w:lvl w:ilvl="0">
      <w:lvlJc w:val="left"/>
      <w:lvlText w:val="2"/>
      <w:numFmt w:val="bullet"/>
      <w:start w:val="1"/>
    </w:lvl>
  </w:abstractNum>
  <w:abstractNum w:abstractNumId="7">
    <w:nsid w:val="374A3FE6"/>
    <w:multiLevelType w:val="hybridMultilevel"/>
    <w:lvl w:ilvl="0">
      <w:lvlJc w:val="left"/>
      <w:lvlText w:val="%1"/>
      <w:numFmt w:val="decimal"/>
      <w:start w:val="18"/>
    </w:lvl>
  </w:abstractNum>
  <w:abstractNum w:abstractNumId="8">
    <w:nsid w:val="4F4EF005"/>
    <w:multiLevelType w:val="hybridMultilevel"/>
    <w:lvl w:ilvl="0">
      <w:lvlJc w:val="left"/>
      <w:lvlText w:val="1"/>
      <w:numFmt w:val="bullet"/>
      <w:start w:val="1"/>
    </w:lvl>
  </w:abstractNum>
  <w:abstractNum w:abstractNumId="9">
    <w:nsid w:val="23F9C13C"/>
    <w:multiLevelType w:val="hybridMultilevel"/>
    <w:lvl w:ilvl="0">
      <w:lvlJc w:val="left"/>
      <w:lvlText w:val="2"/>
      <w:numFmt w:val="bullet"/>
      <w:start w:val="1"/>
    </w:lvl>
  </w:abstractNum>
  <w:abstractNum w:abstractNumId="10">
    <w:nsid w:val="649BB77C"/>
    <w:multiLevelType w:val="hybridMultilevel"/>
    <w:lvl w:ilvl="0">
      <w:lvlJc w:val="left"/>
      <w:lvlText w:val="%1"/>
      <w:numFmt w:val="decimal"/>
      <w:start w:val="14"/>
    </w:lvl>
  </w:abstractNum>
  <w:abstractNum w:abstractNumId="11">
    <w:nsid w:val="275AC794"/>
    <w:multiLevelType w:val="hybridMultilevel"/>
    <w:lvl w:ilvl="0">
      <w:lvlJc w:val="left"/>
      <w:lvlText w:val="1"/>
      <w:numFmt w:val="bullet"/>
      <w:start w:val="1"/>
    </w:lvl>
  </w:abstractNum>
  <w:abstractNum w:abstractNumId="12">
    <w:nsid w:val="39386575"/>
    <w:multiLevelType w:val="hybridMultilevel"/>
    <w:lvl w:ilvl="0">
      <w:lvlJc w:val="left"/>
      <w:lvlText w:val="2"/>
      <w:numFmt w:val="bullet"/>
      <w:start w:val="1"/>
    </w:lvl>
  </w:abstractNum>
  <w:abstractNum w:abstractNumId="13">
    <w:nsid w:val="1CF10FD8"/>
    <w:multiLevelType w:val="hybridMultilevel"/>
    <w:lvl w:ilvl="0">
      <w:lvlJc w:val="left"/>
      <w:lvlText w:val="3"/>
      <w:numFmt w:val="bullet"/>
      <w:start w:val="1"/>
    </w:lvl>
  </w:abstractNum>
  <w:abstractNum w:abstractNumId="14">
    <w:nsid w:val="180115BE"/>
    <w:multiLevelType w:val="hybridMultilevel"/>
    <w:lvl w:ilvl="0">
      <w:lvlJc w:val="left"/>
      <w:lvlText w:val="4"/>
      <w:numFmt w:val="bullet"/>
      <w:start w:val="1"/>
    </w:lvl>
  </w:abstractNum>
  <w:abstractNum w:abstractNumId="15">
    <w:nsid w:val="235BA861"/>
    <w:multiLevelType w:val="hybridMultilevel"/>
    <w:lvl w:ilvl="0">
      <w:lvlJc w:val="left"/>
      <w:lvlText w:val="5"/>
      <w:numFmt w:val="bullet"/>
      <w:start w:val="1"/>
    </w:lvl>
  </w:abstractNum>
  <w:abstractNum w:abstractNumId="16">
    <w:nsid w:val="47398C89"/>
    <w:multiLevelType w:val="hybridMultilevel"/>
    <w:lvl w:ilvl="0">
      <w:lvlJc w:val="left"/>
      <w:lvlText w:val="6"/>
      <w:numFmt w:val="bullet"/>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2"/>
    </w:lvl>
  </w:abstractNum>
  <w:abstractNum w:abstractNumId="19">
    <w:nsid w:val="741226BB"/>
    <w:multiLevelType w:val="hybridMultilevel"/>
    <w:lvl w:ilvl="0">
      <w:lvlJc w:val="left"/>
      <w:lvlText w:val="%1."/>
      <w:numFmt w:val="decimal"/>
      <w:start w:val="3"/>
    </w:lvl>
  </w:abstractNum>
  <w:abstractNum w:abstractNumId="20">
    <w:nsid w:val="D34B6A8"/>
    <w:multiLevelType w:val="hybridMultilevel"/>
    <w:lvl w:ilvl="0">
      <w:lvlJc w:val="left"/>
      <w:lvlText w:val="%1."/>
      <w:numFmt w:val="decimal"/>
      <w:start w:val="4"/>
    </w:lvl>
  </w:abstractNum>
  <w:abstractNum w:abstractNumId="21">
    <w:nsid w:val="10233C99"/>
    <w:multiLevelType w:val="hybridMultilevel"/>
    <w:lvl w:ilvl="0">
      <w:lvlJc w:val="left"/>
      <w:lvlText w:val="1"/>
      <w:numFmt w:val="bullet"/>
      <w:start w:val="1"/>
    </w:lvl>
  </w:abstractNum>
  <w:abstractNum w:abstractNumId="22">
    <w:nsid w:val="3F6AB60F"/>
    <w:multiLevelType w:val="hybridMultilevel"/>
    <w:lvl w:ilvl="0">
      <w:lvlJc w:val="left"/>
      <w:lvlText w:val="2"/>
      <w:numFmt w:val="bullet"/>
      <w:start w:val="1"/>
    </w:lvl>
  </w:abstractNum>
  <w:abstractNum w:abstractNumId="23">
    <w:nsid w:val="61574095"/>
    <w:multiLevelType w:val="hybridMultilevel"/>
    <w:lvl w:ilvl="0">
      <w:lvlJc w:val="left"/>
      <w:lvlText w:val="3"/>
      <w:numFmt w:val="bullet"/>
      <w:start w:val="1"/>
    </w:lvl>
  </w:abstractNum>
  <w:abstractNum w:abstractNumId="24">
    <w:nsid w:val="7E0C57B1"/>
    <w:multiLevelType w:val="hybridMultilevel"/>
    <w:lvl w:ilvl="0">
      <w:lvlJc w:val="left"/>
      <w:lvlText w:val="1"/>
      <w:numFmt w:val="bullet"/>
      <w:start w:val="1"/>
    </w:lvl>
  </w:abstractNum>
  <w:abstractNum w:abstractNumId="25">
    <w:nsid w:val="77AE35EB"/>
    <w:multiLevelType w:val="hybridMultilevel"/>
    <w:lvl w:ilvl="0">
      <w:lvlJc w:val="left"/>
      <w:lvlText w:val="2"/>
      <w:numFmt w:val="bullet"/>
      <w:start w:val="1"/>
    </w:lvl>
  </w:abstractNum>
  <w:abstractNum w:abstractNumId="26">
    <w:nsid w:val="579BE4F1"/>
    <w:multiLevelType w:val="hybridMultilevel"/>
    <w:lvl w:ilvl="0">
      <w:lvlJc w:val="left"/>
      <w:lvlText w:val="1"/>
      <w:numFmt w:val="bullet"/>
      <w:start w:val="1"/>
    </w:lvl>
  </w:abstractNum>
  <w:abstractNum w:abstractNumId="27">
    <w:nsid w:val="310C50B3"/>
    <w:multiLevelType w:val="hybridMultilevel"/>
    <w:lvl w:ilvl="0">
      <w:lvlJc w:val="left"/>
      <w:lvlText w:val="2"/>
      <w:numFmt w:val="bullet"/>
      <w:start w:val="1"/>
    </w:lvl>
  </w:abstractNum>
  <w:abstractNum w:abstractNumId="28">
    <w:nsid w:val="5FF87E05"/>
    <w:multiLevelType w:val="hybridMultilevel"/>
    <w:lvl w:ilvl="0">
      <w:lvlJc w:val="left"/>
      <w:lvlText w:val="3"/>
      <w:numFmt w:val="bullet"/>
      <w:start w:val="1"/>
    </w:lvl>
  </w:abstractNum>
  <w:abstractNum w:abstractNumId="29">
    <w:nsid w:val="2F305DEF"/>
    <w:multiLevelType w:val="hybridMultilevel"/>
    <w:lvl w:ilvl="0">
      <w:lvlJc w:val="left"/>
      <w:lvlText w:val="4"/>
      <w:numFmt w:val="bullet"/>
      <w:start w:val="1"/>
    </w:lvl>
  </w:abstractNum>
  <w:abstractNum w:abstractNumId="30">
    <w:nsid w:val="25A70BF7"/>
    <w:multiLevelType w:val="hybridMultilevel"/>
    <w:lvl w:ilvl="0">
      <w:lvlJc w:val="left"/>
      <w:lvlText w:val="5"/>
      <w:numFmt w:val="bullet"/>
      <w:start w:val="1"/>
    </w:lvl>
  </w:abstractNum>
  <w:abstractNum w:abstractNumId="31">
    <w:nsid w:val="1DBABF00"/>
    <w:multiLevelType w:val="hybridMultilevel"/>
    <w:lvl w:ilvl="0">
      <w:lvlJc w:val="left"/>
      <w:lvlText w:val="6"/>
      <w:numFmt w:val="bullet"/>
      <w:start w:val="1"/>
    </w:lvl>
  </w:abstractNum>
  <w:abstractNum w:abstractNumId="32">
    <w:nsid w:val="4AD084E9"/>
    <w:multiLevelType w:val="hybridMultilevel"/>
    <w:lvl w:ilvl="0">
      <w:lvlJc w:val="left"/>
      <w:lvlText w:val="7"/>
      <w:numFmt w:val="bullet"/>
      <w:start w:val="1"/>
    </w:lvl>
  </w:abstractNum>
  <w:abstractNum w:abstractNumId="33">
    <w:nsid w:val="1F48EAA1"/>
    <w:multiLevelType w:val="hybridMultilevel"/>
    <w:lvl w:ilvl="0">
      <w:lvlJc w:val="left"/>
      <w:lvlText w:val="8"/>
      <w:numFmt w:val="bullet"/>
      <w:start w:val="1"/>
    </w:lvl>
  </w:abstractNum>
  <w:abstractNum w:abstractNumId="34">
    <w:nsid w:val="1381823A"/>
    <w:multiLevelType w:val="hybridMultilevel"/>
    <w:lvl w:ilvl="0">
      <w:lvlJc w:val="left"/>
      <w:lvlText w:val="9"/>
      <w:numFmt w:val="bullet"/>
      <w:start w:val="1"/>
    </w:lvl>
  </w:abstractNum>
  <w:abstractNum w:abstractNumId="35">
    <w:nsid w:val="5DB70AE5"/>
    <w:multiLevelType w:val="hybridMultilevel"/>
    <w:lvl w:ilvl="0">
      <w:lvlJc w:val="left"/>
      <w:lvlText w:val="1"/>
      <w:numFmt w:val="bullet"/>
      <w:start w:val="1"/>
    </w:lvl>
  </w:abstractNum>
  <w:abstractNum w:abstractNumId="36">
    <w:nsid w:val="100F8FCA"/>
    <w:multiLevelType w:val="hybridMultilevel"/>
    <w:lvl w:ilvl="0">
      <w:lvlJc w:val="left"/>
      <w:lvlText w:val="2"/>
      <w:numFmt w:val="bullet"/>
      <w:start w:val="1"/>
    </w:lvl>
  </w:abstractNum>
  <w:abstractNum w:abstractNumId="37">
    <w:nsid w:val="6590700B"/>
    <w:multiLevelType w:val="hybridMultilevel"/>
    <w:lvl w:ilvl="0">
      <w:lvlJc w:val="left"/>
      <w:lvlText w:val="3"/>
      <w:numFmt w:val="bullet"/>
      <w:start w:val="1"/>
    </w:lvl>
  </w:abstractNum>
  <w:abstractNum w:abstractNumId="38">
    <w:nsid w:val="15014ACB"/>
    <w:multiLevelType w:val="hybridMultilevel"/>
    <w:lvl w:ilvl="0">
      <w:lvlJc w:val="left"/>
      <w:lvlText w:val="4"/>
      <w:numFmt w:val="bullet"/>
      <w:start w:val="1"/>
    </w:lvl>
  </w:abstractNum>
  <w:abstractNum w:abstractNumId="39">
    <w:nsid w:val="5F5E7FD0"/>
    <w:multiLevelType w:val="hybridMultilevel"/>
    <w:lvl w:ilvl="0">
      <w:lvlJc w:val="left"/>
      <w:lvlText w:val="5"/>
      <w:numFmt w:val="bullet"/>
      <w:start w:val="1"/>
    </w:lvl>
  </w:abstractNum>
  <w:abstractNum w:abstractNumId="40">
    <w:nsid w:val="98A3148"/>
    <w:multiLevelType w:val="hybridMultilevel"/>
    <w:lvl w:ilvl="0">
      <w:lvlJc w:val="left"/>
      <w:lvlText w:val="6"/>
      <w:numFmt w:val="bullet"/>
      <w:start w:val="1"/>
    </w:lvl>
  </w:abstractNum>
  <w:abstractNum w:abstractNumId="41">
    <w:nsid w:val="799D0247"/>
    <w:multiLevelType w:val="hybridMultilevel"/>
    <w:lvl w:ilvl="0">
      <w:lvlJc w:val="left"/>
      <w:lvlText w:val="7"/>
      <w:numFmt w:val="bullet"/>
      <w:start w:val="1"/>
    </w:lvl>
  </w:abstractNum>
  <w:abstractNum w:abstractNumId="42">
    <w:nsid w:val="6B94764"/>
    <w:multiLevelType w:val="hybridMultilevel"/>
    <w:lvl w:ilvl="0">
      <w:lvlJc w:val="left"/>
      <w:lvlText w:val="8"/>
      <w:numFmt w:val="bullet"/>
      <w:start w:val="1"/>
    </w:lvl>
  </w:abstractNum>
  <w:abstractNum w:abstractNumId="43">
    <w:nsid w:val="42C296BD"/>
    <w:multiLevelType w:val="hybridMultilevel"/>
    <w:lvl w:ilvl="0">
      <w:lvlJc w:val="left"/>
      <w:lvlText w:val="9"/>
      <w:numFmt w:val="bullet"/>
      <w:start w:val="1"/>
    </w:lvl>
  </w:abstractNum>
  <w:abstractNum w:abstractNumId="44">
    <w:nsid w:val="168E121F"/>
    <w:multiLevelType w:val="hybridMultilevel"/>
    <w:lvl w:ilvl="0">
      <w:lvlJc w:val="left"/>
      <w:lvlText w:val="\emdash "/>
      <w:numFmt w:val="bullet"/>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820"/>
    </w:lvl>
  </w:abstractNum>
  <w:abstractNum w:abstractNumId="48">
    <w:nsid w:val="540A471C"/>
    <w:multiLevelType w:val="hybridMultilevel"/>
    <w:lvl w:ilvl="0">
      <w:lvlJc w:val="left"/>
      <w:lvlText w:val="1"/>
      <w:numFmt w:val="bullet"/>
      <w:start w:val="1"/>
    </w:lvl>
  </w:abstractNum>
  <w:abstractNum w:abstractNumId="49">
    <w:nsid w:val="7BD3EE7B"/>
    <w:multiLevelType w:val="hybridMultilevel"/>
    <w:lvl w:ilvl="0">
      <w:lvlJc w:val="left"/>
      <w:lvlText w:val="2"/>
      <w:numFmt w:val="bullet"/>
      <w:start w:val="1"/>
    </w:lvl>
  </w:abstractNum>
  <w:abstractNum w:abstractNumId="50">
    <w:nsid w:val="51D9C564"/>
    <w:multiLevelType w:val="hybridMultilevel"/>
    <w:lvl w:ilvl="0">
      <w:lvlJc w:val="left"/>
      <w:lvlText w:val="1"/>
      <w:numFmt w:val="bullet"/>
      <w:start w:val="1"/>
    </w:lvl>
  </w:abstractNum>
  <w:abstractNum w:abstractNumId="51">
    <w:nsid w:val="613EFDC5"/>
    <w:multiLevelType w:val="hybridMultilevel"/>
    <w:lvl w:ilvl="0">
      <w:lvlJc w:val="left"/>
      <w:lvlText w:val="2"/>
      <w:numFmt w:val="bullet"/>
      <w:start w:val="1"/>
    </w:lvl>
  </w:abstractNum>
  <w:abstractNum w:abstractNumId="52">
    <w:nsid w:val="BF72B14"/>
    <w:multiLevelType w:val="hybridMultilevel"/>
    <w:lvl w:ilvl="0">
      <w:lvlJc w:val="left"/>
      <w:lvlText w:val="1"/>
      <w:numFmt w:val="bullet"/>
      <w:start w:val="1"/>
    </w:lvl>
  </w:abstractNum>
  <w:abstractNum w:abstractNumId="53">
    <w:nsid w:val="11447B73"/>
    <w:multiLevelType w:val="hybridMultilevel"/>
    <w:lvl w:ilvl="0">
      <w:lvlJc w:val="left"/>
      <w:lvlText w:val="2"/>
      <w:numFmt w:val="bullet"/>
      <w:start w:val="1"/>
    </w:lvl>
  </w:abstractNum>
  <w:abstractNum w:abstractNumId="54">
    <w:nsid w:val="42963E5A"/>
    <w:multiLevelType w:val="hybridMultilevel"/>
    <w:lvl w:ilvl="0">
      <w:lvlJc w:val="left"/>
      <w:lvlText w:val="1"/>
      <w:numFmt w:val="bullet"/>
      <w:start w:val="1"/>
    </w:lvl>
  </w:abstractNum>
  <w:abstractNum w:abstractNumId="55">
    <w:nsid w:val="A0382C5"/>
    <w:multiLevelType w:val="hybridMultilevel"/>
    <w:lvl w:ilvl="0">
      <w:lvlJc w:val="left"/>
      <w:lvlText w:val="2"/>
      <w:numFmt w:val="bullet"/>
      <w:start w:val="1"/>
    </w:lvl>
  </w:abstractNum>
  <w:abstractNum w:abstractNumId="56">
    <w:nsid w:val="8F2B15E"/>
    <w:multiLevelType w:val="hybridMultilevel"/>
    <w:lvl w:ilvl="0">
      <w:lvlJc w:val="left"/>
      <w:lvlText w:val="%1."/>
      <w:numFmt w:val="decimal"/>
      <w:start w:val="5"/>
    </w:lvl>
  </w:abstractNum>
  <w:abstractNum w:abstractNumId="57">
    <w:nsid w:val="1A32234B"/>
    <w:multiLevelType w:val="hybridMultilevel"/>
    <w:lvl w:ilvl="0">
      <w:lvlJc w:val="left"/>
      <w:lvlText w:val="%1."/>
      <w:numFmt w:val="decimal"/>
      <w:start w:val="6"/>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1)"/>
      <w:numFmt w:val="lowerRoman"/>
      <w:start w:val="2"/>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1)"/>
      <w:numFmt w:val="lowerRoman"/>
      <w:start w:val="1"/>
    </w:lvl>
  </w:abstractNum>
  <w:abstractNum w:abstractNumId="62">
    <w:nsid w:val="6A5EE64"/>
    <w:multiLevelType w:val="hybridMultilevel"/>
    <w:lvl w:ilvl="0">
      <w:lvlJc w:val="left"/>
      <w:lvlText w:val="%1."/>
      <w:numFmt w:val="decimal"/>
      <w:start w:val="8"/>
    </w:lvl>
  </w:abstractNum>
  <w:abstractNum w:abstractNumId="63">
    <w:nsid w:val="14330624"/>
    <w:multiLevelType w:val="hybridMultilevel"/>
    <w:lvl w:ilvl="0">
      <w:lvlJc w:val="left"/>
      <w:lvlText w:val="%1."/>
      <w:numFmt w:val="decimal"/>
      <w:start w:val="9"/>
    </w:lvl>
  </w:abstractNum>
  <w:abstractNum w:abstractNumId="64">
    <w:nsid w:val="7FFFCA11"/>
    <w:multiLevelType w:val="hybridMultilevel"/>
    <w:lvl w:ilvl="0">
      <w:lvlJc w:val="left"/>
      <w:lvlText w:val="%1."/>
      <w:numFmt w:val="decimal"/>
      <w:start w:val="10"/>
    </w:lvl>
  </w:abstractNum>
  <w:abstractNum w:abstractNumId="65">
    <w:nsid w:val="1A27709E"/>
    <w:multiLevelType w:val="hybridMultilevel"/>
    <w:lvl w:ilvl="0">
      <w:lvlJc w:val="left"/>
      <w:lvlText w:val="1"/>
      <w:numFmt w:val="bullet"/>
      <w:start w:val="1"/>
    </w:lvl>
  </w:abstractNum>
  <w:abstractNum w:abstractNumId="66">
    <w:nsid w:val="71EA1109"/>
    <w:multiLevelType w:val="hybridMultilevel"/>
    <w:lvl w:ilvl="0">
      <w:lvlJc w:val="left"/>
      <w:lvlText w:val="(%1)"/>
      <w:numFmt w:val="lowerRoman"/>
      <w:start w:val="1"/>
    </w:lvl>
  </w:abstractNum>
  <w:abstractNum w:abstractNumId="67">
    <w:nsid w:val="100F59DC"/>
    <w:multiLevelType w:val="hybridMultilevel"/>
    <w:lvl w:ilvl="0">
      <w:lvlJc w:val="left"/>
      <w:lvlText w:val="(%1)"/>
      <w:numFmt w:val="decimal"/>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¹"/>
      <w:numFmt w:val="bullet"/>
      <w:start w:val="1"/>
    </w:lvl>
  </w:abstractNum>
  <w:abstractNum w:abstractNumId="70">
    <w:nsid w:val="6F6DD9AC"/>
    <w:multiLevelType w:val="hybridMultilevel"/>
    <w:lvl w:ilvl="0">
      <w:lvlJc w:val="left"/>
      <w:lvlText w:val="²"/>
      <w:numFmt w:val="bullet"/>
      <w:start w:val="1"/>
    </w:lvl>
  </w:abstractNum>
  <w:abstractNum w:abstractNumId="71">
    <w:nsid w:val="94211F2"/>
    <w:multiLevelType w:val="hybridMultilevel"/>
    <w:lvl w:ilvl="0">
      <w:lvlJc w:val="left"/>
      <w:lvlText w:val="³"/>
      <w:numFmt w:val="bullet"/>
      <w:start w:val="1"/>
    </w:lvl>
  </w:abstractNum>
  <w:abstractNum w:abstractNumId="72">
    <w:nsid w:val="885E1B"/>
    <w:multiLevelType w:val="hybridMultilevel"/>
    <w:lvl w:ilvl="0">
      <w:lvlJc w:val="left"/>
      <w:lvlText w:val="1"/>
      <w:numFmt w:val="bullet"/>
      <w:start w:val="1"/>
    </w:lvl>
  </w:abstractNum>
  <w:abstractNum w:abstractNumId="73">
    <w:nsid w:val="76272110"/>
    <w:multiLevelType w:val="hybridMultilevel"/>
    <w:lvl w:ilvl="0">
      <w:lvlJc w:val="left"/>
      <w:lvlText w:val="2"/>
      <w:numFmt w:val="bullet"/>
      <w:start w:val="1"/>
    </w:lvl>
  </w:abstractNum>
  <w:abstractNum w:abstractNumId="74">
    <w:nsid w:val="4C04A8AF"/>
    <w:multiLevelType w:val="hybridMultilevel"/>
    <w:lvl w:ilvl="0">
      <w:lvlJc w:val="left"/>
      <w:lvlText w:val="1"/>
      <w:numFmt w:val="bullet"/>
      <w:start w:val="1"/>
    </w:lvl>
  </w:abstractNum>
  <w:abstractNum w:abstractNumId="75">
    <w:nsid w:val="1716703B"/>
    <w:multiLevelType w:val="hybridMultilevel"/>
    <w:lvl w:ilvl="0">
      <w:lvlJc w:val="left"/>
      <w:lvlText w:val="2"/>
      <w:numFmt w:val="bullet"/>
      <w:start w:val="1"/>
    </w:lvl>
  </w:abstractNum>
  <w:abstractNum w:abstractNumId="76">
    <w:nsid w:val="14E17E33"/>
    <w:multiLevelType w:val="hybridMultilevel"/>
    <w:lvl w:ilvl="0">
      <w:lvlJc w:val="left"/>
      <w:lvlText w:val="(%1)"/>
      <w:numFmt w:val="decimal"/>
      <w:start w:val="1"/>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1"/>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1"/>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decimal"/>
      <w:start w:val="5"/>
    </w:lvl>
  </w:abstractNum>
  <w:abstractNum w:abstractNumId="93">
    <w:nsid w:val="50801EE1"/>
    <w:multiLevelType w:val="hybridMultilevel"/>
    <w:lvl w:ilvl="0">
      <w:lvlJc w:val="left"/>
      <w:lvlText w:val="(%1)"/>
      <w:numFmt w:val="lowerLetter"/>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decimal"/>
      <w:start w:val="5"/>
    </w:lvl>
  </w:abstractNum>
  <w:abstractNum w:abstractNumId="97">
    <w:nsid w:val="7672BD23"/>
    <w:multiLevelType w:val="hybridMultilevel"/>
    <w:lvl w:ilvl="0">
      <w:lvlJc w:val="left"/>
      <w:lvlText w:val="(%1)"/>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0"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29" Type="http://schemas.openxmlformats.org/officeDocument/2006/relationships/hyperlink" Target="http://www.sec.gov/Archives/edgar/data/1372807/000119312520178041/d948145d8k.htm" TargetMode="External"/><Relationship Id="rId131" Type="http://schemas.openxmlformats.org/officeDocument/2006/relationships/hyperlink" Target="http://www.sec.gov/Archives/edgar/data/1372807/000119312506204545/dex99a.htm" TargetMode="External"/><Relationship Id="rId132" Type="http://schemas.openxmlformats.org/officeDocument/2006/relationships/hyperlink" Target="http://www.sec.gov/Archives/edgar/data/1372807/000114420419017514/tv517653_ex3-1.htm" TargetMode="External"/><Relationship Id="rId133" Type="http://schemas.openxmlformats.org/officeDocument/2006/relationships/hyperlink" Target="http://www.sec.gov/Archives/edgar/data/1372807/000114420418064543/tv509148_ex3-1.htm" TargetMode="External"/><Relationship Id="rId134" Type="http://schemas.openxmlformats.org/officeDocument/2006/relationships/hyperlink" Target="http://www.sec.gov/Archives/edgar/data/1372807/000114420419017514/tv51765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2020-08-06T05:30:21Z</dcterms:created>
  <dcterms:modified xsi:type="dcterms:W3CDTF">2020-08-06T05:30:21Z</dcterms:modified>
</cp:coreProperties>
</file>