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No. 812-15292</w:t>
      </w:r>
    </w:p>
    <w:p>
      <w:pPr>
        <w:spacing w:after="0" w:line="22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U.S. SECURITIES AND EXCHANGE COMMISSION</w:t>
      </w:r>
    </w:p>
    <w:p>
      <w:pPr>
        <w:spacing w:after="0" w:line="3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jc w:val="center"/>
        <w:ind w:right="120"/>
        <w:spacing w:after="0" w:line="266" w:lineRule="auto"/>
        <w:rPr>
          <w:sz w:val="20"/>
          <w:szCs w:val="20"/>
          <w:color w:val="auto"/>
        </w:rPr>
      </w:pPr>
      <w:r>
        <w:rPr>
          <w:rFonts w:ascii="Times New Roman" w:cs="Times New Roman" w:eastAsia="Times New Roman" w:hAnsi="Times New Roman"/>
          <w:sz w:val="18"/>
          <w:szCs w:val="18"/>
          <w:color w:val="auto"/>
        </w:rPr>
        <w:t>AMENDMENT NO. 2 TO THE APPLICATION FOR AN ORDER PURSUANT TO SECTIONS 17(d) AND 57(i) OF THE INVESTMENT COMPANY ACT OF 1940 AND RULE 17d-1 UNDER THE ACT TO PERMIT CERTAIN JOINT TRANSACTIONS OTHERWISE PROHIBITED BY SECTIONS 17(d) AND 57(a)(4) OF THE ACT AND RULE 17d-l UNDER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-78105</wp:posOffset>
            </wp:positionH>
            <wp:positionV relativeFrom="paragraph">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In the Matter of the Application of:</w:t>
      </w:r>
    </w:p>
    <w:p>
      <w:pPr>
        <w:spacing w:after="0" w:line="22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BC PARTNERS LENDING CORPORATION</w:t>
      </w:r>
    </w:p>
    <w:p>
      <w:pPr>
        <w:spacing w:after="0" w:line="3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PORTMAN RIDGE FINANCE CORPORATION</w:t>
      </w:r>
    </w:p>
    <w:p>
      <w:pPr>
        <w:spacing w:after="0" w:line="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LOGAN RIDGE FINANCE CORPORATION</w:t>
      </w:r>
    </w:p>
    <w:p>
      <w:pPr>
        <w:spacing w:after="0" w:line="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BCP SPECIAL OPPORTUNITIES FUND II LP</w:t>
      </w:r>
    </w:p>
    <w:p>
      <w:pPr>
        <w:spacing w:after="0" w:line="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ALTERNATIVE CREDIT INCOME FUND</w:t>
      </w:r>
    </w:p>
    <w:p>
      <w:pPr>
        <w:spacing w:after="0" w:line="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OPPORTUNISTIC CREDIT INTERVAL FUND</w:t>
      </w:r>
    </w:p>
    <w:p>
      <w:pPr>
        <w:spacing w:after="0" w:line="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MOUNT LOGAN CAPITAL INC.</w:t>
      </w:r>
    </w:p>
    <w:p>
      <w:pPr>
        <w:spacing w:after="0" w:line="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BC PARTNERS ADVISORS L.P.</w:t>
      </w:r>
    </w:p>
    <w:p>
      <w:pPr>
        <w:spacing w:after="0" w:line="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SIERRA CREST INVESTMENT MANAGEMENT LLC</w:t>
      </w:r>
    </w:p>
    <w:p>
      <w:pPr>
        <w:spacing w:after="0" w:line="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MOUNT LOGAN MANAGEMENT, LLC</w:t>
      </w:r>
    </w:p>
    <w:p>
      <w:pPr>
        <w:spacing w:after="0" w:line="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BCP SPECIAL OPPORTUNITIES FUND II EUR HOLDINGS LP</w:t>
      </w:r>
    </w:p>
    <w:p>
      <w:pPr>
        <w:spacing w:after="0" w:line="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BCP SPECIAL OPPORTUNITIES FUND II HOLDINGS LP</w:t>
      </w:r>
    </w:p>
    <w:p>
      <w:pPr>
        <w:spacing w:after="0" w:line="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BCP SPECIAL OPPORTUNITIES FUND II ORIGINATIONS LP</w:t>
      </w:r>
    </w:p>
    <w:p>
      <w:pPr>
        <w:spacing w:after="0" w:line="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GARRISON MML CLO 2019-1 LLC</w:t>
      </w:r>
    </w:p>
    <w:p>
      <w:pPr>
        <w:spacing w:after="0" w:line="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GREAT LAKES SENIOR MLC I LLC</w:t>
      </w:r>
    </w:p>
    <w:p>
      <w:pPr>
        <w:spacing w:after="0" w:line="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MOUNT LOGAN FUNDING 2018-1 LP</w:t>
      </w:r>
    </w:p>
    <w:p>
      <w:pPr>
        <w:spacing w:after="0" w:line="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MOUNT LOGAN MIDDLE MARKET FUNDING LP</w:t>
      </w:r>
    </w:p>
    <w:p>
      <w:pPr>
        <w:spacing w:after="0" w:line="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MOUNT LOGAN MIDDLE MARKET FUNDING A LP</w:t>
      </w:r>
    </w:p>
    <w:p>
      <w:pPr>
        <w:spacing w:after="0" w:line="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MOUNT LOGAN MIDDLE MARKET FUNDING II LP</w:t>
      </w:r>
    </w:p>
    <w:p>
      <w:pPr>
        <w:spacing w:after="0" w:line="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MOUNT LOGAN MIDDLE MARKET FUNDING II A LP</w:t>
      </w:r>
    </w:p>
    <w:p>
      <w:pPr>
        <w:spacing w:after="0" w:line="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MOUNT LOGAN MML CLO 2019-1 LP</w:t>
      </w:r>
    </w:p>
    <w:p>
      <w:pPr>
        <w:spacing w:after="0" w:line="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ABILITY INSURANCE COMPANY</w:t>
      </w:r>
    </w:p>
    <w:p>
      <w:pPr>
        <w:spacing w:after="0" w:line="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MOUNT LOGAN BLUEBIRD FUNDING LP</w:t>
      </w:r>
    </w:p>
    <w:p>
      <w:pPr>
        <w:spacing w:after="0" w:line="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MOUNT LOGAN LAUREL FUNDING LP</w:t>
      </w:r>
    </w:p>
    <w:p>
      <w:pPr>
        <w:spacing w:after="0" w:line="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BLUE SKY CREDIT FUND LP</w:t>
      </w:r>
    </w:p>
    <w:p>
      <w:pPr>
        <w:spacing w:after="0" w:line="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CAPITALA BUSINESS LENDING, LLC</w:t>
      </w:r>
    </w:p>
    <w:p>
      <w:pPr>
        <w:spacing w:after="0" w:line="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CAPITALSOUTH FUND III, L.P.</w:t>
      </w:r>
    </w:p>
    <w:p>
      <w:pPr>
        <w:spacing w:after="0" w:line="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CAPITALSOUTH PARTNERS FUND II LIMITED PARTNERSHIP</w:t>
      </w:r>
    </w:p>
    <w:p>
      <w:pPr>
        <w:spacing w:after="0" w:line="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CPTA MASTER BLOCKER, INC.</w:t>
      </w:r>
    </w:p>
    <w:p>
      <w:pPr>
        <w:spacing w:after="0" w:line="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GREAT LAKES PORTMAN RIDGE FUNDING I, LLC</w:t>
      </w:r>
    </w:p>
    <w:p>
      <w:pPr>
        <w:spacing w:after="0" w:line="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PTMN SUB HOLDINGS LLC</w:t>
      </w:r>
    </w:p>
    <w:p>
      <w:pPr>
        <w:spacing w:after="0" w:line="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BCPL SUB HOLDINGS LLC</w:t>
      </w:r>
    </w:p>
    <w:p>
      <w:pPr>
        <w:spacing w:after="0" w:line="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GREAT LAKES BCPL FUNDING LTD.</w:t>
      </w:r>
    </w:p>
    <w:p>
      <w:pPr>
        <w:spacing w:after="0" w:line="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PORTMAN RIDGE FUNDING 2018-2 LTD.</w:t>
      </w:r>
    </w:p>
    <w:p>
      <w:pPr>
        <w:spacing w:after="0" w:line="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ACIF MASTER BLOCKER, LLC</w:t>
      </w:r>
    </w:p>
    <w:p>
      <w:pPr>
        <w:spacing w:after="0" w:line="207"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650 Madison Avenue</w:t>
      </w:r>
    </w:p>
    <w:p>
      <w:pPr>
        <w:spacing w:after="0" w:line="27"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(212) 891-2880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-78105</wp:posOffset>
            </wp:positionH>
            <wp:positionV relativeFrom="paragraph">
              <wp:posOffset>168910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i w:val="1"/>
          <w:iCs w:val="1"/>
          <w:color w:val="auto"/>
        </w:rPr>
        <w:t>All Communications, Notices and Orders to:</w:t>
      </w:r>
    </w:p>
    <w:p>
      <w:pPr>
        <w:spacing w:after="0" w:line="227"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Ted Goldthorpe</w:t>
      </w:r>
    </w:p>
    <w:p>
      <w:pPr>
        <w:spacing w:after="0" w:line="27"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BC Partners Lending Corporation</w:t>
      </w:r>
    </w:p>
    <w:p>
      <w:pPr>
        <w:spacing w:after="0" w:line="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650 Madison Avenue</w:t>
      </w:r>
    </w:p>
    <w:p>
      <w:pPr>
        <w:spacing w:after="0" w:line="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(212) 891-2880</w:t>
      </w:r>
    </w:p>
    <w:p>
      <w:pPr>
        <w:spacing w:after="0" w:line="205"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2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Rajib Chanda, Esq.</w:t>
      </w:r>
    </w:p>
    <w:p>
      <w:pPr>
        <w:spacing w:after="0" w:line="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Christopher Healey, Esq.</w:t>
      </w:r>
    </w:p>
    <w:p>
      <w:pPr>
        <w:spacing w:after="0" w:line="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900 G Street, NW</w:t>
      </w:r>
    </w:p>
    <w:p>
      <w:pPr>
        <w:spacing w:after="0" w:line="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Washington, DC 20001</w:t>
      </w:r>
    </w:p>
    <w:p>
      <w:pPr>
        <w:spacing w:after="0" w:line="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Rajib.Chanda@stblaw.com</w:t>
      </w:r>
    </w:p>
    <w:p>
      <w:pPr>
        <w:spacing w:after="0" w:line="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Christopher.Healey@stblaw.com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-78105</wp:posOffset>
            </wp:positionH>
            <wp:positionV relativeFrom="paragraph">
              <wp:posOffset>177165</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00"/>
          </w:cols>
          <w:pgMar w:left="560" w:top="229" w:right="439" w:bottom="312" w:gutter="0" w:footer="0" w:header="0"/>
        </w:sectPr>
      </w:pPr>
    </w:p>
    <w:p>
      <w:pPr>
        <w:spacing w:after="0" w:line="200" w:lineRule="exact"/>
        <w:rPr>
          <w:sz w:val="24"/>
          <w:szCs w:val="24"/>
          <w:color w:val="auto"/>
        </w:rPr>
      </w:pPr>
    </w:p>
    <w:p>
      <w:pPr>
        <w:spacing w:after="0" w:line="290"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January 10, 2023</w:t>
      </w:r>
    </w:p>
    <w:p>
      <w:pPr>
        <w:sectPr>
          <w:pgSz w:w="11900" w:h="16838" w:orient="portrait"/>
          <w:cols w:equalWidth="0" w:num="1">
            <w:col w:w="10900"/>
          </w:cols>
          <w:pgMar w:left="560" w:top="229" w:right="439" w:bottom="312" w:gutter="0" w:footer="0" w:header="0"/>
          <w:type w:val="continuous"/>
        </w:sectPr>
      </w:pPr>
    </w:p>
    <w:bookmarkStart w:id="1" w:name="page2"/>
    <w:bookmarkEnd w:id="1"/>
    <w:p>
      <w:pPr>
        <w:ind w:left="544" w:hanging="544"/>
        <w:spacing w:after="0"/>
        <w:tabs>
          <w:tab w:leader="none" w:pos="54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INTRODUCTION</w:t>
      </w:r>
    </w:p>
    <w:p>
      <w:pPr>
        <w:spacing w:after="0" w:line="135" w:lineRule="exact"/>
        <w:rPr>
          <w:sz w:val="20"/>
          <w:szCs w:val="20"/>
          <w:color w:val="auto"/>
        </w:rPr>
      </w:pPr>
    </w:p>
    <w:p>
      <w:pPr>
        <w:ind w:left="544" w:hanging="544"/>
        <w:spacing w:after="0"/>
        <w:tabs>
          <w:tab w:leader="none" w:pos="5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Requested Relief</w:t>
      </w:r>
    </w:p>
    <w:p>
      <w:pPr>
        <w:spacing w:after="0" w:line="221" w:lineRule="exact"/>
        <w:rPr>
          <w:sz w:val="20"/>
          <w:szCs w:val="20"/>
          <w:color w:val="auto"/>
        </w:rPr>
      </w:pPr>
    </w:p>
    <w:p>
      <w:pPr>
        <w:ind w:left="4" w:right="260" w:firstLine="440"/>
        <w:spacing w:after="0" w:line="231" w:lineRule="auto"/>
        <w:rPr>
          <w:sz w:val="20"/>
          <w:szCs w:val="20"/>
          <w:color w:val="auto"/>
        </w:rPr>
      </w:pPr>
      <w:r>
        <w:rPr>
          <w:rFonts w:ascii="Times New Roman" w:cs="Times New Roman" w:eastAsia="Times New Roman" w:hAnsi="Times New Roman"/>
          <w:sz w:val="18"/>
          <w:szCs w:val="18"/>
          <w:color w:val="auto"/>
        </w:rPr>
        <w:t>BC Partners Lending Corporation and its related entities, identified in section I.B. below, hereby request an order (the “</w:t>
      </w:r>
      <w:r>
        <w:rPr>
          <w:rFonts w:ascii="Times New Roman" w:cs="Times New Roman" w:eastAsia="Times New Roman" w:hAnsi="Times New Roman"/>
          <w:sz w:val="18"/>
          <w:szCs w:val="18"/>
          <w:b w:val="1"/>
          <w:bCs w:val="1"/>
          <w:i w:val="1"/>
          <w:iCs w:val="1"/>
          <w:color w:val="auto"/>
        </w:rPr>
        <w:t>Order</w:t>
      </w:r>
      <w:r>
        <w:rPr>
          <w:rFonts w:ascii="Times New Roman" w:cs="Times New Roman" w:eastAsia="Times New Roman" w:hAnsi="Times New Roman"/>
          <w:sz w:val="18"/>
          <w:szCs w:val="18"/>
          <w:color w:val="auto"/>
        </w:rPr>
        <w:t>”) pursuant to Sections 17(d) and 57(i) of the Investment Company Act of 1940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and Rule 17d-1 thereunder</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authorizing certain joint transactions that otherwise would be prohibited by either or both of Sections 17(d) and 57(a)(4) as modified by the exemptive rules adopted by the U.S.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the Act.</w:t>
      </w:r>
    </w:p>
    <w:p>
      <w:pPr>
        <w:spacing w:after="0" w:line="195"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color w:val="auto"/>
        </w:rPr>
        <w:t>In particular, the relief requested in this application (the “</w:t>
      </w:r>
      <w:r>
        <w:rPr>
          <w:rFonts w:ascii="Times New Roman" w:cs="Times New Roman" w:eastAsia="Times New Roman" w:hAnsi="Times New Roman"/>
          <w:sz w:val="18"/>
          <w:szCs w:val="18"/>
          <w:b w:val="1"/>
          <w:bCs w:val="1"/>
          <w:i w:val="1"/>
          <w:iCs w:val="1"/>
          <w:color w:val="auto"/>
        </w:rPr>
        <w:t>Application</w:t>
      </w:r>
      <w:r>
        <w:rPr>
          <w:rFonts w:ascii="Times New Roman" w:cs="Times New Roman" w:eastAsia="Times New Roman" w:hAnsi="Times New Roman"/>
          <w:sz w:val="18"/>
          <w:szCs w:val="18"/>
          <w:color w:val="auto"/>
        </w:rPr>
        <w:t>”) would allow one or more Regulated Funds (including one or more BDC Downstream Funds) and/or one or more Affiliated Funds to participate in the same investment opportunities where such participation would otherwise be prohibited under Section 17(d) or 57(a)(4) and the rules under the Act. All existing entities that currently intend to rely on the Order have been named as the Applicants and any existing or future entities that may rely on the Order in the future will comply with its terms and Conditions set forth in this application.</w:t>
      </w:r>
    </w:p>
    <w:p>
      <w:pPr>
        <w:spacing w:after="0" w:line="179" w:lineRule="exact"/>
        <w:rPr>
          <w:sz w:val="20"/>
          <w:szCs w:val="20"/>
          <w:color w:val="auto"/>
        </w:rPr>
      </w:pPr>
    </w:p>
    <w:p>
      <w:pPr>
        <w:ind w:left="4" w:right="60" w:firstLine="440"/>
        <w:spacing w:after="0" w:line="215" w:lineRule="auto"/>
        <w:rPr>
          <w:sz w:val="20"/>
          <w:szCs w:val="20"/>
          <w:color w:val="auto"/>
        </w:rPr>
      </w:pPr>
      <w:r>
        <w:rPr>
          <w:rFonts w:ascii="Times New Roman" w:cs="Times New Roman" w:eastAsia="Times New Roman" w:hAnsi="Times New Roman"/>
          <w:sz w:val="18"/>
          <w:szCs w:val="18"/>
          <w:color w:val="auto"/>
        </w:rPr>
        <w:t>The Order would supersede an exemptive order issued by the Commission on October 23, 2018 (the “</w:t>
      </w:r>
      <w:r>
        <w:rPr>
          <w:rFonts w:ascii="Times New Roman" w:cs="Times New Roman" w:eastAsia="Times New Roman" w:hAnsi="Times New Roman"/>
          <w:sz w:val="18"/>
          <w:szCs w:val="18"/>
          <w:b w:val="1"/>
          <w:bCs w:val="1"/>
          <w:i w:val="1"/>
          <w:iCs w:val="1"/>
          <w:color w:val="auto"/>
        </w:rPr>
        <w:t>Prior Order</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that was granted pursuant to Sections 57(a)(4) and 57(i) and Rule 17d-1, with the result that no person will continue to rely on the Prior Order if the Order is granted.</w:t>
      </w:r>
    </w:p>
    <w:p>
      <w:pPr>
        <w:spacing w:after="0" w:line="104" w:lineRule="exact"/>
        <w:rPr>
          <w:sz w:val="20"/>
          <w:szCs w:val="20"/>
          <w:color w:val="auto"/>
        </w:rPr>
      </w:pPr>
    </w:p>
    <w:p>
      <w:pPr>
        <w:ind w:left="544" w:hanging="544"/>
        <w:spacing w:after="0"/>
        <w:tabs>
          <w:tab w:leader="none" w:pos="5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Applicants Seeking Relief:</w:t>
      </w:r>
    </w:p>
    <w:p>
      <w:pPr>
        <w:spacing w:after="0" w:line="126" w:lineRule="exact"/>
        <w:rPr>
          <w:rFonts w:ascii="Times New Roman" w:cs="Times New Roman" w:eastAsia="Times New Roman" w:hAnsi="Times New Roman"/>
          <w:sz w:val="18"/>
          <w:szCs w:val="18"/>
          <w:color w:val="auto"/>
        </w:rPr>
      </w:pPr>
    </w:p>
    <w:p>
      <w:pPr>
        <w:ind w:left="1424" w:right="100" w:hanging="331"/>
        <w:spacing w:after="0" w:line="286" w:lineRule="auto"/>
        <w:tabs>
          <w:tab w:leader="none" w:pos="14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 Partners Lending Corporation (“</w:t>
      </w:r>
      <w:r>
        <w:rPr>
          <w:rFonts w:ascii="Times New Roman" w:cs="Times New Roman" w:eastAsia="Times New Roman" w:hAnsi="Times New Roman"/>
          <w:sz w:val="18"/>
          <w:szCs w:val="18"/>
          <w:b w:val="1"/>
          <w:bCs w:val="1"/>
          <w:i w:val="1"/>
          <w:iCs w:val="1"/>
          <w:color w:val="auto"/>
        </w:rPr>
        <w:t>BCPL</w:t>
      </w:r>
      <w:r>
        <w:rPr>
          <w:rFonts w:ascii="Times New Roman" w:cs="Times New Roman" w:eastAsia="Times New Roman" w:hAnsi="Times New Roman"/>
          <w:sz w:val="18"/>
          <w:szCs w:val="18"/>
          <w:color w:val="auto"/>
        </w:rPr>
        <w:t>”), an externally managed, closed end, non-diversified management investment company that has elected to be regulated as a BDC (defined below) under the Act;</w:t>
      </w:r>
    </w:p>
    <w:p>
      <w:pPr>
        <w:spacing w:after="0" w:line="60" w:lineRule="exact"/>
        <w:rPr>
          <w:rFonts w:ascii="Times New Roman" w:cs="Times New Roman" w:eastAsia="Times New Roman" w:hAnsi="Times New Roman"/>
          <w:sz w:val="18"/>
          <w:szCs w:val="18"/>
          <w:color w:val="auto"/>
        </w:rPr>
      </w:pPr>
    </w:p>
    <w:p>
      <w:pPr>
        <w:ind w:left="1424" w:right="580" w:hanging="331"/>
        <w:spacing w:after="0" w:line="286" w:lineRule="auto"/>
        <w:tabs>
          <w:tab w:leader="none" w:pos="14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Portman Ridge Finance Corporation (“</w:t>
      </w:r>
      <w:r>
        <w:rPr>
          <w:rFonts w:ascii="Times New Roman" w:cs="Times New Roman" w:eastAsia="Times New Roman" w:hAnsi="Times New Roman"/>
          <w:sz w:val="18"/>
          <w:szCs w:val="18"/>
          <w:b w:val="1"/>
          <w:bCs w:val="1"/>
          <w:i w:val="1"/>
          <w:iCs w:val="1"/>
          <w:color w:val="auto"/>
        </w:rPr>
        <w:t>PTMN</w:t>
      </w:r>
      <w:r>
        <w:rPr>
          <w:rFonts w:ascii="Times New Roman" w:cs="Times New Roman" w:eastAsia="Times New Roman" w:hAnsi="Times New Roman"/>
          <w:sz w:val="18"/>
          <w:szCs w:val="18"/>
          <w:color w:val="auto"/>
        </w:rPr>
        <w:t>”), an externally managed, closed end, non-diversified management investment company that has elected to be regulated as a BDC under the Act;</w:t>
      </w:r>
    </w:p>
    <w:p>
      <w:pPr>
        <w:spacing w:after="0" w:line="60" w:lineRule="exact"/>
        <w:rPr>
          <w:rFonts w:ascii="Times New Roman" w:cs="Times New Roman" w:eastAsia="Times New Roman" w:hAnsi="Times New Roman"/>
          <w:sz w:val="18"/>
          <w:szCs w:val="18"/>
          <w:color w:val="auto"/>
        </w:rPr>
      </w:pPr>
    </w:p>
    <w:p>
      <w:pPr>
        <w:ind w:left="1424" w:right="60" w:hanging="331"/>
        <w:spacing w:after="0" w:line="286" w:lineRule="auto"/>
        <w:tabs>
          <w:tab w:leader="none" w:pos="14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Logan Ridge Finance Corporation (“</w:t>
      </w:r>
      <w:r>
        <w:rPr>
          <w:rFonts w:ascii="Times New Roman" w:cs="Times New Roman" w:eastAsia="Times New Roman" w:hAnsi="Times New Roman"/>
          <w:sz w:val="18"/>
          <w:szCs w:val="18"/>
          <w:b w:val="1"/>
          <w:bCs w:val="1"/>
          <w:i w:val="1"/>
          <w:iCs w:val="1"/>
          <w:color w:val="auto"/>
        </w:rPr>
        <w:t>LRFC</w:t>
      </w:r>
      <w:r>
        <w:rPr>
          <w:rFonts w:ascii="Times New Roman" w:cs="Times New Roman" w:eastAsia="Times New Roman" w:hAnsi="Times New Roman"/>
          <w:sz w:val="18"/>
          <w:szCs w:val="18"/>
          <w:color w:val="auto"/>
        </w:rPr>
        <w:t>”), an externally managed, closed end, non-diversified management investment company that has elected to be regulated as a BDC under the Act;</w:t>
      </w:r>
    </w:p>
    <w:p>
      <w:pPr>
        <w:spacing w:after="0" w:line="60" w:lineRule="exact"/>
        <w:rPr>
          <w:rFonts w:ascii="Times New Roman" w:cs="Times New Roman" w:eastAsia="Times New Roman" w:hAnsi="Times New Roman"/>
          <w:sz w:val="18"/>
          <w:szCs w:val="18"/>
          <w:color w:val="auto"/>
        </w:rPr>
      </w:pPr>
    </w:p>
    <w:p>
      <w:pPr>
        <w:ind w:left="1424" w:right="120" w:hanging="331"/>
        <w:spacing w:after="0" w:line="286" w:lineRule="auto"/>
        <w:tabs>
          <w:tab w:leader="none" w:pos="14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 Credit Income Fund (“</w:t>
      </w:r>
      <w:r>
        <w:rPr>
          <w:rFonts w:ascii="Times New Roman" w:cs="Times New Roman" w:eastAsia="Times New Roman" w:hAnsi="Times New Roman"/>
          <w:sz w:val="18"/>
          <w:szCs w:val="18"/>
          <w:b w:val="1"/>
          <w:bCs w:val="1"/>
          <w:i w:val="1"/>
          <w:iCs w:val="1"/>
          <w:color w:val="auto"/>
        </w:rPr>
        <w:t>ACIF</w:t>
      </w:r>
      <w:r>
        <w:rPr>
          <w:rFonts w:ascii="Times New Roman" w:cs="Times New Roman" w:eastAsia="Times New Roman" w:hAnsi="Times New Roman"/>
          <w:sz w:val="18"/>
          <w:szCs w:val="18"/>
          <w:color w:val="auto"/>
        </w:rPr>
        <w:t>”), a continuously offered, diversified, closed-end management investment company that is operated as an interval fund;</w:t>
      </w:r>
    </w:p>
    <w:p>
      <w:pPr>
        <w:spacing w:after="0" w:line="60" w:lineRule="exact"/>
        <w:rPr>
          <w:rFonts w:ascii="Times New Roman" w:cs="Times New Roman" w:eastAsia="Times New Roman" w:hAnsi="Times New Roman"/>
          <w:sz w:val="18"/>
          <w:szCs w:val="18"/>
          <w:color w:val="auto"/>
        </w:rPr>
      </w:pPr>
    </w:p>
    <w:p>
      <w:pPr>
        <w:ind w:left="1424" w:right="500" w:hanging="331"/>
        <w:spacing w:after="0" w:line="286" w:lineRule="auto"/>
        <w:tabs>
          <w:tab w:leader="none" w:pos="14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Opportunistic Credit Interval Fund (</w:t>
      </w:r>
      <w:r>
        <w:rPr>
          <w:rFonts w:ascii="Times New Roman" w:cs="Times New Roman" w:eastAsia="Times New Roman" w:hAnsi="Times New Roman"/>
          <w:sz w:val="18"/>
          <w:szCs w:val="18"/>
          <w:b w:val="1"/>
          <w:bCs w:val="1"/>
          <w:i w:val="1"/>
          <w:iCs w:val="1"/>
          <w:color w:val="auto"/>
        </w:rPr>
        <w:t>“OCIF”</w:t>
      </w:r>
      <w:r>
        <w:rPr>
          <w:rFonts w:ascii="Times New Roman" w:cs="Times New Roman" w:eastAsia="Times New Roman" w:hAnsi="Times New Roman"/>
          <w:sz w:val="18"/>
          <w:szCs w:val="18"/>
          <w:color w:val="auto"/>
        </w:rPr>
        <w:t>), a newly-formed, continuously offered, non-diversified closed-end management investment company that is operated as an interval fund;</w:t>
      </w:r>
    </w:p>
    <w:p>
      <w:pPr>
        <w:spacing w:after="0" w:line="60" w:lineRule="exact"/>
        <w:rPr>
          <w:rFonts w:ascii="Times New Roman" w:cs="Times New Roman" w:eastAsia="Times New Roman" w:hAnsi="Times New Roman"/>
          <w:sz w:val="18"/>
          <w:szCs w:val="18"/>
          <w:color w:val="auto"/>
        </w:rPr>
      </w:pPr>
    </w:p>
    <w:p>
      <w:pPr>
        <w:ind w:left="1424" w:right="160" w:hanging="331"/>
        <w:spacing w:after="0" w:line="286" w:lineRule="auto"/>
        <w:tabs>
          <w:tab w:leader="none" w:pos="1424"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BC Partners Advisors L.P. (“</w:t>
      </w:r>
      <w:r>
        <w:rPr>
          <w:rFonts w:ascii="Times New Roman" w:cs="Times New Roman" w:eastAsia="Times New Roman" w:hAnsi="Times New Roman"/>
          <w:sz w:val="17"/>
          <w:szCs w:val="17"/>
          <w:b w:val="1"/>
          <w:bCs w:val="1"/>
          <w:i w:val="1"/>
          <w:iCs w:val="1"/>
          <w:color w:val="auto"/>
        </w:rPr>
        <w:t>BCPA</w:t>
      </w:r>
      <w:r>
        <w:rPr>
          <w:rFonts w:ascii="Times New Roman" w:cs="Times New Roman" w:eastAsia="Times New Roman" w:hAnsi="Times New Roman"/>
          <w:sz w:val="17"/>
          <w:szCs w:val="17"/>
          <w:color w:val="auto"/>
        </w:rPr>
        <w:t>”), an investment adviser registered with the Commission under the Investment Advisers Act of 1940, as amended (the “</w:t>
      </w:r>
      <w:r>
        <w:rPr>
          <w:rFonts w:ascii="Times New Roman" w:cs="Times New Roman" w:eastAsia="Times New Roman" w:hAnsi="Times New Roman"/>
          <w:sz w:val="17"/>
          <w:szCs w:val="17"/>
          <w:b w:val="1"/>
          <w:bCs w:val="1"/>
          <w:color w:val="auto"/>
        </w:rPr>
        <w:t>Advisers Act</w:t>
      </w:r>
      <w:r>
        <w:rPr>
          <w:rFonts w:ascii="Times New Roman" w:cs="Times New Roman" w:eastAsia="Times New Roman" w:hAnsi="Times New Roman"/>
          <w:sz w:val="17"/>
          <w:szCs w:val="17"/>
          <w:color w:val="auto"/>
        </w:rPr>
        <w:t>”), which serves as the investment adviser to BCPL, on behalf of itself and its successors</w:t>
      </w: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7"/>
          <w:szCs w:val="17"/>
          <w:color w:val="auto"/>
        </w:rPr>
      </w:pPr>
    </w:p>
    <w:p>
      <w:pPr>
        <w:ind w:left="1424" w:right="580" w:hanging="331"/>
        <w:spacing w:after="0" w:line="258" w:lineRule="auto"/>
        <w:tabs>
          <w:tab w:leader="none" w:pos="14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Sierra Crest Investment Management LLC (“</w:t>
      </w:r>
      <w:r>
        <w:rPr>
          <w:rFonts w:ascii="Times New Roman" w:cs="Times New Roman" w:eastAsia="Times New Roman" w:hAnsi="Times New Roman"/>
          <w:sz w:val="18"/>
          <w:szCs w:val="18"/>
          <w:b w:val="1"/>
          <w:bCs w:val="1"/>
          <w:i w:val="1"/>
          <w:iCs w:val="1"/>
          <w:color w:val="auto"/>
        </w:rPr>
        <w:t>Sierra Crest</w:t>
      </w:r>
      <w:r>
        <w:rPr>
          <w:rFonts w:ascii="Times New Roman" w:cs="Times New Roman" w:eastAsia="Times New Roman" w:hAnsi="Times New Roman"/>
          <w:sz w:val="18"/>
          <w:szCs w:val="18"/>
          <w:color w:val="auto"/>
        </w:rPr>
        <w:t>”), an investment adviser registered with the Commission under the Advisers Act, which serves as the investment adviser to PTMN and ACIF, on behalf of itself and its successors;</w:t>
      </w:r>
    </w:p>
    <w:p>
      <w:pPr>
        <w:spacing w:after="0" w:line="84" w:lineRule="exact"/>
        <w:rPr>
          <w:rFonts w:ascii="Times New Roman" w:cs="Times New Roman" w:eastAsia="Times New Roman" w:hAnsi="Times New Roman"/>
          <w:sz w:val="18"/>
          <w:szCs w:val="18"/>
          <w:color w:val="auto"/>
        </w:rPr>
      </w:pPr>
    </w:p>
    <w:p>
      <w:pPr>
        <w:ind w:left="1424" w:right="20" w:hanging="331"/>
        <w:spacing w:after="0" w:line="268" w:lineRule="auto"/>
        <w:tabs>
          <w:tab w:leader="none" w:pos="14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Mount Logan Management, LLC (“</w:t>
      </w:r>
      <w:r>
        <w:rPr>
          <w:rFonts w:ascii="Times New Roman" w:cs="Times New Roman" w:eastAsia="Times New Roman" w:hAnsi="Times New Roman"/>
          <w:sz w:val="18"/>
          <w:szCs w:val="18"/>
          <w:b w:val="1"/>
          <w:bCs w:val="1"/>
          <w:i w:val="1"/>
          <w:iCs w:val="1"/>
          <w:color w:val="auto"/>
        </w:rPr>
        <w:t>MLM</w:t>
      </w:r>
      <w:r>
        <w:rPr>
          <w:rFonts w:ascii="Times New Roman" w:cs="Times New Roman" w:eastAsia="Times New Roman" w:hAnsi="Times New Roman"/>
          <w:sz w:val="18"/>
          <w:szCs w:val="18"/>
          <w:color w:val="auto"/>
        </w:rPr>
        <w:t>,” and together with BCPA and Sierra Crest, the “</w:t>
      </w:r>
      <w:r>
        <w:rPr>
          <w:rFonts w:ascii="Times New Roman" w:cs="Times New Roman" w:eastAsia="Times New Roman" w:hAnsi="Times New Roman"/>
          <w:sz w:val="18"/>
          <w:szCs w:val="18"/>
          <w:b w:val="1"/>
          <w:bCs w:val="1"/>
          <w:i w:val="1"/>
          <w:iCs w:val="1"/>
          <w:color w:val="auto"/>
        </w:rPr>
        <w:t>Existing Advisers</w:t>
      </w:r>
      <w:r>
        <w:rPr>
          <w:rFonts w:ascii="Times New Roman" w:cs="Times New Roman" w:eastAsia="Times New Roman" w:hAnsi="Times New Roman"/>
          <w:sz w:val="18"/>
          <w:szCs w:val="18"/>
          <w:color w:val="auto"/>
        </w:rPr>
        <w:t>”), an investment adviser registered with the Commission under Advisers Act, which serves as the investment adviser to LRFC and OCIF, on behalf of itself and its successors;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7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51"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Unless otherwise indicated, all section references herein are to the Act.</w:t>
      </w:r>
    </w:p>
    <w:p>
      <w:pPr>
        <w:ind w:left="424" w:hanging="424"/>
        <w:spacing w:after="0" w:line="180" w:lineRule="auto"/>
        <w:tabs>
          <w:tab w:leader="none" w:pos="424"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Unless otherwise indicated, all rule references herein are to rules under the Act.</w:t>
      </w:r>
    </w:p>
    <w:p>
      <w:pPr>
        <w:ind w:left="424" w:hanging="424"/>
        <w:spacing w:after="0" w:line="180" w:lineRule="auto"/>
        <w:tabs>
          <w:tab w:leader="none" w:pos="424"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i w:val="1"/>
          <w:iCs w:val="1"/>
          <w:color w:val="auto"/>
        </w:rPr>
        <w:t xml:space="preserve">See </w:t>
      </w:r>
      <w:r>
        <w:rPr>
          <w:rFonts w:ascii="Times New Roman" w:cs="Times New Roman" w:eastAsia="Times New Roman" w:hAnsi="Times New Roman"/>
          <w:sz w:val="17"/>
          <w:szCs w:val="17"/>
          <w:color w:val="auto"/>
        </w:rPr>
        <w:t>BC Partners Lending Corporation, et al. (File No. 812-14860) Investment Company Act Rel. Nos. 33256 (September 26, 2018) (notice) and</w:t>
      </w:r>
    </w:p>
    <w:p>
      <w:pPr>
        <w:spacing w:after="0" w:line="2"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33279 (October 23, 2018) (order).</w:t>
      </w:r>
    </w:p>
    <w:p>
      <w:pPr>
        <w:spacing w:after="0" w:line="7" w:lineRule="exact"/>
        <w:rPr>
          <w:sz w:val="20"/>
          <w:szCs w:val="20"/>
          <w:color w:val="auto"/>
        </w:rPr>
      </w:pPr>
    </w:p>
    <w:p>
      <w:pPr>
        <w:ind w:left="424" w:right="540" w:hanging="424"/>
        <w:spacing w:after="0" w:line="200" w:lineRule="auto"/>
        <w:tabs>
          <w:tab w:leader="none" w:pos="424"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For purposes of the requested Order, a “successor” means an entity or entities that result from a reorganization into another jurisdiction or a change in the type of business organization.</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4"/>
          </w:cols>
          <w:pgMar w:left="436" w:top="266" w:right="459" w:bottom="1440" w:gutter="0" w:footer="0" w:header="0"/>
        </w:sectPr>
      </w:pPr>
    </w:p>
    <w:bookmarkStart w:id="2" w:name="page3"/>
    <w:bookmarkEnd w:id="2"/>
    <w:p>
      <w:pPr>
        <w:ind w:left="1424" w:hanging="331"/>
        <w:spacing w:after="0" w:line="262" w:lineRule="auto"/>
        <w:tabs>
          <w:tab w:leader="none" w:pos="14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Mount Logan Capital Inc. (“</w:t>
      </w:r>
      <w:r>
        <w:rPr>
          <w:rFonts w:ascii="Times New Roman" w:cs="Times New Roman" w:eastAsia="Times New Roman" w:hAnsi="Times New Roman"/>
          <w:sz w:val="18"/>
          <w:szCs w:val="18"/>
          <w:b w:val="1"/>
          <w:bCs w:val="1"/>
          <w:i w:val="1"/>
          <w:iCs w:val="1"/>
          <w:color w:val="auto"/>
        </w:rPr>
        <w:t>MLC</w:t>
      </w:r>
      <w:r>
        <w:rPr>
          <w:rFonts w:ascii="Times New Roman" w:cs="Times New Roman" w:eastAsia="Times New Roman" w:hAnsi="Times New Roman"/>
          <w:sz w:val="18"/>
          <w:szCs w:val="18"/>
          <w:color w:val="auto"/>
        </w:rPr>
        <w:t>”), an alternative asset management company and the indirect parent company of MLM, and certain accounts that MLC, the Existing Advisers and their direct and indirect wholly owned subsidiaries, from time to time, may use to hold various financial assets in a principal capacity (together, in such capacity, “</w:t>
      </w:r>
      <w:r>
        <w:rPr>
          <w:rFonts w:ascii="Times New Roman" w:cs="Times New Roman" w:eastAsia="Times New Roman" w:hAnsi="Times New Roman"/>
          <w:sz w:val="18"/>
          <w:szCs w:val="18"/>
          <w:b w:val="1"/>
          <w:bCs w:val="1"/>
          <w:i w:val="1"/>
          <w:iCs w:val="1"/>
          <w:color w:val="auto"/>
        </w:rPr>
        <w:t>Existing Proprietary Accounts</w:t>
      </w:r>
      <w:r>
        <w:rPr>
          <w:rFonts w:ascii="Times New Roman" w:cs="Times New Roman" w:eastAsia="Times New Roman" w:hAnsi="Times New Roman"/>
          <w:sz w:val="18"/>
          <w:szCs w:val="18"/>
          <w:color w:val="auto"/>
        </w:rPr>
        <w:t>” and together with any Future Proprietary Account (as defined below), the “</w:t>
      </w:r>
      <w:r>
        <w:rPr>
          <w:rFonts w:ascii="Times New Roman" w:cs="Times New Roman" w:eastAsia="Times New Roman" w:hAnsi="Times New Roman"/>
          <w:sz w:val="18"/>
          <w:szCs w:val="18"/>
          <w:b w:val="1"/>
          <w:bCs w:val="1"/>
          <w:i w:val="1"/>
          <w:iCs w:val="1"/>
          <w:color w:val="auto"/>
        </w:rPr>
        <w:t>Proprietary Accounts</w:t>
      </w:r>
      <w:r>
        <w:rPr>
          <w:rFonts w:ascii="Times New Roman" w:cs="Times New Roman" w:eastAsia="Times New Roman" w:hAnsi="Times New Roman"/>
          <w:sz w:val="18"/>
          <w:szCs w:val="18"/>
          <w:color w:val="auto"/>
        </w:rPr>
        <w:t>”); and</w:t>
      </w:r>
    </w:p>
    <w:p>
      <w:pPr>
        <w:spacing w:after="0" w:line="85" w:lineRule="exact"/>
        <w:rPr>
          <w:rFonts w:ascii="Times New Roman" w:cs="Times New Roman" w:eastAsia="Times New Roman" w:hAnsi="Times New Roman"/>
          <w:sz w:val="18"/>
          <w:szCs w:val="18"/>
          <w:color w:val="auto"/>
        </w:rPr>
      </w:pPr>
    </w:p>
    <w:p>
      <w:pPr>
        <w:ind w:left="1424" w:right="180" w:hanging="331"/>
        <w:spacing w:after="0" w:line="262" w:lineRule="auto"/>
        <w:tabs>
          <w:tab w:leader="none" w:pos="14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vehicles identified in Appendix A, each of which is a separate and distinct legal entity and each of which either (a) would be an investment company but for Section 3(c)(1), 3(c)(5)(C) or 3(c)(7) of the Act or (b) relies on Rule 3a-7 under the Act (the “</w:t>
      </w:r>
      <w:r>
        <w:rPr>
          <w:rFonts w:ascii="Times New Roman" w:cs="Times New Roman" w:eastAsia="Times New Roman" w:hAnsi="Times New Roman"/>
          <w:sz w:val="18"/>
          <w:szCs w:val="18"/>
          <w:b w:val="1"/>
          <w:bCs w:val="1"/>
          <w:i w:val="1"/>
          <w:iCs w:val="1"/>
          <w:color w:val="auto"/>
        </w:rPr>
        <w:t>Existing Affiliated Funds</w:t>
      </w:r>
      <w:r>
        <w:rPr>
          <w:rFonts w:ascii="Times New Roman" w:cs="Times New Roman" w:eastAsia="Times New Roman" w:hAnsi="Times New Roman"/>
          <w:sz w:val="18"/>
          <w:szCs w:val="18"/>
          <w:color w:val="auto"/>
        </w:rPr>
        <w:t>”; together with, BCPL, PTMN, LRFC, MLC, ACIF, OCIF, BCPA, Sierra Crest, MLM and the Existing Proprietary Accounts, the “</w:t>
      </w:r>
      <w:r>
        <w:rPr>
          <w:rFonts w:ascii="Times New Roman" w:cs="Times New Roman" w:eastAsia="Times New Roman" w:hAnsi="Times New Roman"/>
          <w:sz w:val="18"/>
          <w:szCs w:val="18"/>
          <w:b w:val="1"/>
          <w:bCs w:val="1"/>
          <w:i w:val="1"/>
          <w:iCs w:val="1"/>
          <w:color w:val="auto"/>
        </w:rPr>
        <w:t>Applicants</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p>
    <w:p>
      <w:pPr>
        <w:spacing w:after="0" w:line="201" w:lineRule="exact"/>
        <w:rPr>
          <w:sz w:val="20"/>
          <w:szCs w:val="20"/>
          <w:color w:val="auto"/>
        </w:rPr>
      </w:pPr>
    </w:p>
    <w:p>
      <w:pPr>
        <w:ind w:left="4"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Adviser</w:t>
      </w:r>
      <w:r>
        <w:rPr>
          <w:rFonts w:ascii="Times New Roman" w:cs="Times New Roman" w:eastAsia="Times New Roman" w:hAnsi="Times New Roman"/>
          <w:sz w:val="18"/>
          <w:szCs w:val="18"/>
          <w:color w:val="auto"/>
        </w:rPr>
        <w:t>” means any Existing Advisers, together with any future investment adviser that intends to participate in the Co-Investment Program (as defined below) and (i) controls, is controlled by or is under common control with an Existing Adviser, (ii) (a) is registered as an investment adviser under the Advisers Act, or (b) is a relying adviser of an investment adviser that is registered under the Advisers Act and that controls, is controlled by or is under common control with an Existing Adviser and (iii) is not a Regulated Fund or a subsidiary of a Regulated Fund.</w:t>
      </w:r>
    </w:p>
    <w:p>
      <w:pPr>
        <w:spacing w:after="0" w:line="176" w:lineRule="exact"/>
        <w:rPr>
          <w:sz w:val="20"/>
          <w:szCs w:val="20"/>
          <w:color w:val="auto"/>
        </w:rPr>
      </w:pPr>
    </w:p>
    <w:p>
      <w:pPr>
        <w:ind w:left="4"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Advisers to Affiliated Funds</w:t>
      </w:r>
      <w:r>
        <w:rPr>
          <w:rFonts w:ascii="Times New Roman" w:cs="Times New Roman" w:eastAsia="Times New Roman" w:hAnsi="Times New Roman"/>
          <w:sz w:val="18"/>
          <w:szCs w:val="18"/>
          <w:color w:val="auto"/>
        </w:rPr>
        <w:t>” means the Existing Advisers and any other Adviser that, in the future, serves as investment adviser to one or more Affiliated Funds.</w:t>
      </w:r>
    </w:p>
    <w:p>
      <w:pPr>
        <w:spacing w:after="0" w:line="155" w:lineRule="exact"/>
        <w:rPr>
          <w:sz w:val="20"/>
          <w:szCs w:val="20"/>
          <w:color w:val="auto"/>
        </w:rPr>
      </w:pPr>
    </w:p>
    <w:p>
      <w:pPr>
        <w:ind w:left="4"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Advisers to Regulated Funds</w:t>
      </w:r>
      <w:r>
        <w:rPr>
          <w:rFonts w:ascii="Times New Roman" w:cs="Times New Roman" w:eastAsia="Times New Roman" w:hAnsi="Times New Roman"/>
          <w:sz w:val="18"/>
          <w:szCs w:val="18"/>
          <w:color w:val="auto"/>
        </w:rPr>
        <w:t>” means the Existing Advisers and any other Adviser that, in the future, serves as investment adviser to one or more Regulated Funds.</w:t>
      </w:r>
    </w:p>
    <w:p>
      <w:pPr>
        <w:spacing w:after="0" w:line="155" w:lineRule="exact"/>
        <w:rPr>
          <w:sz w:val="20"/>
          <w:szCs w:val="20"/>
          <w:color w:val="auto"/>
        </w:rPr>
      </w:pPr>
    </w:p>
    <w:p>
      <w:pPr>
        <w:ind w:left="4" w:right="180" w:firstLine="440"/>
        <w:spacing w:after="0" w:line="21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Affiliated Fund</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 means the Existing Affiliated Funds, the Existing Proprietary Accounts, any Future Affiliated Funds (as defined below), and any Future Proprietary Accounts (as defined below). No Existing Affiliated Fund is a BDC Downstream Fund.</w:t>
      </w:r>
    </w:p>
    <w:p>
      <w:pPr>
        <w:spacing w:after="0" w:line="19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BDC</w:t>
      </w:r>
      <w:r>
        <w:rPr>
          <w:rFonts w:ascii="Times New Roman" w:cs="Times New Roman" w:eastAsia="Times New Roman" w:hAnsi="Times New Roman"/>
          <w:sz w:val="18"/>
          <w:szCs w:val="18"/>
          <w:color w:val="auto"/>
        </w:rPr>
        <w:t>” means a business development company under the Act.</w:t>
      </w:r>
      <w:r>
        <w:rPr>
          <w:rFonts w:ascii="Times New Roman" w:cs="Times New Roman" w:eastAsia="Times New Roman" w:hAnsi="Times New Roman"/>
          <w:sz w:val="26"/>
          <w:szCs w:val="26"/>
          <w:color w:val="auto"/>
          <w:vertAlign w:val="superscript"/>
        </w:rPr>
        <w:t>7</w:t>
      </w:r>
    </w:p>
    <w:p>
      <w:pPr>
        <w:spacing w:after="0" w:line="13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BDC Downstream Fund</w:t>
      </w:r>
      <w:r>
        <w:rPr>
          <w:rFonts w:ascii="Times New Roman" w:cs="Times New Roman" w:eastAsia="Times New Roman" w:hAnsi="Times New Roman"/>
          <w:sz w:val="18"/>
          <w:szCs w:val="18"/>
          <w:color w:val="auto"/>
        </w:rPr>
        <w:t>” means, with respect to any Regulated Fund that is a BDC, an entity (i) that the BDC directly or indirectly controls,</w:t>
      </w:r>
    </w:p>
    <w:p>
      <w:pPr>
        <w:spacing w:after="0" w:line="31" w:lineRule="exact"/>
        <w:rPr>
          <w:sz w:val="20"/>
          <w:szCs w:val="20"/>
          <w:color w:val="auto"/>
        </w:rPr>
      </w:pPr>
    </w:p>
    <w:p>
      <w:pPr>
        <w:ind w:left="264" w:hanging="264"/>
        <w:spacing w:after="0"/>
        <w:tabs>
          <w:tab w:leader="none" w:pos="2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not controlled by any person other than the BDC (except a person that indirectly controls the entity solely because it controls the BDC),</w:t>
      </w:r>
    </w:p>
    <w:p>
      <w:pPr>
        <w:spacing w:after="0" w:line="9" w:lineRule="exact"/>
        <w:rPr>
          <w:rFonts w:ascii="Times New Roman" w:cs="Times New Roman" w:eastAsia="Times New Roman" w:hAnsi="Times New Roman"/>
          <w:sz w:val="18"/>
          <w:szCs w:val="18"/>
          <w:color w:val="auto"/>
        </w:rPr>
      </w:pPr>
    </w:p>
    <w:p>
      <w:pPr>
        <w:ind w:left="4" w:right="200" w:hanging="4"/>
        <w:spacing w:after="0" w:line="281" w:lineRule="auto"/>
        <w:tabs>
          <w:tab w:leader="none" w:pos="3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would be an investment company but for section 3(c)(1) or 3(c)(7) of the Act, (iv) whose investment adviser (and sub-adviser(s), if any) is an Adviser and (v) that is not a Wholly-Owned Investment Sub.</w:t>
      </w:r>
      <w:r>
        <w:rPr>
          <w:rFonts w:ascii="Times New Roman" w:cs="Times New Roman" w:eastAsia="Times New Roman" w:hAnsi="Times New Roman"/>
          <w:sz w:val="26"/>
          <w:szCs w:val="26"/>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129540</wp:posOffset>
            </wp:positionV>
            <wp:extent cx="7715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6" w:lineRule="exact"/>
        <w:rPr>
          <w:sz w:val="20"/>
          <w:szCs w:val="20"/>
          <w:color w:val="auto"/>
        </w:rPr>
      </w:pPr>
    </w:p>
    <w:p>
      <w:pPr>
        <w:ind w:left="424" w:right="400" w:hanging="424"/>
        <w:spacing w:after="0" w:line="208" w:lineRule="auto"/>
        <w:tabs>
          <w:tab w:leader="none" w:pos="424"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 Regulated Fund or Affiliated Fund that relies on this Order will rely on any other order of the Commission authorizing co- investment transactions pursuant to sections 17(d) and 57(i) of the Act and no entity that relies on another such order of the Commission will rely on this</w:t>
      </w:r>
    </w:p>
    <w:p>
      <w:pPr>
        <w:spacing w:after="0" w:line="196" w:lineRule="exact"/>
        <w:rPr>
          <w:sz w:val="20"/>
          <w:szCs w:val="20"/>
          <w:color w:val="auto"/>
        </w:rPr>
      </w:pPr>
    </w:p>
    <w:p>
      <w:pPr>
        <w:ind w:left="424" w:right="20" w:hanging="424"/>
        <w:spacing w:after="0" w:line="238" w:lineRule="auto"/>
        <w:tabs>
          <w:tab w:leader="none" w:pos="424" w:val="left"/>
        </w:tabs>
        <w:numPr>
          <w:ilvl w:val="0"/>
          <w:numId w:val="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Affiliated Funds may include funds that are ultimately structured as collateralized loan obligation funds (“</w:t>
      </w:r>
      <w:r>
        <w:rPr>
          <w:rFonts w:ascii="Times New Roman" w:cs="Times New Roman" w:eastAsia="Times New Roman" w:hAnsi="Times New Roman"/>
          <w:sz w:val="18"/>
          <w:szCs w:val="18"/>
          <w:b w:val="1"/>
          <w:bCs w:val="1"/>
          <w:i w:val="1"/>
          <w:iCs w:val="1"/>
          <w:color w:val="auto"/>
        </w:rPr>
        <w:t>CLOs</w:t>
      </w:r>
      <w:r>
        <w:rPr>
          <w:rFonts w:ascii="Times New Roman" w:cs="Times New Roman" w:eastAsia="Times New Roman" w:hAnsi="Times New Roman"/>
          <w:sz w:val="18"/>
          <w:szCs w:val="18"/>
          <w:color w:val="auto"/>
        </w:rPr>
        <w:t>”). Such CLOs would be investment companies but for the exception provided in Section 3(c)(7) of the Act or their ability to rely on Rule 3a-7 of the Act. During the investment period of a CLO, the CLO may engage in certain transactions customary in CLO formation with another Affiliated Fund on a secondary basis at fair market value. For purposes of the Order, any securities that were acquired by an Affiliated Fund in a particular Co-Investment Transaction that are then transferred in such customary transactions to an Affiliated Fund that is or will become a CLO (an “</w:t>
      </w:r>
      <w:r>
        <w:rPr>
          <w:rFonts w:ascii="Times New Roman" w:cs="Times New Roman" w:eastAsia="Times New Roman" w:hAnsi="Times New Roman"/>
          <w:sz w:val="18"/>
          <w:szCs w:val="18"/>
          <w:b w:val="1"/>
          <w:bCs w:val="1"/>
          <w:i w:val="1"/>
          <w:iCs w:val="1"/>
          <w:color w:val="auto"/>
        </w:rPr>
        <w:t>Affiliated Fund CLO</w:t>
      </w:r>
      <w:r>
        <w:rPr>
          <w:rFonts w:ascii="Times New Roman" w:cs="Times New Roman" w:eastAsia="Times New Roman" w:hAnsi="Times New Roman"/>
          <w:sz w:val="18"/>
          <w:szCs w:val="18"/>
          <w:color w:val="auto"/>
        </w:rPr>
        <w:t>”) will be treated as if the Affiliated Fund CLO acquired such securities in a Co-Investment Transaction. For the avoidance of doubt, any such transfer from an Affiliated Fund to an Affiliated Fund CLO will be treated as a Disposition and completed pursuant to terms and conditions of the Application, though the Applicants note that the Regulated Funds would be prohibited from participating in such Disposition</w:t>
      </w:r>
    </w:p>
    <w:p>
      <w:pPr>
        <w:spacing w:after="0" w:line="6" w:lineRule="exact"/>
        <w:rPr>
          <w:sz w:val="20"/>
          <w:szCs w:val="20"/>
          <w:color w:val="auto"/>
        </w:rPr>
      </w:pPr>
    </w:p>
    <w:p>
      <w:pPr>
        <w:ind w:left="424" w:right="580"/>
        <w:spacing w:after="0" w:line="250" w:lineRule="auto"/>
        <w:rPr>
          <w:sz w:val="20"/>
          <w:szCs w:val="20"/>
          <w:color w:val="auto"/>
        </w:rPr>
      </w:pPr>
      <w:r>
        <w:rPr>
          <w:rFonts w:ascii="Times New Roman" w:cs="Times New Roman" w:eastAsia="Times New Roman" w:hAnsi="Times New Roman"/>
          <w:sz w:val="18"/>
          <w:szCs w:val="18"/>
          <w:color w:val="auto"/>
        </w:rPr>
        <w:t>by Section 17(a)(2) or Section 57(a)(2) of the Act, as applicable. The participation by any Affiliated Fund CLO in any such Co-Investment Transaction will remain subject to the Order.</w:t>
      </w:r>
    </w:p>
    <w:p>
      <w:pPr>
        <w:spacing w:after="0" w:line="1" w:lineRule="exact"/>
        <w:rPr>
          <w:sz w:val="20"/>
          <w:szCs w:val="20"/>
          <w:color w:val="auto"/>
        </w:rPr>
      </w:pPr>
    </w:p>
    <w:p>
      <w:pPr>
        <w:ind w:left="424" w:right="80" w:hanging="424"/>
        <w:spacing w:after="0" w:line="200" w:lineRule="auto"/>
        <w:tabs>
          <w:tab w:leader="none" w:pos="424" w:val="left"/>
        </w:tabs>
        <w:numPr>
          <w:ilvl w:val="0"/>
          <w:numId w:val="1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Section 2(a)(48) defines a BDC to be any closed-end investment company that operates for the purpose of making investments in securities described in Section 55(a)(1) through 55(a)(3) and makes available significant managerial assistance with respect to the issuers of such securities.</w:t>
      </w:r>
    </w:p>
    <w:p>
      <w:pPr>
        <w:spacing w:after="0" w:line="1" w:lineRule="exact"/>
        <w:rPr>
          <w:sz w:val="20"/>
          <w:szCs w:val="20"/>
          <w:color w:val="auto"/>
        </w:rPr>
      </w:pPr>
    </w:p>
    <w:p>
      <w:pPr>
        <w:ind w:left="424" w:right="320" w:hanging="424"/>
        <w:spacing w:after="0" w:line="231" w:lineRule="auto"/>
        <w:tabs>
          <w:tab w:leader="none" w:pos="424" w:val="left"/>
        </w:tabs>
        <w:numPr>
          <w:ilvl w:val="0"/>
          <w:numId w:val="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BCPA manages two limited term investment funds, BCP Special Opportunities Fund I LP and BCP Special Opportunities Fund I Holdings LP (together, the “BCP Fund I Entities”). The BCP Fund I Entities were parties to the Prior Order. However, the BCP Fund I Entities are not applicants to the Order. Accordingly, the BCP Fund I Entities would not be able to rely on the requested Order to participate in Co-Investment Transactions pursuant to the Order. Moreover, the BCP Fund I Entities will not be making any new or follow-on co-investments with BCPA because the BCP Fund I Entities are fully invested and do not, and will not at any point, have any capital to invest. Neither of the BCP Fund I Entities will have an interest in any issuer that is the subject of a Co-Investment Transaction completed pursuant to the Order.</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6" w:right="459" w:bottom="1440" w:gutter="0" w:footer="0" w:header="0"/>
        </w:sectPr>
      </w:pPr>
    </w:p>
    <w:bookmarkStart w:id="3" w:name="page4"/>
    <w:bookmarkEnd w:id="3"/>
    <w:p>
      <w:pPr>
        <w:ind w:left="4" w:right="6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(i) with respect to a Regulated Fund other than a BDC Downstream Fund, the board of directors (or the equivalent) of the Regulated Fund and (ii) with respect to a BDC Downstream Fund, the Independent Party of the BDC Downstream Fund.</w:t>
      </w:r>
    </w:p>
    <w:p>
      <w:pPr>
        <w:spacing w:after="0" w:line="155" w:lineRule="exact"/>
        <w:rPr>
          <w:sz w:val="20"/>
          <w:szCs w:val="20"/>
          <w:color w:val="auto"/>
        </w:rPr>
      </w:pPr>
    </w:p>
    <w:p>
      <w:pPr>
        <w:jc w:val="both"/>
        <w:ind w:left="4" w:right="6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Board-Established Criteria</w:t>
      </w:r>
      <w:r>
        <w:rPr>
          <w:rFonts w:ascii="Times New Roman" w:cs="Times New Roman" w:eastAsia="Times New Roman" w:hAnsi="Times New Roman"/>
          <w:sz w:val="17"/>
          <w:szCs w:val="17"/>
          <w:color w:val="auto"/>
        </w:rPr>
        <w:t>” means criteria that the Board of a Regulated Fund may establish from time to time to describe the characteristics of Potential Co-Investment Transactions regarding which the Adviser to the Regulated Fund should be notified under Condition 1. The Board-Established Criteria will be consistent with the Regulated Fund’s Objectives and Strategies. If no Board-Established Criteria are in effect, then the Regulated Fund’s Adviser will be notified of all Potential Co-Investment Transactions that fall within the Regulated Fund’s then-current Objectives and Strategies.</w:t>
      </w:r>
    </w:p>
    <w:p>
      <w:pPr>
        <w:ind w:left="4" w:right="20"/>
        <w:spacing w:after="0" w:line="252" w:lineRule="auto"/>
        <w:rPr>
          <w:sz w:val="20"/>
          <w:szCs w:val="20"/>
          <w:color w:val="auto"/>
        </w:rPr>
      </w:pPr>
      <w:r>
        <w:rPr>
          <w:rFonts w:ascii="Times New Roman" w:cs="Times New Roman" w:eastAsia="Times New Roman" w:hAnsi="Times New Roman"/>
          <w:sz w:val="18"/>
          <w:szCs w:val="18"/>
          <w:color w:val="auto"/>
        </w:rPr>
        <w:t>Board-Established Criteria will be objective and testable, meaning that they will be based on observable information, such as industry/sector of the issuer, minimum EBITDA of the issuer, asset class of the investment opportunity or required commitment size, and not on characteristics that involve a discretionary assessment. The Adviser to the Regulated Fund may from time to time recommend criteria for the Board’s consideration, but Board-Established Criteria will only become effective if approved by a majority of the Independent Directors. The Independent Directors of a Regulated Fund may at any time rescind, suspend or qualify its approval of any Board-Established Criteria, though the Applicants anticipate that, under normal circumstances, the Board would not modify these criteria more often than quarterly.</w:t>
      </w:r>
    </w:p>
    <w:p>
      <w:pPr>
        <w:spacing w:after="0" w:line="186" w:lineRule="exact"/>
        <w:rPr>
          <w:sz w:val="20"/>
          <w:szCs w:val="20"/>
          <w:color w:val="auto"/>
        </w:rPr>
      </w:pPr>
    </w:p>
    <w:p>
      <w:pPr>
        <w:ind w:left="4"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Close Affiliate</w:t>
      </w:r>
      <w:r>
        <w:rPr>
          <w:rFonts w:ascii="Times New Roman" w:cs="Times New Roman" w:eastAsia="Times New Roman" w:hAnsi="Times New Roman"/>
          <w:sz w:val="18"/>
          <w:szCs w:val="18"/>
          <w:color w:val="auto"/>
        </w:rPr>
        <w:t>” means the Advisers, the Regulated Funds, the Affiliated Funds and any other person described in Section 57(b) (after giving effect to Rule 57b-1) in respect of any Regulated Fund (treating any registered investment company or series thereof as a BDC for this purpose) except for limited partners included solely by reason of the reference in Section 57(b) to Section 2(a)(3)(D).</w:t>
      </w:r>
    </w:p>
    <w:p>
      <w:pPr>
        <w:spacing w:after="0" w:line="171" w:lineRule="exact"/>
        <w:rPr>
          <w:sz w:val="20"/>
          <w:szCs w:val="20"/>
          <w:color w:val="auto"/>
        </w:rPr>
      </w:pPr>
    </w:p>
    <w:p>
      <w:pPr>
        <w:ind w:left="4" w:right="100" w:firstLine="44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Co-Investment Program</w:t>
      </w:r>
      <w:r>
        <w:rPr>
          <w:rFonts w:ascii="Times New Roman" w:cs="Times New Roman" w:eastAsia="Times New Roman" w:hAnsi="Times New Roman"/>
          <w:sz w:val="18"/>
          <w:szCs w:val="18"/>
          <w:color w:val="auto"/>
        </w:rPr>
        <w:t>” means the proposed co-investment program that would permit one or more Regulated Funds and/or one or more Affiliated Funds to participate in the same investment opportunities where such participation would otherwise be prohibited under Section 57(a)(4) and Rule 17d–1 by (a) co-investing with each other in securities issued by issuers in private placement transactions in which an Adviser negotiates terms in addition to price;</w:t>
      </w:r>
      <w:r>
        <w:rPr>
          <w:rFonts w:ascii="Times New Roman" w:cs="Times New Roman" w:eastAsia="Times New Roman" w:hAnsi="Times New Roman"/>
          <w:sz w:val="26"/>
          <w:szCs w:val="26"/>
          <w:color w:val="auto"/>
          <w:vertAlign w:val="superscript"/>
        </w:rPr>
        <w:t>9</w:t>
      </w:r>
      <w:r>
        <w:rPr>
          <w:rFonts w:ascii="Times New Roman" w:cs="Times New Roman" w:eastAsia="Times New Roman" w:hAnsi="Times New Roman"/>
          <w:sz w:val="18"/>
          <w:szCs w:val="18"/>
          <w:color w:val="auto"/>
        </w:rPr>
        <w:t xml:space="preserve"> and (b) making Follow-On Investments (as defined below).</w:t>
      </w:r>
    </w:p>
    <w:p>
      <w:pPr>
        <w:spacing w:after="0" w:line="41" w:lineRule="exact"/>
        <w:rPr>
          <w:sz w:val="20"/>
          <w:szCs w:val="20"/>
          <w:color w:val="auto"/>
        </w:rPr>
      </w:pPr>
    </w:p>
    <w:p>
      <w:pPr>
        <w:ind w:left="4" w:right="7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Co-Investment Transaction</w:t>
      </w:r>
      <w:r>
        <w:rPr>
          <w:rFonts w:ascii="Times New Roman" w:cs="Times New Roman" w:eastAsia="Times New Roman" w:hAnsi="Times New Roman"/>
          <w:sz w:val="18"/>
          <w:szCs w:val="18"/>
          <w:color w:val="auto"/>
        </w:rPr>
        <w:t>” means any transaction in which a Regulated Fund (or its Wholly-Owned Investment Sub (defined below)) participated together with one or more Affiliated Funds and/or one or more other Regulated Funds in reliance on the Order.</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Disposition</w:t>
      </w:r>
      <w:r>
        <w:rPr>
          <w:rFonts w:ascii="Times New Roman" w:cs="Times New Roman" w:eastAsia="Times New Roman" w:hAnsi="Times New Roman"/>
          <w:sz w:val="18"/>
          <w:szCs w:val="18"/>
          <w:color w:val="auto"/>
        </w:rPr>
        <w:t>” means the sale, exchange or other disposition of an interest in a security of an issuer.</w:t>
      </w:r>
    </w:p>
    <w:p>
      <w:pPr>
        <w:spacing w:after="0" w:line="225" w:lineRule="exact"/>
        <w:rPr>
          <w:sz w:val="20"/>
          <w:szCs w:val="20"/>
          <w:color w:val="auto"/>
        </w:rPr>
      </w:pPr>
    </w:p>
    <w:p>
      <w:pPr>
        <w:ind w:left="4"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Eligible Directors</w:t>
      </w:r>
      <w:r>
        <w:rPr>
          <w:rFonts w:ascii="Times New Roman" w:cs="Times New Roman" w:eastAsia="Times New Roman" w:hAnsi="Times New Roman"/>
          <w:sz w:val="18"/>
          <w:szCs w:val="18"/>
          <w:color w:val="auto"/>
        </w:rPr>
        <w:t>” means, with respect to a Regulated Fund and a Potential Co-Investment Transaction, the members of the Regulated Fund’s Board eligible to vote on that Potential Co-Investment Transaction under Section 57(o) of the Act.</w:t>
      </w:r>
    </w:p>
    <w:p>
      <w:pPr>
        <w:spacing w:after="0" w:line="155"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Follow-On Investment</w:t>
      </w:r>
      <w:r>
        <w:rPr>
          <w:rFonts w:ascii="Times New Roman" w:cs="Times New Roman" w:eastAsia="Times New Roman" w:hAnsi="Times New Roman"/>
          <w:sz w:val="18"/>
          <w:szCs w:val="18"/>
          <w:color w:val="auto"/>
        </w:rPr>
        <w:t>” means (i) with respect to a Regulated Fund, an additional investment in the same issuer in which the Regulated Fund is currently invested; or (ii) with respect to an Affiliated Fund, (X) an additional investment in the same issuer in which the Affiliated Fund and at least one Regulated Fund are currently invested; or (Y) an investment in an issuer in which at least one Regulated Fund is currently invested but in which the Affiliated Fund does not currently have an investment. An investment in an issuer includes, but is not limited to, the exercise of warrants, conversion privileges or other rights to purchase securities of the issuer.</w:t>
      </w:r>
    </w:p>
    <w:p>
      <w:pPr>
        <w:spacing w:after="0" w:line="179" w:lineRule="exact"/>
        <w:rPr>
          <w:sz w:val="20"/>
          <w:szCs w:val="20"/>
          <w:color w:val="auto"/>
        </w:rPr>
      </w:pPr>
    </w:p>
    <w:p>
      <w:pPr>
        <w:jc w:val="both"/>
        <w:ind w:left="4"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Future Affiliated Fund</w:t>
      </w:r>
      <w:r>
        <w:rPr>
          <w:rFonts w:ascii="Times New Roman" w:cs="Times New Roman" w:eastAsia="Times New Roman" w:hAnsi="Times New Roman"/>
          <w:sz w:val="18"/>
          <w:szCs w:val="18"/>
          <w:color w:val="auto"/>
        </w:rPr>
        <w:t>” means any entity (a) whose investment adviser (and sub-adviser(s), if any) is an Adviser, (b) that either (x) would be an investment company but for Section 3(c)(1), 3(c)(5)(C) or 3(c)(7) of the Act or (y) relies on Rule 3a-7 under the Act, (c) that intends to participate in the Co-Investment Program and (d) that is not a BDC Downstream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715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49" w:lineRule="exact"/>
        <w:rPr>
          <w:sz w:val="20"/>
          <w:szCs w:val="20"/>
          <w:color w:val="auto"/>
        </w:rPr>
      </w:pPr>
    </w:p>
    <w:p>
      <w:pPr>
        <w:ind w:left="424" w:right="180" w:hanging="424"/>
        <w:spacing w:after="0" w:line="208" w:lineRule="auto"/>
        <w:tabs>
          <w:tab w:leader="none" w:pos="424" w:val="left"/>
        </w:tabs>
        <w:numPr>
          <w:ilvl w:val="0"/>
          <w:numId w:val="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term “private placement transactions” means transactions in which the offer and sale of securities by the issuer are exempt from registration under the Securities Act of 1933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6" w:right="459" w:bottom="1440" w:gutter="0" w:footer="0" w:header="0"/>
        </w:sectPr>
      </w:pPr>
    </w:p>
    <w:bookmarkStart w:id="4" w:name="page5"/>
    <w:bookmarkEnd w:id="4"/>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Future Proprietary Accounts</w:t>
      </w:r>
      <w:r>
        <w:rPr>
          <w:rFonts w:ascii="Times New Roman" w:cs="Times New Roman" w:eastAsia="Times New Roman" w:hAnsi="Times New Roman"/>
          <w:sz w:val="18"/>
          <w:szCs w:val="18"/>
          <w:color w:val="auto"/>
        </w:rPr>
        <w:t>” means any direct or indirect, wholly- or majority-owned subsidiary of an Adviser that is formed in the future that, from time to time, may hold various financial assets in a principal capacity.</w:t>
      </w:r>
    </w:p>
    <w:p>
      <w:pPr>
        <w:spacing w:after="0" w:line="155" w:lineRule="exact"/>
        <w:rPr>
          <w:sz w:val="20"/>
          <w:szCs w:val="20"/>
          <w:color w:val="auto"/>
        </w:rPr>
      </w:pPr>
    </w:p>
    <w:p>
      <w:pPr>
        <w:ind w:right="4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Future Regulated Fund</w:t>
      </w:r>
      <w:r>
        <w:rPr>
          <w:rFonts w:ascii="Times New Roman" w:cs="Times New Roman" w:eastAsia="Times New Roman" w:hAnsi="Times New Roman"/>
          <w:sz w:val="18"/>
          <w:szCs w:val="18"/>
          <w:color w:val="auto"/>
        </w:rPr>
        <w:t>” means any closed-end management investment company (a) that is registered under the Act or has elected to be regulated as a BDC, (b) whose investment adviser (and sub-adviser(s), if any) is an Adviser and (c) that intends to participate in the Co-Investment Program.</w:t>
      </w:r>
    </w:p>
    <w:p>
      <w:pPr>
        <w:spacing w:after="0" w:line="171" w:lineRule="exact"/>
        <w:rPr>
          <w:sz w:val="20"/>
          <w:szCs w:val="20"/>
          <w:color w:val="auto"/>
        </w:rPr>
      </w:pPr>
    </w:p>
    <w:p>
      <w:pPr>
        <w:jc w:val="both"/>
        <w:ind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Director</w:t>
      </w:r>
      <w:r>
        <w:rPr>
          <w:rFonts w:ascii="Times New Roman" w:cs="Times New Roman" w:eastAsia="Times New Roman" w:hAnsi="Times New Roman"/>
          <w:sz w:val="18"/>
          <w:szCs w:val="18"/>
          <w:color w:val="auto"/>
        </w:rPr>
        <w:t>” means a member of the Board of any relevant entity who is not an “interested person” as defined in Section 2(a)(19) of the Act. No Independent Director of a Regulated Fund (including any non-interested member of an Independent Party) will have a financial interest in any Co-Investment Transaction, other than indirectly through share ownership in one of the Regulated Funds.</w:t>
      </w:r>
    </w:p>
    <w:p>
      <w:pPr>
        <w:spacing w:after="0" w:line="171" w:lineRule="exact"/>
        <w:rPr>
          <w:sz w:val="20"/>
          <w:szCs w:val="20"/>
          <w:color w:val="auto"/>
        </w:rPr>
      </w:pPr>
    </w:p>
    <w:p>
      <w:pPr>
        <w:ind w:right="2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Party</w:t>
      </w:r>
      <w:r>
        <w:rPr>
          <w:rFonts w:ascii="Times New Roman" w:cs="Times New Roman" w:eastAsia="Times New Roman" w:hAnsi="Times New Roman"/>
          <w:sz w:val="18"/>
          <w:szCs w:val="18"/>
          <w:color w:val="auto"/>
        </w:rPr>
        <w:t>” means, with respect to a BDC Downstream Fund, (i) if the BDC Downstream Fund has a board of directors (or the equivalent), the board or (ii) if the BDC Downstream Fund does not have a board of directors (or the equivalent), a transaction committee or advisory committee of the BDC Downstream Fund.</w:t>
      </w:r>
    </w:p>
    <w:p>
      <w:pPr>
        <w:spacing w:after="0" w:line="171"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JT No-Action Letters</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auto"/>
        </w:rPr>
        <w:t>SMC Capital, Inc.</w:t>
      </w:r>
      <w:r>
        <w:rPr>
          <w:rFonts w:ascii="Times New Roman" w:cs="Times New Roman" w:eastAsia="Times New Roman" w:hAnsi="Times New Roman"/>
          <w:sz w:val="18"/>
          <w:szCs w:val="18"/>
          <w:color w:val="auto"/>
        </w:rPr>
        <w:t xml:space="preserve">, SEC No-Action Letter (pub. avail. Sept. 5, 1995) and </w:t>
      </w:r>
      <w:r>
        <w:rPr>
          <w:rFonts w:ascii="Times New Roman" w:cs="Times New Roman" w:eastAsia="Times New Roman" w:hAnsi="Times New Roman"/>
          <w:sz w:val="18"/>
          <w:szCs w:val="18"/>
          <w:u w:val="single" w:color="auto"/>
          <w:color w:val="auto"/>
        </w:rPr>
        <w:t>Massachusetts Mutual Life Insurance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SEC No-Action Letter (pub. avail. June 7, 2000).</w:t>
      </w:r>
    </w:p>
    <w:p>
      <w:pPr>
        <w:spacing w:after="0" w:line="15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Objectives and Strategies</w:t>
      </w:r>
      <w:r>
        <w:rPr>
          <w:rFonts w:ascii="Times New Roman" w:cs="Times New Roman" w:eastAsia="Times New Roman" w:hAnsi="Times New Roman"/>
          <w:sz w:val="18"/>
          <w:szCs w:val="18"/>
          <w:color w:val="auto"/>
        </w:rPr>
        <w:t>” means (i) with respect to any Regulated Fund other than a BDC Downstream Fund, its investment objectives and strategies, as described in its most current registration statement on Form N-2, other current filings with the Commission under the Securities Act or under the Securities Exchange Act of 1934, as amended, and its most current report to stockholders, and (ii) with respect to any BDC Downstream Fund, those investment objectives and strategies described in its disclosure documents (including private placement memoranda and reports to equity holders) and organizational documents (including operating agreements).</w:t>
      </w:r>
    </w:p>
    <w:p>
      <w:pPr>
        <w:spacing w:after="0" w:line="179" w:lineRule="exact"/>
        <w:rPr>
          <w:sz w:val="20"/>
          <w:szCs w:val="20"/>
          <w:color w:val="auto"/>
        </w:rPr>
      </w:pPr>
    </w:p>
    <w:p>
      <w:pPr>
        <w:ind w:right="12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Potential Co-Investment Transaction</w:t>
      </w:r>
      <w:r>
        <w:rPr>
          <w:rFonts w:ascii="Times New Roman" w:cs="Times New Roman" w:eastAsia="Times New Roman" w:hAnsi="Times New Roman"/>
          <w:sz w:val="17"/>
          <w:szCs w:val="17"/>
          <w:color w:val="auto"/>
        </w:rPr>
        <w:t>” means any investment opportunity in which a Regulated Fund (or its Wholly-Owned Investment Sub) could not participate together with one or more Affiliated Funds and/or one or more other Regulated Funds without obtaining and relying on the Order.</w:t>
      </w:r>
    </w:p>
    <w:p>
      <w:pPr>
        <w:spacing w:after="0" w:line="132"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Pre-Boarding Investments</w:t>
      </w:r>
      <w:r>
        <w:rPr>
          <w:rFonts w:ascii="Times New Roman" w:cs="Times New Roman" w:eastAsia="Times New Roman" w:hAnsi="Times New Roman"/>
          <w:sz w:val="18"/>
          <w:szCs w:val="18"/>
          <w:color w:val="auto"/>
        </w:rPr>
        <w:t>” are investments in an issuer held by a Regulated Fund as well as one or more Affiliated Funds and/or one or more other Regulated Funds that were acquired prior to participating in any Co-Investment Transaction:</w:t>
      </w:r>
    </w:p>
    <w:p>
      <w:pPr>
        <w:spacing w:after="0" w:line="64" w:lineRule="exact"/>
        <w:rPr>
          <w:sz w:val="20"/>
          <w:szCs w:val="20"/>
          <w:color w:val="auto"/>
        </w:rPr>
      </w:pPr>
    </w:p>
    <w:p>
      <w:pPr>
        <w:ind w:left="1960" w:right="620" w:hanging="533"/>
        <w:spacing w:after="0" w:line="282" w:lineRule="auto"/>
        <w:tabs>
          <w:tab w:leader="none" w:pos="1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in which the only term negotiated by or on behalf of such funds was price in reliance on one of the JT No-Action Letters; or</w:t>
      </w:r>
    </w:p>
    <w:p>
      <w:pPr>
        <w:spacing w:after="0" w:line="67" w:lineRule="exact"/>
        <w:rPr>
          <w:rFonts w:ascii="Times New Roman" w:cs="Times New Roman" w:eastAsia="Times New Roman" w:hAnsi="Times New Roman"/>
          <w:sz w:val="18"/>
          <w:szCs w:val="18"/>
          <w:color w:val="auto"/>
        </w:rPr>
      </w:pPr>
    </w:p>
    <w:p>
      <w:pPr>
        <w:ind w:left="1960" w:hanging="533"/>
        <w:spacing w:after="0" w:line="282" w:lineRule="auto"/>
        <w:tabs>
          <w:tab w:leader="none" w:pos="1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occurring at least 90 days apart and without coordination between the Regulated Fund and any Affiliated Fund or other Regulated Fund;</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Regulated Funds</w:t>
      </w:r>
      <w:r>
        <w:rPr>
          <w:rFonts w:ascii="Times New Roman" w:cs="Times New Roman" w:eastAsia="Times New Roman" w:hAnsi="Times New Roman"/>
          <w:sz w:val="18"/>
          <w:szCs w:val="18"/>
          <w:color w:val="auto"/>
        </w:rPr>
        <w:t>” means BCPL, PTMN, LRFC, ACIF, OCIF, the Future Regulated Funds and the BDC Downstream Funds.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Party</w:t>
      </w:r>
      <w:r>
        <w:rPr>
          <w:rFonts w:ascii="Times New Roman" w:cs="Times New Roman" w:eastAsia="Times New Roman" w:hAnsi="Times New Roman"/>
          <w:sz w:val="18"/>
          <w:szCs w:val="18"/>
          <w:color w:val="auto"/>
        </w:rPr>
        <w:t>” means (i) any Close Affiliate and (ii) in respect of matters as to which any Adviser has knowledge, any Remote Affiliate.</w:t>
      </w:r>
    </w:p>
    <w:p>
      <w:pPr>
        <w:spacing w:after="0" w:line="225"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Remote Affiliate</w:t>
      </w:r>
      <w:r>
        <w:rPr>
          <w:rFonts w:ascii="Times New Roman" w:cs="Times New Roman" w:eastAsia="Times New Roman" w:hAnsi="Times New Roman"/>
          <w:sz w:val="18"/>
          <w:szCs w:val="18"/>
          <w:color w:val="auto"/>
        </w:rPr>
        <w:t>” means any person described in Section 57(e) in respect of any Regulated Fund (treating any registered investment company or series thereof as a BDC for this purpose) and any limited partner holding 5% or more of the relevant limited partner interests that would be a Close Affiliate but for the exclusion in that definition.</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5" w:name="page6"/>
    <w:bookmarkEnd w:id="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Required Majority</w:t>
      </w:r>
      <w:r>
        <w:rPr>
          <w:rFonts w:ascii="Times New Roman" w:cs="Times New Roman" w:eastAsia="Times New Roman" w:hAnsi="Times New Roman"/>
          <w:sz w:val="18"/>
          <w:szCs w:val="18"/>
          <w:color w:val="auto"/>
        </w:rPr>
        <w:t>” means a required majority, as defined in Section 57(o) of the Act.</w:t>
      </w:r>
      <w:r>
        <w:rPr>
          <w:rFonts w:ascii="Times New Roman" w:cs="Times New Roman" w:eastAsia="Times New Roman" w:hAnsi="Times New Roman"/>
          <w:sz w:val="26"/>
          <w:szCs w:val="26"/>
          <w:color w:val="auto"/>
          <w:vertAlign w:val="superscript"/>
        </w:rPr>
        <w:t>10</w:t>
      </w:r>
    </w:p>
    <w:p>
      <w:pPr>
        <w:spacing w:after="0" w:line="13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Tradable Security</w:t>
      </w:r>
      <w:r>
        <w:rPr>
          <w:rFonts w:ascii="Times New Roman" w:cs="Times New Roman" w:eastAsia="Times New Roman" w:hAnsi="Times New Roman"/>
          <w:sz w:val="18"/>
          <w:szCs w:val="18"/>
          <w:color w:val="auto"/>
        </w:rPr>
        <w:t>” means a security that meets the following criteria at the time of Disposition:</w:t>
      </w:r>
    </w:p>
    <w:p>
      <w:pPr>
        <w:spacing w:after="0" w:line="135" w:lineRule="exact"/>
        <w:rPr>
          <w:sz w:val="20"/>
          <w:szCs w:val="20"/>
          <w:color w:val="auto"/>
        </w:rPr>
      </w:pPr>
    </w:p>
    <w:p>
      <w:pPr>
        <w:ind w:left="1964" w:right="560" w:hanging="533"/>
        <w:spacing w:after="0" w:line="282" w:lineRule="auto"/>
        <w:tabs>
          <w:tab w:leader="none" w:pos="19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trades on a national securities exchange or designated offshore securities market as defined in rule 902(b) under the Securities Act;</w:t>
      </w:r>
    </w:p>
    <w:p>
      <w:pPr>
        <w:spacing w:after="0" w:line="67"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subject to restrictive agreements with the issuer or other security holders; and</w:t>
      </w:r>
    </w:p>
    <w:p>
      <w:pPr>
        <w:spacing w:after="0" w:line="130" w:lineRule="exact"/>
        <w:rPr>
          <w:rFonts w:ascii="Times New Roman" w:cs="Times New Roman" w:eastAsia="Times New Roman" w:hAnsi="Times New Roman"/>
          <w:sz w:val="18"/>
          <w:szCs w:val="18"/>
          <w:color w:val="auto"/>
        </w:rPr>
      </w:pPr>
    </w:p>
    <w:p>
      <w:pPr>
        <w:ind w:left="1964" w:right="40" w:hanging="533"/>
        <w:spacing w:after="0" w:line="261" w:lineRule="auto"/>
        <w:tabs>
          <w:tab w:leader="none" w:pos="19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trades with sufficient volume and liquidity (findings as to which are documented by the Advisers to any Regulated Funds holding investments in the issuer and retained for the life of the Regulated Fund) to allow each Regulated Fund to dispose of its entire position remaining after the proposed Disposition within a short period of time not exceeding 30 days at approximately the value (as defined by section 2(a)(41) of the Act) at which the Regulated Fund has valued the investment.</w:t>
      </w:r>
    </w:p>
    <w:p>
      <w:pPr>
        <w:spacing w:after="0" w:line="176" w:lineRule="exact"/>
        <w:rPr>
          <w:sz w:val="20"/>
          <w:szCs w:val="20"/>
          <w:color w:val="auto"/>
        </w:rPr>
      </w:pPr>
    </w:p>
    <w:p>
      <w:pPr>
        <w:ind w:left="4" w:right="40" w:firstLine="440"/>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Wholly-Owned Investment Sub</w:t>
      </w:r>
      <w:r>
        <w:rPr>
          <w:rFonts w:ascii="Times New Roman" w:cs="Times New Roman" w:eastAsia="Times New Roman" w:hAnsi="Times New Roman"/>
          <w:sz w:val="18"/>
          <w:szCs w:val="18"/>
          <w:color w:val="auto"/>
        </w:rPr>
        <w:t>” means an entity (i) that is a wholly-owned</w:t>
      </w:r>
      <w:r>
        <w:rPr>
          <w:rFonts w:ascii="Times New Roman" w:cs="Times New Roman" w:eastAsia="Times New Roman" w:hAnsi="Times New Roman"/>
          <w:sz w:val="26"/>
          <w:szCs w:val="26"/>
          <w:color w:val="auto"/>
          <w:vertAlign w:val="superscript"/>
        </w:rPr>
        <w:t>11</w:t>
      </w:r>
      <w:r>
        <w:rPr>
          <w:rFonts w:ascii="Times New Roman" w:cs="Times New Roman" w:eastAsia="Times New Roman" w:hAnsi="Times New Roman"/>
          <w:sz w:val="18"/>
          <w:szCs w:val="18"/>
          <w:color w:val="auto"/>
        </w:rPr>
        <w:t xml:space="preserve"> subsidiary of a Regulated Fund or a Future Regulated Fund (with such Regulated Fund at all times holding, beneficially and of record, 95% of the voting and economic interests); (ii) whose sole business purpose is to hold one or more investments on behalf of such Regulated Fund; (iii) with respect to which such Regulated Fund’s Board has the sole authority to make all determinations with respect to the entity’s participation under the Conditions to this application; and (iv) that would be an investment company but for Section 3(c)(1) or 3(c)(7) of the Act.</w:t>
      </w:r>
    </w:p>
    <w:p>
      <w:pPr>
        <w:spacing w:after="0" w:line="103" w:lineRule="exact"/>
        <w:rPr>
          <w:sz w:val="20"/>
          <w:szCs w:val="20"/>
          <w:color w:val="auto"/>
        </w:rPr>
      </w:pPr>
    </w:p>
    <w:p>
      <w:pPr>
        <w:ind w:left="544" w:hanging="544"/>
        <w:spacing w:after="0"/>
        <w:tabs>
          <w:tab w:leader="none" w:pos="54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APPLICANTS</w:t>
      </w:r>
    </w:p>
    <w:p>
      <w:pPr>
        <w:spacing w:after="0" w:line="225"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color w:val="auto"/>
        </w:rPr>
        <w:t>Each Applicant below may be deemed to be directly or indirectly controlled by BC Partners LLP (“</w:t>
      </w:r>
      <w:r>
        <w:rPr>
          <w:rFonts w:ascii="Times New Roman" w:cs="Times New Roman" w:eastAsia="Times New Roman" w:hAnsi="Times New Roman"/>
          <w:sz w:val="18"/>
          <w:szCs w:val="18"/>
          <w:b w:val="1"/>
          <w:bCs w:val="1"/>
          <w:i w:val="1"/>
          <w:iCs w:val="1"/>
          <w:color w:val="auto"/>
        </w:rPr>
        <w:t>BC Partners</w:t>
      </w:r>
      <w:r>
        <w:rPr>
          <w:rFonts w:ascii="Times New Roman" w:cs="Times New Roman" w:eastAsia="Times New Roman" w:hAnsi="Times New Roman"/>
          <w:sz w:val="18"/>
          <w:szCs w:val="18"/>
          <w:color w:val="auto"/>
        </w:rPr>
        <w:t>”). BC Partners owns controlling interests in BCPA and Sierra Crest, and thus may be deemed to control the Regulated Funds and Affiliated Funds. MLC and MLM may be deemed to be under common control with BCPA and Sierra Crest because under a shared resources agreement between BC Partners and MLC, the individuals responsible for the day-to-day operations of BCPA and Sierra Crest are the same individuals responsible for the day-to-day operations of MLC and MLM.</w:t>
      </w:r>
    </w:p>
    <w:p>
      <w:pPr>
        <w:spacing w:after="0" w:line="89" w:lineRule="exact"/>
        <w:rPr>
          <w:sz w:val="20"/>
          <w:szCs w:val="20"/>
          <w:color w:val="auto"/>
        </w:rPr>
      </w:pPr>
    </w:p>
    <w:p>
      <w:pPr>
        <w:ind w:left="544" w:hanging="544"/>
        <w:spacing w:after="0"/>
        <w:tabs>
          <w:tab w:leader="none" w:pos="5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BC Partners Lending Corporation.</w:t>
      </w:r>
    </w:p>
    <w:p>
      <w:pPr>
        <w:spacing w:after="0" w:line="225"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BCPL, a Maryland corporation, is a closed-end management investment company that has elected to be regulated as a BDC under the Act. BCPL filed a registration statement on Form 10 to register its shares of common stock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under the Securities Exchange Act of 1934, as amended. The registration statement on Form 10 and subsequent reports filed on Forms 10-K and 10-Q include information regarding BCPL’s investment objectives and strategies. BCPL commenced investment activities on October 16, 2019. The Company does not currently intend to register its securities on Form N-2 in reliance on Regulation D under the 1933 Act.</w:t>
      </w:r>
    </w:p>
    <w:p>
      <w:pPr>
        <w:spacing w:after="0" w:line="183" w:lineRule="exact"/>
        <w:rPr>
          <w:sz w:val="20"/>
          <w:szCs w:val="20"/>
          <w:color w:val="auto"/>
        </w:rPr>
      </w:pPr>
    </w:p>
    <w:p>
      <w:pPr>
        <w:ind w:left="4" w:right="160" w:firstLine="440"/>
        <w:spacing w:after="0" w:line="261" w:lineRule="auto"/>
        <w:rPr>
          <w:sz w:val="20"/>
          <w:szCs w:val="20"/>
          <w:color w:val="auto"/>
        </w:rPr>
      </w:pPr>
      <w:r>
        <w:rPr>
          <w:rFonts w:ascii="Times New Roman" w:cs="Times New Roman" w:eastAsia="Times New Roman" w:hAnsi="Times New Roman"/>
          <w:sz w:val="18"/>
          <w:szCs w:val="18"/>
          <w:color w:val="auto"/>
        </w:rPr>
        <w:t>BCPL was formed primarily to invest in the U.S. middle-market credit sector. BCPL’s investment objective is to make investments that generate current income and, to a lesser extent, capital appreciation. BCPL invests primarily in private middle-market companies in the form of secured debt, unsecured debt, other debt and/or equity securities. In addition, to a lesser extent, BCPL may invest in securities of public companies and in structured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3" w:lineRule="exact"/>
        <w:rPr>
          <w:sz w:val="20"/>
          <w:szCs w:val="20"/>
          <w:color w:val="auto"/>
        </w:rPr>
      </w:pPr>
    </w:p>
    <w:p>
      <w:pPr>
        <w:ind w:left="424" w:hanging="424"/>
        <w:spacing w:after="0" w:line="234" w:lineRule="auto"/>
        <w:tabs>
          <w:tab w:leader="none" w:pos="424" w:val="left"/>
        </w:tabs>
        <w:numPr>
          <w:ilvl w:val="0"/>
          <w:numId w:val="1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 the case of a Regulated Fund that is a registered closed-end fund, the Board members that make up the Required Majority will be determined as if the Regulated Fund were a BDC subject to Section 57(o). In the case of a BDC Downstream Fund with a board of directors (or the equivalent), the members that make up the Required Majority will be determined as if the BDC Downstream Fund were a BDC subject to Section 57(o). In the case of a BDC Downstream Fund with a transaction committee or advisory committee, the committee members that make up the Required Majority will be determined as if the BDC Downstream Fund were a BDC subject to Section 57(o) and as if the committee members were directors of the fund.</w:t>
      </w:r>
    </w:p>
    <w:p>
      <w:pPr>
        <w:spacing w:after="0" w:line="2" w:lineRule="exact"/>
        <w:rPr>
          <w:rFonts w:ascii="Times New Roman" w:cs="Times New Roman" w:eastAsia="Times New Roman" w:hAnsi="Times New Roman"/>
          <w:sz w:val="27"/>
          <w:szCs w:val="27"/>
          <w:color w:val="auto"/>
          <w:vertAlign w:val="superscript"/>
        </w:rPr>
      </w:pPr>
    </w:p>
    <w:p>
      <w:pPr>
        <w:ind w:left="424" w:right="460" w:hanging="424"/>
        <w:spacing w:after="0" w:line="200" w:lineRule="auto"/>
        <w:tabs>
          <w:tab w:leader="none" w:pos="424" w:val="left"/>
        </w:tabs>
        <w:numPr>
          <w:ilvl w:val="0"/>
          <w:numId w:val="1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 “wholly-owned subsidiary” of a person is as defined in Section 2(a)(43) of the Act and means a company 95% or more of the outstanding voting securities of which are owned by such person.</w:t>
      </w:r>
    </w:p>
    <w:p>
      <w:pPr>
        <w:spacing w:after="0" w:line="1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66" w:right="479" w:bottom="1440" w:gutter="0" w:footer="0" w:header="0"/>
        </w:sectPr>
      </w:pPr>
    </w:p>
    <w:bookmarkStart w:id="6" w:name="page7"/>
    <w:bookmarkEnd w:id="6"/>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BCPL is managed by a board of directors currently comprising four persons, of which three of the members are Independent Directors.</w:t>
      </w:r>
    </w:p>
    <w:p>
      <w:pPr>
        <w:spacing w:after="0" w:line="221" w:lineRule="exact"/>
        <w:rPr>
          <w:sz w:val="20"/>
          <w:szCs w:val="20"/>
          <w:color w:val="auto"/>
        </w:rPr>
      </w:pPr>
    </w:p>
    <w:p>
      <w:pPr>
        <w:ind w:left="4" w:right="280" w:firstLine="440"/>
        <w:spacing w:after="0" w:line="286" w:lineRule="auto"/>
        <w:rPr>
          <w:sz w:val="20"/>
          <w:szCs w:val="20"/>
          <w:color w:val="auto"/>
        </w:rPr>
      </w:pPr>
      <w:r>
        <w:rPr>
          <w:rFonts w:ascii="Times New Roman" w:cs="Times New Roman" w:eastAsia="Times New Roman" w:hAnsi="Times New Roman"/>
          <w:sz w:val="18"/>
          <w:szCs w:val="18"/>
          <w:color w:val="auto"/>
        </w:rPr>
        <w:t>BCPL intends to qualify each year for treatment as a regulated investment company (“</w:t>
      </w:r>
      <w:r>
        <w:rPr>
          <w:rFonts w:ascii="Times New Roman" w:cs="Times New Roman" w:eastAsia="Times New Roman" w:hAnsi="Times New Roman"/>
          <w:sz w:val="18"/>
          <w:szCs w:val="18"/>
          <w:b w:val="1"/>
          <w:bCs w:val="1"/>
          <w:i w:val="1"/>
          <w:iCs w:val="1"/>
          <w:color w:val="auto"/>
        </w:rPr>
        <w:t>RIC</w:t>
      </w:r>
      <w:r>
        <w:rPr>
          <w:rFonts w:ascii="Times New Roman" w:cs="Times New Roman" w:eastAsia="Times New Roman" w:hAnsi="Times New Roman"/>
          <w:sz w:val="18"/>
          <w:szCs w:val="18"/>
          <w:color w:val="auto"/>
        </w:rPr>
        <w:t>”) under Subchapter M of the U.S. Internal Revenue Code of 1986, as amended.</w:t>
      </w:r>
    </w:p>
    <w:p>
      <w:pPr>
        <w:spacing w:after="0" w:line="64" w:lineRule="exact"/>
        <w:rPr>
          <w:sz w:val="20"/>
          <w:szCs w:val="20"/>
          <w:color w:val="auto"/>
        </w:rPr>
      </w:pPr>
    </w:p>
    <w:p>
      <w:pPr>
        <w:ind w:left="544" w:hanging="544"/>
        <w:spacing w:after="0"/>
        <w:tabs>
          <w:tab w:leader="none" w:pos="5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Portman Ridge Finance Corporation</w:t>
      </w:r>
    </w:p>
    <w:p>
      <w:pPr>
        <w:spacing w:after="0" w:line="225" w:lineRule="exact"/>
        <w:rPr>
          <w:sz w:val="20"/>
          <w:szCs w:val="20"/>
          <w:color w:val="auto"/>
        </w:rPr>
      </w:pPr>
    </w:p>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PTMN, formerly known as KCAP Financial, Inc., is an externally managed, non-diversified closed-end investment company that has elected to be regulated as a BDC under the Act. PTMN was formed as a Delaware limited liability company on August 8, 2006 and, prior to the issuance of shares of the Company’s common stock in its initial public offering, converted to a corporation incorporated in Delaware on December 11, 2006.</w:t>
      </w:r>
    </w:p>
    <w:p>
      <w:pPr>
        <w:spacing w:after="0" w:line="176" w:lineRule="exact"/>
        <w:rPr>
          <w:sz w:val="20"/>
          <w:szCs w:val="20"/>
          <w:color w:val="auto"/>
        </w:rPr>
      </w:pPr>
    </w:p>
    <w:p>
      <w:pPr>
        <w:ind w:left="4" w:right="320" w:firstLine="440"/>
        <w:spacing w:after="0" w:line="282" w:lineRule="auto"/>
        <w:rPr>
          <w:sz w:val="20"/>
          <w:szCs w:val="20"/>
          <w:color w:val="auto"/>
        </w:rPr>
      </w:pPr>
      <w:r>
        <w:rPr>
          <w:rFonts w:ascii="Times New Roman" w:cs="Times New Roman" w:eastAsia="Times New Roman" w:hAnsi="Times New Roman"/>
          <w:sz w:val="18"/>
          <w:szCs w:val="18"/>
          <w:color w:val="auto"/>
        </w:rPr>
        <w:t>PTMN’s primary investment objective to generate current income and capital appreciation by lending directly to privately-held middle market companies.</w:t>
      </w:r>
    </w:p>
    <w:p>
      <w:pPr>
        <w:spacing w:after="0" w:line="162"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Sierra Crest serves as investment adviser to PTMN and is responsible for managing the Fund’s investment activities, subject to the supervision of PTMN’s Board of Directors. PTMN’s Board of Directors consists of eight members, seven of whom are Independent Directors.</w:t>
      </w:r>
    </w:p>
    <w:p>
      <w:pPr>
        <w:spacing w:after="0" w:line="67" w:lineRule="exact"/>
        <w:rPr>
          <w:sz w:val="20"/>
          <w:szCs w:val="20"/>
          <w:color w:val="auto"/>
        </w:rPr>
      </w:pPr>
    </w:p>
    <w:p>
      <w:pPr>
        <w:ind w:left="544" w:hanging="544"/>
        <w:spacing w:after="0"/>
        <w:tabs>
          <w:tab w:leader="none" w:pos="54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Logan Ridge Finance Corporation</w:t>
      </w:r>
    </w:p>
    <w:p>
      <w:pPr>
        <w:spacing w:after="0" w:line="225"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LRFC, formerly known as Capitala Finance Corp., is an externally managed, non-diversified, closed-end investment company that has elected to be regulated as a BDC under the Act. LRFC commenced operations as a Maryland corporation on May 24, 2013 and completed its initial public offering on September 20, 2013.</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LRFC invests primarily in first lien loans and, to a lesser extent, second lien loans and equity securities issued by lower middle market companies.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LRFC invests in performing, well-established middle market businesses that operate across a wide range of industries.</w:t>
      </w:r>
    </w:p>
    <w:p>
      <w:pPr>
        <w:spacing w:after="0" w:line="207"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MLM serves as investment adviser to LRFC and is responsible for managing LRFC’s investment activities, subject to the supervision of LRFC’s Board of Directors. LRFC’s Board of Directors consists of four members, three of whom are Independent Directors.</w:t>
      </w:r>
    </w:p>
    <w:p>
      <w:pPr>
        <w:spacing w:after="0" w:line="67" w:lineRule="exact"/>
        <w:rPr>
          <w:sz w:val="20"/>
          <w:szCs w:val="20"/>
          <w:color w:val="auto"/>
        </w:rPr>
      </w:pPr>
    </w:p>
    <w:p>
      <w:pPr>
        <w:ind w:left="544" w:hanging="544"/>
        <w:spacing w:after="0"/>
        <w:tabs>
          <w:tab w:leader="none" w:pos="54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Alternative Credit Income Fund</w:t>
      </w:r>
    </w:p>
    <w:p>
      <w:pPr>
        <w:spacing w:after="0" w:line="225"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ACIF is a continuously offered, diversified, closed-end management investment company that is operated as an interval fund. ACIF was organized as a Delaware statutory trust on December 11, 2014. ACIF’s investment objectives are to produce current income and achieve capital preservation with moderate volatility and low to moderate correlation to the broader equity markets.</w:t>
      </w:r>
    </w:p>
    <w:p>
      <w:pPr>
        <w:spacing w:after="0" w:line="176" w:lineRule="exact"/>
        <w:rPr>
          <w:sz w:val="20"/>
          <w:szCs w:val="20"/>
          <w:color w:val="auto"/>
        </w:rPr>
      </w:pPr>
    </w:p>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t>Sierra Crest has served as investment adviser to ACIF since October 31, 2020. ACIF’s Board of Trustees consists of 4 members, three of whom are Independent Directors.</w:t>
      </w:r>
    </w:p>
    <w:p>
      <w:pPr>
        <w:spacing w:after="0" w:line="67" w:lineRule="exact"/>
        <w:rPr>
          <w:sz w:val="20"/>
          <w:szCs w:val="20"/>
          <w:color w:val="auto"/>
        </w:rPr>
      </w:pPr>
    </w:p>
    <w:p>
      <w:pPr>
        <w:ind w:left="544" w:hanging="544"/>
        <w:spacing w:after="0"/>
        <w:tabs>
          <w:tab w:leader="none" w:pos="5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Opportunistic Credit Interval Fund</w:t>
      </w:r>
    </w:p>
    <w:p>
      <w:pPr>
        <w:spacing w:after="0" w:line="225"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OCIF is a newly-formed, continuously offered, diversified, closed-end management investment company that is operated as an interval fund. The Fund was organized as a Delaware statutory trust on January 21, 2022 and has no history of operations. OCIF’s investment objectives are to produce current income and capital appreciation.</w:t>
      </w:r>
    </w:p>
    <w:p>
      <w:pPr>
        <w:spacing w:after="0" w:line="176"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MLM serves as the investment adviser to OCIF. OCIF’s Board of Trustees consists of 4 members, three of whom are Independent Directors.</w:t>
      </w:r>
    </w:p>
    <w:p>
      <w:pPr>
        <w:spacing w:after="0" w:line="131" w:lineRule="exact"/>
        <w:rPr>
          <w:sz w:val="20"/>
          <w:szCs w:val="20"/>
          <w:color w:val="auto"/>
        </w:rPr>
      </w:pPr>
    </w:p>
    <w:p>
      <w:pPr>
        <w:ind w:left="544" w:hanging="544"/>
        <w:spacing w:after="0"/>
        <w:tabs>
          <w:tab w:leader="none" w:pos="54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BC Partners Advisors L.P.</w:t>
      </w:r>
    </w:p>
    <w:p>
      <w:pPr>
        <w:spacing w:after="0" w:line="225"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BCPA, a Delaware limited partnership formed on March 29, 2017 and an investment adviser registered with the Commission under the Advisers Act, serves as investment adviser to BCPL pursuant to an investment advisory agreement with such entity. Under each investment advisory agreement, BCPA manages the assets of such entity in accordance with the investment objective, policies and restrictions of such entity, makes investment decisions for such entity, monitors the investments of such entity, and provides such entity with such other investment advisory and related services that such entity may reasonably require for the investment of capital, subject, in the case of BCPL, to the oversight of its Board.</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7" w:name="page8"/>
    <w:bookmarkEnd w:id="7"/>
    <w:p>
      <w:pPr>
        <w:ind w:left="544" w:hanging="544"/>
        <w:spacing w:after="0"/>
        <w:tabs>
          <w:tab w:leader="none" w:pos="54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Sierra Crest Management LLC</w:t>
      </w:r>
    </w:p>
    <w:p>
      <w:pPr>
        <w:spacing w:after="0" w:line="225"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Sierra Crest, a Delaware limited liability company formed on December 4, 2019 and an investment adviser registered with the Commission under the Advisers Act, is an affiliate of BCPA and serves as investment adviser to PTMN and ACIF, in each case, pursuant to an investment advisory agreement with such entity. Under the investment advisory agreements, Sierra Crest manages the assets of each entity in accordance with the investment objective, policies and restrictions of each entity, makes investment decisions for each entity, monitors the investments of each entity, and provides each entity with such other investment advisory and related services that each entity may reasonably require for the investment of capital, subject, in the case of PTMN, to the oversight of its Board.</w:t>
      </w:r>
    </w:p>
    <w:p>
      <w:pPr>
        <w:spacing w:after="0" w:line="93" w:lineRule="exact"/>
        <w:rPr>
          <w:sz w:val="20"/>
          <w:szCs w:val="20"/>
          <w:color w:val="auto"/>
        </w:rPr>
      </w:pPr>
    </w:p>
    <w:p>
      <w:pPr>
        <w:ind w:left="544" w:hanging="544"/>
        <w:spacing w:after="0"/>
        <w:tabs>
          <w:tab w:leader="none" w:pos="5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Mount Logan Management, LLC</w:t>
      </w:r>
    </w:p>
    <w:p>
      <w:pPr>
        <w:spacing w:after="0" w:line="225"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MLM, a Delaware limited liability company organized in 2020 and registered with the Commission under the Advisers Act, is a wholly-owned subsidiary of MLC and serves as investment adviser to LRFC, OCIF, to certain Existing Affiliated Funds and an Existing Proprietary Account. pursuant to investment advisory agreements. Under the investment advisory agreements, MLM manages the assets of such entity in accordance with the investment objective, policies and restrictions of the entity, makes investment decisions for the entity, monitors the investments of the entity, and provides the entity with such other investment advisory and related services that each entity may reasonably require for the investment of capital.</w:t>
      </w:r>
    </w:p>
    <w:p>
      <w:pPr>
        <w:spacing w:after="0" w:line="183" w:lineRule="exact"/>
        <w:rPr>
          <w:sz w:val="20"/>
          <w:szCs w:val="20"/>
          <w:color w:val="auto"/>
        </w:rPr>
      </w:pPr>
    </w:p>
    <w:p>
      <w:pPr>
        <w:ind w:left="4" w:right="480" w:firstLine="440"/>
        <w:spacing w:after="0" w:line="282" w:lineRule="auto"/>
        <w:rPr>
          <w:sz w:val="20"/>
          <w:szCs w:val="20"/>
          <w:color w:val="auto"/>
        </w:rPr>
      </w:pPr>
      <w:r>
        <w:rPr>
          <w:rFonts w:ascii="Times New Roman" w:cs="Times New Roman" w:eastAsia="Times New Roman" w:hAnsi="Times New Roman"/>
          <w:sz w:val="18"/>
          <w:szCs w:val="18"/>
          <w:color w:val="auto"/>
        </w:rPr>
        <w:t>Pursuant to a servicing agreement, BC Partners provides MLM with various resources and services. The individuals who handle investment management operations for MLM are the same individuals who serve in similar roles for BCPA and Sierra Crest.</w:t>
      </w:r>
    </w:p>
    <w:p>
      <w:pPr>
        <w:spacing w:after="0" w:line="67" w:lineRule="exact"/>
        <w:rPr>
          <w:sz w:val="20"/>
          <w:szCs w:val="20"/>
          <w:color w:val="auto"/>
        </w:rPr>
      </w:pPr>
    </w:p>
    <w:p>
      <w:pPr>
        <w:ind w:left="544" w:hanging="544"/>
        <w:spacing w:after="0"/>
        <w:tabs>
          <w:tab w:leader="none" w:pos="5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Mount Logan Capital Inc.</w:t>
      </w:r>
    </w:p>
    <w:p>
      <w:pPr>
        <w:spacing w:after="0" w:line="225"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MLC is a Canadian alternative asset management company that is focused on investing in public and private debt securities in the North American market. MLC is managed by the founders of BC Partners’ credit-management division. MLC actively sources, evaluates, underwrites, monitors, and primarily invests in loans, debt securities, and other credit-oriented instruments that present attractive risk-adjusted returns and present low risk of principal impairment through the credit cycle. MLC is the parent of MLM.</w:t>
      </w:r>
    </w:p>
    <w:p>
      <w:pPr>
        <w:spacing w:after="0" w:line="85" w:lineRule="exact"/>
        <w:rPr>
          <w:sz w:val="20"/>
          <w:szCs w:val="20"/>
          <w:color w:val="auto"/>
        </w:rPr>
      </w:pPr>
    </w:p>
    <w:p>
      <w:pPr>
        <w:ind w:left="544" w:hanging="544"/>
        <w:spacing w:after="0"/>
        <w:tabs>
          <w:tab w:leader="none" w:pos="5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Affiliated Funds</w:t>
      </w:r>
    </w:p>
    <w:p>
      <w:pPr>
        <w:spacing w:after="0" w:line="225" w:lineRule="exact"/>
        <w:rPr>
          <w:sz w:val="20"/>
          <w:szCs w:val="20"/>
          <w:color w:val="auto"/>
        </w:rPr>
      </w:pPr>
    </w:p>
    <w:p>
      <w:pPr>
        <w:ind w:left="4" w:right="500" w:firstLine="440"/>
        <w:spacing w:after="0" w:line="282" w:lineRule="auto"/>
        <w:rPr>
          <w:sz w:val="20"/>
          <w:szCs w:val="20"/>
          <w:color w:val="auto"/>
        </w:rPr>
      </w:pPr>
      <w:r>
        <w:rPr>
          <w:rFonts w:ascii="Times New Roman" w:cs="Times New Roman" w:eastAsia="Times New Roman" w:hAnsi="Times New Roman"/>
          <w:sz w:val="18"/>
          <w:szCs w:val="18"/>
          <w:color w:val="auto"/>
        </w:rPr>
        <w:t>The Existing Affiliated Funds are advised by the Existing Advisers. A complete list of the Existing Affiliated Funds with the corresponding Existing Advisers is included in Appendix A.</w:t>
      </w:r>
    </w:p>
    <w:p>
      <w:pPr>
        <w:spacing w:after="0" w:line="67" w:lineRule="exact"/>
        <w:rPr>
          <w:sz w:val="20"/>
          <w:szCs w:val="20"/>
          <w:color w:val="auto"/>
        </w:rPr>
      </w:pPr>
    </w:p>
    <w:p>
      <w:pPr>
        <w:ind w:left="544" w:hanging="544"/>
        <w:spacing w:after="0"/>
        <w:tabs>
          <w:tab w:leader="none" w:pos="5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Proprietary Accounts</w:t>
      </w:r>
    </w:p>
    <w:p>
      <w:pPr>
        <w:spacing w:after="0" w:line="225" w:lineRule="exact"/>
        <w:rPr>
          <w:sz w:val="20"/>
          <w:szCs w:val="20"/>
          <w:color w:val="auto"/>
        </w:rPr>
      </w:pPr>
    </w:p>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t>The Existing Proprietary Accounts are MLC (as defined above), Great Lakes Senior MLC I LLC and Ability Insurance Company. The Existing Proprietary Accounts will hold various financial assets in a principal capacity.</w:t>
      </w:r>
    </w:p>
    <w:p>
      <w:pPr>
        <w:spacing w:after="0" w:line="162" w:lineRule="exact"/>
        <w:rPr>
          <w:sz w:val="20"/>
          <w:szCs w:val="20"/>
          <w:color w:val="auto"/>
        </w:rPr>
      </w:pPr>
    </w:p>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t>Great Lakes Senior MLC I LLC is a Delaware limited liability company and is a wholly-owned subsidiary of MLC. Great Lakes Senior MLC I LLC holds certain financial assets in a principal capacity for MLC. Great Lakes Senior MLC I LLC is not an Adviser under the Application.</w:t>
      </w:r>
    </w:p>
    <w:p>
      <w:pPr>
        <w:spacing w:after="0" w:line="162" w:lineRule="exact"/>
        <w:rPr>
          <w:sz w:val="20"/>
          <w:szCs w:val="20"/>
          <w:color w:val="auto"/>
        </w:rPr>
      </w:pPr>
    </w:p>
    <w:p>
      <w:pPr>
        <w:ind w:left="4" w:right="580" w:firstLine="440"/>
        <w:spacing w:after="0" w:line="282" w:lineRule="auto"/>
        <w:rPr>
          <w:sz w:val="20"/>
          <w:szCs w:val="20"/>
          <w:color w:val="auto"/>
        </w:rPr>
      </w:pPr>
      <w:r>
        <w:rPr>
          <w:rFonts w:ascii="Times New Roman" w:cs="Times New Roman" w:eastAsia="Times New Roman" w:hAnsi="Times New Roman"/>
          <w:sz w:val="18"/>
          <w:szCs w:val="18"/>
          <w:color w:val="auto"/>
        </w:rPr>
        <w:t>Ability Insurance Company is a Nebraska corporation and is and is a wholly-owned subsidiary of MLC. MLM serves as Ability Insurance Company’s investment adviser for certain assets.</w:t>
      </w:r>
    </w:p>
    <w:p>
      <w:pPr>
        <w:spacing w:after="0" w:line="63" w:lineRule="exact"/>
        <w:rPr>
          <w:sz w:val="20"/>
          <w:szCs w:val="20"/>
          <w:color w:val="auto"/>
        </w:rPr>
      </w:pPr>
    </w:p>
    <w:p>
      <w:pPr>
        <w:ind w:left="544" w:hanging="544"/>
        <w:spacing w:after="0"/>
        <w:tabs>
          <w:tab w:leader="none" w:pos="544"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ORDER REQUESTED</w:t>
      </w:r>
    </w:p>
    <w:p>
      <w:pPr>
        <w:spacing w:after="0" w:line="229"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The Applicants respectfully request an Order of the Commission under Sections 17(d) and 57(i) and Rule 17d-1 thereunder to permit, subject to the terms and conditions set forth below in this Application (the “</w:t>
      </w:r>
      <w:r>
        <w:rPr>
          <w:rFonts w:ascii="Times New Roman" w:cs="Times New Roman" w:eastAsia="Times New Roman" w:hAnsi="Times New Roman"/>
          <w:sz w:val="18"/>
          <w:szCs w:val="18"/>
          <w:b w:val="1"/>
          <w:bCs w:val="1"/>
          <w:i w:val="1"/>
          <w:iCs w:val="1"/>
          <w:color w:val="auto"/>
        </w:rPr>
        <w:t>Conditions</w:t>
      </w:r>
      <w:r>
        <w:rPr>
          <w:rFonts w:ascii="Times New Roman" w:cs="Times New Roman" w:eastAsia="Times New Roman" w:hAnsi="Times New Roman"/>
          <w:sz w:val="18"/>
          <w:szCs w:val="18"/>
          <w:color w:val="auto"/>
        </w:rPr>
        <w:t>”), a Regulated Fund and one or more other Regulated Funds and/or one or more Affiliated Funds to enter into Co-Investment Transactions with each other.</w:t>
      </w:r>
    </w:p>
    <w:p>
      <w:pPr>
        <w:spacing w:after="0" w:line="176"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The Regulated Funds and the Affiliated Funds seek relief to enter into Co-Investment Transactions because such Co-Investment Transactions would otherwise be prohibited by either or both of Section 17(d) or Section 57(a)(4) and the Rules under the Act. This Application seeks relief in order to (i) enable the Regulated</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70" w:right="479" w:bottom="1440" w:gutter="0" w:footer="0" w:header="0"/>
        </w:sectPr>
      </w:pPr>
    </w:p>
    <w:bookmarkStart w:id="8" w:name="page9"/>
    <w:bookmarkEnd w:id="8"/>
    <w:p>
      <w:pPr>
        <w:ind w:left="4"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Funds and Affiliated Funds to avoid, among other things, the practical commercial and/or economic difficulties of trying to structure, negotiate and persuade counterparties to enter into transactions while awaiting the granting of the relief requested in individual applications with respect to each Co-Investment Transaction that arises in the future and (ii) enable the Regulated Funds and the Affiliated Funds to avoid the significant legal and other expenses that would be incurred in preparing such individual applications.</w:t>
      </w:r>
    </w:p>
    <w:p>
      <w:pPr>
        <w:spacing w:after="0" w:line="176" w:lineRule="exact"/>
        <w:rPr>
          <w:sz w:val="20"/>
          <w:szCs w:val="20"/>
          <w:color w:val="auto"/>
        </w:rPr>
      </w:pPr>
    </w:p>
    <w:p>
      <w:pPr>
        <w:ind w:left="4" w:right="120" w:firstLine="440"/>
        <w:spacing w:after="0" w:line="262" w:lineRule="auto"/>
        <w:rPr>
          <w:sz w:val="20"/>
          <w:szCs w:val="20"/>
          <w:color w:val="auto"/>
        </w:rPr>
      </w:pPr>
      <w:r>
        <w:rPr>
          <w:rFonts w:ascii="Times New Roman" w:cs="Times New Roman" w:eastAsia="Times New Roman" w:hAnsi="Times New Roman"/>
          <w:sz w:val="18"/>
          <w:szCs w:val="18"/>
          <w:color w:val="auto"/>
        </w:rPr>
        <w:t>Similar to the standard precedent used for the majority of co-investment applications, including the Prior Order (collectively, the “</w:t>
      </w:r>
      <w:r>
        <w:rPr>
          <w:rFonts w:ascii="Times New Roman" w:cs="Times New Roman" w:eastAsia="Times New Roman" w:hAnsi="Times New Roman"/>
          <w:sz w:val="18"/>
          <w:szCs w:val="18"/>
          <w:b w:val="1"/>
          <w:bCs w:val="1"/>
          <w:i w:val="1"/>
          <w:iCs w:val="1"/>
          <w:color w:val="auto"/>
        </w:rPr>
        <w:t>Standard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Precedent</w:t>
      </w:r>
      <w:r>
        <w:rPr>
          <w:rFonts w:ascii="Times New Roman" w:cs="Times New Roman" w:eastAsia="Times New Roman" w:hAnsi="Times New Roman"/>
          <w:sz w:val="18"/>
          <w:szCs w:val="18"/>
          <w:color w:val="auto"/>
        </w:rPr>
        <w:t>”), the Applicants seek relief that would permit Co-Investment Transactions in the form of initial investments, Follow-On Investments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Dispositions of investments in an issuer. In these cases, the terms and Conditions of this Application would govern the entire lifecycle of an investment with respect to a particular issuer, including both the initial investment and any subsequent transactions.</w:t>
      </w:r>
    </w:p>
    <w:p>
      <w:pPr>
        <w:spacing w:after="0" w:line="180"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In Section A.1. below, the Applicants first discuss the overall investment process that would apply to initial investments under the Order as well as subsequent transactions with issuers. In Sections A.3. and A.4. below, the Applicants discuss additional procedures that apply to Follow-On Investments and Dispositions, including the onboarding process that applies when initial investments were made without relying on the Order.</w:t>
      </w:r>
    </w:p>
    <w:p>
      <w:pPr>
        <w:spacing w:after="0" w:line="81" w:lineRule="exact"/>
        <w:rPr>
          <w:sz w:val="20"/>
          <w:szCs w:val="20"/>
          <w:color w:val="auto"/>
        </w:rPr>
      </w:pPr>
    </w:p>
    <w:p>
      <w:pPr>
        <w:ind w:left="544" w:hanging="544"/>
        <w:spacing w:after="0"/>
        <w:tabs>
          <w:tab w:leader="none" w:pos="5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Overview</w:t>
      </w:r>
    </w:p>
    <w:p>
      <w:pPr>
        <w:spacing w:after="0" w:line="225"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Applicants include multiple Advisers that are under common control. The Advisers manage numerous funds with a variety of mandates and aggregate assets of $6.8 billion as of September 30, 2022. These clients currently include BDCs that are regulated under the Act. Each Adviser manages the assets entrusted to it by its clients in accordance with its fiduciary duty to those clients and, in the case of the BDCs, the Act.</w:t>
      </w:r>
    </w:p>
    <w:p>
      <w:pPr>
        <w:spacing w:after="0" w:line="176"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The Advisers have established processes for ensuring compliance with the Prior Order and for allocating initial investment opportunities, opportunities for subsequent investments in an issuer and dispositions of securities holdings reasonably designed to treat all clients fairly and equitably. As discussed below, these processes will be extended and modified in a manner reasonably designed to ensure that the additional transactions permitted under the Order will both (i) be fair and equitable to the Regulated Funds and the Affiliated Funds and (ii) comply with the Conditions contained in the Order.</w:t>
      </w:r>
    </w:p>
    <w:p>
      <w:pPr>
        <w:spacing w:after="0" w:line="89" w:lineRule="exact"/>
        <w:rPr>
          <w:sz w:val="20"/>
          <w:szCs w:val="20"/>
          <w:color w:val="auto"/>
        </w:rPr>
      </w:pPr>
    </w:p>
    <w:p>
      <w:pPr>
        <w:ind w:left="544" w:hanging="544"/>
        <w:spacing w:after="0"/>
        <w:tabs>
          <w:tab w:leader="none" w:pos="54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Investment Process</w:t>
      </w:r>
    </w:p>
    <w:p>
      <w:pPr>
        <w:spacing w:after="0" w:line="225" w:lineRule="exact"/>
        <w:rPr>
          <w:sz w:val="20"/>
          <w:szCs w:val="20"/>
          <w:color w:val="auto"/>
        </w:rPr>
      </w:pPr>
    </w:p>
    <w:p>
      <w:pPr>
        <w:ind w:left="4" w:right="480" w:firstLine="440"/>
        <w:spacing w:after="0" w:line="266" w:lineRule="auto"/>
        <w:rPr>
          <w:sz w:val="20"/>
          <w:szCs w:val="20"/>
          <w:color w:val="auto"/>
        </w:rPr>
      </w:pPr>
      <w:r>
        <w:rPr>
          <w:rFonts w:ascii="Times New Roman" w:cs="Times New Roman" w:eastAsia="Times New Roman" w:hAnsi="Times New Roman"/>
          <w:sz w:val="18"/>
          <w:szCs w:val="18"/>
          <w:color w:val="auto"/>
        </w:rPr>
        <w:t>The investment process consists of three stages: (i) the identification and consideration of investment opportunities (including follow-on investment opportunities); (ii) order placement and allocation; and (iii) consideration by each applicable Regulated Fund’s Board when a Potential Co-Investment Transaction is being considered by one or more Regulated Funds, as provided by the Order.</w:t>
      </w:r>
    </w:p>
    <w:p>
      <w:pPr>
        <w:spacing w:after="0" w:line="81" w:lineRule="exact"/>
        <w:rPr>
          <w:sz w:val="20"/>
          <w:szCs w:val="20"/>
          <w:color w:val="auto"/>
        </w:rPr>
      </w:pPr>
    </w:p>
    <w:p>
      <w:pPr>
        <w:ind w:left="1424" w:hanging="439"/>
        <w:spacing w:after="0"/>
        <w:tabs>
          <w:tab w:leader="none" w:pos="1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Identification and Consideration of Investment Opportunities</w:t>
      </w:r>
    </w:p>
    <w:p>
      <w:pPr>
        <w:spacing w:after="0" w:line="221" w:lineRule="exact"/>
        <w:rPr>
          <w:sz w:val="20"/>
          <w:szCs w:val="20"/>
          <w:color w:val="auto"/>
        </w:rPr>
      </w:pPr>
    </w:p>
    <w:p>
      <w:pPr>
        <w:ind w:left="4" w:right="680" w:firstLine="440"/>
        <w:spacing w:after="0" w:line="215" w:lineRule="auto"/>
        <w:rPr>
          <w:sz w:val="20"/>
          <w:szCs w:val="20"/>
          <w:color w:val="auto"/>
        </w:rPr>
      </w:pPr>
      <w:r>
        <w:rPr>
          <w:rFonts w:ascii="Times New Roman" w:cs="Times New Roman" w:eastAsia="Times New Roman" w:hAnsi="Times New Roman"/>
          <w:sz w:val="18"/>
          <w:szCs w:val="18"/>
          <w:color w:val="auto"/>
        </w:rPr>
        <w:t xml:space="preserve">The Advisers are organized and managed such that their respective investment personnel (the </w:t>
      </w:r>
      <w:r>
        <w:rPr>
          <w:rFonts w:ascii="Times New Roman" w:cs="Times New Roman" w:eastAsia="Times New Roman" w:hAnsi="Times New Roman"/>
          <w:sz w:val="18"/>
          <w:szCs w:val="18"/>
          <w:b w:val="1"/>
          <w:bCs w:val="1"/>
          <w:i w:val="1"/>
          <w:iCs w:val="1"/>
          <w:color w:val="auto"/>
        </w:rPr>
        <w:t>“Investment Personnel”</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12</w:t>
      </w:r>
      <w:r>
        <w:rPr>
          <w:rFonts w:ascii="Times New Roman" w:cs="Times New Roman" w:eastAsia="Times New Roman" w:hAnsi="Times New Roman"/>
          <w:sz w:val="18"/>
          <w:szCs w:val="18"/>
          <w:color w:val="auto"/>
        </w:rPr>
        <w:t xml:space="preserve"> responsible for evaluating investment opportunities and making investment decisions on behalf of clients are promptly notified of the opportunities.</w:t>
      </w:r>
    </w:p>
    <w:p>
      <w:pPr>
        <w:spacing w:after="0" w:line="199" w:lineRule="exact"/>
        <w:rPr>
          <w:sz w:val="20"/>
          <w:szCs w:val="20"/>
          <w:color w:val="auto"/>
        </w:rPr>
      </w:pPr>
    </w:p>
    <w:p>
      <w:pPr>
        <w:ind w:left="4" w:right="20" w:firstLine="440"/>
        <w:spacing w:after="0" w:line="241" w:lineRule="auto"/>
        <w:rPr>
          <w:sz w:val="20"/>
          <w:szCs w:val="20"/>
          <w:color w:val="auto"/>
        </w:rPr>
      </w:pPr>
      <w:r>
        <w:rPr>
          <w:rFonts w:ascii="Times New Roman" w:cs="Times New Roman" w:eastAsia="Times New Roman" w:hAnsi="Times New Roman"/>
          <w:sz w:val="18"/>
          <w:szCs w:val="18"/>
          <w:color w:val="auto"/>
        </w:rPr>
        <w:t>Opportunities for Potential Co-Investment Transactions may arise when investment advisory personnel of an Adviser become aware of investment opportunities that may be appropriate for one or more Regulated Funds and one or more Affiliated Funds. If the requested Order is granted, the Advisers will establish, maintain and implement policies and procedures reasonably designed to ensure that, when such opportunities arise, the Advisers to the relevant Regulated Funds are promptly notified and receive the same information about the opportunity as any other Advisers considering the opportunity for their clients. In particular, consistent with Condition 1, if a Potential Co-Investment Transaction falls within the then current Objectives and Strategies and any Board Established Criteria of a Regulated Fund, the policies and procedures will require that the relevant Investment Personnel of the Adviser responsible for that Regulated Fund receive sufficient information to make its independent determination and recommendations under Conditions 1, 2(a), 6, 7, 8 and 9 (as applicable).</w:t>
      </w:r>
      <w:r>
        <w:rPr>
          <w:rFonts w:ascii="Times New Roman" w:cs="Times New Roman" w:eastAsia="Times New Roman" w:hAnsi="Times New Roman"/>
          <w:sz w:val="26"/>
          <w:szCs w:val="26"/>
          <w:color w:val="auto"/>
          <w:vertAlign w:val="superscript"/>
        </w:rPr>
        <w:t>13</w:t>
      </w:r>
      <w:r>
        <w:rPr>
          <w:rFonts w:ascii="Times New Roman" w:cs="Times New Roman" w:eastAsia="Times New Roman" w:hAnsi="Times New Roman"/>
          <w:sz w:val="18"/>
          <w:szCs w:val="18"/>
          <w:color w:val="auto"/>
        </w:rPr>
        <w:t xml:space="preserve"> In addition, the policies and procedures will specify the individuals or roles responsible for carrying out the policies and procedures, including ensuring that the Advisers receive such information. After receiving notification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424" w:right="360" w:hanging="424"/>
        <w:spacing w:after="0" w:line="208" w:lineRule="auto"/>
        <w:tabs>
          <w:tab w:leader="none" w:pos="424" w:val="left"/>
        </w:tabs>
        <w:numPr>
          <w:ilvl w:val="0"/>
          <w:numId w:val="3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Investment Personnel responsible for an area of investment may include investment professionals and senior management from among one or more of the Advisers.</w:t>
      </w:r>
    </w:p>
    <w:p>
      <w:pPr>
        <w:spacing w:after="0" w:line="1" w:lineRule="exact"/>
        <w:rPr>
          <w:rFonts w:ascii="Times New Roman" w:cs="Times New Roman" w:eastAsia="Times New Roman" w:hAnsi="Times New Roman"/>
          <w:sz w:val="27"/>
          <w:szCs w:val="27"/>
          <w:color w:val="auto"/>
          <w:vertAlign w:val="superscript"/>
        </w:rPr>
      </w:pPr>
    </w:p>
    <w:p>
      <w:pPr>
        <w:ind w:left="424" w:right="180" w:hanging="424"/>
        <w:spacing w:after="0" w:line="222" w:lineRule="auto"/>
        <w:tabs>
          <w:tab w:leader="none" w:pos="424" w:val="left"/>
        </w:tabs>
        <w:numPr>
          <w:ilvl w:val="0"/>
          <w:numId w:val="3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Investment Personnel are able to communicate with each other regarding investment opportunities falling within a the Regulated Funds’ Objectives and Strategies and Board-Established Criteria. Accordingly, the policies and procedures may provide, for example, that each Adviser will receive the information required under Condition 1 in conjunction with its representatives’ participation with the relevant Investment Personnel or through similar meetings or communications.</w:t>
      </w:r>
    </w:p>
    <w:p>
      <w:pPr>
        <w:spacing w:after="0" w:line="13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9" w:name="page10"/>
    <w:bookmarkEnd w:id="9"/>
    <w:p>
      <w:pPr>
        <w:jc w:val="both"/>
        <w:ind w:left="4" w:right="6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Potential Co-Investment Transaction under Condition 1(a), the Adviser to each applicable Regulated Fund will then make an independent determination of the appropriateness of the investment in the security or securities for the Regulated Fund in light of the Regulated Fund’s then current circumstances.</w:t>
      </w:r>
    </w:p>
    <w:p>
      <w:pPr>
        <w:spacing w:after="0" w:line="140" w:lineRule="exact"/>
        <w:rPr>
          <w:sz w:val="20"/>
          <w:szCs w:val="20"/>
          <w:color w:val="auto"/>
        </w:rPr>
      </w:pPr>
    </w:p>
    <w:p>
      <w:pPr>
        <w:ind w:left="4" w:right="20" w:firstLine="440"/>
        <w:spacing w:after="0" w:line="274" w:lineRule="auto"/>
        <w:rPr>
          <w:sz w:val="20"/>
          <w:szCs w:val="20"/>
          <w:color w:val="auto"/>
        </w:rPr>
      </w:pPr>
      <w:r>
        <w:rPr>
          <w:rFonts w:ascii="Times New Roman" w:cs="Times New Roman" w:eastAsia="Times New Roman" w:hAnsi="Times New Roman"/>
          <w:sz w:val="17"/>
          <w:szCs w:val="17"/>
          <w:color w:val="auto"/>
        </w:rPr>
        <w:t>The Applicants represent that, if the requested Order is granted, the investment advisory personnel of the Advisers to the Regulated Funds will be charged with making sure they identify, and participate in this process with respect to, each investment opportunity that falls within the Objectives and Strategies and Board Established Criteria of each Regulated Fund. The Applicants assert that the Advisers’ allocation policies and procedures are structured so that the relevant investment advisory personnel for each Regulated Fund will be promptly notified of all Potential Co-Investment Transactions that fall within the then current Objectives and Strategies and Board Established Criteria of such Regulated Fund and that the Advisers will undertake to perform these duties regardless of whether the Advisers serve as investment adviser or sub-adviser to a Regulated Fund or Affiliated Fund.</w:t>
      </w:r>
    </w:p>
    <w:p>
      <w:pPr>
        <w:spacing w:after="0" w:line="78" w:lineRule="exact"/>
        <w:rPr>
          <w:sz w:val="20"/>
          <w:szCs w:val="20"/>
          <w:color w:val="auto"/>
        </w:rPr>
      </w:pPr>
    </w:p>
    <w:p>
      <w:pPr>
        <w:ind w:left="1424" w:hanging="439"/>
        <w:spacing w:after="0"/>
        <w:tabs>
          <w:tab w:leader="none" w:pos="14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 Placement and Allocation</w:t>
      </w:r>
    </w:p>
    <w:p>
      <w:pPr>
        <w:spacing w:after="0" w:line="225" w:lineRule="exact"/>
        <w:rPr>
          <w:sz w:val="20"/>
          <w:szCs w:val="20"/>
          <w:color w:val="auto"/>
        </w:rPr>
      </w:pPr>
    </w:p>
    <w:p>
      <w:pPr>
        <w:ind w:left="4" w:right="220"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If the Adviser to a Regulated Fund deems the Regulated Fund’s participation in any Potential Co Investment Transaction to be appropriate, it will, working through the applicable Investment Personnel, formulate a recommendation regarding the proposed order amount for each security for the Regulated Fund. In doing so, the Adviser and the applicable Investment Personnel may consider such factors, among others, as investment guidelines, issuer, industry and geographical concentration, availability of cash and other opportunities for which cash is needed, tax considerations, leverage covenants, regulatory constraints (such as requirements under the Act), investment horizon, potential liquidity needs, and the Regulated Fund’s risk concentration policies.</w:t>
      </w:r>
    </w:p>
    <w:p>
      <w:pPr>
        <w:spacing w:after="0" w:line="187" w:lineRule="exact"/>
        <w:rPr>
          <w:sz w:val="20"/>
          <w:szCs w:val="20"/>
          <w:color w:val="auto"/>
        </w:rPr>
      </w:pPr>
    </w:p>
    <w:p>
      <w:pPr>
        <w:ind w:left="4" w:right="20" w:firstLine="440"/>
        <w:spacing w:after="0" w:line="242" w:lineRule="auto"/>
        <w:rPr>
          <w:sz w:val="20"/>
          <w:szCs w:val="20"/>
          <w:color w:val="auto"/>
        </w:rPr>
      </w:pPr>
      <w:r>
        <w:rPr>
          <w:rFonts w:ascii="Times New Roman" w:cs="Times New Roman" w:eastAsia="Times New Roman" w:hAnsi="Times New Roman"/>
          <w:sz w:val="18"/>
          <w:szCs w:val="18"/>
          <w:u w:val="single" w:color="auto"/>
          <w:color w:val="auto"/>
        </w:rPr>
        <w:t>Allocation Procedure</w:t>
      </w:r>
      <w:r>
        <w:rPr>
          <w:rFonts w:ascii="Times New Roman" w:cs="Times New Roman" w:eastAsia="Times New Roman" w:hAnsi="Times New Roman"/>
          <w:sz w:val="18"/>
          <w:szCs w:val="18"/>
          <w:color w:val="auto"/>
        </w:rPr>
        <w:t>. For each Regulated Fund and Affiliated Fund whose Adviser recommends participating in a Potential Co Investment Transaction, the applicable Investment Personnel will approve the investment(s) and the investment amount(s). Thereafter, the applicable Investment Personnel will notify the allocation committee that coordinates and facilitates an order submission process with a designated representative of each applicable Regulated Fund and Affiliated Fund to the extent such investment is consistent with its Board Established Criteria and/or falls within its then current investment objectives and strategies. Prior to the External Submission (as defined below), each proposed order or investment amount may be reviewed and adjusted, in accordance with the applicable Advisers’ written allocation policies and procedures, by both (i) the allocation committee, consisting of legal, compliance, and operations personnel and (ii) investment personnel of the Adviser.</w:t>
      </w:r>
      <w:r>
        <w:rPr>
          <w:rFonts w:ascii="Times New Roman" w:cs="Times New Roman" w:eastAsia="Times New Roman" w:hAnsi="Times New Roman"/>
          <w:sz w:val="26"/>
          <w:szCs w:val="26"/>
          <w:color w:val="auto"/>
          <w:vertAlign w:val="superscript"/>
        </w:rPr>
        <w:t>14</w:t>
      </w:r>
      <w:r>
        <w:rPr>
          <w:rFonts w:ascii="Times New Roman" w:cs="Times New Roman" w:eastAsia="Times New Roman" w:hAnsi="Times New Roman"/>
          <w:sz w:val="18"/>
          <w:szCs w:val="18"/>
          <w:color w:val="auto"/>
        </w:rPr>
        <w:t xml:space="preserve"> The order of a Regulated Fund or Affiliated Fund resulting from this process is referred to as its </w:t>
      </w:r>
      <w:r>
        <w:rPr>
          <w:rFonts w:ascii="Times New Roman" w:cs="Times New Roman" w:eastAsia="Times New Roman" w:hAnsi="Times New Roman"/>
          <w:sz w:val="18"/>
          <w:szCs w:val="18"/>
          <w:b w:val="1"/>
          <w:bCs w:val="1"/>
          <w:i w:val="1"/>
          <w:iCs w:val="1"/>
          <w:color w:val="auto"/>
        </w:rPr>
        <w:t>“Internal Order”</w:t>
      </w:r>
      <w:r>
        <w:rPr>
          <w:rFonts w:ascii="Times New Roman" w:cs="Times New Roman" w:eastAsia="Times New Roman" w:hAnsi="Times New Roman"/>
          <w:sz w:val="18"/>
          <w:szCs w:val="18"/>
          <w:color w:val="auto"/>
        </w:rPr>
        <w:t>. The final Internal Order with respect to any Regulated Fund will be submitted for approval by the Required Majority of such participating Regulated Fund(s) in accordance with the Conditions and as discussed in Section III.A.1.c. below.</w:t>
      </w:r>
    </w:p>
    <w:p>
      <w:pPr>
        <w:spacing w:after="0" w:line="196" w:lineRule="exact"/>
        <w:rPr>
          <w:sz w:val="20"/>
          <w:szCs w:val="20"/>
          <w:color w:val="auto"/>
        </w:rPr>
      </w:pPr>
    </w:p>
    <w:p>
      <w:pPr>
        <w:ind w:left="4" w:right="100" w:firstLine="440"/>
        <w:spacing w:after="0" w:line="265" w:lineRule="auto"/>
        <w:rPr>
          <w:sz w:val="20"/>
          <w:szCs w:val="20"/>
          <w:color w:val="auto"/>
        </w:rPr>
      </w:pPr>
      <w:r>
        <w:rPr>
          <w:rFonts w:ascii="Times New Roman" w:cs="Times New Roman" w:eastAsia="Times New Roman" w:hAnsi="Times New Roman"/>
          <w:sz w:val="18"/>
          <w:szCs w:val="18"/>
          <w:color w:val="auto"/>
        </w:rPr>
        <w:t xml:space="preserve">If the aggregate Internal Orders for a Potential Co Investment Transaction do not exceed the size of the investment opportunity immediately prior to the submission of the orders to the underwriter, broker, dealer or issuer, as applicable (the </w:t>
      </w:r>
      <w:r>
        <w:rPr>
          <w:rFonts w:ascii="Times New Roman" w:cs="Times New Roman" w:eastAsia="Times New Roman" w:hAnsi="Times New Roman"/>
          <w:sz w:val="18"/>
          <w:szCs w:val="18"/>
          <w:b w:val="1"/>
          <w:bCs w:val="1"/>
          <w:i w:val="1"/>
          <w:iCs w:val="1"/>
          <w:color w:val="auto"/>
        </w:rPr>
        <w:t>“External Submission”</w:t>
      </w:r>
      <w:r>
        <w:rPr>
          <w:rFonts w:ascii="Times New Roman" w:cs="Times New Roman" w:eastAsia="Times New Roman" w:hAnsi="Times New Roman"/>
          <w:sz w:val="18"/>
          <w:szCs w:val="18"/>
          <w:color w:val="auto"/>
        </w:rPr>
        <w:t>), then each Internal Order will be fulfilled as placed. If, on the other hand, the aggregate Internal Orders for a Potential Co Investment Transaction exceed the size of the investment opportunity immediately prior to the External Submission, then the allocation of the opportunity will be made pro rata on the basis of the size of the Internal Orders.</w:t>
      </w:r>
      <w:r>
        <w:rPr>
          <w:rFonts w:ascii="Times New Roman" w:cs="Times New Roman" w:eastAsia="Times New Roman" w:hAnsi="Times New Roman"/>
          <w:sz w:val="26"/>
          <w:szCs w:val="26"/>
          <w:color w:val="auto"/>
          <w:vertAlign w:val="superscript"/>
        </w:rPr>
        <w:t>15</w:t>
      </w:r>
    </w:p>
    <w:p>
      <w:pPr>
        <w:spacing w:after="0" w:line="52"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If, subsequent to such External Submission, the size of the opportunity is increased or decreased, or if the terms of such opportunity, or the facts and circumstances applicable to the Regulated Funds’ or the Affiliated Funds’ consideration of the opportunity, change, the participants will be permitted to submit revised Internal Orders in accordance with written allocation policies and procedures that the Advisers will establish, implement and maintain. The Board of the Regulated Fund will then either approve or disapprove of the investment opportunity in accordance with Condition 2, 6, 7, 8 or 9, as applicable.</w:t>
      </w:r>
    </w:p>
    <w:p>
      <w:pPr>
        <w:spacing w:after="0" w:line="183" w:lineRule="exact"/>
        <w:rPr>
          <w:sz w:val="20"/>
          <w:szCs w:val="20"/>
          <w:color w:val="auto"/>
        </w:rPr>
      </w:pPr>
    </w:p>
    <w:p>
      <w:pPr>
        <w:ind w:left="4" w:right="380"/>
        <w:spacing w:after="0" w:line="261" w:lineRule="auto"/>
        <w:rPr>
          <w:sz w:val="20"/>
          <w:szCs w:val="20"/>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The Applicants represent that the Advisers’ allocation review process is a robust process designed as part of their overall compliance policies and procedures to ensure that every client is treated fairly and that the Advisers are following their allocation policies. The entire allocation process is monitored and reviewed by the legal and compliance team, led by the general counsel and chief compliance officer, and approved by the Board of each Regulated Fund.</w:t>
      </w:r>
    </w:p>
    <w:p>
      <w:pPr>
        <w:spacing w:after="0" w:line="85" w:lineRule="exact"/>
        <w:rPr>
          <w:sz w:val="20"/>
          <w:szCs w:val="20"/>
          <w:color w:val="auto"/>
        </w:rPr>
      </w:pPr>
    </w:p>
    <w:p>
      <w:pPr>
        <w:ind w:left="1424" w:hanging="439"/>
        <w:spacing w:after="0"/>
        <w:tabs>
          <w:tab w:leader="none" w:pos="14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 of Potential Co-Investment Transactions</w:t>
      </w:r>
    </w:p>
    <w:p>
      <w:pPr>
        <w:spacing w:after="0" w:line="225"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A Regulated Fund will enter into a Potential Co-Investment Transaction with one or more other Regulated Funds and/or Affiliated Funds only if, prior to the Regulated Fund’s participation in the Potential Co-Investment Transaction, the Required Majority approves it in accordance with the Conditions of this Order.</w:t>
      </w:r>
    </w:p>
    <w:p>
      <w:pPr>
        <w:spacing w:after="0" w:line="176"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In the case of a BDC Downstream Fund with an Independent Party consisting of a transaction committee or advisory committee, the individuals on the committee would possess experience and training comparable to that of the directors of the parent Regulated Fund and sufficient to permit them to make informed decisions on behalf of the applicable BDC Downstream Fund. The use of Independent Parties for BDC Downstream Funds results in a standard of approval that the Applicants believe is equally as stringent as the standard of approval that a board of directors would apply. Most importantly, the Applicants represent that the Independent Parties of the BDC Downstream Funds would be bound (by law or by contract) by fiduciary duties comparable to those applicable to the directors of the parent Regulated Fund, including a duty to act in the best interests of their respective funds when approving transactions. These duties would apply in the case of all Potential Co-Investment Transactions, including transactions that could present a conflict of interest.</w:t>
      </w:r>
    </w:p>
    <w:p>
      <w:pPr>
        <w:spacing w:after="0" w:line="192"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Further, the Applicants believe that the existence of differing routes of approval between the BDC Downstream Funds and other Regulated Funds would not result in the Applicants investing through the BDC Downstream Funds in order to avoid obtaining the approval of a Regulated Fund’s Board. Each Regulated Fund and BDC Downstream Fund has its own Objectives and Strategies and may have its own Board Established Criteria, the implementation of which depends on the specific circumstances of the entity’s portfolio at the time an investment opportunity is presented. As noted above, consistent with its duty to its BDC Downstream Funds, the Independent Party must reach a conclusion on whether or not an investment is in the best interest of its relevant BDC Downstream Funds. An investment made solely to avoid an approval requirement at the Regulated Fund level should not be viewed as in the best interest of the entity in question and, thus, would not be approved by the Independent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7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65" w:lineRule="exact"/>
        <w:rPr>
          <w:sz w:val="20"/>
          <w:szCs w:val="20"/>
          <w:color w:val="auto"/>
        </w:rPr>
      </w:pPr>
    </w:p>
    <w:p>
      <w:pPr>
        <w:ind w:left="424" w:hanging="424"/>
        <w:spacing w:after="0"/>
        <w:tabs>
          <w:tab w:leader="none" w:pos="424" w:val="left"/>
        </w:tabs>
        <w:numPr>
          <w:ilvl w:val="0"/>
          <w:numId w:val="3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reason for any such adjustment to a proposed order amount will be documented in writing and preserved in the records of the Advisers.</w:t>
      </w:r>
    </w:p>
    <w:p>
      <w:pPr>
        <w:spacing w:after="0" w:line="1" w:lineRule="exact"/>
        <w:rPr>
          <w:rFonts w:ascii="Times New Roman" w:cs="Times New Roman" w:eastAsia="Times New Roman" w:hAnsi="Times New Roman"/>
          <w:sz w:val="27"/>
          <w:szCs w:val="27"/>
          <w:color w:val="auto"/>
          <w:vertAlign w:val="superscript"/>
        </w:rPr>
      </w:pPr>
    </w:p>
    <w:p>
      <w:pPr>
        <w:ind w:left="424" w:right="40" w:hanging="424"/>
        <w:spacing w:after="0" w:line="222" w:lineRule="auto"/>
        <w:tabs>
          <w:tab w:leader="none" w:pos="424" w:val="left"/>
        </w:tabs>
        <w:numPr>
          <w:ilvl w:val="0"/>
          <w:numId w:val="3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Advisers will maintain records of all proposed order amounts, Internal Orders and External Submissions in conjunction with Potential Co-Investment Transactions. Each applicable Adviser will provide the Eligible Directors with information concerning the Affiliated Funds’ and Regulated Funds’ order sizes to assist the Eligible Directors with their review of the applicable Regulated Fund’s investments for compliance with the Conditions.</w:t>
      </w:r>
    </w:p>
    <w:p>
      <w:pPr>
        <w:sectPr>
          <w:pgSz w:w="11900" w:h="16838" w:orient="portrait"/>
          <w:cols w:equalWidth="0" w:num="1">
            <w:col w:w="11004"/>
          </w:cols>
          <w:pgMar w:left="436" w:top="270" w:right="459" w:bottom="0" w:gutter="0" w:footer="0" w:header="0"/>
        </w:sectPr>
      </w:pP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004"/>
          </w:cols>
          <w:pgMar w:left="436" w:top="270" w:right="459" w:bottom="0" w:gutter="0" w:footer="0" w:header="0"/>
          <w:type w:val="continuous"/>
        </w:sectPr>
      </w:pPr>
    </w:p>
    <w:bookmarkStart w:id="10" w:name="page11"/>
    <w:bookmarkEnd w:id="10"/>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Applicants represent that the use of Independent Parties has been common practice in institutional funds for many years and sophisticated investors, including global institutional investors, have relied on their presence in fund structures to ensure equitable treatment. Moreover, although a traditional board of directors would not be required to approve Co-Investment Transactions for a BDC Downstream Fund, a Board of a Regulated Fund would be required, as part of the overall duty of care that it owes to that Regulated Fund and its shareholders, to monitor the Co-Investment Transaction activity of the Regulated Fund’s respective BDC Downstream Funds to ensure that no pattern of abuse was extant.</w:t>
      </w:r>
    </w:p>
    <w:p>
      <w:pPr>
        <w:spacing w:after="0" w:line="183"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A Regulated Fund may participate in Pro Rata Dispositions and Pro Rata Follow On Investments without obtaining prior approval of the Required Majority in accordance with Conditions 6(c)(i) and 8(b)(i).</w:t>
      </w:r>
    </w:p>
    <w:p>
      <w:pPr>
        <w:spacing w:after="0" w:line="67" w:lineRule="exact"/>
        <w:rPr>
          <w:sz w:val="20"/>
          <w:szCs w:val="20"/>
          <w:color w:val="auto"/>
        </w:rPr>
      </w:pPr>
    </w:p>
    <w:p>
      <w:pPr>
        <w:ind w:left="544" w:hanging="544"/>
        <w:spacing w:after="0"/>
        <w:tabs>
          <w:tab w:leader="none" w:pos="5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Delayed Settlement</w:t>
      </w:r>
    </w:p>
    <w:p>
      <w:pPr>
        <w:spacing w:after="0" w:line="225" w:lineRule="exact"/>
        <w:rPr>
          <w:sz w:val="20"/>
          <w:szCs w:val="20"/>
          <w:color w:val="auto"/>
        </w:rPr>
      </w:pPr>
    </w:p>
    <w:p>
      <w:pPr>
        <w:jc w:val="both"/>
        <w:ind w:left="4" w:right="160" w:firstLine="440"/>
        <w:spacing w:after="0" w:line="256" w:lineRule="auto"/>
        <w:rPr>
          <w:sz w:val="20"/>
          <w:szCs w:val="20"/>
          <w:color w:val="auto"/>
        </w:rPr>
      </w:pPr>
      <w:r>
        <w:rPr>
          <w:rFonts w:ascii="Times New Roman" w:cs="Times New Roman" w:eastAsia="Times New Roman" w:hAnsi="Times New Roman"/>
          <w:sz w:val="18"/>
          <w:szCs w:val="18"/>
          <w:color w:val="auto"/>
        </w:rPr>
        <w:t>All Regulated Funds and Affiliated Funds participating in a Co-Investment Transaction will invest at the same time, for the same price and with the same terms, conditions, class, registration rights and any other rights, so that none of them receives terms more favorable than any other. However, the settlement date for an Affiliated Fund in a Co-Investment Transaction may occur up to ten business days after the settlement date for the Regulated Fund, and vice versa. Nevertheless, in all cases, (i) the date on which the commitment of the Affiliated Funds and Regulated Funds is made will be the same even where the settlement date is not and (ii) the earliest settlement date and the latest settlement date of any Affiliated Fund or Regulated Fund participating in the transaction will occur within ten business days of each other.</w:t>
      </w:r>
    </w:p>
    <w:p>
      <w:pPr>
        <w:spacing w:after="0" w:line="187"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The Applicants believe that an earlier or later settlement date does not create any additional risk for the Regulated Funds. As described above, the date of commitment will be the same and all other terms, including price, will be the same. Further, the investments by the Regulated Funds and the Affiliated Funds will be independent from each other, and a Regulated Fund would never take on the risk of holding more of a given security than it would prefer to hold in the event that an Affiliated Fund or another Regulated Fund did not settle as expected.</w:t>
      </w:r>
    </w:p>
    <w:p>
      <w:pPr>
        <w:spacing w:after="0" w:line="85" w:lineRule="exact"/>
        <w:rPr>
          <w:sz w:val="20"/>
          <w:szCs w:val="20"/>
          <w:color w:val="auto"/>
        </w:rPr>
      </w:pPr>
    </w:p>
    <w:p>
      <w:pPr>
        <w:ind w:left="544" w:hanging="544"/>
        <w:spacing w:after="0"/>
        <w:tabs>
          <w:tab w:leader="none" w:pos="5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Follow-On Investments and Approval of Follow-On Investments</w:t>
      </w:r>
    </w:p>
    <w:p>
      <w:pPr>
        <w:spacing w:after="0" w:line="225" w:lineRule="exact"/>
        <w:rPr>
          <w:sz w:val="20"/>
          <w:szCs w:val="20"/>
          <w:color w:val="auto"/>
        </w:rPr>
      </w:pPr>
    </w:p>
    <w:p>
      <w:pPr>
        <w:ind w:left="4" w:right="200" w:firstLine="440"/>
        <w:spacing w:after="0" w:line="256" w:lineRule="auto"/>
        <w:rPr>
          <w:sz w:val="20"/>
          <w:szCs w:val="20"/>
          <w:color w:val="auto"/>
        </w:rPr>
      </w:pPr>
      <w:r>
        <w:rPr>
          <w:rFonts w:ascii="Times New Roman" w:cs="Times New Roman" w:eastAsia="Times New Roman" w:hAnsi="Times New Roman"/>
          <w:sz w:val="18"/>
          <w:szCs w:val="18"/>
          <w:color w:val="auto"/>
        </w:rPr>
        <w:t>From time to time the Regulated Funds and Affiliated Funds may have opportunities to make Follow-On Investments in an issuer in which a Regulated Fund and one or more other Regulated Funds and/or Affiliated Funds previously have invested and continue to hold an investment. If the Order is granted, Follow-On Investments will be made in a manner that, over time, is fair and equitable to all of the Regulated Funds and Affiliated Funds and in accordance with the proposed procedures discussed above and with the Conditions of the Order. The Order, if granted, would permit Affiliated Funds to participate in Follow-On Investments in issuers in which at least one Regulated Fund is invested, but such Affiliated Funds are not invested. This relief would not permit Follow-On Investments by Regulated Funds that are not invested in the issuer.</w:t>
      </w:r>
    </w:p>
    <w:p>
      <w:pPr>
        <w:spacing w:after="0" w:line="187"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The Order would divide Follow-On Investments into two categories depending on whether the Regulated Funds and Affiliated Funds holding investments in the issuer previously participated in a Co-Investment Transaction with respect to the issuer and continue to hold any securities acquired in a Co-Investment Transaction for that issuer. If such Regulated Funds and Affiliated Funds have previously participated in a Co-Investment Transaction with respect to the issuer, then the terms and approval of the Follow-On Investment would be subject to the process discussed in Section III.A.3.a. below and governed by Condition 8. These Follow-On Investments are referred to as “Standard Review Follow-Ons.” If such Regulated Funds and Affiliated Funds have not previously participated in a Co-Investment Transaction with respect to the issuer, then the terms and approval of the Follow-On Investment would be subject to the “onboarding process” discussed in Section III.A.3.b. below and governed by Condition 9. These Follow-On Investments are referred to as “Enhanced Review Follow-Ons.”</w:t>
      </w:r>
    </w:p>
    <w:p>
      <w:pPr>
        <w:spacing w:after="0" w:line="192" w:lineRule="exact"/>
        <w:rPr>
          <w:sz w:val="20"/>
          <w:szCs w:val="20"/>
          <w:color w:val="auto"/>
        </w:rPr>
      </w:pPr>
    </w:p>
    <w:p>
      <w:pPr>
        <w:ind w:left="824" w:hanging="384"/>
        <w:spacing w:after="0"/>
        <w:tabs>
          <w:tab w:leader="none" w:pos="8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Standard Review Follow-Ons</w:t>
      </w:r>
    </w:p>
    <w:p>
      <w:pPr>
        <w:spacing w:after="0" w:line="225" w:lineRule="exact"/>
        <w:rPr>
          <w:sz w:val="20"/>
          <w:szCs w:val="20"/>
          <w:color w:val="auto"/>
        </w:rPr>
      </w:pPr>
    </w:p>
    <w:p>
      <w:pPr>
        <w:ind w:left="4" w:right="280" w:firstLine="440"/>
        <w:spacing w:after="0" w:line="282" w:lineRule="auto"/>
        <w:rPr>
          <w:sz w:val="20"/>
          <w:szCs w:val="20"/>
          <w:color w:val="auto"/>
        </w:rPr>
      </w:pPr>
      <w:r>
        <w:rPr>
          <w:rFonts w:ascii="Times New Roman" w:cs="Times New Roman" w:eastAsia="Times New Roman" w:hAnsi="Times New Roman"/>
          <w:sz w:val="18"/>
          <w:szCs w:val="18"/>
          <w:color w:val="auto"/>
        </w:rPr>
        <w:t>A Regulated Fund may invest in Standard Review Follow-Ons either with the approval of the Required Majority using the procedures required under Condition 8(c) or, where certain additional requirements are met, without Board approval under Condition 8(b).</w:t>
      </w:r>
    </w:p>
    <w:p>
      <w:pPr>
        <w:spacing w:after="0" w:line="162"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A Regulated Fund may participate in a Standard Review Follow-On without obtaining the prior approval of the Required Majority if it is (i) a Pro Rata Follow-On Investment or (ii) a Non-Negotiated Follow-On Investment.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11" w:name="page12"/>
    <w:bookmarkEnd w:id="11"/>
    <w:p>
      <w:pPr>
        <w:ind w:left="4" w:firstLine="440"/>
        <w:spacing w:after="0" w:line="23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w:t>
      </w:r>
      <w:r>
        <w:rPr>
          <w:rFonts w:ascii="Times New Roman" w:cs="Times New Roman" w:eastAsia="Times New Roman" w:hAnsi="Times New Roman"/>
          <w:sz w:val="18"/>
          <w:szCs w:val="18"/>
          <w:b w:val="1"/>
          <w:bCs w:val="1"/>
          <w:i w:val="1"/>
          <w:iCs w:val="1"/>
          <w:color w:val="auto"/>
        </w:rPr>
        <w:t>Pro Rata Follow-On Investment</w:t>
      </w:r>
      <w:r>
        <w:rPr>
          <w:rFonts w:ascii="Times New Roman" w:cs="Times New Roman" w:eastAsia="Times New Roman" w:hAnsi="Times New Roman"/>
          <w:sz w:val="18"/>
          <w:szCs w:val="18"/>
          <w:color w:val="auto"/>
        </w:rPr>
        <w:t>” is a Follow-On Investment (i) in which the participation of each Affiliated Fund and each Regulated Fund is proportionate to its outstanding investments in the issuer or security, as appropriate,</w:t>
      </w:r>
      <w:r>
        <w:rPr>
          <w:rFonts w:ascii="Times New Roman" w:cs="Times New Roman" w:eastAsia="Times New Roman" w:hAnsi="Times New Roman"/>
          <w:sz w:val="26"/>
          <w:szCs w:val="26"/>
          <w:color w:val="auto"/>
          <w:vertAlign w:val="superscript"/>
        </w:rPr>
        <w:t>16</w:t>
      </w:r>
      <w:r>
        <w:rPr>
          <w:rFonts w:ascii="Times New Roman" w:cs="Times New Roman" w:eastAsia="Times New Roman" w:hAnsi="Times New Roman"/>
          <w:sz w:val="18"/>
          <w:szCs w:val="18"/>
          <w:color w:val="auto"/>
        </w:rPr>
        <w:t xml:space="preserve"> immediately preceding the Follow-On Investment, and (ii) in the case of a Regulated Fund, a majority of the Board has approved the Regulated Fund’s participation in the pro rata Follow-On Investments as being in the best interests of the Regulated Fund. The Regulated Fund’s Board may refuse to approve, or at any time rescind, suspend or qualify, their approval of Pro Rata Follow-On Investments, in which case all subsequent Follow-On Investments will be submitted to the Regulated Fund’s Eligible Directors in accordance with Condition 8(c).</w:t>
      </w:r>
    </w:p>
    <w:p>
      <w:pPr>
        <w:spacing w:after="0" w:line="195" w:lineRule="exact"/>
        <w:rPr>
          <w:sz w:val="20"/>
          <w:szCs w:val="20"/>
          <w:color w:val="auto"/>
        </w:rPr>
      </w:pPr>
    </w:p>
    <w:p>
      <w:pPr>
        <w:jc w:val="both"/>
        <w:ind w:left="4" w:right="500" w:firstLine="440"/>
        <w:spacing w:after="0" w:line="26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Non-Negotiated Follow-On Investment</w:t>
      </w:r>
      <w:r>
        <w:rPr>
          <w:rFonts w:ascii="Times New Roman" w:cs="Times New Roman" w:eastAsia="Times New Roman" w:hAnsi="Times New Roman"/>
          <w:sz w:val="18"/>
          <w:szCs w:val="18"/>
          <w:color w:val="auto"/>
        </w:rPr>
        <w:t>” is a Follow-On Investment in which a Regulated Fund participates together with one or more Affiliated Funds and/or one or more other Regulated Funds (i) in which the only term negotiated by or on behalf of the funds is price and (ii) with respect to which, if the transaction were considered on its own, the funds would be entitled to rely on one of the JT No-Action Letters.</w:t>
      </w:r>
    </w:p>
    <w:p>
      <w:pPr>
        <w:spacing w:after="0" w:line="175"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The Applicants believe that these Pro Rata and Non-Negotiated Follow-On Investments do not present a significant opportunity for overreaching on the part of any Adviser and thus do not warrant the time or the attention of the Board. Pro Rata Follow-On Investments and Non-Negotiated Follow-On Investments remain subject to the Board’s periodic review in accordance with Condition 10.</w:t>
      </w:r>
    </w:p>
    <w:p>
      <w:pPr>
        <w:spacing w:after="0" w:line="176" w:lineRule="exact"/>
        <w:rPr>
          <w:sz w:val="20"/>
          <w:szCs w:val="20"/>
          <w:color w:val="auto"/>
        </w:rPr>
      </w:pPr>
    </w:p>
    <w:p>
      <w:pPr>
        <w:ind w:left="824" w:hanging="384"/>
        <w:spacing w:after="0"/>
        <w:tabs>
          <w:tab w:leader="none" w:pos="8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Enhanced Review Follow-Ons</w:t>
      </w:r>
    </w:p>
    <w:p>
      <w:pPr>
        <w:spacing w:after="0" w:line="225"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One or more Regulated Funds and/or one or more Affiliated Funds holding Pre-Boarding Investments may have the opportunity to make a Follow-On Investment that is a Potential Co-Investment Transaction in an issuer with respect to which they have not previously participated in a Co-Investment Transaction. In these cases, the Regulated Funds and Affiliated Funds may rely on the Order to make such Follow-On Investment subject to the requirements of Condition 9. These enhanced review requirements constitute an “onboarding process” whereby Regulated Funds and Affiliated Funds may utilize the Order to participate in Co-Investment Transactions even though they already hold Pre-Boarding Investments. For a given issuer, the participating Regulated Funds and Affiliated Funds need to comply with these requirements only for the first Co-Investment Transaction. Subsequent Co-Investment Transactions with respect to the issuer will be governed by Condition 8 under the standard review process.</w:t>
      </w:r>
    </w:p>
    <w:p>
      <w:pPr>
        <w:spacing w:after="0" w:line="94" w:lineRule="exact"/>
        <w:rPr>
          <w:sz w:val="20"/>
          <w:szCs w:val="20"/>
          <w:color w:val="auto"/>
        </w:rPr>
      </w:pPr>
    </w:p>
    <w:p>
      <w:pPr>
        <w:ind w:left="544" w:hanging="544"/>
        <w:spacing w:after="0"/>
        <w:tabs>
          <w:tab w:leader="none" w:pos="54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Dispositions</w:t>
      </w:r>
    </w:p>
    <w:p>
      <w:pPr>
        <w:spacing w:after="0" w:line="225"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The Regulated Funds and Affiliated Funds may be presented with opportunities to sell, exchange or otherwise dispose of securities in a transaction that would be prohibited by Rule 17d-1 or Section 57(a)(4), as applicable. If the Order is granted, such Dispositions will be made in a manner that, over time, is fair and equitable to all of the Regulated and Affiliated Funds and in accordance with procedures set forth in the proposed Conditions to the Order and discussed below.</w:t>
      </w:r>
    </w:p>
    <w:p>
      <w:pPr>
        <w:spacing w:after="0" w:line="180"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The Order would divide these Dispositions into two categories: (i) if the Regulated Funds and Affiliated Funds holding investments in the issuer have previously participated in a Co-Investment Transaction with respect to the issuer and continue to hold any securities acquired in a Co-Investment Transaction for such issuer, then the terms and approval of the Disposition (hereinafter referred to as “Standard Review Dispositions”) would be subject to the process discussed in Section III.A.4.a. below and governed by Condition 6; and (ii) if the Regulated Funds and Affiliated Funds have not previously participated in a Co-Investment Transaction with respect to the issuer, then the terms and approval of the Disposition (hereinafter referred to as “Enhanced Review Dispositions”) would be subject to the same “onboarding process” discussed in Section III.A.4.b. above and governed by Condition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71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65" w:lineRule="exact"/>
        <w:rPr>
          <w:sz w:val="20"/>
          <w:szCs w:val="20"/>
          <w:color w:val="auto"/>
        </w:rPr>
      </w:pPr>
    </w:p>
    <w:p>
      <w:pPr>
        <w:ind w:left="424" w:hanging="424"/>
        <w:spacing w:after="0"/>
        <w:tabs>
          <w:tab w:leader="none" w:pos="424" w:val="left"/>
        </w:tabs>
        <w:numPr>
          <w:ilvl w:val="0"/>
          <w:numId w:val="4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note 32, below.</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66" w:right="459" w:bottom="1440" w:gutter="0" w:footer="0" w:header="0"/>
        </w:sectPr>
      </w:pPr>
    </w:p>
    <w:bookmarkStart w:id="12" w:name="page13"/>
    <w:bookmarkEnd w:id="12"/>
    <w:p>
      <w:pPr>
        <w:ind w:left="824" w:hanging="384"/>
        <w:spacing w:after="0"/>
        <w:tabs>
          <w:tab w:leader="none" w:pos="8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Standard Review Dispositions</w:t>
      </w:r>
    </w:p>
    <w:p>
      <w:pPr>
        <w:spacing w:after="0" w:line="225" w:lineRule="exact"/>
        <w:rPr>
          <w:sz w:val="20"/>
          <w:szCs w:val="20"/>
          <w:color w:val="auto"/>
        </w:rPr>
      </w:pPr>
    </w:p>
    <w:p>
      <w:pPr>
        <w:ind w:left="4" w:right="640" w:firstLine="440"/>
        <w:spacing w:after="0" w:line="282" w:lineRule="auto"/>
        <w:rPr>
          <w:sz w:val="20"/>
          <w:szCs w:val="20"/>
          <w:color w:val="auto"/>
        </w:rPr>
      </w:pPr>
      <w:r>
        <w:rPr>
          <w:rFonts w:ascii="Times New Roman" w:cs="Times New Roman" w:eastAsia="Times New Roman" w:hAnsi="Times New Roman"/>
          <w:sz w:val="18"/>
          <w:szCs w:val="18"/>
          <w:color w:val="auto"/>
        </w:rPr>
        <w:t>A Regulated Fund may participate in a Standard Review Disposition either with the approval of the Required Majority using the standard procedures required under Condition 6(d) or, where certain additional requirements are met, without Board approval under Condition 6(c).</w:t>
      </w:r>
    </w:p>
    <w:p>
      <w:pPr>
        <w:spacing w:after="0" w:line="162" w:lineRule="exact"/>
        <w:rPr>
          <w:sz w:val="20"/>
          <w:szCs w:val="20"/>
          <w:color w:val="auto"/>
        </w:rPr>
      </w:pPr>
    </w:p>
    <w:p>
      <w:pPr>
        <w:jc w:val="center"/>
        <w:ind w:right="36"/>
        <w:spacing w:after="0" w:line="312" w:lineRule="auto"/>
        <w:rPr>
          <w:sz w:val="20"/>
          <w:szCs w:val="20"/>
          <w:color w:val="auto"/>
        </w:rPr>
      </w:pPr>
      <w:r>
        <w:rPr>
          <w:rFonts w:ascii="Times New Roman" w:cs="Times New Roman" w:eastAsia="Times New Roman" w:hAnsi="Times New Roman"/>
          <w:sz w:val="17"/>
          <w:szCs w:val="17"/>
          <w:color w:val="auto"/>
        </w:rPr>
        <w:t>A Regulated Fund may participate in a Standard Review Disposition without obtaining the prior approval of the Required Majority if (i) the Disposition is a Pro Rata Disposition or (ii) the securities are Tradable Securities and the Disposition meets the other requirements of Condition 6(c)(ii).</w:t>
      </w:r>
    </w:p>
    <w:p>
      <w:pPr>
        <w:spacing w:after="0" w:line="136" w:lineRule="exact"/>
        <w:rPr>
          <w:sz w:val="20"/>
          <w:szCs w:val="20"/>
          <w:color w:val="auto"/>
        </w:rPr>
      </w:pPr>
    </w:p>
    <w:p>
      <w:pPr>
        <w:ind w:left="4" w:right="80" w:firstLine="440"/>
        <w:spacing w:after="0" w:line="23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Pro Rata Disposition</w:t>
      </w:r>
      <w:r>
        <w:rPr>
          <w:rFonts w:ascii="Times New Roman" w:cs="Times New Roman" w:eastAsia="Times New Roman" w:hAnsi="Times New Roman"/>
          <w:sz w:val="18"/>
          <w:szCs w:val="18"/>
          <w:color w:val="auto"/>
        </w:rPr>
        <w:t>” is a Disposition (i) in which the participation of each Affiliated Fund and each Regulated Fund is proportionate to its outstanding investment in the security subject to Disposition immediately preceding the Disposition;</w:t>
      </w:r>
      <w:r>
        <w:rPr>
          <w:rFonts w:ascii="Times New Roman" w:cs="Times New Roman" w:eastAsia="Times New Roman" w:hAnsi="Times New Roman"/>
          <w:sz w:val="26"/>
          <w:szCs w:val="26"/>
          <w:color w:val="auto"/>
          <w:vertAlign w:val="superscript"/>
        </w:rPr>
        <w:t>17</w:t>
      </w:r>
      <w:r>
        <w:rPr>
          <w:rFonts w:ascii="Times New Roman" w:cs="Times New Roman" w:eastAsia="Times New Roman" w:hAnsi="Times New Roman"/>
          <w:sz w:val="18"/>
          <w:szCs w:val="18"/>
          <w:color w:val="auto"/>
        </w:rPr>
        <w:t xml:space="preserve"> and (ii) in the case of a Regulated Fund, a majority of the Board has approved the Regulated Fund’s participation in pro rata Dispositions as being in the best interests of the Regulated Fund. The Regulated Fund’s Board may refuse to approve, or at any time rescind, suspend or qualify, their approval of Pro Rata Dispositions, in which case all subsequent Dispositions will be submitted to the Regulated Fund’s Eligible Directors.</w:t>
      </w:r>
    </w:p>
    <w:p>
      <w:pPr>
        <w:spacing w:after="0" w:line="201" w:lineRule="exact"/>
        <w:rPr>
          <w:sz w:val="20"/>
          <w:szCs w:val="20"/>
          <w:color w:val="auto"/>
        </w:rPr>
      </w:pPr>
    </w:p>
    <w:p>
      <w:pPr>
        <w:ind w:left="4" w:firstLine="440"/>
        <w:spacing w:after="0" w:line="230" w:lineRule="auto"/>
        <w:rPr>
          <w:sz w:val="20"/>
          <w:szCs w:val="20"/>
          <w:color w:val="auto"/>
        </w:rPr>
      </w:pPr>
      <w:r>
        <w:rPr>
          <w:rFonts w:ascii="Times New Roman" w:cs="Times New Roman" w:eastAsia="Times New Roman" w:hAnsi="Times New Roman"/>
          <w:sz w:val="18"/>
          <w:szCs w:val="18"/>
          <w:color w:val="auto"/>
        </w:rPr>
        <w:t>In the case of a Tradable Security, approval of the required majority is not required for the Disposition if: (x) the Disposition is not to the issuer or any affiliated person of the issuer;</w:t>
      </w: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18"/>
          <w:szCs w:val="18"/>
          <w:color w:val="auto"/>
        </w:rPr>
        <w:t xml:space="preserve"> and (y) the security is sold for cash in a transaction in which the only term negotiated by or on behalf of the participating Regulated Funds and Affiliated Funds is price. Pro Rata Dispositions and Dispositions of a Tradable Security remain subject to the Board’s periodic review in accordance with Condition 10.</w:t>
      </w:r>
    </w:p>
    <w:p>
      <w:pPr>
        <w:spacing w:after="0" w:line="198" w:lineRule="exact"/>
        <w:rPr>
          <w:sz w:val="20"/>
          <w:szCs w:val="20"/>
          <w:color w:val="auto"/>
        </w:rPr>
      </w:pPr>
    </w:p>
    <w:p>
      <w:pPr>
        <w:ind w:left="824" w:hanging="384"/>
        <w:spacing w:after="0"/>
        <w:tabs>
          <w:tab w:leader="none" w:pos="8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Enhanced Review Dispositions</w:t>
      </w:r>
    </w:p>
    <w:p>
      <w:pPr>
        <w:spacing w:after="0" w:line="225" w:lineRule="exact"/>
        <w:rPr>
          <w:sz w:val="20"/>
          <w:szCs w:val="20"/>
          <w:color w:val="auto"/>
        </w:rPr>
      </w:pPr>
    </w:p>
    <w:p>
      <w:pPr>
        <w:ind w:left="4" w:right="20" w:firstLine="440"/>
        <w:spacing w:after="0" w:line="236" w:lineRule="auto"/>
        <w:rPr>
          <w:sz w:val="20"/>
          <w:szCs w:val="20"/>
          <w:color w:val="auto"/>
        </w:rPr>
      </w:pPr>
      <w:r>
        <w:rPr>
          <w:rFonts w:ascii="Times New Roman" w:cs="Times New Roman" w:eastAsia="Times New Roman" w:hAnsi="Times New Roman"/>
          <w:sz w:val="18"/>
          <w:szCs w:val="18"/>
          <w:color w:val="auto"/>
        </w:rPr>
        <w:t>One or more Regulated Funds and one or more Affiliated Funds that have not previously participated in a Co-Investment Transaction with respect to an issuer may have the opportunity to make a Disposition of Pre-Boarding Investments in a Potential Co-Investment Transaction. In these cases, the Regulated Funds and Affiliated Funds may rely on the Order to make such Disposition subject to the requirements of Condition 7. As discussed above, with respect to investment in a given issuer, the participating Regulated Funds and Affiliated Funds need only complete the onboarding process for the first Co-Investment Transaction, which may be an Enhanced Review Follow-On or an Enhanced Review Disposition.</w:t>
      </w:r>
      <w:r>
        <w:rPr>
          <w:rFonts w:ascii="Times New Roman" w:cs="Times New Roman" w:eastAsia="Times New Roman" w:hAnsi="Times New Roman"/>
          <w:sz w:val="26"/>
          <w:szCs w:val="26"/>
          <w:color w:val="auto"/>
          <w:vertAlign w:val="superscript"/>
        </w:rPr>
        <w:t>19</w:t>
      </w:r>
      <w:r>
        <w:rPr>
          <w:rFonts w:ascii="Times New Roman" w:cs="Times New Roman" w:eastAsia="Times New Roman" w:hAnsi="Times New Roman"/>
          <w:sz w:val="18"/>
          <w:szCs w:val="18"/>
          <w:color w:val="auto"/>
        </w:rPr>
        <w:t xml:space="preserve"> Subsequent Co-Investment Transactions with respect to the issuer will be governed by Condition 6 or 8 under the standard review process.</w:t>
      </w:r>
    </w:p>
    <w:p>
      <w:pPr>
        <w:spacing w:after="0" w:line="106" w:lineRule="exact"/>
        <w:rPr>
          <w:sz w:val="20"/>
          <w:szCs w:val="20"/>
          <w:color w:val="auto"/>
        </w:rPr>
      </w:pPr>
    </w:p>
    <w:p>
      <w:pPr>
        <w:ind w:left="544" w:hanging="544"/>
        <w:spacing w:after="0"/>
        <w:tabs>
          <w:tab w:leader="none" w:pos="54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Wholly-Owned Investment Subs</w:t>
      </w:r>
    </w:p>
    <w:p>
      <w:pPr>
        <w:spacing w:after="0" w:line="225"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A Regulated Fund may, from time to time, form one or more Wholly-Owned Investment Subs. Such a subsidiary may be prohibited from investing in a Co-Investment Transaction with a Regulated Fund (other than its parent) or any Affiliated Fund because it would be a company controlled by its parent Regulated Fund for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715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53" w:lineRule="exact"/>
        <w:rPr>
          <w:sz w:val="20"/>
          <w:szCs w:val="20"/>
          <w:color w:val="auto"/>
        </w:rPr>
      </w:pPr>
    </w:p>
    <w:p>
      <w:pPr>
        <w:ind w:left="424" w:hanging="424"/>
        <w:spacing w:after="0"/>
        <w:tabs>
          <w:tab w:leader="none" w:pos="424" w:val="left"/>
        </w:tabs>
        <w:numPr>
          <w:ilvl w:val="0"/>
          <w:numId w:val="4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note 30, below.</w:t>
      </w:r>
    </w:p>
    <w:p>
      <w:pPr>
        <w:spacing w:after="0" w:line="1" w:lineRule="exact"/>
        <w:rPr>
          <w:rFonts w:ascii="Times New Roman" w:cs="Times New Roman" w:eastAsia="Times New Roman" w:hAnsi="Times New Roman"/>
          <w:sz w:val="27"/>
          <w:szCs w:val="27"/>
          <w:color w:val="auto"/>
          <w:vertAlign w:val="superscript"/>
        </w:rPr>
      </w:pPr>
    </w:p>
    <w:p>
      <w:pPr>
        <w:ind w:left="424" w:right="60" w:hanging="424"/>
        <w:spacing w:after="0" w:line="214" w:lineRule="auto"/>
        <w:tabs>
          <w:tab w:leader="none" w:pos="424" w:val="left"/>
        </w:tabs>
        <w:numPr>
          <w:ilvl w:val="0"/>
          <w:numId w:val="4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 the case of a Tradable Security, Dispositions to the issuer or an affiliated person of the issuer are not permitted so that funds participating in the Disposition do not benefit to the detriment of Regulated Funds that remain invested in the issuer. For example, if a Disposition of a Tradable Security were permitted to be made to the issuer, the issuer may be reducing its short term assets (i.e., cash) to pay down long term liabilities.</w:t>
      </w:r>
    </w:p>
    <w:p>
      <w:pPr>
        <w:ind w:left="424" w:right="20" w:hanging="424"/>
        <w:spacing w:after="0" w:line="233" w:lineRule="auto"/>
        <w:tabs>
          <w:tab w:leader="none" w:pos="424" w:val="left"/>
        </w:tabs>
        <w:numPr>
          <w:ilvl w:val="0"/>
          <w:numId w:val="4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However, with respect to an issuer, if a Regulated Fund’s first Co-Investment Transaction is an Enhanced Review Disposition, and the Regulated Fund does not dispose of its entire position in the Enhanced Review Disposition, then before such Regulated Fund may complete its first Standard Review Follow-On in such issuer, the Eligible Directors must review the proposed Follow-On Investment not only on a stand-alone basis but also in relation to the total economic exposure in such issuer (i.e., in combination with the portion of the Pre-Boarding Investment not disposed of in the Enhanced Review Disposition), and the other terms of the investments. This additional review is required because such findings were not required in connection with the prior Enhanced Review Disposition, but they would have been required had the first Co-Investment Transaction been an Enhanced Review Follow-On.</w:t>
      </w:r>
    </w:p>
    <w:p>
      <w:pPr>
        <w:spacing w:after="0" w:line="13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4"/>
          </w:cols>
          <w:pgMar w:left="436" w:top="270" w:right="479" w:bottom="1440" w:gutter="0" w:footer="0" w:header="0"/>
        </w:sectPr>
      </w:pPr>
    </w:p>
    <w:bookmarkStart w:id="13" w:name="page14"/>
    <w:bookmarkEnd w:id="13"/>
    <w:p>
      <w:pPr>
        <w:ind w:left="4"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Section 57(a)(4) and Rule 17d-1. The Applicants request that each Wholly-Owned Investment Sub be permitted to participate in Co-Investment Transactions in lieu of the Regulated Fund that owns it and that the Wholly-Owned Investment Sub’s participation in any such transaction be treated, for purposes of the Order, as though the parent Regulated Fund were participating directly.</w:t>
      </w:r>
    </w:p>
    <w:p>
      <w:pPr>
        <w:spacing w:after="0" w:line="176" w:lineRule="exact"/>
        <w:rPr>
          <w:sz w:val="20"/>
          <w:szCs w:val="20"/>
          <w:color w:val="auto"/>
        </w:rPr>
      </w:pPr>
    </w:p>
    <w:p>
      <w:pPr>
        <w:ind w:left="4" w:right="100" w:firstLine="440"/>
        <w:spacing w:after="0" w:line="255" w:lineRule="auto"/>
        <w:rPr>
          <w:sz w:val="20"/>
          <w:szCs w:val="20"/>
          <w:color w:val="auto"/>
        </w:rPr>
      </w:pPr>
      <w:r>
        <w:rPr>
          <w:rFonts w:ascii="Times New Roman" w:cs="Times New Roman" w:eastAsia="Times New Roman" w:hAnsi="Times New Roman"/>
          <w:sz w:val="18"/>
          <w:szCs w:val="18"/>
          <w:color w:val="auto"/>
        </w:rPr>
        <w:t>The Applicants represent that this treatment is justified because a Wholly-Owned Investment Sub would have no purpose other than serving as a holding vehicle for the Regulated Fund’s investments and, therefore, no conflicts of interest could arise between the parent Regulated Fund and the Wholly-Owned Investment Sub. The Board of the parent Regulated Fund would make all relevant determinations under the Conditions with regard to a Wholly-Owned Investment Sub’s participation in a Co-Investment Transaction, and the Board would be informed of, and take into consideration, any proposed use of a Wholly-Owned Investment Sub in the Regulated Fund’s place. If the parent Regulated Fund proposes to participate in the same Co-Investment Transaction with any of its Wholly-Owned Investment Subs, the Board of the parent Regulated Fund will also be informed of, and take into consideration, the relative participation of the Regulated Fund and the Wholly-Owned Investment Sub.</w:t>
      </w:r>
    </w:p>
    <w:p>
      <w:pPr>
        <w:spacing w:after="0" w:line="189" w:lineRule="exact"/>
        <w:rPr>
          <w:sz w:val="20"/>
          <w:szCs w:val="20"/>
          <w:color w:val="auto"/>
        </w:rPr>
      </w:pPr>
    </w:p>
    <w:p>
      <w:pPr>
        <w:jc w:val="both"/>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The Applicants note that an entity could not be both a Wholly-Owned Investment Sub and a BDC Downstream Fund because, in the former case, the Board of the parent Regulated Fund makes any determinations regarding the subsidiary’s investments while, in the latter case, the Independent Party makes such determinations.</w:t>
      </w:r>
    </w:p>
    <w:p>
      <w:pPr>
        <w:spacing w:after="0" w:line="81" w:lineRule="exact"/>
        <w:rPr>
          <w:sz w:val="20"/>
          <w:szCs w:val="20"/>
          <w:color w:val="auto"/>
        </w:rPr>
      </w:pPr>
    </w:p>
    <w:p>
      <w:pPr>
        <w:ind w:left="544" w:hanging="544"/>
        <w:spacing w:after="0"/>
        <w:tabs>
          <w:tab w:leader="none" w:pos="54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p>
    <w:p>
      <w:pPr>
        <w:spacing w:after="0" w:line="131" w:lineRule="exact"/>
        <w:rPr>
          <w:sz w:val="20"/>
          <w:szCs w:val="20"/>
          <w:color w:val="auto"/>
        </w:rPr>
      </w:pPr>
    </w:p>
    <w:p>
      <w:pPr>
        <w:ind w:left="544" w:hanging="544"/>
        <w:spacing w:after="0"/>
        <w:tabs>
          <w:tab w:leader="none" w:pos="5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17(d) and Section 57(a)(4)</w:t>
      </w:r>
    </w:p>
    <w:p>
      <w:pPr>
        <w:spacing w:after="0" w:line="225"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Section 17(d) of the Act generally prohibits an affiliated person (as defined in Section 2(a)(3) of the Act), or an affiliated person of such affiliated person, of a registered investment company acting as principal, from effecting any transaction in which the registered investment company is a joint or a joint and several participant, in contravention of such rules as the Commission may prescribe for the purpose of limiting or preventing participation by the registered investment company on a basis different from or less advantageous than that of such other participant.</w:t>
      </w:r>
    </w:p>
    <w:p>
      <w:pPr>
        <w:spacing w:after="0" w:line="180" w:lineRule="exact"/>
        <w:rPr>
          <w:sz w:val="20"/>
          <w:szCs w:val="20"/>
          <w:color w:val="auto"/>
        </w:rPr>
      </w:pPr>
    </w:p>
    <w:p>
      <w:pPr>
        <w:ind w:left="4" w:right="120" w:firstLine="440"/>
        <w:spacing w:after="0" w:line="312" w:lineRule="auto"/>
        <w:rPr>
          <w:sz w:val="20"/>
          <w:szCs w:val="20"/>
          <w:color w:val="auto"/>
        </w:rPr>
      </w:pPr>
      <w:r>
        <w:rPr>
          <w:rFonts w:ascii="Times New Roman" w:cs="Times New Roman" w:eastAsia="Times New Roman" w:hAnsi="Times New Roman"/>
          <w:sz w:val="17"/>
          <w:szCs w:val="17"/>
          <w:color w:val="auto"/>
        </w:rPr>
        <w:t>Similarly, with regard to BDCs, Section 57(a)(4) prohibits certain persons specified in Section 57(b) from participating in a joint transaction with the BDC, or a company controlled by the BDC, in contravention of rules as prescribed by the Commission. In particular, Section 57(a)(4) applies to:</w:t>
      </w:r>
    </w:p>
    <w:p>
      <w:pPr>
        <w:spacing w:after="0" w:line="45" w:lineRule="exact"/>
        <w:rPr>
          <w:sz w:val="20"/>
          <w:szCs w:val="20"/>
          <w:color w:val="auto"/>
        </w:rPr>
      </w:pPr>
    </w:p>
    <w:p>
      <w:pPr>
        <w:ind w:left="1424" w:right="460" w:hanging="331"/>
        <w:spacing w:after="0" w:line="282" w:lineRule="auto"/>
        <w:tabs>
          <w:tab w:leader="none" w:pos="1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officer, employee, or member of an advisory board of a BDC or any person (other than the BDC itself) who is an affiliated person of the forgoing pursuant to Section 2(a)(3)(C); or</w:t>
      </w:r>
    </w:p>
    <w:p>
      <w:pPr>
        <w:spacing w:after="0" w:line="67" w:lineRule="exact"/>
        <w:rPr>
          <w:rFonts w:ascii="Times New Roman" w:cs="Times New Roman" w:eastAsia="Times New Roman" w:hAnsi="Times New Roman"/>
          <w:sz w:val="18"/>
          <w:szCs w:val="18"/>
          <w:color w:val="auto"/>
        </w:rPr>
      </w:pPr>
    </w:p>
    <w:p>
      <w:pPr>
        <w:ind w:left="1424" w:right="140" w:hanging="331"/>
        <w:spacing w:after="0" w:line="230" w:lineRule="auto"/>
        <w:tabs>
          <w:tab w:leader="none" w:pos="1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adviser or promoter of, general partner in, principal underwriter for, or person directly or indirectly either controlling, controlled by, or under common control with, a BDC (except the BDC itself and any person who, if it were not directly or indirectly controlled by the BDC, would not be directly or indirectly under the control of a person who controls the BDC);</w:t>
      </w:r>
      <w:r>
        <w:rPr>
          <w:rFonts w:ascii="Times New Roman" w:cs="Times New Roman" w:eastAsia="Times New Roman" w:hAnsi="Times New Roman"/>
          <w:sz w:val="26"/>
          <w:szCs w:val="26"/>
          <w:color w:val="auto"/>
          <w:vertAlign w:val="superscript"/>
        </w:rPr>
        <w:t>20</w:t>
      </w:r>
      <w:r>
        <w:rPr>
          <w:rFonts w:ascii="Times New Roman" w:cs="Times New Roman" w:eastAsia="Times New Roman" w:hAnsi="Times New Roman"/>
          <w:sz w:val="18"/>
          <w:szCs w:val="18"/>
          <w:color w:val="auto"/>
        </w:rPr>
        <w:t xml:space="preserve"> or any person who is an affiliated person of any of the forgoing within the meaning of Section 2(a)(3)(C) or (D).</w:t>
      </w:r>
    </w:p>
    <w:p>
      <w:pPr>
        <w:spacing w:after="0" w:line="198"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Pursuant to the foregoing application of Section 57(a)(4), BDC Downstream Funds on the one hand and other Regulated Funds and Affiliated Funds on the other, may not co-invest absent an exemptive order because the BDC Downstream Funds are controlled by a BDC and the Affiliated Funds and other Regulated Funds are included in Section 57(b).</w:t>
      </w:r>
    </w:p>
    <w:p>
      <w:pPr>
        <w:spacing w:after="0" w:line="176"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Section 2(a)(3)(C) defines an “affiliated person” of another person to include any person directly or indirectly controlling, controlled by, or under common control with, such other person. Section 2(a)(3)(D) defines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71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5" w:lineRule="exact"/>
        <w:rPr>
          <w:sz w:val="20"/>
          <w:szCs w:val="20"/>
          <w:color w:val="auto"/>
        </w:rPr>
      </w:pPr>
    </w:p>
    <w:p>
      <w:pPr>
        <w:ind w:left="424" w:right="60" w:hanging="424"/>
        <w:spacing w:after="0" w:line="220" w:lineRule="auto"/>
        <w:tabs>
          <w:tab w:leader="none" w:pos="424" w:val="left"/>
        </w:tabs>
        <w:numPr>
          <w:ilvl w:val="0"/>
          <w:numId w:val="5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Also excluded from this category by Rule 57b-1 is any person who would otherwise be included (a) solely because that person is directly or indirectly controlled by a business development company, or (b) solely because that person is, within the meaning of Section 2(a)(3)(C) or (D), an affiliated person of a person described in (a) above.</w:t>
      </w:r>
    </w:p>
    <w:p>
      <w:pPr>
        <w:spacing w:after="0" w:line="13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14" w:name="page15"/>
    <w:bookmarkEnd w:id="14"/>
    <w:p>
      <w:pPr>
        <w:ind w:left="4"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officer, director, partner, copartner, or employee” of an affiliated person as an affiliated person. Section 2(a)(9) defines “control” as the power to exercise a controlling influence over the management or policies of a company, unless such power is solely the result of an official position with that company. Under Section 2(a)(9) a person who beneficially owns, either directly or through one or more controlled companies, more than 25% of the voting securities of a company is presumed to control such company. The Commission and its staff have indicated on a number of occasions their belief that an investment adviser that provides discretionary investment management services to a fund and that sponsored, selected the initial directors, and provides administrative or other non-advisory services to the fund, controls such fund, absent compelling evidence to the contrary.</w:t>
      </w:r>
      <w:r>
        <w:rPr>
          <w:rFonts w:ascii="Times New Roman" w:cs="Times New Roman" w:eastAsia="Times New Roman" w:hAnsi="Times New Roman"/>
          <w:sz w:val="26"/>
          <w:szCs w:val="26"/>
          <w:color w:val="auto"/>
          <w:vertAlign w:val="superscript"/>
        </w:rPr>
        <w:t>21</w:t>
      </w:r>
    </w:p>
    <w:p>
      <w:pPr>
        <w:spacing w:after="0" w:line="4" w:lineRule="exact"/>
        <w:rPr>
          <w:sz w:val="20"/>
          <w:szCs w:val="20"/>
          <w:color w:val="auto"/>
        </w:rPr>
      </w:pPr>
    </w:p>
    <w:p>
      <w:pPr>
        <w:ind w:left="544" w:hanging="544"/>
        <w:spacing w:after="0"/>
        <w:tabs>
          <w:tab w:leader="none" w:pos="54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17d-1</w:t>
      </w:r>
    </w:p>
    <w:p>
      <w:pPr>
        <w:spacing w:after="0" w:line="205" w:lineRule="exact"/>
        <w:rPr>
          <w:sz w:val="20"/>
          <w:szCs w:val="20"/>
          <w:color w:val="auto"/>
        </w:rPr>
      </w:pPr>
    </w:p>
    <w:p>
      <w:pPr>
        <w:ind w:left="4" w:right="20" w:firstLine="440"/>
        <w:spacing w:after="0" w:line="273" w:lineRule="auto"/>
        <w:rPr>
          <w:sz w:val="20"/>
          <w:szCs w:val="20"/>
          <w:color w:val="auto"/>
        </w:rPr>
      </w:pPr>
      <w:r>
        <w:rPr>
          <w:rFonts w:ascii="Times New Roman" w:cs="Times New Roman" w:eastAsia="Times New Roman" w:hAnsi="Times New Roman"/>
          <w:sz w:val="17"/>
          <w:szCs w:val="17"/>
          <w:color w:val="auto"/>
        </w:rPr>
        <w:t>Rule 17d-1 generally prohibits an affiliated person (as defined in Section 2(a)(3)), or an affiliated person of such affiliated person, of a registered investment company acting as principal, from effecting any transaction in which the registered investment company, or a company controlled by such registered company, is a joint or a joint and several participant, in contravention of such rules as the Commission may prescribe for the purpose of limiting or preventing participation by the registered investment company on a basis different from or less advantageous than that of such first or second tier affiliate. Rule 17d-1 generally prohibits participation by a registered investment company and an affiliated person (as defined in Section 2(a)(3)) or principal underwriter for that investment company, or an affiliated person of such affiliated person or principal underwriter, in any “joint enterprise or other joint arrangement or profit-sharing plan,” as defined in the rule, without prior approval by the Commission by order upon application.</w:t>
      </w:r>
    </w:p>
    <w:p>
      <w:pPr>
        <w:spacing w:after="0" w:line="171"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Rule 17d-1 was promulgated by the Commission pursuant to Section 17(d) and made applicable to persons subject to Sections 57(a) and (d) by Section 57(i) to the extent specified therein. Section 57(i) provides that, until the Commission prescribes rules under Sections 57(a) and (d), the Commission’s rules under Section 17(d) applicable to registered closed-end investment companies will be deemed to apply to persons subject to the prohibitions of Section 57(a) or (d). Because the Commission has not adopted any rules under Section 57(a) or (d), Rule 17d-1 applies to persons subject to the prohibitions of Section 57(a) or (d).</w:t>
      </w:r>
    </w:p>
    <w:p>
      <w:pPr>
        <w:spacing w:after="0" w:line="183"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The Applicants seek relief pursuant to Rule 17d-1, which permits the Commission to authorize joint transactions upon application. In passing upon applications filed pursuant to Rule 17d-1, the Commission is directed by Rule 17d-1(b) to consider whether the participation of a registered investment company or controlled company thereof in the joint enterprise or joint arrangement under scrutiny is consistent with provisions, policies and purposes of the Act and the extent to which such participation is on a basis different from or less advantageous than that of other participants.</w:t>
      </w:r>
    </w:p>
    <w:p>
      <w:pPr>
        <w:spacing w:after="0" w:line="180" w:lineRule="exact"/>
        <w:rPr>
          <w:sz w:val="20"/>
          <w:szCs w:val="20"/>
          <w:color w:val="auto"/>
        </w:rPr>
      </w:pPr>
    </w:p>
    <w:p>
      <w:pPr>
        <w:ind w:left="4" w:right="160" w:firstLine="440"/>
        <w:spacing w:after="0" w:line="233" w:lineRule="auto"/>
        <w:rPr>
          <w:sz w:val="20"/>
          <w:szCs w:val="20"/>
          <w:color w:val="auto"/>
        </w:rPr>
      </w:pPr>
      <w:r>
        <w:rPr>
          <w:rFonts w:ascii="Times New Roman" w:cs="Times New Roman" w:eastAsia="Times New Roman" w:hAnsi="Times New Roman"/>
          <w:sz w:val="18"/>
          <w:szCs w:val="18"/>
          <w:color w:val="auto"/>
        </w:rPr>
        <w:t>The Commission has stated that Section 17(d), upon which Rule 17d-1 is based, and upon which Section 57(a)(4) was modeled, was designed to protect investment companies from self-dealing and overreaching by insiders. The Commission has also taken notice that there may be transactions subject to these prohibitions that do not present the dangers of overreaching.</w:t>
      </w:r>
      <w:r>
        <w:rPr>
          <w:rFonts w:ascii="Times New Roman" w:cs="Times New Roman" w:eastAsia="Times New Roman" w:hAnsi="Times New Roman"/>
          <w:sz w:val="26"/>
          <w:szCs w:val="26"/>
          <w:color w:val="auto"/>
          <w:vertAlign w:val="superscript"/>
        </w:rPr>
        <w:t>22</w:t>
      </w:r>
      <w:r>
        <w:rPr>
          <w:rFonts w:ascii="Times New Roman" w:cs="Times New Roman" w:eastAsia="Times New Roman" w:hAnsi="Times New Roman"/>
          <w:sz w:val="18"/>
          <w:szCs w:val="18"/>
          <w:color w:val="auto"/>
        </w:rPr>
        <w:t xml:space="preserve"> The Court of Appeals for the Second Circuit has enunciated a like rationale for the purpose behind Section 17(d): “The objective of [Section] 17(d)…is to prevent…injuring the interest of stockholders of registered investment companies by causing the company to participate on a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97155</wp:posOffset>
            </wp:positionV>
            <wp:extent cx="7715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right="120" w:hanging="424"/>
        <w:spacing w:after="0" w:line="231" w:lineRule="auto"/>
        <w:tabs>
          <w:tab w:leader="none" w:pos="424" w:val="left"/>
        </w:tabs>
        <w:numPr>
          <w:ilvl w:val="0"/>
          <w:numId w:val="5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SEC Rel. No. IC-4697 (Sept. 8, 1966) (“For purposes of Section 2(a)(3)(C), affiliation based upon control would depend on the facts of the given situation, including such factors as extensive interlocks of officers, directors or key personnel, common investment advisers or underwriters, etc.”); Lazard Freres Asset Management, SEC No-Action Letter (pub. avail. Jan. 10, 1997) (“While, in some circumstances, the nature of an advisory relationship may give an adviser control over its client’s management or policies, whether an investment company and another entity are under common control is a factual question…”).</w:t>
      </w:r>
    </w:p>
    <w:p>
      <w:pPr>
        <w:spacing w:after="0" w:line="2" w:lineRule="exact"/>
        <w:rPr>
          <w:rFonts w:ascii="Times New Roman" w:cs="Times New Roman" w:eastAsia="Times New Roman" w:hAnsi="Times New Roman"/>
          <w:sz w:val="27"/>
          <w:szCs w:val="27"/>
          <w:color w:val="auto"/>
          <w:vertAlign w:val="superscript"/>
        </w:rPr>
      </w:pPr>
    </w:p>
    <w:p>
      <w:pPr>
        <w:ind w:left="424" w:hanging="424"/>
        <w:spacing w:after="0" w:line="180" w:lineRule="auto"/>
        <w:tabs>
          <w:tab w:leader="none" w:pos="424" w:val="left"/>
        </w:tabs>
        <w:numPr>
          <w:ilvl w:val="0"/>
          <w:numId w:val="5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u w:val="single" w:color="auto"/>
          <w:color w:val="auto"/>
        </w:rPr>
        <w:t>See Protecting Investors: A Half-Century of Investment Company Regulation</w:t>
      </w:r>
      <w:r>
        <w:rPr>
          <w:rFonts w:ascii="Times New Roman" w:cs="Times New Roman" w:eastAsia="Times New Roman" w:hAnsi="Times New Roman"/>
          <w:sz w:val="17"/>
          <w:szCs w:val="17"/>
          <w:color w:val="auto"/>
        </w:rPr>
        <w:t xml:space="preserve">, 1504 Fed. Sec. L. Rep., Extra Edition (May 29, 1992) at 488 </w:t>
      </w:r>
      <w:r>
        <w:rPr>
          <w:rFonts w:ascii="Times New Roman" w:cs="Times New Roman" w:eastAsia="Times New Roman" w:hAnsi="Times New Roman"/>
          <w:sz w:val="17"/>
          <w:szCs w:val="17"/>
          <w:i w:val="1"/>
          <w:iCs w:val="1"/>
          <w:color w:val="auto"/>
        </w:rPr>
        <w:t>et seq</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15" w:name="page16"/>
    <w:bookmarkEnd w:id="15"/>
    <w:p>
      <w:pPr>
        <w:jc w:val="both"/>
        <w:ind w:left="4" w:right="120"/>
        <w:spacing w:after="0" w:line="23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different from or less advantageous than that of such other participants.”</w:t>
      </w:r>
      <w:r>
        <w:rPr>
          <w:rFonts w:ascii="Times New Roman" w:cs="Times New Roman" w:eastAsia="Times New Roman" w:hAnsi="Times New Roman"/>
          <w:sz w:val="26"/>
          <w:szCs w:val="26"/>
          <w:color w:val="auto"/>
          <w:vertAlign w:val="superscript"/>
        </w:rPr>
        <w:t>23</w:t>
      </w:r>
      <w:r>
        <w:rPr>
          <w:rFonts w:ascii="Times New Roman" w:cs="Times New Roman" w:eastAsia="Times New Roman" w:hAnsi="Times New Roman"/>
          <w:sz w:val="18"/>
          <w:szCs w:val="18"/>
          <w:color w:val="auto"/>
        </w:rPr>
        <w:t xml:space="preserve"> Furthermore, Congress acknowledged that the protective system established by the enactment of Section 57 is “similar to that applicable to registered investment companies under Section 17, and rules thereunder, but is modified to address concerns relating to unique characteristics presented by business development companies.”</w:t>
      </w:r>
      <w:r>
        <w:rPr>
          <w:rFonts w:ascii="Times New Roman" w:cs="Times New Roman" w:eastAsia="Times New Roman" w:hAnsi="Times New Roman"/>
          <w:sz w:val="26"/>
          <w:szCs w:val="26"/>
          <w:color w:val="auto"/>
          <w:vertAlign w:val="superscript"/>
        </w:rPr>
        <w:t>24</w:t>
      </w:r>
    </w:p>
    <w:p>
      <w:pPr>
        <w:spacing w:after="0" w:line="72" w:lineRule="exact"/>
        <w:rPr>
          <w:sz w:val="20"/>
          <w:szCs w:val="20"/>
          <w:color w:val="auto"/>
        </w:rPr>
      </w:pPr>
    </w:p>
    <w:p>
      <w:pPr>
        <w:ind w:left="4" w:right="340" w:firstLine="440"/>
        <w:spacing w:after="0" w:line="282" w:lineRule="auto"/>
        <w:rPr>
          <w:sz w:val="20"/>
          <w:szCs w:val="20"/>
          <w:color w:val="auto"/>
        </w:rPr>
      </w:pPr>
      <w:r>
        <w:rPr>
          <w:rFonts w:ascii="Times New Roman" w:cs="Times New Roman" w:eastAsia="Times New Roman" w:hAnsi="Times New Roman"/>
          <w:sz w:val="18"/>
          <w:szCs w:val="18"/>
          <w:color w:val="auto"/>
        </w:rPr>
        <w:t>The Applicants believe that the Conditions would ensure that the conflicts of interest that Section 17(d) and Section 57(a)(4) were designed to prevent would be addressed and the standards for an order under Rule 17d-1 and Section 57(i) would be met.</w:t>
      </w:r>
    </w:p>
    <w:p>
      <w:pPr>
        <w:spacing w:after="0" w:line="67" w:lineRule="exact"/>
        <w:rPr>
          <w:sz w:val="20"/>
          <w:szCs w:val="20"/>
          <w:color w:val="auto"/>
        </w:rPr>
      </w:pPr>
    </w:p>
    <w:p>
      <w:pPr>
        <w:ind w:left="544" w:hanging="544"/>
        <w:spacing w:after="0"/>
        <w:tabs>
          <w:tab w:leader="none" w:pos="54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Need for Relief</w:t>
      </w:r>
    </w:p>
    <w:p>
      <w:pPr>
        <w:spacing w:after="0" w:line="225" w:lineRule="exact"/>
        <w:rPr>
          <w:sz w:val="20"/>
          <w:szCs w:val="20"/>
          <w:color w:val="auto"/>
        </w:rPr>
      </w:pPr>
    </w:p>
    <w:p>
      <w:pPr>
        <w:ind w:left="4" w:right="600" w:firstLine="440"/>
        <w:spacing w:after="0" w:line="289" w:lineRule="auto"/>
        <w:rPr>
          <w:sz w:val="20"/>
          <w:szCs w:val="20"/>
          <w:color w:val="auto"/>
        </w:rPr>
      </w:pPr>
      <w:r>
        <w:rPr>
          <w:rFonts w:ascii="Times New Roman" w:cs="Times New Roman" w:eastAsia="Times New Roman" w:hAnsi="Times New Roman"/>
          <w:sz w:val="17"/>
          <w:szCs w:val="17"/>
          <w:color w:val="auto"/>
        </w:rPr>
        <w:t>Co-Investment Transactions are prohibited by either or both of Rule 17d-1 and Section 57(a)(4) without a prior exemptive order of the Commission to the extent that the Affiliated Funds and the Regulated Funds participating in such transactions fall within the category of persons described by Rule 17d-1 and/or Section 57(b), as modified by Rule 57b-1 thereunder, as applicable, vis-à-vis each participating Regulated Fund.</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Each of the participating Regulated Funds and Affiliated Funds may be deemed to be affiliated persons vis-à-vis a Regulated Fund within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meaning of Section 2(a)(3) by reason of common control because (i) an Existing Adviser is the investment adviser (and sub-adviser, if any) to, and may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be deemed to control, each of the Existing Affiliated Funds, and an Adviser to Affiliated Funds will be the investment adviser (and sub-adviser, if any)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and may be deemed to control, any other Affiliated Fund; (ii) an Existing Adviser is the investment adviser (and sub-adviser, if any) to, and may be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deemed to control, the existing Regulated Funds and an Adviser will be the investment adviser (and sub-adviser, if any) to, and may be deemed 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control, any Future Regulated Fund; (iii) each BDC Downstream Fund will be deemed to be controlled by its BDC parent and/or its BDC parent’s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investment adviser; and (iv) the Advisers to Affiliated Funds and the Advisers to Regulated Funds are under common control. Thus, each of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Affiliated Funds could be deemed to be a person related to the Regulated Funds, including any BDC Downstream Fund, in a manner described by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57(b) and related to the other Regulated Funds in a manner described by Rule 17d-1; and therefore the prohibitions of Rule 17d-1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57(a)(4) would apply respectively to prohibit the Affiliated Funds from participating in Co-Investment Transactions with the Regulated Funds.</w:t>
      </w:r>
    </w:p>
    <w:p>
      <w:pPr>
        <w:spacing w:after="0" w:line="207" w:lineRule="exact"/>
        <w:rPr>
          <w:sz w:val="20"/>
          <w:szCs w:val="20"/>
          <w:color w:val="auto"/>
        </w:rPr>
      </w:pPr>
    </w:p>
    <w:p>
      <w:pPr>
        <w:jc w:val="both"/>
        <w:ind w:left="4" w:right="500" w:firstLine="440"/>
        <w:spacing w:after="0" w:line="289" w:lineRule="auto"/>
        <w:rPr>
          <w:sz w:val="20"/>
          <w:szCs w:val="20"/>
          <w:color w:val="auto"/>
        </w:rPr>
      </w:pPr>
      <w:r>
        <w:rPr>
          <w:rFonts w:ascii="Times New Roman" w:cs="Times New Roman" w:eastAsia="Times New Roman" w:hAnsi="Times New Roman"/>
          <w:sz w:val="17"/>
          <w:szCs w:val="17"/>
          <w:color w:val="auto"/>
        </w:rPr>
        <w:t>In addition, because the Proprietary Accounts are controlled by an Adviser and, therefore, may be under common control with the Existing Advisers and any Future Regulated Funds, the Proprietary Accounts could be deemed to be persons related to the Regulated Funds (or a company controlled by the Regulated Funds) in a manner described by Section 57(b) and also prohibited from participating in the Co-Investment Program.</w:t>
      </w:r>
    </w:p>
    <w:p>
      <w:pPr>
        <w:spacing w:after="0" w:line="63" w:lineRule="exact"/>
        <w:rPr>
          <w:sz w:val="20"/>
          <w:szCs w:val="20"/>
          <w:color w:val="auto"/>
        </w:rPr>
      </w:pPr>
    </w:p>
    <w:p>
      <w:pPr>
        <w:ind w:left="544" w:hanging="544"/>
        <w:spacing w:after="0"/>
        <w:tabs>
          <w:tab w:leader="none" w:pos="54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Precedents</w:t>
      </w:r>
    </w:p>
    <w:p>
      <w:pPr>
        <w:spacing w:after="0" w:line="225" w:lineRule="exact"/>
        <w:rPr>
          <w:sz w:val="20"/>
          <w:szCs w:val="20"/>
          <w:color w:val="auto"/>
        </w:rPr>
      </w:pPr>
    </w:p>
    <w:p>
      <w:pPr>
        <w:ind w:left="4" w:right="240" w:firstLine="440"/>
        <w:spacing w:after="0" w:line="294" w:lineRule="auto"/>
        <w:rPr>
          <w:sz w:val="20"/>
          <w:szCs w:val="20"/>
          <w:color w:val="auto"/>
        </w:rPr>
      </w:pPr>
      <w:r>
        <w:rPr>
          <w:rFonts w:ascii="Times New Roman" w:cs="Times New Roman" w:eastAsia="Times New Roman" w:hAnsi="Times New Roman"/>
          <w:sz w:val="18"/>
          <w:szCs w:val="18"/>
          <w:color w:val="auto"/>
        </w:rPr>
        <w:t>The Commission has issued numerous exemptive orders under the Act permitting registered investment companies and BDCs to co-invest with affiliated persons.</w:t>
      </w:r>
      <w:r>
        <w:rPr>
          <w:rFonts w:ascii="Times New Roman" w:cs="Times New Roman" w:eastAsia="Times New Roman" w:hAnsi="Times New Roman"/>
          <w:sz w:val="26"/>
          <w:szCs w:val="26"/>
          <w:color w:val="auto"/>
          <w:vertAlign w:val="superscript"/>
        </w:rPr>
        <w:t>25</w:t>
      </w:r>
      <w:r>
        <w:rPr>
          <w:rFonts w:ascii="Times New Roman" w:cs="Times New Roman" w:eastAsia="Times New Roman" w:hAnsi="Times New Roman"/>
          <w:sz w:val="18"/>
          <w:szCs w:val="18"/>
          <w:color w:val="auto"/>
        </w:rPr>
        <w:t xml:space="preserve"> Although the various precedents involved somewhat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715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ind w:left="424" w:hanging="424"/>
        <w:spacing w:after="0" w:line="182" w:lineRule="auto"/>
        <w:tabs>
          <w:tab w:leader="none" w:pos="424" w:val="left"/>
        </w:tabs>
        <w:numPr>
          <w:ilvl w:val="0"/>
          <w:numId w:val="5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u w:val="single" w:color="auto"/>
          <w:color w:val="auto"/>
        </w:rPr>
        <w:t>Securities and Exchange Commission v. Talley Industries, Inc</w:t>
      </w:r>
      <w:r>
        <w:rPr>
          <w:rFonts w:ascii="Times New Roman" w:cs="Times New Roman" w:eastAsia="Times New Roman" w:hAnsi="Times New Roman"/>
          <w:sz w:val="18"/>
          <w:szCs w:val="18"/>
          <w:color w:val="auto"/>
        </w:rPr>
        <w:t xml:space="preserve">., 399 F.2d 396, 405 (2d Cir. 1968), </w:t>
      </w:r>
      <w:r>
        <w:rPr>
          <w:rFonts w:ascii="Times New Roman" w:cs="Times New Roman" w:eastAsia="Times New Roman" w:hAnsi="Times New Roman"/>
          <w:sz w:val="18"/>
          <w:szCs w:val="18"/>
          <w:u w:val="single" w:color="auto"/>
          <w:color w:val="auto"/>
        </w:rPr>
        <w:t>cert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denied</w:t>
      </w:r>
      <w:r>
        <w:rPr>
          <w:rFonts w:ascii="Times New Roman" w:cs="Times New Roman" w:eastAsia="Times New Roman" w:hAnsi="Times New Roman"/>
          <w:sz w:val="18"/>
          <w:szCs w:val="18"/>
          <w:color w:val="auto"/>
        </w:rPr>
        <w:t>, 393 U.S. 1015 (1969).</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6" w:lineRule="auto"/>
        <w:tabs>
          <w:tab w:leader="none" w:pos="424" w:val="left"/>
        </w:tabs>
        <w:numPr>
          <w:ilvl w:val="0"/>
          <w:numId w:val="5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 xml:space="preserve">H.Rep. No. 96-1341, 96th Cong., 2d Sess. 45 (1980) </w:t>
      </w:r>
      <w:r>
        <w:rPr>
          <w:rFonts w:ascii="Times New Roman" w:cs="Times New Roman" w:eastAsia="Times New Roman" w:hAnsi="Times New Roman"/>
          <w:sz w:val="16"/>
          <w:szCs w:val="16"/>
          <w:i w:val="1"/>
          <w:iCs w:val="1"/>
          <w:color w:val="auto"/>
        </w:rPr>
        <w:t>reprinted</w:t>
      </w:r>
      <w:r>
        <w:rPr>
          <w:rFonts w:ascii="Times New Roman" w:cs="Times New Roman" w:eastAsia="Times New Roman" w:hAnsi="Times New Roman"/>
          <w:sz w:val="16"/>
          <w:szCs w:val="16"/>
          <w:color w:val="auto"/>
        </w:rPr>
        <w:t xml:space="preserve"> in 1980 U.S.C.C.A.N. 4827.</w:t>
      </w:r>
    </w:p>
    <w:p>
      <w:pPr>
        <w:spacing w:after="0" w:line="2" w:lineRule="exact"/>
        <w:rPr>
          <w:rFonts w:ascii="Times New Roman" w:cs="Times New Roman" w:eastAsia="Times New Roman" w:hAnsi="Times New Roman"/>
          <w:sz w:val="24"/>
          <w:szCs w:val="24"/>
          <w:color w:val="auto"/>
          <w:vertAlign w:val="superscript"/>
        </w:rPr>
      </w:pPr>
    </w:p>
    <w:p>
      <w:pPr>
        <w:ind w:left="424" w:hanging="424"/>
        <w:spacing w:after="0" w:line="237" w:lineRule="auto"/>
        <w:tabs>
          <w:tab w:leader="none" w:pos="424" w:val="left"/>
        </w:tabs>
        <w:numPr>
          <w:ilvl w:val="0"/>
          <w:numId w:val="5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See, e.g., Varagon Capital Corporation et al., (File No. 812-15361) Investment Company Act Rel. Nos. 34766 (November 19, 2022) (notice) and 34788 (December 22, 2022) (order); CION Investment Corporation, et al., (File No. 812-14387) Investment Company Act Rel. Nos. 34662 (August 4, 2022) (notice) and 34693 (August 30, 2022) (order); BlackRock Capital Investment Corporation, et al., (File No. 812-15259) Investment Company Act Rel. Nos. 34535 (March 18, 2022) (notice) and 34558 (April 14, 2022) (order); Commonwealth Credit Partners BDC I, Inc., et al., (File No. 812-15195) Investment Company Act Rel. Nos. 34325 (July 7, 2021) (notice) and 34347 (August 8, 2021) (order); Investcorp Credit Management BDC, Inc., et al., (File No. 812-15176) Investment Company Act Rel. Nos. 34318 (June 24, 2021) (notice) and 34338 (July 20, 2021) (order); iCapital KKR Private Markets Fund, et al., (File No. 812-15194) Investment Company Act Rel. Nos. 34317 (June 24, 2021) (notice) and 34332 (July 15, 2021) (order); First Eagle Alternative Capital Bdc, Inc., et al., (File No. 812-15151) Investment Company Act Rel. Nos. 34301 (June 15, 2021) (notice) and 34330 (July 13, 2021) (order); Franklin Templeton Co-Investing Interval Fund, et al., (File</w:t>
      </w:r>
    </w:p>
    <w:p>
      <w:pPr>
        <w:ind w:left="424" w:right="60"/>
        <w:spacing w:after="0" w:line="265"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No. 812-15170) Investment Company Act Rel. Nos. 34289 (May 27, 2021) (notice) and 34307 (July 22, 2021) (order); Delaware Wilshire Private Markets Master Fund, et al., (File No. 812-15119-01) Investment Company Act Rel. Nos. 34270 (May 12, 2021) (notice) and 34296 (June 8, 2021) (order); Rand Capital Corporation, et al., (File No. 812-15174) Investment Company Act Rel. Nos. 34218 (March 1, 2021) (notice) and 34237 (March 29, 2021) (order); Star Mountain Credit Opportunities Fund, LP, et al., (File No. 812-15120) Investment Company Act Rel. Nos. 34202 (February 23, 2021) (notice) and 34228 (March 23, 2021) (order); Muzinich BDC, Inc., et al., (File No. 812-15086) Investment Company Act Rel. Nos. 34186 (February 2, 2021) (notice) and 34219 (March 2, 2021) (order); Hamilton Lane Private Assets Fund, et al., (File</w:t>
      </w:r>
    </w:p>
    <w:p>
      <w:pPr>
        <w:ind w:left="424" w:right="260"/>
        <w:spacing w:after="0" w:line="250"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 812-15099) Investment Company Act Rel. Nos. 34182 (January 28, 2021) (notice) and 34201 (February 23, 2021) (order); Palmer Square Capital BDC Inc., et al., (File No. 812-15113) Investment Company Act Rel. Nos. 34139 (December 14, 2020) (notice) and 34167 (January 8, 2021) (order); KKR Income Opportunities Fund, et al., (File No. 812-14951) Investment Company Act Rel. Nos. 34138 (December 11, 2020) (notice) and 34164 (January 5, 2021) (order); Main Street Capital Corporation, et al., (File No. 812-14979) Investment Company Act Rel. Nos. 34103 (November 23, 2020) (notice) and 34146 (December 21, 2020) (order); Oaktree Strategic Income II, Inc., et al., (File No. 812-15156)</w:t>
      </w:r>
    </w:p>
    <w:p>
      <w:pPr>
        <w:spacing w:after="0" w:line="1" w:lineRule="exact"/>
        <w:rPr>
          <w:rFonts w:ascii="Times New Roman" w:cs="Times New Roman" w:eastAsia="Times New Roman" w:hAnsi="Times New Roman"/>
          <w:sz w:val="27"/>
          <w:szCs w:val="27"/>
          <w:color w:val="auto"/>
          <w:vertAlign w:val="superscript"/>
        </w:rPr>
      </w:pPr>
    </w:p>
    <w:p>
      <w:pPr>
        <w:ind w:left="424" w:right="40"/>
        <w:spacing w:after="0" w:line="251"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Investment Company Act Rel. Nos. 34099 (November 18, 2020) (notice) and 34141 (December 15, 2020) (order); Principal Diversified Select Real Asset Fund, et al., (File No. 812-15083) Investment Company Act Rel. Nos. 34086 (November 4, 2020) (notice) and 34125 (December 1, 2020) (order); Yieldstreet Prism Fund Inc., et al., (File No. 812-15038) Investment Company Act Rel. Nos. 34050 (October 15, 2020) (notice) and 34090 (November 10, 2020) (order); Rand Capital Corporation, et al., (File No. 812-15108) Investment Company Act Rel. Nos. 34006 (September 11, 2020) (notice) and 34046 (October 7, 2020) (order); 1WS Credit Income Fund, et al., (File No. 812-14997) Investment Company Act Rel. Nos. 33959A (September 4, 2020) (notice) and 34036 (September 30, 2020) (order); Morgan Stanley Direct Lending Fund, et al., (File No. 812-15057) Investment Company Act Rel. Nos. 33958A (August 28, 2020) (notice) and 34016 (September 18, 2020) (order) ; FS Global Credit Opportunities Fund, et al., (File No. 812-14987) Investment Company Rel. Nos. 33927 (July 15, 2020) (notice) and 33968 (August 11, 2020) (order); Runway Growth Credit Fund, Inc., et al., (File No. 812-15105) Investment Company Act Rel. Nos. 33925 (July 13, 2020) (notice) and 33967 (August 10, 2020) (order); OFS Capital Corp., et al., (File No. 812-14909) Investment Company Act Rel. Nos. 33922 (July 8, 2020) (notice) and 33962 (August 4, 2020) (order); Conversus Stepstone Private Markets, et al., (File No. 812-15072) Investment Company Act Rel. Nos. 33913 (June 25, 2020) (notice and 33930 (July 21, 2020) (order); Veragon Capital Corporation, et al., (File No. 812-15059) Investment Company Act Rel. Nos. 33867 (May 18, 2020) (notice) and 33892 (June 15, 2020) (order); FS Credit Income Fund, et al. (File No. 812-14905) Investment Company Act Rel. Nos. 33838 (April 22, 2020) (notice) and 33871 (May 19, 2020) (order).</w:t>
      </w:r>
    </w:p>
    <w:p>
      <w:pPr>
        <w:sectPr>
          <w:pgSz w:w="11900" w:h="16838" w:orient="portrait"/>
          <w:cols w:equalWidth="0" w:num="1">
            <w:col w:w="11004"/>
          </w:cols>
          <w:pgMar w:left="436" w:top="270" w:right="459" w:bottom="960" w:gutter="0" w:footer="0" w:header="0"/>
        </w:sectPr>
      </w:pP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960" w:gutter="0" w:footer="0" w:header="0"/>
          <w:type w:val="continuous"/>
        </w:sectPr>
      </w:pPr>
    </w:p>
    <w:bookmarkStart w:id="16" w:name="page17"/>
    <w:bookmarkEnd w:id="16"/>
    <w:p>
      <w:pPr>
        <w:ind w:left="4"/>
        <w:spacing w:after="0" w:line="23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different formulae, the Commission has accepted, as a basis for relief from the prohibitions on joint transactions, use of allocation and approval procedures to protect the interests of investors in the BDCs and registered investment companies. The relief requested in this Application with respect to Follow-On Investments is consistent with the temporary relief granted by the Commission on April 8, 2020.</w:t>
      </w:r>
      <w:r>
        <w:rPr>
          <w:rFonts w:ascii="Times New Roman" w:cs="Times New Roman" w:eastAsia="Times New Roman" w:hAnsi="Times New Roman"/>
          <w:sz w:val="26"/>
          <w:szCs w:val="26"/>
          <w:color w:val="auto"/>
          <w:vertAlign w:val="superscript"/>
        </w:rPr>
        <w:t>26</w:t>
      </w:r>
      <w:r>
        <w:rPr>
          <w:rFonts w:ascii="Times New Roman" w:cs="Times New Roman" w:eastAsia="Times New Roman" w:hAnsi="Times New Roman"/>
          <w:sz w:val="18"/>
          <w:szCs w:val="18"/>
          <w:color w:val="auto"/>
        </w:rPr>
        <w:t xml:space="preserve"> The Applicants submit that the allocation procedures set forth in the Conditions for relief are consistent with and expand the range of investor protections found in the orders we cite.</w:t>
      </w:r>
    </w:p>
    <w:p>
      <w:pPr>
        <w:spacing w:after="0" w:line="19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Commission also has issued orders extending co-investment relief to proprietary accounts.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u w:val="single" w:color="auto"/>
          <w:color w:val="auto"/>
        </w:rPr>
        <w:t>STATEMENT IN SUPPORT OF RELIEF REQUESTED</w:t>
      </w:r>
    </w:p>
    <w:p>
      <w:pPr>
        <w:spacing w:after="0" w:line="229"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In accordance with Rule 17d-1 (made applicable to transactions subject to Section 57(a) by Section 57(i)), the Commission may grant the requested relief as to any particular joint transaction if it finds that the participation of the Regulated Funds in the joint transaction is consistent with the provisions, policies and purposes of the Act and is not on a basis different from or less advantageous than that of other participants. The Applicants submit that allowing the Co-Investment Transactions described in this Application is justified on the basis of (i) the potential benefits to the Regulated Funds and the shareholders thereof and (ii) the protections found in the Conditions.</w:t>
      </w:r>
    </w:p>
    <w:p>
      <w:pPr>
        <w:spacing w:after="0" w:line="183"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As required by Rule 17d-1(b), the Conditions ensure that the terms on which Co-Investment Transactions may be made will be consistent with the participation of the Regulated Funds being on a basis that it is neither different from nor less advantageous than other participants, thus protecting the equity holders of any participant from being disadvantaged. The Conditions ensure that all Co-Investment Transactions are reasonable and fair to the Regulated Funds and their shareholders and do not involve overreaching by any person concerned, including the Advisers.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1" w:lineRule="exact"/>
        <w:rPr>
          <w:sz w:val="20"/>
          <w:szCs w:val="20"/>
          <w:color w:val="auto"/>
        </w:rPr>
      </w:pPr>
    </w:p>
    <w:p>
      <w:pPr>
        <w:ind w:left="424" w:right="400" w:hanging="424"/>
        <w:spacing w:after="0" w:line="209" w:lineRule="auto"/>
        <w:tabs>
          <w:tab w:leader="none" w:pos="424" w:val="left"/>
        </w:tabs>
        <w:numPr>
          <w:ilvl w:val="0"/>
          <w:numId w:val="5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i w:val="1"/>
          <w:iCs w:val="1"/>
          <w:color w:val="auto"/>
        </w:rPr>
        <w:t>BDC Temporary Exemptive Order</w:t>
      </w:r>
      <w:r>
        <w:rPr>
          <w:rFonts w:ascii="Times New Roman" w:cs="Times New Roman" w:eastAsia="Times New Roman" w:hAnsi="Times New Roman"/>
          <w:sz w:val="18"/>
          <w:szCs w:val="18"/>
          <w:color w:val="auto"/>
        </w:rPr>
        <w:t>, Investment Company Act Rel. Nos. 33837 (April 8, 2020) (order) (extension granted January 5, 2021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extension granted April 22, 2021).</w:t>
      </w:r>
    </w:p>
    <w:p>
      <w:pPr>
        <w:spacing w:after="0" w:line="13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4"/>
          </w:cols>
          <w:pgMar w:left="436" w:top="270" w:right="479" w:bottom="1440" w:gutter="0" w:footer="0" w:header="0"/>
        </w:sectPr>
      </w:pPr>
    </w:p>
    <w:bookmarkStart w:id="17" w:name="page18"/>
    <w:bookmarkEnd w:id="17"/>
    <w:p>
      <w:pPr>
        <w:ind w:left="544" w:hanging="544"/>
        <w:spacing w:after="0"/>
        <w:tabs>
          <w:tab w:leader="none" w:pos="54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Potential Benefits</w:t>
      </w:r>
    </w:p>
    <w:p>
      <w:pPr>
        <w:spacing w:after="0" w:line="225"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In the absence of the relief sought hereby, in many circumstances the Regulated Funds would be limited in their ability to participate in attractive and appropriate investment opportunities. Section 17(d), Section 57(a)(4) and Rule 17d-1 should not prevent BDCs and registered closed-end investment companies from making investments that are in the best interests of their shareholders.</w:t>
      </w:r>
    </w:p>
    <w:p>
      <w:pPr>
        <w:spacing w:after="0" w:line="176" w:lineRule="exact"/>
        <w:rPr>
          <w:sz w:val="20"/>
          <w:szCs w:val="20"/>
          <w:color w:val="auto"/>
        </w:rPr>
      </w:pPr>
    </w:p>
    <w:p>
      <w:pPr>
        <w:ind w:left="4" w:right="220" w:firstLine="440"/>
        <w:spacing w:after="0" w:line="272" w:lineRule="auto"/>
        <w:rPr>
          <w:sz w:val="20"/>
          <w:szCs w:val="20"/>
          <w:color w:val="auto"/>
        </w:rPr>
      </w:pPr>
      <w:r>
        <w:rPr>
          <w:rFonts w:ascii="Times New Roman" w:cs="Times New Roman" w:eastAsia="Times New Roman" w:hAnsi="Times New Roman"/>
          <w:sz w:val="17"/>
          <w:szCs w:val="17"/>
          <w:color w:val="auto"/>
        </w:rPr>
        <w:t>Each Regulated Fund and its shareholders will benefit from the ability to participate in Co-Investment Transactions. The Board, including the Required Majority, of each Regulated Fund has determined that it is in the best interests of the Regulated Fund to participate in Co-Investment Transactions because, among other matters, (i) the Regulated Fund should be able to participate in a larger number and greater variety of transactions;</w:t>
      </w:r>
    </w:p>
    <w:p>
      <w:pPr>
        <w:spacing w:after="0" w:line="2" w:lineRule="exact"/>
        <w:rPr>
          <w:sz w:val="20"/>
          <w:szCs w:val="20"/>
          <w:color w:val="auto"/>
        </w:rPr>
      </w:pPr>
    </w:p>
    <w:p>
      <w:pPr>
        <w:ind w:left="4" w:right="60" w:hanging="4"/>
        <w:spacing w:after="0" w:line="252" w:lineRule="auto"/>
        <w:tabs>
          <w:tab w:leader="none" w:pos="26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Regulated Fund should be able to participate in larger transactions; (iii) the Regulated Fund should be able to participate in all opportunities approved by a Required Majority or otherwise permissible under the Order rather than risk underperformance through rotational allocation of opportunities among the Regulated Funds; (iv) the Regulated Fund and any other Regulated Funds participating in the proposed investment should have greater bargaining power, more control over the investment and less need to bring in other external investors or structure investments to satisfy the different needs of external investors; (v) the Regulated Fund should be able to obtain greater attention and better deal flow from investment bankers and others who act as sources of investments; and (vi) the Conditions are fair to the Regulated Funds and their shareholders.</w:t>
      </w:r>
    </w:p>
    <w:p>
      <w:pPr>
        <w:spacing w:after="0" w:line="95" w:lineRule="exact"/>
        <w:rPr>
          <w:sz w:val="20"/>
          <w:szCs w:val="20"/>
          <w:color w:val="auto"/>
        </w:rPr>
      </w:pPr>
    </w:p>
    <w:p>
      <w:pPr>
        <w:ind w:left="544" w:hanging="544"/>
        <w:spacing w:after="0"/>
        <w:tabs>
          <w:tab w:leader="none" w:pos="54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Protective Representations and Conditions</w:t>
      </w:r>
    </w:p>
    <w:p>
      <w:pPr>
        <w:spacing w:after="0" w:line="225"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The Conditions ensure that the proposed Co-Investment Transactions are consistent with the protection of each Regulated Fund’s shareholders and with the purposes intended by the policies and provisions of the Act. Specifically, the Conditions incorporate the following critical protections: (i) all Regulated Funds participating in the Co-Investment Transactions will invest at the same time (except that, subject to the limitations in the Conditions, the settlement date for an Affiliated Fund in a Co-Investment Transaction may occur up to ten business days after the settlement date for the Regulated Fund, and vice versa), for the same price and with the same terms, conditions, class, registration rights and any other rights, so that none of them receives terms more favorable than any other; (ii) a Required Majority of each Regulated Fund must approve various investment decisions (not including transactions completed on a pro rata basis pursuant to Conditions 6(c)(i) and 8(b)(i) or otherwise not requiring Board approval) with respect to such Regulated Fund in accordance with the Conditions; and (iii) the Regulated Funds are required to retain and maintain certain records.</w:t>
      </w:r>
    </w:p>
    <w:p>
      <w:pPr>
        <w:spacing w:after="0" w:line="192" w:lineRule="exact"/>
        <w:rPr>
          <w:sz w:val="20"/>
          <w:szCs w:val="20"/>
          <w:color w:val="auto"/>
        </w:rPr>
      </w:pPr>
    </w:p>
    <w:p>
      <w:pPr>
        <w:ind w:left="4" w:right="40" w:firstLine="440"/>
        <w:spacing w:after="0" w:line="270" w:lineRule="auto"/>
        <w:rPr>
          <w:sz w:val="20"/>
          <w:szCs w:val="20"/>
          <w:color w:val="auto"/>
        </w:rPr>
      </w:pPr>
      <w:r>
        <w:rPr>
          <w:rFonts w:ascii="Times New Roman" w:cs="Times New Roman" w:eastAsia="Times New Roman" w:hAnsi="Times New Roman"/>
          <w:sz w:val="17"/>
          <w:szCs w:val="17"/>
          <w:color w:val="auto"/>
        </w:rPr>
        <w:t>The Applicants believe that participation by the Regulated Funds in Pro Rata Follow-On Investments and Pro Rata Dispositions, as provided in Conditions 6(c)(i) and 8(b)(i), is consistent with the provisions, policies and purposes of the Act and will not be made on a basis different from or less advantageous than that of other participants. A formulaic approach, such as pro rata investment or disposition eliminates the possibility for overreaching and unnecessary prior review by the Board. The Applicants note that the Commission has adopted a similar pro rata approach in the context of</w:t>
      </w:r>
    </w:p>
    <w:p>
      <w:pPr>
        <w:spacing w:after="0" w:line="3" w:lineRule="exact"/>
        <w:rPr>
          <w:sz w:val="20"/>
          <w:szCs w:val="20"/>
          <w:color w:val="auto"/>
        </w:rPr>
      </w:pPr>
    </w:p>
    <w:p>
      <w:pPr>
        <w:ind w:left="4" w:right="560"/>
        <w:spacing w:after="0" w:line="260" w:lineRule="auto"/>
        <w:rPr>
          <w:sz w:val="20"/>
          <w:szCs w:val="20"/>
          <w:color w:val="auto"/>
        </w:rPr>
      </w:pPr>
      <w:r>
        <w:rPr>
          <w:rFonts w:ascii="Times New Roman" w:cs="Times New Roman" w:eastAsia="Times New Roman" w:hAnsi="Times New Roman"/>
          <w:sz w:val="18"/>
          <w:szCs w:val="18"/>
          <w:color w:val="auto"/>
        </w:rPr>
        <w:t>Rule 23c-2, which relates to the redemption by a closed-end investment company of less than all of a class of its securities, indicating the general fairness and lack of overreaching that such approach provides.</w:t>
      </w:r>
    </w:p>
    <w:p>
      <w:pPr>
        <w:spacing w:after="0" w:line="181" w:lineRule="exact"/>
        <w:rPr>
          <w:sz w:val="20"/>
          <w:szCs w:val="20"/>
          <w:color w:val="auto"/>
        </w:rPr>
      </w:pPr>
    </w:p>
    <w:p>
      <w:pPr>
        <w:ind w:left="4" w:right="500" w:firstLine="440"/>
        <w:spacing w:after="0" w:line="266" w:lineRule="auto"/>
        <w:rPr>
          <w:sz w:val="20"/>
          <w:szCs w:val="20"/>
          <w:color w:val="auto"/>
        </w:rPr>
      </w:pPr>
      <w:r>
        <w:rPr>
          <w:rFonts w:ascii="Times New Roman" w:cs="Times New Roman" w:eastAsia="Times New Roman" w:hAnsi="Times New Roman"/>
          <w:sz w:val="18"/>
          <w:szCs w:val="18"/>
          <w:color w:val="auto"/>
        </w:rPr>
        <w:t>The Applicants also believe that the participation by the Regulated Funds in Non-Negotiated Follow-On Investments and in Dispositions of Tradable Securities without the approval of a Required Majority is consistent with the provisions, policies and purposes of the Act as there is no opportunity for overreaching by affiliates.</w:t>
      </w:r>
    </w:p>
    <w:p>
      <w:pPr>
        <w:spacing w:after="0" w:line="176" w:lineRule="exact"/>
        <w:rPr>
          <w:sz w:val="20"/>
          <w:szCs w:val="20"/>
          <w:color w:val="auto"/>
        </w:rPr>
      </w:pPr>
    </w:p>
    <w:p>
      <w:pPr>
        <w:jc w:val="both"/>
        <w:ind w:left="4" w:right="720" w:firstLine="440"/>
        <w:spacing w:after="0" w:line="266" w:lineRule="auto"/>
        <w:rPr>
          <w:sz w:val="20"/>
          <w:szCs w:val="20"/>
          <w:color w:val="auto"/>
        </w:rPr>
      </w:pPr>
      <w:r>
        <w:rPr>
          <w:rFonts w:ascii="Times New Roman" w:cs="Times New Roman" w:eastAsia="Times New Roman" w:hAnsi="Times New Roman"/>
          <w:sz w:val="18"/>
          <w:szCs w:val="18"/>
          <w:color w:val="auto"/>
        </w:rPr>
        <w:t>If an Adviser, its principals, or any person controlling, controlled by, or under common control with the Adviser or its principals, and the Affiliated Funds (collectively, the “</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 own in the aggregate more than 25 percent of the outstanding voting shares of a Regulated Fund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then the Holders will vote such Shares as required under Condition 15.</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18" w:name="page19"/>
    <w:bookmarkEnd w:id="18"/>
    <w:p>
      <w:pPr>
        <w:ind w:left="4" w:right="3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sum, the Applicants believe that the Conditions would ensure that each Regulated Fund that participates in any type of Co-Investment Transaction does not participate on a basis different from, or less advantageous than, that of such other participants for purposes of Section 17(d) or Section 57(a)(4) and the Rules under the Act. As a result, the Applicants believe that the participation of the Regulated Funds in Co-Investment Transactions in accordance with the Conditions would be consistent with the provisions, policies, and purposes of the Act, and would be done in a manner that was not different from, or less advantageous than, the other participants.</w:t>
      </w:r>
    </w:p>
    <w:p>
      <w:pPr>
        <w:spacing w:after="0" w:line="85" w:lineRule="exact"/>
        <w:rPr>
          <w:sz w:val="20"/>
          <w:szCs w:val="20"/>
          <w:color w:val="auto"/>
        </w:rPr>
      </w:pPr>
    </w:p>
    <w:p>
      <w:pPr>
        <w:ind w:left="544" w:hanging="544"/>
        <w:spacing w:after="0"/>
        <w:tabs>
          <w:tab w:leader="none" w:pos="544"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CONDITIONS</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Applicants agree that any Order granting the requested relief shall be subject to the following Conditions:</w:t>
      </w:r>
    </w:p>
    <w:p>
      <w:pPr>
        <w:spacing w:after="0" w:line="131" w:lineRule="exact"/>
        <w:rPr>
          <w:sz w:val="20"/>
          <w:szCs w:val="20"/>
          <w:color w:val="auto"/>
        </w:rPr>
      </w:pPr>
    </w:p>
    <w:p>
      <w:pPr>
        <w:ind w:left="544" w:hanging="544"/>
        <w:spacing w:after="0"/>
        <w:tabs>
          <w:tab w:leader="none" w:pos="54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Identification and Referral of Potential Co-Investment Transactions</w:t>
      </w:r>
    </w:p>
    <w:p>
      <w:pPr>
        <w:spacing w:after="0" w:line="225" w:lineRule="exact"/>
        <w:rPr>
          <w:rFonts w:ascii="Times New Roman" w:cs="Times New Roman" w:eastAsia="Times New Roman" w:hAnsi="Times New Roman"/>
          <w:sz w:val="18"/>
          <w:szCs w:val="18"/>
          <w:color w:val="auto"/>
        </w:rPr>
      </w:pPr>
    </w:p>
    <w:p>
      <w:pPr>
        <w:ind w:left="4" w:right="220" w:firstLine="436"/>
        <w:spacing w:after="0" w:line="266" w:lineRule="auto"/>
        <w:tabs>
          <w:tab w:leader="none" w:pos="82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will establish, maintain and implement policies and procedures reasonably designed to ensure that each Adviser is promptly notified of all Potential Co-Investment Transactions that fall within the then-current Objectives and Strategies and Board-Established Criteria of any Regulated Fund the Adviser manages.</w:t>
      </w:r>
    </w:p>
    <w:p>
      <w:pPr>
        <w:spacing w:after="0" w:line="175" w:lineRule="exact"/>
        <w:rPr>
          <w:rFonts w:ascii="Times New Roman" w:cs="Times New Roman" w:eastAsia="Times New Roman" w:hAnsi="Times New Roman"/>
          <w:sz w:val="18"/>
          <w:szCs w:val="18"/>
          <w:color w:val="auto"/>
        </w:rPr>
      </w:pPr>
    </w:p>
    <w:p>
      <w:pPr>
        <w:ind w:left="4" w:right="40" w:firstLine="436"/>
        <w:spacing w:after="0" w:line="312" w:lineRule="auto"/>
        <w:tabs>
          <w:tab w:leader="none" w:pos="831"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an Adviser to a Regulated Fund is notified of a Potential Co-Investment Transaction under Condition 1(a), the Adviser will make an independent determination of the appropriateness of the investment for the Regulated Fund in light of the Regulated Fund’s then-current circumstances.</w:t>
      </w:r>
    </w:p>
    <w:p>
      <w:pPr>
        <w:spacing w:after="0" w:line="45" w:lineRule="exact"/>
        <w:rPr>
          <w:rFonts w:ascii="Times New Roman" w:cs="Times New Roman" w:eastAsia="Times New Roman" w:hAnsi="Times New Roman"/>
          <w:sz w:val="17"/>
          <w:szCs w:val="17"/>
          <w:color w:val="auto"/>
        </w:rPr>
      </w:pPr>
    </w:p>
    <w:p>
      <w:pPr>
        <w:ind w:left="544" w:hanging="544"/>
        <w:spacing w:after="0"/>
        <w:tabs>
          <w:tab w:leader="none" w:pos="54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Approvals of Co-Investment Transactions</w:t>
      </w:r>
    </w:p>
    <w:p>
      <w:pPr>
        <w:spacing w:after="0" w:line="225" w:lineRule="exact"/>
        <w:rPr>
          <w:rFonts w:ascii="Times New Roman" w:cs="Times New Roman" w:eastAsia="Times New Roman" w:hAnsi="Times New Roman"/>
          <w:sz w:val="18"/>
          <w:szCs w:val="18"/>
          <w:color w:val="auto"/>
        </w:rPr>
      </w:pPr>
    </w:p>
    <w:p>
      <w:pPr>
        <w:ind w:left="4" w:right="60" w:firstLine="436"/>
        <w:spacing w:after="0" w:line="282" w:lineRule="auto"/>
        <w:tabs>
          <w:tab w:leader="none" w:pos="82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Adviser deems a Regulated Fund’s participation in any Potential Co-Investment Transaction to be appropriate for the Regulated Fund, it will then determine an appropriate level of investment for the Regulated Fund.</w:t>
      </w:r>
    </w:p>
    <w:p>
      <w:pPr>
        <w:spacing w:after="0" w:line="161" w:lineRule="exact"/>
        <w:rPr>
          <w:rFonts w:ascii="Times New Roman" w:cs="Times New Roman" w:eastAsia="Times New Roman" w:hAnsi="Times New Roman"/>
          <w:sz w:val="18"/>
          <w:szCs w:val="18"/>
          <w:color w:val="auto"/>
        </w:rPr>
      </w:pPr>
    </w:p>
    <w:p>
      <w:pPr>
        <w:ind w:left="4" w:right="20" w:firstLine="436"/>
        <w:spacing w:after="0" w:line="277" w:lineRule="auto"/>
        <w:tabs>
          <w:tab w:leader="none" w:pos="834"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aggregate amount recommended by the Advisers to be invested in the Potential Co-Investment Transaction by the participating Regulated Funds and any participating Affiliated Funds, collectively, exceeds the amount of the investment opportunity, the investment opportunity will be allocated among them pro rata based on each participant’s Available Capital, as described in section III.A.1.b. above. Each Adviser to a participating Regulated Fund will promptly notify and provide the Eligible Directors with information concerning the Affiliated Funds’ and Regulated Funds’ order sizes to assist the Eligible Directors with their review of the applicable Regulated Fund’s investments for compliance with these Conditions.</w:t>
      </w:r>
    </w:p>
    <w:p>
      <w:pPr>
        <w:spacing w:after="0" w:line="167" w:lineRule="exact"/>
        <w:rPr>
          <w:rFonts w:ascii="Times New Roman" w:cs="Times New Roman" w:eastAsia="Times New Roman" w:hAnsi="Times New Roman"/>
          <w:sz w:val="17"/>
          <w:szCs w:val="17"/>
          <w:color w:val="auto"/>
        </w:rPr>
      </w:pPr>
    </w:p>
    <w:p>
      <w:pPr>
        <w:ind w:left="4" w:right="100" w:firstLine="436"/>
        <w:spacing w:after="0" w:line="258" w:lineRule="auto"/>
        <w:tabs>
          <w:tab w:leader="none" w:pos="81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making the determinations required in Condition 1(b) above, each Adviser to a participating Regulated Fund will distribute written information concerning the Potential Co-Investment Transaction (including the amount proposed to be invested by each participating Regulated Fund and each participating Affiliated Fund) to the Eligible Directors of its participating Regulated Fund(s) for their consideration. A Regulated Fund will enter into a Co-Investment Transaction with one or more other Regulated Funds or Affiliated Funds only if, prior to the Regulated Fund’s participation in the Potential Co-Investment Transaction, a Required Majority concludes that:</w:t>
      </w:r>
    </w:p>
    <w:p>
      <w:pPr>
        <w:spacing w:after="0" w:line="75" w:lineRule="exact"/>
        <w:rPr>
          <w:rFonts w:ascii="Times New Roman" w:cs="Times New Roman" w:eastAsia="Times New Roman" w:hAnsi="Times New Roman"/>
          <w:sz w:val="18"/>
          <w:szCs w:val="18"/>
          <w:color w:val="auto"/>
        </w:rPr>
      </w:pPr>
    </w:p>
    <w:p>
      <w:pPr>
        <w:ind w:left="444" w:right="40" w:firstLine="419"/>
        <w:spacing w:after="0" w:line="282" w:lineRule="auto"/>
        <w:tabs>
          <w:tab w:leader="none" w:pos="1217"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 including the consideration to be paid, are reasonable and fair to the Regulated Fund and its equity holders and do not involve overreaching in respect of the Regulated Fund or its equity holders on the part of any person concerned;</w:t>
      </w:r>
    </w:p>
    <w:p>
      <w:pPr>
        <w:spacing w:after="0" w:line="53" w:lineRule="exact"/>
        <w:rPr>
          <w:rFonts w:ascii="Times New Roman" w:cs="Times New Roman" w:eastAsia="Times New Roman" w:hAnsi="Times New Roman"/>
          <w:sz w:val="18"/>
          <w:szCs w:val="18"/>
          <w:color w:val="auto"/>
        </w:rPr>
      </w:pPr>
    </w:p>
    <w:p>
      <w:pPr>
        <w:ind w:left="1264" w:hanging="401"/>
        <w:spacing w:after="0"/>
        <w:tabs>
          <w:tab w:leader="none" w:pos="1264"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consistent with:</w:t>
      </w:r>
    </w:p>
    <w:p>
      <w:pPr>
        <w:spacing w:after="0" w:line="117" w:lineRule="exact"/>
        <w:rPr>
          <w:rFonts w:ascii="Times New Roman" w:cs="Times New Roman" w:eastAsia="Times New Roman" w:hAnsi="Times New Roman"/>
          <w:sz w:val="18"/>
          <w:szCs w:val="18"/>
          <w:color w:val="auto"/>
        </w:rPr>
      </w:pPr>
    </w:p>
    <w:p>
      <w:pPr>
        <w:ind w:left="2244" w:hanging="429"/>
        <w:spacing w:after="0"/>
        <w:tabs>
          <w:tab w:leader="none" w:pos="2244" w:val="left"/>
        </w:tabs>
        <w:numPr>
          <w:ilvl w:val="3"/>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interests of the Regulated Fund’s equity holders; and</w:t>
      </w:r>
    </w:p>
    <w:p>
      <w:pPr>
        <w:spacing w:after="0" w:line="117" w:lineRule="exact"/>
        <w:rPr>
          <w:rFonts w:ascii="Times New Roman" w:cs="Times New Roman" w:eastAsia="Times New Roman" w:hAnsi="Times New Roman"/>
          <w:sz w:val="18"/>
          <w:szCs w:val="18"/>
          <w:color w:val="auto"/>
        </w:rPr>
      </w:pPr>
    </w:p>
    <w:p>
      <w:pPr>
        <w:ind w:left="2244" w:hanging="429"/>
        <w:spacing w:after="0"/>
        <w:tabs>
          <w:tab w:leader="none" w:pos="2244" w:val="left"/>
        </w:tabs>
        <w:numPr>
          <w:ilvl w:val="3"/>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Regulated Fund’s then-current Objectives and Strategies;</w:t>
      </w:r>
    </w:p>
    <w:p>
      <w:pPr>
        <w:spacing w:after="0" w:line="117" w:lineRule="exact"/>
        <w:rPr>
          <w:rFonts w:ascii="Times New Roman" w:cs="Times New Roman" w:eastAsia="Times New Roman" w:hAnsi="Times New Roman"/>
          <w:sz w:val="18"/>
          <w:szCs w:val="18"/>
          <w:color w:val="auto"/>
        </w:rPr>
      </w:pPr>
    </w:p>
    <w:p>
      <w:pPr>
        <w:ind w:left="444" w:firstLine="419"/>
        <w:spacing w:after="0" w:line="282" w:lineRule="auto"/>
        <w:tabs>
          <w:tab w:leader="none" w:pos="1317"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by any other Regulated Fund(s) or Affiliated Fund(s) would not disadvantage the Regulated Fund, and participation by the Regulated Fund would not be on a basis</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4"/>
          </w:cols>
          <w:pgMar w:left="436" w:top="270" w:right="499" w:bottom="1440" w:gutter="0" w:footer="0" w:header="0"/>
        </w:sectPr>
      </w:pPr>
    </w:p>
    <w:bookmarkStart w:id="19" w:name="page20"/>
    <w:bookmarkEnd w:id="19"/>
    <w:p>
      <w:pPr>
        <w:ind w:left="444"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different from, or less advantageous than, that of any other Regulated Fund(s) or Affiliated Fund(s) participating in the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Required Majority shall not be prohibited from reaching the conclusions required by this Condition 2(c)(iii) if:</w:t>
      </w:r>
    </w:p>
    <w:p>
      <w:pPr>
        <w:spacing w:after="0" w:line="54" w:lineRule="exact"/>
        <w:rPr>
          <w:sz w:val="20"/>
          <w:szCs w:val="20"/>
          <w:color w:val="auto"/>
        </w:rPr>
      </w:pPr>
    </w:p>
    <w:p>
      <w:pPr>
        <w:ind w:left="1424" w:right="100" w:firstLine="391"/>
        <w:spacing w:after="0" w:line="258" w:lineRule="auto"/>
        <w:tabs>
          <w:tab w:leader="none" w:pos="2237"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date for another Regulated Fund or an Affiliated Fund in a Co-Investment Transaction is later than the settlement date for the Regulated Fund by no more than ten business days or earlier than the settlement date for the Regulated Fund by no more than ten business days, in either case, so long as: (x) the date on which the commitment of the Affiliated Funds and Regulated Funds is made is the same; and (y) the earliest settlement date and the latest settlement date of any Affiliated Fund or Regulated Fund participating in the transaction will occur within ten business days of each other; or</w:t>
      </w:r>
    </w:p>
    <w:p>
      <w:pPr>
        <w:spacing w:after="0" w:line="75" w:lineRule="exact"/>
        <w:rPr>
          <w:rFonts w:ascii="Times New Roman" w:cs="Times New Roman" w:eastAsia="Times New Roman" w:hAnsi="Times New Roman"/>
          <w:sz w:val="18"/>
          <w:szCs w:val="18"/>
          <w:color w:val="auto"/>
        </w:rPr>
      </w:pPr>
    </w:p>
    <w:p>
      <w:pPr>
        <w:ind w:left="1424" w:right="40" w:firstLine="391"/>
        <w:spacing w:after="0" w:line="253" w:lineRule="auto"/>
        <w:tabs>
          <w:tab w:leader="none" w:pos="2227"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Regulated Fund or Affiliated Fund, but not the Regulated Fund itself, gains the right to nominate a director for election to a portfolio company’s board of directors, the right to have a board observer or any similar right to participate in the governance or management of the portfolio company so long as: (x) the Eligible Directors will have the right to ratify the selection of such director or board observer, if any; (y) the Adviser agrees to, and does, provide periodic reports to the Regulated Fund’s Board with respect to the actions of such director or the information received by such board observer or obtained through the exercise of any similar right to participate in the governance or management of the portfolio company; and (z) any fees or other compensation that any other Regulated Fund or Affiliated Fund or any affiliated person of any other Regulated Fund or Affiliated Fund receives in connection with the right of one or more Regulated Funds or Affiliated Funds to nominate a director or appoint a board observer or otherwise to participate in the governance or management of the portfolio company will be shared proportionately among any participating Affiliated Funds (who may, in turn, share their portion with their affiliated persons) and any participating Regulated Fund(s) in accordance with the amount of each such party’s investment; and</w:t>
      </w:r>
    </w:p>
    <w:p>
      <w:pPr>
        <w:spacing w:after="0" w:line="83" w:lineRule="exact"/>
        <w:rPr>
          <w:rFonts w:ascii="Times New Roman" w:cs="Times New Roman" w:eastAsia="Times New Roman" w:hAnsi="Times New Roman"/>
          <w:sz w:val="18"/>
          <w:szCs w:val="18"/>
          <w:color w:val="auto"/>
        </w:rPr>
      </w:pPr>
    </w:p>
    <w:p>
      <w:pPr>
        <w:ind w:left="444" w:firstLine="419"/>
        <w:spacing w:after="0" w:line="233" w:lineRule="auto"/>
        <w:tabs>
          <w:tab w:leader="none" w:pos="1307"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investment by the Regulated Fund will not involve compensation, remuneration or a direct or indirect</w:t>
      </w:r>
      <w:r>
        <w:rPr>
          <w:rFonts w:ascii="Times New Roman" w:cs="Times New Roman" w:eastAsia="Times New Roman" w:hAnsi="Times New Roman"/>
          <w:sz w:val="26"/>
          <w:szCs w:val="26"/>
          <w:color w:val="auto"/>
          <w:vertAlign w:val="superscript"/>
        </w:rPr>
        <w:t>27</w:t>
      </w:r>
      <w:r>
        <w:rPr>
          <w:rFonts w:ascii="Times New Roman" w:cs="Times New Roman" w:eastAsia="Times New Roman" w:hAnsi="Times New Roman"/>
          <w:sz w:val="18"/>
          <w:szCs w:val="18"/>
          <w:color w:val="auto"/>
        </w:rPr>
        <w:t xml:space="preserve"> financial benefit to the Advisers, any other Regulated Fund, the Affiliated Funds or any affiliated person of any of them (other than the parties to the Co-Investment Transaction), except (A) to the extent permitted by Condition 14, (B) to the extent permitted by Section 17(e) or 57(k), as applicable, (C) indirectly, as a result of an interest in the securities issued by one of the parties to the Co-Investment Transaction, or (D) in the case of fees or other compensation described in Condition 2(c)(iii)(B)(z).</w:t>
      </w:r>
    </w:p>
    <w:p>
      <w:pPr>
        <w:spacing w:after="0" w:line="107" w:lineRule="exact"/>
        <w:rPr>
          <w:rFonts w:ascii="Times New Roman" w:cs="Times New Roman" w:eastAsia="Times New Roman" w:hAnsi="Times New Roman"/>
          <w:sz w:val="18"/>
          <w:szCs w:val="18"/>
          <w:color w:val="auto"/>
        </w:rPr>
      </w:pPr>
    </w:p>
    <w:p>
      <w:pPr>
        <w:ind w:left="544" w:hanging="544"/>
        <w:spacing w:after="0" w:line="282" w:lineRule="auto"/>
        <w:tabs>
          <w:tab w:leader="none" w:pos="54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Decline</w:t>
      </w:r>
      <w:r>
        <w:rPr>
          <w:rFonts w:ascii="Times New Roman" w:cs="Times New Roman" w:eastAsia="Times New Roman" w:hAnsi="Times New Roman"/>
          <w:sz w:val="18"/>
          <w:szCs w:val="18"/>
          <w:color w:val="auto"/>
        </w:rPr>
        <w:t>. Each Regulated Fund has the right to decline to participate in any Potential Co-Investment Transaction or to invest less than the amount proposed.</w:t>
      </w:r>
    </w:p>
    <w:p>
      <w:pPr>
        <w:spacing w:after="0" w:line="67" w:lineRule="exact"/>
        <w:rPr>
          <w:rFonts w:ascii="Times New Roman" w:cs="Times New Roman" w:eastAsia="Times New Roman" w:hAnsi="Times New Roman"/>
          <w:sz w:val="18"/>
          <w:szCs w:val="18"/>
          <w:color w:val="auto"/>
        </w:rPr>
      </w:pPr>
    </w:p>
    <w:p>
      <w:pPr>
        <w:ind w:left="544" w:right="20" w:hanging="544"/>
        <w:spacing w:after="0" w:line="213" w:lineRule="auto"/>
        <w:tabs>
          <w:tab w:leader="none" w:pos="54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Limitation</w:t>
      </w:r>
      <w:r>
        <w:rPr>
          <w:rFonts w:ascii="Times New Roman" w:cs="Times New Roman" w:eastAsia="Times New Roman" w:hAnsi="Times New Roman"/>
          <w:sz w:val="18"/>
          <w:szCs w:val="18"/>
          <w:color w:val="auto"/>
        </w:rPr>
        <w:t>. Except for Follow-On Investments made in accordance with Conditions 8 and 9 below,</w:t>
      </w:r>
      <w:r>
        <w:rPr>
          <w:rFonts w:ascii="Times New Roman" w:cs="Times New Roman" w:eastAsia="Times New Roman" w:hAnsi="Times New Roman"/>
          <w:sz w:val="26"/>
          <w:szCs w:val="26"/>
          <w:color w:val="auto"/>
          <w:vertAlign w:val="superscript"/>
        </w:rPr>
        <w:t>28</w:t>
      </w:r>
      <w:r>
        <w:rPr>
          <w:rFonts w:ascii="Times New Roman" w:cs="Times New Roman" w:eastAsia="Times New Roman" w:hAnsi="Times New Roman"/>
          <w:sz w:val="18"/>
          <w:szCs w:val="18"/>
          <w:color w:val="auto"/>
        </w:rPr>
        <w:t xml:space="preserve"> a Regulated Fund will not invest in reliance on the Order in any issuer in which a Related Party has an investment.</w:t>
      </w:r>
    </w:p>
    <w:p>
      <w:pPr>
        <w:spacing w:after="0" w:line="104" w:lineRule="exact"/>
        <w:rPr>
          <w:rFonts w:ascii="Times New Roman" w:cs="Times New Roman" w:eastAsia="Times New Roman" w:hAnsi="Times New Roman"/>
          <w:sz w:val="18"/>
          <w:szCs w:val="18"/>
          <w:color w:val="auto"/>
        </w:rPr>
      </w:pPr>
    </w:p>
    <w:p>
      <w:pPr>
        <w:ind w:left="544" w:right="20" w:hanging="544"/>
        <w:spacing w:after="0" w:line="261" w:lineRule="auto"/>
        <w:tabs>
          <w:tab w:leader="none" w:pos="54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Same Terms and Conditions</w:t>
      </w:r>
      <w:r>
        <w:rPr>
          <w:rFonts w:ascii="Times New Roman" w:cs="Times New Roman" w:eastAsia="Times New Roman" w:hAnsi="Times New Roman"/>
          <w:sz w:val="18"/>
          <w:szCs w:val="18"/>
          <w:color w:val="auto"/>
        </w:rPr>
        <w:t>. A Regulated Fund will not participate in any Potential Co-Investment Transaction unless (i) the terms, conditions, price, class of securities to be purchased, date on which the commitment is entered into and registration rights (if any) will be the same for each participating Regulated Fund and Affiliated Fund and (ii) the earliest settlement date and the latest settlement date of any participating Regulated Fund or Affiliated Fund will occur as close in time as practicable and in no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3" w:lineRule="exact"/>
        <w:rPr>
          <w:sz w:val="20"/>
          <w:szCs w:val="20"/>
          <w:color w:val="auto"/>
        </w:rPr>
      </w:pPr>
    </w:p>
    <w:p>
      <w:pPr>
        <w:ind w:left="424" w:right="380" w:hanging="424"/>
        <w:spacing w:after="0" w:line="208" w:lineRule="auto"/>
        <w:tabs>
          <w:tab w:leader="none" w:pos="424" w:val="left"/>
        </w:tabs>
        <w:numPr>
          <w:ilvl w:val="0"/>
          <w:numId w:val="6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For example, procuring the Regulated Fund’s investment in a Potential Co-Investment Transaction to permit an affiliate to complete or obtain better terms in a separate transaction would constitute an indirect financial benefit.</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0" w:lineRule="auto"/>
        <w:tabs>
          <w:tab w:leader="none" w:pos="424" w:val="left"/>
        </w:tabs>
        <w:numPr>
          <w:ilvl w:val="0"/>
          <w:numId w:val="6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This exception applies only to Follow-On Investments by a Regulated Fund in issuers in which that Regulated Fund already holds investments.</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70" w:right="459" w:bottom="1440" w:gutter="0" w:footer="0" w:header="0"/>
        </w:sectPr>
      </w:pPr>
    </w:p>
    <w:bookmarkStart w:id="20" w:name="page21"/>
    <w:bookmarkEnd w:id="20"/>
    <w:p>
      <w:pPr>
        <w:ind w:left="544"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more than ten business days apart. The grant to one or more Regulated Funds or Affiliated Funds, but not the respective Regulated Fund, of the right to nominate a director for election to a portfolio company’s board of directors, the right to have an observer on the board of directors or similar rights to participate in the governance or management of the portfolio company will not be interpreted so as to violate this Condition 5, if Condition 2(c)(iii)(B) is met.</w:t>
      </w:r>
    </w:p>
    <w:p>
      <w:pPr>
        <w:spacing w:after="0" w:line="85" w:lineRule="exact"/>
        <w:rPr>
          <w:sz w:val="20"/>
          <w:szCs w:val="20"/>
          <w:color w:val="auto"/>
        </w:rPr>
      </w:pPr>
    </w:p>
    <w:p>
      <w:pPr>
        <w:ind w:left="544" w:hanging="544"/>
        <w:spacing w:after="0"/>
        <w:tabs>
          <w:tab w:leader="none" w:pos="54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Standard Review Dispositions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4" w:right="180" w:firstLine="436"/>
        <w:spacing w:after="0" w:line="284" w:lineRule="auto"/>
        <w:tabs>
          <w:tab w:leader="none" w:pos="82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If any Regulated Fund or Affiliated Fund elects to sell, exchange or otherwise dispose of an interest in a security and one 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Regulated Funds and Affiliated Funds have previously participated in a Co-Investment Transaction with respect to the issuer, then:</w:t>
      </w:r>
    </w:p>
    <w:p>
      <w:pPr>
        <w:spacing w:after="0" w:line="52" w:lineRule="exact"/>
        <w:rPr>
          <w:rFonts w:ascii="Times New Roman" w:cs="Times New Roman" w:eastAsia="Times New Roman" w:hAnsi="Times New Roman"/>
          <w:sz w:val="18"/>
          <w:szCs w:val="18"/>
          <w:color w:val="auto"/>
        </w:rPr>
      </w:pPr>
    </w:p>
    <w:p>
      <w:pPr>
        <w:ind w:left="444" w:right="180" w:firstLine="419"/>
        <w:spacing w:after="0" w:line="213" w:lineRule="auto"/>
        <w:tabs>
          <w:tab w:leader="none" w:pos="1217"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to such Regulated Fund or Affiliated Fund</w:t>
      </w:r>
      <w:r>
        <w:rPr>
          <w:rFonts w:ascii="Times New Roman" w:cs="Times New Roman" w:eastAsia="Times New Roman" w:hAnsi="Times New Roman"/>
          <w:sz w:val="26"/>
          <w:szCs w:val="26"/>
          <w:color w:val="auto"/>
          <w:vertAlign w:val="superscript"/>
        </w:rPr>
        <w:t>29</w:t>
      </w:r>
      <w:r>
        <w:rPr>
          <w:rFonts w:ascii="Times New Roman" w:cs="Times New Roman" w:eastAsia="Times New Roman" w:hAnsi="Times New Roman"/>
          <w:sz w:val="18"/>
          <w:szCs w:val="18"/>
          <w:color w:val="auto"/>
        </w:rPr>
        <w:t xml:space="preserve"> will notify each Regulated Fund that holds an investment in the issuer of the proposed Disposition at the earliest practical time; and</w:t>
      </w:r>
    </w:p>
    <w:p>
      <w:pPr>
        <w:spacing w:after="0" w:line="90" w:lineRule="exact"/>
        <w:rPr>
          <w:rFonts w:ascii="Times New Roman" w:cs="Times New Roman" w:eastAsia="Times New Roman" w:hAnsi="Times New Roman"/>
          <w:sz w:val="18"/>
          <w:szCs w:val="18"/>
          <w:color w:val="auto"/>
        </w:rPr>
      </w:pPr>
    </w:p>
    <w:p>
      <w:pPr>
        <w:ind w:left="444" w:right="60" w:firstLine="419"/>
        <w:spacing w:after="0" w:line="282" w:lineRule="auto"/>
        <w:tabs>
          <w:tab w:leader="none" w:pos="1267"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to each Regulated Fund that holds an investment in the issuer will formulate a recommendation as to participation by such Regulated Fund in the Disposition.</w:t>
      </w:r>
    </w:p>
    <w:p>
      <w:pPr>
        <w:spacing w:after="0" w:line="159" w:lineRule="exact"/>
        <w:rPr>
          <w:rFonts w:ascii="Times New Roman" w:cs="Times New Roman" w:eastAsia="Times New Roman" w:hAnsi="Times New Roman"/>
          <w:sz w:val="18"/>
          <w:szCs w:val="18"/>
          <w:color w:val="auto"/>
        </w:rPr>
      </w:pPr>
    </w:p>
    <w:p>
      <w:pPr>
        <w:ind w:left="4" w:right="60" w:firstLine="436"/>
        <w:spacing w:after="0" w:line="284" w:lineRule="auto"/>
        <w:tabs>
          <w:tab w:leader="none" w:pos="83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Same Terms and Conditions</w:t>
      </w:r>
      <w:r>
        <w:rPr>
          <w:rFonts w:ascii="Times New Roman" w:cs="Times New Roman" w:eastAsia="Times New Roman" w:hAnsi="Times New Roman"/>
          <w:sz w:val="18"/>
          <w:szCs w:val="18"/>
          <w:color w:val="auto"/>
        </w:rPr>
        <w:t>. Each Regulated Fund will have the right to participate in such Disposition on a proportionate basis, at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and on the same terms and conditions as those applicable to the Affiliated Funds and any other Regulated Fund.</w:t>
      </w:r>
    </w:p>
    <w:p>
      <w:pPr>
        <w:spacing w:after="0" w:line="158" w:lineRule="exact"/>
        <w:rPr>
          <w:rFonts w:ascii="Times New Roman" w:cs="Times New Roman" w:eastAsia="Times New Roman" w:hAnsi="Times New Roman"/>
          <w:sz w:val="18"/>
          <w:szCs w:val="18"/>
          <w:color w:val="auto"/>
        </w:rPr>
      </w:pPr>
    </w:p>
    <w:p>
      <w:pPr>
        <w:ind w:left="4" w:right="400" w:firstLine="436"/>
        <w:spacing w:after="0" w:line="284" w:lineRule="auto"/>
        <w:tabs>
          <w:tab w:leader="none" w:pos="82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Board Approval Required</w:t>
      </w:r>
      <w:r>
        <w:rPr>
          <w:rFonts w:ascii="Times New Roman" w:cs="Times New Roman" w:eastAsia="Times New Roman" w:hAnsi="Times New Roman"/>
          <w:sz w:val="18"/>
          <w:szCs w:val="18"/>
          <w:color w:val="auto"/>
        </w:rPr>
        <w:t>. A Regulated Fund may participate in such a Disposition without obtaining prior approval of the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if:</w:t>
      </w:r>
    </w:p>
    <w:p>
      <w:pPr>
        <w:spacing w:after="0" w:line="52" w:lineRule="exact"/>
        <w:rPr>
          <w:rFonts w:ascii="Times New Roman" w:cs="Times New Roman" w:eastAsia="Times New Roman" w:hAnsi="Times New Roman"/>
          <w:sz w:val="18"/>
          <w:szCs w:val="18"/>
          <w:color w:val="auto"/>
        </w:rPr>
      </w:pPr>
    </w:p>
    <w:p>
      <w:pPr>
        <w:ind w:left="444" w:right="60" w:firstLine="419"/>
        <w:spacing w:after="0" w:line="233" w:lineRule="auto"/>
        <w:tabs>
          <w:tab w:leader="none" w:pos="1217"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participation of each Regulated Fund and Affiliated Fund in such Disposition is proportionate to its then-current holding of the security (or securities) of the issuer that is (or are) the subject of the Disposition;</w:t>
      </w:r>
      <w:r>
        <w:rPr>
          <w:rFonts w:ascii="Times New Roman" w:cs="Times New Roman" w:eastAsia="Times New Roman" w:hAnsi="Times New Roman"/>
          <w:sz w:val="26"/>
          <w:szCs w:val="26"/>
          <w:color w:val="auto"/>
          <w:vertAlign w:val="superscript"/>
        </w:rPr>
        <w:t>30</w:t>
      </w:r>
      <w:r>
        <w:rPr>
          <w:rFonts w:ascii="Times New Roman" w:cs="Times New Roman" w:eastAsia="Times New Roman" w:hAnsi="Times New Roman"/>
          <w:sz w:val="18"/>
          <w:szCs w:val="18"/>
          <w:color w:val="auto"/>
        </w:rPr>
        <w:t xml:space="preserve"> (B) the Board of the Regulated Fund has approved as being in the best interests of the Regulated Fund the ability to participate in such Dispositions on a pro rata basis (as described in greater detail in the Application); and (C) the Board of the Regulated Fund is provided on a quarterly basis with a list of all Dispositions made in accordance with this Condition; or</w:t>
      </w:r>
    </w:p>
    <w:p>
      <w:pPr>
        <w:spacing w:after="0" w:line="93" w:lineRule="exact"/>
        <w:rPr>
          <w:rFonts w:ascii="Times New Roman" w:cs="Times New Roman" w:eastAsia="Times New Roman" w:hAnsi="Times New Roman"/>
          <w:sz w:val="18"/>
          <w:szCs w:val="18"/>
          <w:color w:val="auto"/>
        </w:rPr>
      </w:pPr>
    </w:p>
    <w:p>
      <w:pPr>
        <w:ind w:left="444" w:right="400" w:firstLine="419"/>
        <w:spacing w:after="0" w:line="266" w:lineRule="auto"/>
        <w:tabs>
          <w:tab w:leader="none" w:pos="1267"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security is a Tradable Security and (A) the Disposition is not to the issuer or any affiliated person of the issuer; and (B) the security is sold for cash in a transaction in which the only term negotiated by or on behalf of the participating Regulated Funds and Affiliated Funds is price.</w:t>
      </w:r>
    </w:p>
    <w:p>
      <w:pPr>
        <w:spacing w:after="0" w:line="173" w:lineRule="exact"/>
        <w:rPr>
          <w:rFonts w:ascii="Times New Roman" w:cs="Times New Roman" w:eastAsia="Times New Roman" w:hAnsi="Times New Roman"/>
          <w:sz w:val="18"/>
          <w:szCs w:val="18"/>
          <w:color w:val="auto"/>
        </w:rPr>
      </w:pPr>
    </w:p>
    <w:p>
      <w:pPr>
        <w:ind w:left="4" w:firstLine="436"/>
        <w:spacing w:after="0" w:line="267" w:lineRule="auto"/>
        <w:tabs>
          <w:tab w:leader="none" w:pos="83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Standard Board Approval</w:t>
      </w:r>
      <w:r>
        <w:rPr>
          <w:rFonts w:ascii="Times New Roman" w:cs="Times New Roman" w:eastAsia="Times New Roman" w:hAnsi="Times New Roman"/>
          <w:sz w:val="18"/>
          <w:szCs w:val="18"/>
          <w:color w:val="auto"/>
        </w:rPr>
        <w:t>. In all other cases, the Adviser will provide its written recommendation as to the Regulated Fund’s participation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Eligible Directors and the Regulated Fund will participate in such Disposition solely to the extent that a Required Majority determines that it is in the Regulated Fund’s best interests.</w:t>
      </w:r>
    </w:p>
    <w:p>
      <w:pPr>
        <w:spacing w:after="0" w:line="8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Enhanced Review Dispositions.</w:t>
      </w:r>
    </w:p>
    <w:p>
      <w:pPr>
        <w:spacing w:after="0" w:line="223" w:lineRule="exact"/>
        <w:rPr>
          <w:rFonts w:ascii="Times New Roman" w:cs="Times New Roman" w:eastAsia="Times New Roman" w:hAnsi="Times New Roman"/>
          <w:sz w:val="18"/>
          <w:szCs w:val="18"/>
          <w:color w:val="auto"/>
        </w:rPr>
      </w:pPr>
    </w:p>
    <w:p>
      <w:pPr>
        <w:jc w:val="both"/>
        <w:ind w:left="4" w:right="100" w:firstLine="436"/>
        <w:spacing w:after="0" w:line="267" w:lineRule="auto"/>
        <w:tabs>
          <w:tab w:leader="none" w:pos="82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If any Regulated Fund or Affiliated Fund elects to sell, exchange or otherwise dispose of a Pre-Boarding Investment in a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Co-Investment Transaction and the Regulated Funds and Affiliated Funds have not previously participated in a Co-Investment Transaction with respect to the issuer:</w:t>
      </w:r>
    </w:p>
    <w:p>
      <w:pPr>
        <w:spacing w:after="0" w:line="67" w:lineRule="exact"/>
        <w:rPr>
          <w:rFonts w:ascii="Times New Roman" w:cs="Times New Roman" w:eastAsia="Times New Roman" w:hAnsi="Times New Roman"/>
          <w:sz w:val="18"/>
          <w:szCs w:val="18"/>
          <w:color w:val="auto"/>
        </w:rPr>
      </w:pPr>
    </w:p>
    <w:p>
      <w:pPr>
        <w:ind w:left="444" w:right="320" w:firstLine="419"/>
        <w:spacing w:after="0" w:line="282" w:lineRule="auto"/>
        <w:tabs>
          <w:tab w:leader="none" w:pos="1217"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to such Regulated Fund or Affiliated Fund will notify each Regulated Fund that holds an investment in the issuer of the proposed Disposition at the earliest practical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71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5" w:lineRule="exact"/>
        <w:rPr>
          <w:sz w:val="20"/>
          <w:szCs w:val="20"/>
          <w:color w:val="auto"/>
        </w:rPr>
      </w:pPr>
    </w:p>
    <w:p>
      <w:pPr>
        <w:ind w:left="424" w:right="60" w:hanging="424"/>
        <w:spacing w:after="0" w:line="208" w:lineRule="auto"/>
        <w:tabs>
          <w:tab w:leader="none" w:pos="424" w:val="left"/>
        </w:tabs>
        <w:numPr>
          <w:ilvl w:val="0"/>
          <w:numId w:val="6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Any Proprietary Account that is not advised by an Adviser is itself deemed to be an Adviser for purposes of Conditions 6(a)(i), 7(a)(i), 8(a)(i) and 9(a)(i).</w:t>
      </w:r>
    </w:p>
    <w:p>
      <w:pPr>
        <w:spacing w:after="0" w:line="1" w:lineRule="exact"/>
        <w:rPr>
          <w:rFonts w:ascii="Times New Roman" w:cs="Times New Roman" w:eastAsia="Times New Roman" w:hAnsi="Times New Roman"/>
          <w:sz w:val="27"/>
          <w:szCs w:val="27"/>
          <w:color w:val="auto"/>
          <w:vertAlign w:val="superscript"/>
        </w:rPr>
      </w:pPr>
    </w:p>
    <w:p>
      <w:pPr>
        <w:ind w:left="424" w:right="660" w:hanging="424"/>
        <w:spacing w:after="0" w:line="200" w:lineRule="auto"/>
        <w:tabs>
          <w:tab w:leader="none" w:pos="424" w:val="left"/>
        </w:tabs>
        <w:numPr>
          <w:ilvl w:val="0"/>
          <w:numId w:val="6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 the case of any Disposition, proportionality will be measured by each participating Regulated Fund’s and Affiliated Fund’s outstanding investment in the security in question immediately preceding the Disposition.</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70" w:right="459" w:bottom="1440" w:gutter="0" w:footer="0" w:header="0"/>
        </w:sectPr>
      </w:pPr>
    </w:p>
    <w:bookmarkStart w:id="21" w:name="page22"/>
    <w:bookmarkEnd w:id="21"/>
    <w:p>
      <w:pPr>
        <w:ind w:left="444" w:right="40" w:firstLine="419"/>
        <w:spacing w:after="0" w:line="282" w:lineRule="auto"/>
        <w:tabs>
          <w:tab w:leader="none" w:pos="126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Adviser to each Regulated Fund that holds an investment in the issuer will formulate a recommendation as to participation by such Regulated Fund in the Disposition; and</w:t>
      </w:r>
    </w:p>
    <w:p>
      <w:pPr>
        <w:spacing w:after="0" w:line="53" w:lineRule="exact"/>
        <w:rPr>
          <w:rFonts w:ascii="Times New Roman" w:cs="Times New Roman" w:eastAsia="Times New Roman" w:hAnsi="Times New Roman"/>
          <w:sz w:val="18"/>
          <w:szCs w:val="18"/>
          <w:color w:val="auto"/>
        </w:rPr>
      </w:pPr>
    </w:p>
    <w:p>
      <w:pPr>
        <w:ind w:left="444" w:right="60" w:firstLine="419"/>
        <w:spacing w:after="0" w:line="266" w:lineRule="auto"/>
        <w:tabs>
          <w:tab w:leader="none" w:pos="131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will provide to the Board of each Regulated Fund that holds an investment in the issuer all information relating to the existing investments in the issuer of the Regulated Funds and Affiliated Funds, including the terms of such investments and how they were made, that is necessary for the Required Majority to make the findings required by this Condition.</w:t>
      </w:r>
    </w:p>
    <w:p>
      <w:pPr>
        <w:spacing w:after="0" w:line="173" w:lineRule="exact"/>
        <w:rPr>
          <w:rFonts w:ascii="Times New Roman" w:cs="Times New Roman" w:eastAsia="Times New Roman" w:hAnsi="Times New Roman"/>
          <w:sz w:val="18"/>
          <w:szCs w:val="18"/>
          <w:color w:val="auto"/>
        </w:rPr>
      </w:pPr>
    </w:p>
    <w:p>
      <w:pPr>
        <w:ind w:left="4" w:right="340" w:firstLine="436"/>
        <w:spacing w:after="0" w:line="284" w:lineRule="auto"/>
        <w:tabs>
          <w:tab w:leader="none" w:pos="83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Enhanced Board Approval</w:t>
      </w:r>
      <w:r>
        <w:rPr>
          <w:rFonts w:ascii="Times New Roman" w:cs="Times New Roman" w:eastAsia="Times New Roman" w:hAnsi="Times New Roman"/>
          <w:sz w:val="18"/>
          <w:szCs w:val="18"/>
          <w:color w:val="auto"/>
        </w:rPr>
        <w:t>. The Adviser will provide its written recommendation as to the Regulated Fund’s participation to the Eligible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and the Regulated Fund will participate in such Disposition solely to the extent that a Required Majority determines that:</w:t>
      </w:r>
    </w:p>
    <w:p>
      <w:pPr>
        <w:spacing w:after="0" w:line="52" w:lineRule="exact"/>
        <w:rPr>
          <w:rFonts w:ascii="Times New Roman" w:cs="Times New Roman" w:eastAsia="Times New Roman" w:hAnsi="Times New Roman"/>
          <w:sz w:val="18"/>
          <w:szCs w:val="18"/>
          <w:color w:val="auto"/>
        </w:rPr>
      </w:pPr>
    </w:p>
    <w:p>
      <w:pPr>
        <w:ind w:left="1204" w:hanging="341"/>
        <w:spacing w:after="0"/>
        <w:tabs>
          <w:tab w:leader="none" w:pos="120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Disposition complies with Condition 2(c)(i), (ii), (iii)(A), and (iv); and</w:t>
      </w:r>
    </w:p>
    <w:p>
      <w:pPr>
        <w:spacing w:after="0" w:line="117" w:lineRule="exact"/>
        <w:rPr>
          <w:rFonts w:ascii="Times New Roman" w:cs="Times New Roman" w:eastAsia="Times New Roman" w:hAnsi="Times New Roman"/>
          <w:sz w:val="18"/>
          <w:szCs w:val="18"/>
          <w:color w:val="auto"/>
        </w:rPr>
      </w:pPr>
    </w:p>
    <w:p>
      <w:pPr>
        <w:ind w:left="444" w:right="140" w:firstLine="419"/>
        <w:spacing w:after="0" w:line="282" w:lineRule="auto"/>
        <w:tabs>
          <w:tab w:leader="none" w:pos="1267"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and holding of the Pre-Boarding Investments were not prohibited by Section 57 or Rule 17d-1, as applicable, and records the basis for the finding in the Board minutes.</w:t>
      </w:r>
    </w:p>
    <w:p>
      <w:pPr>
        <w:spacing w:after="0" w:line="159" w:lineRule="exact"/>
        <w:rPr>
          <w:rFonts w:ascii="Times New Roman" w:cs="Times New Roman" w:eastAsia="Times New Roman" w:hAnsi="Times New Roman"/>
          <w:sz w:val="18"/>
          <w:szCs w:val="18"/>
          <w:color w:val="auto"/>
        </w:rPr>
      </w:pPr>
    </w:p>
    <w:p>
      <w:pPr>
        <w:ind w:left="824" w:hanging="384"/>
        <w:spacing w:after="0"/>
        <w:tabs>
          <w:tab w:leader="none" w:pos="82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Requirements</w:t>
      </w:r>
      <w:r>
        <w:rPr>
          <w:rFonts w:ascii="Times New Roman" w:cs="Times New Roman" w:eastAsia="Times New Roman" w:hAnsi="Times New Roman"/>
          <w:sz w:val="18"/>
          <w:szCs w:val="18"/>
          <w:color w:val="auto"/>
        </w:rPr>
        <w:t>: The Disposition may only be completed in reliance on the Order if:</w:t>
      </w:r>
    </w:p>
    <w:p>
      <w:pPr>
        <w:spacing w:after="0" w:line="117" w:lineRule="exact"/>
        <w:rPr>
          <w:rFonts w:ascii="Times New Roman" w:cs="Times New Roman" w:eastAsia="Times New Roman" w:hAnsi="Times New Roman"/>
          <w:sz w:val="18"/>
          <w:szCs w:val="18"/>
          <w:color w:val="auto"/>
        </w:rPr>
      </w:pPr>
    </w:p>
    <w:p>
      <w:pPr>
        <w:ind w:left="444" w:right="80" w:firstLine="419"/>
        <w:spacing w:after="0" w:line="284" w:lineRule="auto"/>
        <w:tabs>
          <w:tab w:leader="none" w:pos="1217"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Same Terms and Conditions</w:t>
      </w:r>
      <w:r>
        <w:rPr>
          <w:rFonts w:ascii="Times New Roman" w:cs="Times New Roman" w:eastAsia="Times New Roman" w:hAnsi="Times New Roman"/>
          <w:sz w:val="18"/>
          <w:szCs w:val="18"/>
          <w:color w:val="auto"/>
        </w:rPr>
        <w:t>. Each Regulated Fund has the right to participate in such Disposition on a proportionate basis, at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and on the same terms and conditions as those applicable to the Affiliated Funds and any other Regulated Fund;</w:t>
      </w:r>
    </w:p>
    <w:p>
      <w:pPr>
        <w:spacing w:after="0" w:line="50" w:lineRule="exact"/>
        <w:rPr>
          <w:rFonts w:ascii="Times New Roman" w:cs="Times New Roman" w:eastAsia="Times New Roman" w:hAnsi="Times New Roman"/>
          <w:sz w:val="18"/>
          <w:szCs w:val="18"/>
          <w:color w:val="auto"/>
        </w:rPr>
      </w:pPr>
    </w:p>
    <w:p>
      <w:pPr>
        <w:ind w:left="1264" w:hanging="401"/>
        <w:spacing w:after="0"/>
        <w:tabs>
          <w:tab w:leader="none" w:pos="126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Original Investments</w:t>
      </w:r>
      <w:r>
        <w:rPr>
          <w:rFonts w:ascii="Times New Roman" w:cs="Times New Roman" w:eastAsia="Times New Roman" w:hAnsi="Times New Roman"/>
          <w:sz w:val="18"/>
          <w:szCs w:val="18"/>
          <w:color w:val="auto"/>
        </w:rPr>
        <w:t>. All of the Affiliated Funds’ and Regulated Funds’ investments in the issuer are Pre-Boarding Investments;</w:t>
      </w:r>
    </w:p>
    <w:p>
      <w:pPr>
        <w:spacing w:after="0" w:line="117" w:lineRule="exact"/>
        <w:rPr>
          <w:rFonts w:ascii="Times New Roman" w:cs="Times New Roman" w:eastAsia="Times New Roman" w:hAnsi="Times New Roman"/>
          <w:sz w:val="18"/>
          <w:szCs w:val="18"/>
          <w:color w:val="auto"/>
        </w:rPr>
      </w:pPr>
    </w:p>
    <w:p>
      <w:pPr>
        <w:ind w:left="444" w:right="420" w:firstLine="419"/>
        <w:spacing w:after="0" w:line="284" w:lineRule="auto"/>
        <w:tabs>
          <w:tab w:leader="none" w:pos="1317"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Advice of counsel</w:t>
      </w:r>
      <w:r>
        <w:rPr>
          <w:rFonts w:ascii="Times New Roman" w:cs="Times New Roman" w:eastAsia="Times New Roman" w:hAnsi="Times New Roman"/>
          <w:sz w:val="18"/>
          <w:szCs w:val="18"/>
          <w:color w:val="auto"/>
        </w:rPr>
        <w:t>. Independent counsel to the Board advises that the making and holding of the investments in the Pre-Boarding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were not prohibited by Section 57 (as modified by Rule 57b-1) or Rule 17d-1, as applicable;</w:t>
      </w:r>
    </w:p>
    <w:p>
      <w:pPr>
        <w:spacing w:after="0" w:line="50" w:lineRule="exact"/>
        <w:rPr>
          <w:rFonts w:ascii="Times New Roman" w:cs="Times New Roman" w:eastAsia="Times New Roman" w:hAnsi="Times New Roman"/>
          <w:sz w:val="18"/>
          <w:szCs w:val="18"/>
          <w:color w:val="auto"/>
        </w:rPr>
      </w:pPr>
    </w:p>
    <w:p>
      <w:pPr>
        <w:ind w:left="444" w:firstLine="419"/>
        <w:spacing w:after="0"/>
        <w:tabs>
          <w:tab w:leader="none" w:pos="1307"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Multiple Classes of Securities</w:t>
      </w:r>
      <w:r>
        <w:rPr>
          <w:rFonts w:ascii="Times New Roman" w:cs="Times New Roman" w:eastAsia="Times New Roman" w:hAnsi="Times New Roman"/>
          <w:sz w:val="18"/>
          <w:szCs w:val="18"/>
          <w:color w:val="auto"/>
        </w:rPr>
        <w:t>. All Regulated Funds and Affiliated Funds that hold Pre-Boarding Investments in the issuer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before the time of completion of the Co-Investment Transaction hold the same security or securities of the issuer. For the purpose of determining whether the Regulated Funds and Affiliated Funds hold the same security or securities, they may disregard any security held by some but not all of them if, prior to relying on the Order, the Required Majority is presented with all information necessary to make a finding, and finds, that: (x) any Regulated Fund’s or Affiliated Fund’s holding of a different class of securities (including for this purpose a security with a different maturity date) is immaterial</w:t>
      </w:r>
      <w:r>
        <w:rPr>
          <w:rFonts w:ascii="Times New Roman" w:cs="Times New Roman" w:eastAsia="Times New Roman" w:hAnsi="Times New Roman"/>
          <w:sz w:val="26"/>
          <w:szCs w:val="26"/>
          <w:color w:val="auto"/>
          <w:vertAlign w:val="superscript"/>
        </w:rPr>
        <w:t>31</w:t>
      </w:r>
      <w:r>
        <w:rPr>
          <w:rFonts w:ascii="Times New Roman" w:cs="Times New Roman" w:eastAsia="Times New Roman" w:hAnsi="Times New Roman"/>
          <w:sz w:val="18"/>
          <w:szCs w:val="18"/>
          <w:color w:val="auto"/>
        </w:rPr>
        <w:t xml:space="preserve"> in amount, including immaterial relative to the size of the issuer; and (y) the Board records the basis for any such finding in its minutes. In addition, securities that differ only in respect of issuance date, currency, or denominations may be treated as the same security; and</w:t>
      </w:r>
    </w:p>
    <w:p>
      <w:pPr>
        <w:spacing w:after="0" w:line="88" w:lineRule="exact"/>
        <w:rPr>
          <w:rFonts w:ascii="Times New Roman" w:cs="Times New Roman" w:eastAsia="Times New Roman" w:hAnsi="Times New Roman"/>
          <w:sz w:val="18"/>
          <w:szCs w:val="18"/>
          <w:color w:val="auto"/>
        </w:rPr>
      </w:pPr>
    </w:p>
    <w:p>
      <w:pPr>
        <w:ind w:left="444" w:right="160" w:firstLine="419"/>
        <w:spacing w:after="0" w:line="284" w:lineRule="auto"/>
        <w:tabs>
          <w:tab w:leader="none" w:pos="1257"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control</w:t>
      </w:r>
      <w:r>
        <w:rPr>
          <w:rFonts w:ascii="Times New Roman" w:cs="Times New Roman" w:eastAsia="Times New Roman" w:hAnsi="Times New Roman"/>
          <w:sz w:val="18"/>
          <w:szCs w:val="18"/>
          <w:color w:val="auto"/>
        </w:rPr>
        <w:t>. The Affiliated Funds, the other Regulated Funds and their affiliated persons (within the meaning of Section 2(a)(3)(C)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Act), individually or in the aggregate, do not control the issuer of the securities (within the meaning of Section 2(a)(9)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147320</wp:posOffset>
            </wp:positionV>
            <wp:extent cx="7715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35" w:lineRule="exact"/>
        <w:rPr>
          <w:sz w:val="20"/>
          <w:szCs w:val="20"/>
          <w:color w:val="auto"/>
        </w:rPr>
      </w:pPr>
    </w:p>
    <w:p>
      <w:pPr>
        <w:ind w:left="424" w:right="100" w:hanging="424"/>
        <w:spacing w:after="0" w:line="220" w:lineRule="auto"/>
        <w:tabs>
          <w:tab w:leader="none" w:pos="424" w:val="left"/>
        </w:tabs>
        <w:numPr>
          <w:ilvl w:val="0"/>
          <w:numId w:val="7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 determining whether a holding is “immaterial” for purposes of the Order, the Required Majority will consider whether the nature and extent of the interest in the transaction or arrangement is sufficiently small that a reasonable person would not believe that the interest affected the determination of whether to enter into the transaction or arrangement or the terms of the transaction or arrangement.</w:t>
      </w:r>
    </w:p>
    <w:p>
      <w:pPr>
        <w:spacing w:after="0" w:line="13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4"/>
          </w:cols>
          <w:pgMar w:left="436" w:top="270" w:right="479" w:bottom="1440" w:gutter="0" w:footer="0" w:header="0"/>
        </w:sectPr>
      </w:pPr>
    </w:p>
    <w:bookmarkStart w:id="22" w:name="page23"/>
    <w:bookmarkEnd w:id="22"/>
    <w:p>
      <w:pPr>
        <w:ind w:left="544" w:hanging="544"/>
        <w:spacing w:after="0"/>
        <w:tabs>
          <w:tab w:leader="none" w:pos="54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Standard Review Follow-Ons.</w:t>
      </w:r>
    </w:p>
    <w:p>
      <w:pPr>
        <w:spacing w:after="0" w:line="223" w:lineRule="exact"/>
        <w:rPr>
          <w:rFonts w:ascii="Times New Roman" w:cs="Times New Roman" w:eastAsia="Times New Roman" w:hAnsi="Times New Roman"/>
          <w:sz w:val="18"/>
          <w:szCs w:val="18"/>
          <w:color w:val="auto"/>
        </w:rPr>
      </w:pPr>
    </w:p>
    <w:p>
      <w:pPr>
        <w:ind w:left="4" w:right="580" w:firstLine="436"/>
        <w:spacing w:after="0" w:line="284" w:lineRule="auto"/>
        <w:tabs>
          <w:tab w:leader="none" w:pos="82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If any Regulated Fund or Affiliated Fund desires to make a Follow-On Investment in an issuer and the Regulated Funds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Affiliated Funds holding investments in the issuer previously participated in a Co-Investment Transaction with respect to the issuer:</w:t>
      </w:r>
    </w:p>
    <w:p>
      <w:pPr>
        <w:spacing w:after="0" w:line="52" w:lineRule="exact"/>
        <w:rPr>
          <w:rFonts w:ascii="Times New Roman" w:cs="Times New Roman" w:eastAsia="Times New Roman" w:hAnsi="Times New Roman"/>
          <w:sz w:val="18"/>
          <w:szCs w:val="18"/>
          <w:color w:val="auto"/>
        </w:rPr>
      </w:pPr>
    </w:p>
    <w:p>
      <w:pPr>
        <w:ind w:left="444" w:right="500" w:firstLine="419"/>
        <w:spacing w:after="0" w:line="282" w:lineRule="auto"/>
        <w:tabs>
          <w:tab w:leader="none" w:pos="1217"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to each such Regulated Fund or Affiliated Fund will notify each Regulated Fund that holds securities of the portfolio company of the proposed transaction at the earliest practical time; and</w:t>
      </w:r>
    </w:p>
    <w:p>
      <w:pPr>
        <w:spacing w:after="0" w:line="53" w:lineRule="exact"/>
        <w:rPr>
          <w:rFonts w:ascii="Times New Roman" w:cs="Times New Roman" w:eastAsia="Times New Roman" w:hAnsi="Times New Roman"/>
          <w:sz w:val="18"/>
          <w:szCs w:val="18"/>
          <w:color w:val="auto"/>
        </w:rPr>
      </w:pPr>
    </w:p>
    <w:p>
      <w:pPr>
        <w:ind w:left="444" w:right="640" w:firstLine="419"/>
        <w:spacing w:after="0" w:line="282" w:lineRule="auto"/>
        <w:tabs>
          <w:tab w:leader="none" w:pos="1267"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to each Regulated Fund that holds an investment in the issuer will formulate a recommendation as to the proposed participation, including the amount of the proposed investment, by such Regulated Fund.</w:t>
      </w:r>
    </w:p>
    <w:p>
      <w:pPr>
        <w:spacing w:after="0" w:line="159" w:lineRule="exact"/>
        <w:rPr>
          <w:rFonts w:ascii="Times New Roman" w:cs="Times New Roman" w:eastAsia="Times New Roman" w:hAnsi="Times New Roman"/>
          <w:sz w:val="18"/>
          <w:szCs w:val="18"/>
          <w:color w:val="auto"/>
        </w:rPr>
      </w:pPr>
    </w:p>
    <w:p>
      <w:pPr>
        <w:ind w:left="4" w:right="520" w:firstLine="436"/>
        <w:spacing w:after="0" w:line="284" w:lineRule="auto"/>
        <w:tabs>
          <w:tab w:leader="none" w:pos="83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Board Approval Required</w:t>
      </w:r>
      <w:r>
        <w:rPr>
          <w:rFonts w:ascii="Times New Roman" w:cs="Times New Roman" w:eastAsia="Times New Roman" w:hAnsi="Times New Roman"/>
          <w:sz w:val="18"/>
          <w:szCs w:val="18"/>
          <w:color w:val="auto"/>
        </w:rPr>
        <w:t>. A Regulated Fund may participate in the Follow-On Investment without obtaining prior approval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Majority if:</w:t>
      </w:r>
    </w:p>
    <w:p>
      <w:pPr>
        <w:spacing w:after="0" w:line="52" w:lineRule="exact"/>
        <w:rPr>
          <w:rFonts w:ascii="Times New Roman" w:cs="Times New Roman" w:eastAsia="Times New Roman" w:hAnsi="Times New Roman"/>
          <w:sz w:val="18"/>
          <w:szCs w:val="18"/>
          <w:color w:val="auto"/>
        </w:rPr>
      </w:pPr>
    </w:p>
    <w:p>
      <w:pPr>
        <w:ind w:left="444" w:right="60" w:firstLine="419"/>
        <w:spacing w:after="0" w:line="230" w:lineRule="auto"/>
        <w:tabs>
          <w:tab w:leader="none" w:pos="1217"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proposed participation of each Regulated Fund and each Affiliated Fund in such investment is proportionate to its outstanding investments in the issuer or the security at issue, as appropriate,</w:t>
      </w:r>
      <w:r>
        <w:rPr>
          <w:rFonts w:ascii="Times New Roman" w:cs="Times New Roman" w:eastAsia="Times New Roman" w:hAnsi="Times New Roman"/>
          <w:sz w:val="26"/>
          <w:szCs w:val="26"/>
          <w:color w:val="auto"/>
          <w:vertAlign w:val="superscript"/>
        </w:rPr>
        <w:t>32</w:t>
      </w:r>
      <w:r>
        <w:rPr>
          <w:rFonts w:ascii="Times New Roman" w:cs="Times New Roman" w:eastAsia="Times New Roman" w:hAnsi="Times New Roman"/>
          <w:sz w:val="18"/>
          <w:szCs w:val="18"/>
          <w:color w:val="auto"/>
        </w:rPr>
        <w:t xml:space="preserve"> immediately preceding the Follow-On Investment; and (B) the Board of the Regulated Fund has approved as being in the best interests of the Regulated Fund the ability to participate in Follow-On Investments on a pro rata basis (as described in greater detail in this Application); or</w:t>
      </w:r>
    </w:p>
    <w:p>
      <w:pPr>
        <w:spacing w:after="0" w:line="90" w:lineRule="exact"/>
        <w:rPr>
          <w:rFonts w:ascii="Times New Roman" w:cs="Times New Roman" w:eastAsia="Times New Roman" w:hAnsi="Times New Roman"/>
          <w:sz w:val="18"/>
          <w:szCs w:val="18"/>
          <w:color w:val="auto"/>
        </w:rPr>
      </w:pPr>
    </w:p>
    <w:p>
      <w:pPr>
        <w:ind w:left="1264" w:hanging="401"/>
        <w:spacing w:after="0"/>
        <w:tabs>
          <w:tab w:leader="none" w:pos="1264"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Non-Negotiated Follow-On Investment.</w:t>
      </w:r>
    </w:p>
    <w:p>
      <w:pPr>
        <w:spacing w:after="0" w:line="223" w:lineRule="exact"/>
        <w:rPr>
          <w:rFonts w:ascii="Times New Roman" w:cs="Times New Roman" w:eastAsia="Times New Roman" w:hAnsi="Times New Roman"/>
          <w:sz w:val="18"/>
          <w:szCs w:val="18"/>
          <w:color w:val="auto"/>
        </w:rPr>
      </w:pPr>
    </w:p>
    <w:p>
      <w:pPr>
        <w:ind w:left="4" w:right="80" w:firstLine="436"/>
        <w:spacing w:after="0" w:line="258" w:lineRule="auto"/>
        <w:tabs>
          <w:tab w:leader="none" w:pos="82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Standard Board Approval</w:t>
      </w:r>
      <w:r>
        <w:rPr>
          <w:rFonts w:ascii="Times New Roman" w:cs="Times New Roman" w:eastAsia="Times New Roman" w:hAnsi="Times New Roman"/>
          <w:sz w:val="18"/>
          <w:szCs w:val="18"/>
          <w:color w:val="auto"/>
        </w:rPr>
        <w:t>. In all other cases, the Adviser will provide its written recommendation as to the Regulated Fund’s participation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Eligible Directors and the Regulated Fund will participate in such Follow-On Investment solely to the extent that a Required Majority makes the determinations set forth in Condition 2(c). If the only previous Co-Investment Transaction with respect to the issuer was an Enhanced Review Disposition the Eligible Directors must complete this review of the proposed Follow-On Investment both on a stand-alone basis and together with the Pre-Boarding Investments in relation to the total economic exposure and other terms of the investment.</w:t>
      </w:r>
    </w:p>
    <w:p>
      <w:pPr>
        <w:spacing w:after="0" w:line="183" w:lineRule="exact"/>
        <w:rPr>
          <w:rFonts w:ascii="Times New Roman" w:cs="Times New Roman" w:eastAsia="Times New Roman" w:hAnsi="Times New Roman"/>
          <w:sz w:val="18"/>
          <w:szCs w:val="18"/>
          <w:color w:val="auto"/>
        </w:rPr>
      </w:pPr>
    </w:p>
    <w:p>
      <w:pPr>
        <w:ind w:left="824" w:hanging="384"/>
        <w:spacing w:after="0"/>
        <w:tabs>
          <w:tab w:leader="none" w:pos="82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Allocation</w:t>
      </w:r>
      <w:r>
        <w:rPr>
          <w:rFonts w:ascii="Times New Roman" w:cs="Times New Roman" w:eastAsia="Times New Roman" w:hAnsi="Times New Roman"/>
          <w:sz w:val="18"/>
          <w:szCs w:val="18"/>
          <w:color w:val="auto"/>
        </w:rPr>
        <w:t>. If, with respect to any such Follow-On Investment:</w:t>
      </w:r>
    </w:p>
    <w:p>
      <w:pPr>
        <w:spacing w:after="0" w:line="119" w:lineRule="exact"/>
        <w:rPr>
          <w:rFonts w:ascii="Times New Roman" w:cs="Times New Roman" w:eastAsia="Times New Roman" w:hAnsi="Times New Roman"/>
          <w:sz w:val="18"/>
          <w:szCs w:val="18"/>
          <w:color w:val="auto"/>
        </w:rPr>
      </w:pPr>
    </w:p>
    <w:p>
      <w:pPr>
        <w:ind w:left="444" w:right="120" w:firstLine="419"/>
        <w:spacing w:after="0" w:line="266" w:lineRule="auto"/>
        <w:tabs>
          <w:tab w:leader="none" w:pos="1217"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opportunity proposed to be made available to any Regulated Fund is not based on the Regulated Funds’ and the Affiliated Funds’ outstanding investments in the issuer or the security at issue, as appropriate, immediately preceding the Follow-On Investment; and</w:t>
      </w:r>
    </w:p>
    <w:p>
      <w:pPr>
        <w:spacing w:after="0" w:line="67" w:lineRule="exact"/>
        <w:rPr>
          <w:rFonts w:ascii="Times New Roman" w:cs="Times New Roman" w:eastAsia="Times New Roman" w:hAnsi="Times New Roman"/>
          <w:sz w:val="18"/>
          <w:szCs w:val="18"/>
          <w:color w:val="auto"/>
        </w:rPr>
      </w:pPr>
    </w:p>
    <w:p>
      <w:pPr>
        <w:ind w:left="444" w:firstLine="419"/>
        <w:spacing w:after="0" w:line="266" w:lineRule="auto"/>
        <w:tabs>
          <w:tab w:leader="none" w:pos="1267"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recommended by the Advisers to be invested in the Follow-On Investment by the participating Regulated Funds and any participating Affiliated Funds, collectively, exceeds the amount of the investment opportunity, then the Follow-On Investment opportunity will be allocated among them pro rata based on each participant’s Available Capital, as described in section III.A.1.b.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715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9" w:lineRule="exact"/>
        <w:rPr>
          <w:sz w:val="20"/>
          <w:szCs w:val="20"/>
          <w:color w:val="auto"/>
        </w:rPr>
      </w:pPr>
    </w:p>
    <w:p>
      <w:pPr>
        <w:ind w:left="424" w:right="20" w:hanging="424"/>
        <w:spacing w:after="0" w:line="234" w:lineRule="auto"/>
        <w:tabs>
          <w:tab w:leader="none" w:pos="424" w:val="left"/>
        </w:tabs>
        <w:numPr>
          <w:ilvl w:val="0"/>
          <w:numId w:val="7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the extent that a Follow-On Investment opportunity is in a security or arises in respect of a security held by the participating Regulated Funds and Affiliated Funds, proportionality will be measured by each participating Regulated Fund’s and Affiliated Fund’s outstanding investment in the security in question immediately preceding the Follow-On Investment using the most recent available valuation thereof. To the extent that a Follow-On Investment opportunity relates to an opportunity to invest in a security that is not in respect of any security held by any of the participating Regulated Funds or Affiliated Funds, proportionality will be measured by each participating Regulated Fund’s and Affiliated Fund’s outstanding investment in the issuer immediately preceding the Follow-On Investment using the most recent available valuation thereof.</w:t>
      </w:r>
    </w:p>
    <w:p>
      <w:pPr>
        <w:spacing w:after="0" w:line="13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70" w:right="459" w:bottom="1440" w:gutter="0" w:footer="0" w:header="0"/>
        </w:sectPr>
      </w:pPr>
    </w:p>
    <w:bookmarkStart w:id="23" w:name="page24"/>
    <w:bookmarkEnd w:id="23"/>
    <w:p>
      <w:pPr>
        <w:ind w:left="4" w:right="60" w:firstLine="436"/>
        <w:spacing w:after="0" w:line="284" w:lineRule="auto"/>
        <w:tabs>
          <w:tab w:leader="none" w:pos="82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Conditions</w:t>
      </w:r>
      <w:r>
        <w:rPr>
          <w:rFonts w:ascii="Times New Roman" w:cs="Times New Roman" w:eastAsia="Times New Roman" w:hAnsi="Times New Roman"/>
          <w:sz w:val="18"/>
          <w:szCs w:val="18"/>
          <w:color w:val="auto"/>
        </w:rPr>
        <w:t>. The acquisition of Follow-On Investments as permitted by this Condition will be considered a Co-Investment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all purposes and subject to the other Conditions set forth in this application.</w:t>
      </w:r>
    </w:p>
    <w:p>
      <w:pPr>
        <w:spacing w:after="0" w:line="65"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Enhanced Review Follow-Ons.</w:t>
      </w:r>
    </w:p>
    <w:p>
      <w:pPr>
        <w:spacing w:after="0" w:line="223" w:lineRule="exact"/>
        <w:rPr>
          <w:rFonts w:ascii="Times New Roman" w:cs="Times New Roman" w:eastAsia="Times New Roman" w:hAnsi="Times New Roman"/>
          <w:sz w:val="18"/>
          <w:szCs w:val="18"/>
          <w:color w:val="auto"/>
        </w:rPr>
      </w:pPr>
    </w:p>
    <w:p>
      <w:pPr>
        <w:ind w:left="4" w:right="300" w:firstLine="436"/>
        <w:spacing w:after="0" w:line="267" w:lineRule="auto"/>
        <w:tabs>
          <w:tab w:leader="none" w:pos="82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If any Regulated Fund or Affiliated Fund desires to make a Follow-On Investment in an issuer that is a Potential Co-Investment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and the Regulated Funds and Affiliated Funds holding investments in the issuer have not previously participated in a Co-Investment Transaction with respect to the issuer:</w:t>
      </w:r>
    </w:p>
    <w:p>
      <w:pPr>
        <w:spacing w:after="0" w:line="67" w:lineRule="exact"/>
        <w:rPr>
          <w:rFonts w:ascii="Times New Roman" w:cs="Times New Roman" w:eastAsia="Times New Roman" w:hAnsi="Times New Roman"/>
          <w:sz w:val="18"/>
          <w:szCs w:val="18"/>
          <w:color w:val="auto"/>
        </w:rPr>
      </w:pPr>
    </w:p>
    <w:p>
      <w:pPr>
        <w:ind w:left="444" w:right="500" w:firstLine="419"/>
        <w:spacing w:after="0" w:line="282" w:lineRule="auto"/>
        <w:tabs>
          <w:tab w:leader="none" w:pos="1217"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to each such Regulated Fund or Affiliated Fund will notify each Regulated Fund that holds securities of the portfolio company of the proposed transaction at the earliest practical time;</w:t>
      </w:r>
    </w:p>
    <w:p>
      <w:pPr>
        <w:spacing w:after="0" w:line="53" w:lineRule="exact"/>
        <w:rPr>
          <w:rFonts w:ascii="Times New Roman" w:cs="Times New Roman" w:eastAsia="Times New Roman" w:hAnsi="Times New Roman"/>
          <w:sz w:val="18"/>
          <w:szCs w:val="18"/>
          <w:color w:val="auto"/>
        </w:rPr>
      </w:pPr>
    </w:p>
    <w:p>
      <w:pPr>
        <w:ind w:left="444" w:right="640" w:firstLine="419"/>
        <w:spacing w:after="0" w:line="282" w:lineRule="auto"/>
        <w:tabs>
          <w:tab w:leader="none" w:pos="1267"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to each Regulated Fund that holds an investment in the issuer will formulate a recommendation as to the proposed participation, including the amount of the proposed investment, by such Regulated Fund; and</w:t>
      </w:r>
    </w:p>
    <w:p>
      <w:pPr>
        <w:spacing w:after="0" w:line="53" w:lineRule="exact"/>
        <w:rPr>
          <w:rFonts w:ascii="Times New Roman" w:cs="Times New Roman" w:eastAsia="Times New Roman" w:hAnsi="Times New Roman"/>
          <w:sz w:val="18"/>
          <w:szCs w:val="18"/>
          <w:color w:val="auto"/>
        </w:rPr>
      </w:pPr>
    </w:p>
    <w:p>
      <w:pPr>
        <w:ind w:left="444" w:right="80" w:firstLine="419"/>
        <w:spacing w:after="0" w:line="266" w:lineRule="auto"/>
        <w:tabs>
          <w:tab w:leader="none" w:pos="1317"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will provide to the Board of each Regulated Fund that holds an investment in the issuer all information relating to the existing investments in the issuer of the Regulated Funds and Affiliated Funds, including the terms of such investments and how they were made, that is necessary for the Required Majority to make the findings required by this Condition.</w:t>
      </w:r>
    </w:p>
    <w:p>
      <w:pPr>
        <w:spacing w:after="0" w:line="173" w:lineRule="exact"/>
        <w:rPr>
          <w:rFonts w:ascii="Times New Roman" w:cs="Times New Roman" w:eastAsia="Times New Roman" w:hAnsi="Times New Roman"/>
          <w:sz w:val="18"/>
          <w:szCs w:val="18"/>
          <w:color w:val="auto"/>
        </w:rPr>
      </w:pPr>
    </w:p>
    <w:p>
      <w:pPr>
        <w:ind w:left="4" w:firstLine="436"/>
        <w:spacing w:after="0" w:line="257" w:lineRule="auto"/>
        <w:tabs>
          <w:tab w:leader="none" w:pos="83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Enhanced Board Approval</w:t>
      </w:r>
      <w:r>
        <w:rPr>
          <w:rFonts w:ascii="Times New Roman" w:cs="Times New Roman" w:eastAsia="Times New Roman" w:hAnsi="Times New Roman"/>
          <w:sz w:val="18"/>
          <w:szCs w:val="18"/>
          <w:color w:val="auto"/>
        </w:rPr>
        <w:t>. The Adviser will provide its written recommendation as to the Regulated Fund’s participation to the Eligible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and the Regulated Fund will participate in such Follow-On Investment solely to the extent that a Required Majority reviews the proposed Follow-On Investment both on a stand-alone basis and together with the Pre-Boarding Investments in relation to the total economic exposure and other terms and makes the determinations set forth in Condition 2(c). In addition, the Follow-On Investment may only be completed in reliance on the Order if the Required Majority of each participating Regulated Fund determines that the making and holding of the Pre-Boarding Investments were not prohibited by Section 57 (as modified by Rule 57b-1) or Rule 17d-1, as applicable. The basis for the Board’s findings will be recorded in its minutes.</w:t>
      </w:r>
    </w:p>
    <w:p>
      <w:pPr>
        <w:spacing w:after="0" w:line="182" w:lineRule="exact"/>
        <w:rPr>
          <w:rFonts w:ascii="Times New Roman" w:cs="Times New Roman" w:eastAsia="Times New Roman" w:hAnsi="Times New Roman"/>
          <w:sz w:val="18"/>
          <w:szCs w:val="18"/>
          <w:color w:val="auto"/>
        </w:rPr>
      </w:pPr>
    </w:p>
    <w:p>
      <w:pPr>
        <w:ind w:left="824" w:hanging="384"/>
        <w:spacing w:after="0"/>
        <w:tabs>
          <w:tab w:leader="none" w:pos="82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Requirements</w:t>
      </w:r>
      <w:r>
        <w:rPr>
          <w:rFonts w:ascii="Times New Roman" w:cs="Times New Roman" w:eastAsia="Times New Roman" w:hAnsi="Times New Roman"/>
          <w:sz w:val="18"/>
          <w:szCs w:val="18"/>
          <w:color w:val="auto"/>
        </w:rPr>
        <w:t>. The Follow-On Investment may only be completed in reliance on the Order if:</w:t>
      </w:r>
    </w:p>
    <w:p>
      <w:pPr>
        <w:spacing w:after="0" w:line="117" w:lineRule="exact"/>
        <w:rPr>
          <w:rFonts w:ascii="Times New Roman" w:cs="Times New Roman" w:eastAsia="Times New Roman" w:hAnsi="Times New Roman"/>
          <w:sz w:val="18"/>
          <w:szCs w:val="18"/>
          <w:color w:val="auto"/>
        </w:rPr>
      </w:pPr>
    </w:p>
    <w:p>
      <w:pPr>
        <w:ind w:left="1204" w:hanging="341"/>
        <w:spacing w:after="0"/>
        <w:tabs>
          <w:tab w:leader="none" w:pos="1204"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Original Investments</w:t>
      </w:r>
      <w:r>
        <w:rPr>
          <w:rFonts w:ascii="Times New Roman" w:cs="Times New Roman" w:eastAsia="Times New Roman" w:hAnsi="Times New Roman"/>
          <w:sz w:val="18"/>
          <w:szCs w:val="18"/>
          <w:color w:val="auto"/>
        </w:rPr>
        <w:t>. All of the Affiliated Funds’ and Regulated Funds’ investments in the issuer are Pre-Boarding Investments;</w:t>
      </w:r>
    </w:p>
    <w:p>
      <w:pPr>
        <w:spacing w:after="0" w:line="117" w:lineRule="exact"/>
        <w:rPr>
          <w:rFonts w:ascii="Times New Roman" w:cs="Times New Roman" w:eastAsia="Times New Roman" w:hAnsi="Times New Roman"/>
          <w:sz w:val="18"/>
          <w:szCs w:val="18"/>
          <w:color w:val="auto"/>
        </w:rPr>
      </w:pPr>
    </w:p>
    <w:p>
      <w:pPr>
        <w:ind w:left="444" w:right="500" w:firstLine="419"/>
        <w:spacing w:after="0" w:line="284" w:lineRule="auto"/>
        <w:tabs>
          <w:tab w:leader="none" w:pos="1267"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Advice of counsel</w:t>
      </w:r>
      <w:r>
        <w:rPr>
          <w:rFonts w:ascii="Times New Roman" w:cs="Times New Roman" w:eastAsia="Times New Roman" w:hAnsi="Times New Roman"/>
          <w:sz w:val="18"/>
          <w:szCs w:val="18"/>
          <w:color w:val="auto"/>
        </w:rPr>
        <w:t>. Independent counsel to the Board advises that the making and holding of the investments in the Pre-Boarding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were not prohibited by Section 57 (as modified by Rule 57b-1) or Rule 17d-1, as applicable;</w:t>
      </w:r>
    </w:p>
    <w:p>
      <w:pPr>
        <w:spacing w:after="0" w:line="50" w:lineRule="exact"/>
        <w:rPr>
          <w:rFonts w:ascii="Times New Roman" w:cs="Times New Roman" w:eastAsia="Times New Roman" w:hAnsi="Times New Roman"/>
          <w:sz w:val="18"/>
          <w:szCs w:val="18"/>
          <w:color w:val="auto"/>
        </w:rPr>
      </w:pPr>
    </w:p>
    <w:p>
      <w:pPr>
        <w:ind w:left="444" w:right="20" w:firstLine="419"/>
        <w:spacing w:after="0" w:line="255" w:lineRule="auto"/>
        <w:tabs>
          <w:tab w:leader="none" w:pos="1317"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Multiple Classes of Securities</w:t>
      </w:r>
      <w:r>
        <w:rPr>
          <w:rFonts w:ascii="Times New Roman" w:cs="Times New Roman" w:eastAsia="Times New Roman" w:hAnsi="Times New Roman"/>
          <w:sz w:val="18"/>
          <w:szCs w:val="18"/>
          <w:color w:val="auto"/>
        </w:rPr>
        <w:t>. All Regulated Funds and Affiliated Funds that hold Pre-Boarding Investments in the issuer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before the time of completion of the Co-Investment Transaction hold the same security or securities of the issuer. For the purpose of determining whether the Regulated Funds and Affiliated Funds hold the same security or securities, they may disregard any security held by some but not all of them if, prior to relying on the Order, the Required Majority is presented with all information necessary to make a finding, and finds, that: (x) any Regulated Fund’s or Affiliated Fund’s holding of a different class of securities (including for this purpose a security with a different maturity date) is immaterial in amount, including immaterial relative to the size of the issuer; and (y) the Board records the basis for any such finding in its minutes. In addition, securities that differ only in respect of issuance date, currency, or denominations may be treated as the same security; and</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68" w:right="459" w:bottom="1440" w:gutter="0" w:footer="0" w:header="0"/>
        </w:sectPr>
      </w:pPr>
    </w:p>
    <w:bookmarkStart w:id="24" w:name="page25"/>
    <w:bookmarkEnd w:id="24"/>
    <w:p>
      <w:pPr>
        <w:ind w:left="444" w:right="140" w:firstLine="419"/>
        <w:spacing w:after="0" w:line="284" w:lineRule="auto"/>
        <w:tabs>
          <w:tab w:leader="none" w:pos="1307"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control</w:t>
      </w:r>
      <w:r>
        <w:rPr>
          <w:rFonts w:ascii="Times New Roman" w:cs="Times New Roman" w:eastAsia="Times New Roman" w:hAnsi="Times New Roman"/>
          <w:sz w:val="18"/>
          <w:szCs w:val="18"/>
          <w:color w:val="auto"/>
        </w:rPr>
        <w:t>. The Affiliated Funds, the other Regulated Funds and their affiliated persons (within the meaning of Section 2(a)(3)(C)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Act), individually or in the aggregate, do not control the issuer of the securities (within the meaning of Section 2(a)(9) of the Act).</w:t>
      </w:r>
    </w:p>
    <w:p>
      <w:pPr>
        <w:spacing w:after="0" w:line="158" w:lineRule="exact"/>
        <w:rPr>
          <w:rFonts w:ascii="Times New Roman" w:cs="Times New Roman" w:eastAsia="Times New Roman" w:hAnsi="Times New Roman"/>
          <w:sz w:val="18"/>
          <w:szCs w:val="18"/>
          <w:color w:val="auto"/>
        </w:rPr>
      </w:pPr>
    </w:p>
    <w:p>
      <w:pPr>
        <w:ind w:left="824" w:hanging="384"/>
        <w:spacing w:after="0"/>
        <w:tabs>
          <w:tab w:leader="none" w:pos="82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Allocation</w:t>
      </w:r>
      <w:r>
        <w:rPr>
          <w:rFonts w:ascii="Times New Roman" w:cs="Times New Roman" w:eastAsia="Times New Roman" w:hAnsi="Times New Roman"/>
          <w:sz w:val="18"/>
          <w:szCs w:val="18"/>
          <w:color w:val="auto"/>
        </w:rPr>
        <w:t>. If, with respect to any such Follow-On Investment:</w:t>
      </w:r>
    </w:p>
    <w:p>
      <w:pPr>
        <w:spacing w:after="0" w:line="119" w:lineRule="exact"/>
        <w:rPr>
          <w:rFonts w:ascii="Times New Roman" w:cs="Times New Roman" w:eastAsia="Times New Roman" w:hAnsi="Times New Roman"/>
          <w:sz w:val="18"/>
          <w:szCs w:val="18"/>
          <w:color w:val="auto"/>
        </w:rPr>
      </w:pPr>
    </w:p>
    <w:p>
      <w:pPr>
        <w:ind w:left="444" w:right="120" w:firstLine="419"/>
        <w:spacing w:after="0" w:line="266" w:lineRule="auto"/>
        <w:tabs>
          <w:tab w:leader="none" w:pos="1217"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opportunity proposed to be made available to any Regulated Fund is not based on the Regulated Funds’ and the Affiliated Funds’ outstanding investments in the issuer or the security at issue, as appropriate, immediately preceding the Follow-On Investment; and</w:t>
      </w:r>
    </w:p>
    <w:p>
      <w:pPr>
        <w:spacing w:after="0" w:line="67" w:lineRule="exact"/>
        <w:rPr>
          <w:rFonts w:ascii="Times New Roman" w:cs="Times New Roman" w:eastAsia="Times New Roman" w:hAnsi="Times New Roman"/>
          <w:sz w:val="18"/>
          <w:szCs w:val="18"/>
          <w:color w:val="auto"/>
        </w:rPr>
      </w:pPr>
    </w:p>
    <w:p>
      <w:pPr>
        <w:ind w:left="444" w:firstLine="419"/>
        <w:spacing w:after="0" w:line="266" w:lineRule="auto"/>
        <w:tabs>
          <w:tab w:leader="none" w:pos="1267"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recommended by the Advisers to be invested in the Follow-On Investment by the participating Regulated Funds and any participating Affiliated Funds, collectively, exceeds the amount of the investment opportunity, then the Follow-On Investment opportunity will be allocated among them pro rata based each participant’s Available Capital, as described in section III.A.1.b. above.</w:t>
      </w:r>
    </w:p>
    <w:p>
      <w:pPr>
        <w:spacing w:after="0" w:line="173" w:lineRule="exact"/>
        <w:rPr>
          <w:rFonts w:ascii="Times New Roman" w:cs="Times New Roman" w:eastAsia="Times New Roman" w:hAnsi="Times New Roman"/>
          <w:sz w:val="18"/>
          <w:szCs w:val="18"/>
          <w:color w:val="auto"/>
        </w:rPr>
      </w:pPr>
    </w:p>
    <w:p>
      <w:pPr>
        <w:ind w:left="4" w:right="60" w:firstLine="436"/>
        <w:spacing w:after="0" w:line="284" w:lineRule="auto"/>
        <w:tabs>
          <w:tab w:leader="none" w:pos="82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Conditions</w:t>
      </w:r>
      <w:r>
        <w:rPr>
          <w:rFonts w:ascii="Times New Roman" w:cs="Times New Roman" w:eastAsia="Times New Roman" w:hAnsi="Times New Roman"/>
          <w:sz w:val="18"/>
          <w:szCs w:val="18"/>
          <w:color w:val="auto"/>
        </w:rPr>
        <w:t>. The acquisition of Follow-On Investments as permitted by this Condition will be considered a Co-Investment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all purposes and subject to the other Conditions set forth in this application.</w:t>
      </w:r>
    </w:p>
    <w:p>
      <w:pPr>
        <w:spacing w:after="0" w:line="65"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Reporting, Compliance and Annual Re-Approval</w:t>
      </w:r>
    </w:p>
    <w:p>
      <w:pPr>
        <w:spacing w:after="0" w:line="225" w:lineRule="exact"/>
        <w:rPr>
          <w:rFonts w:ascii="Times New Roman" w:cs="Times New Roman" w:eastAsia="Times New Roman" w:hAnsi="Times New Roman"/>
          <w:sz w:val="18"/>
          <w:szCs w:val="18"/>
          <w:color w:val="auto"/>
        </w:rPr>
      </w:pPr>
    </w:p>
    <w:p>
      <w:pPr>
        <w:ind w:left="4" w:right="60" w:firstLine="436"/>
        <w:spacing w:after="0" w:line="253" w:lineRule="auto"/>
        <w:tabs>
          <w:tab w:leader="none" w:pos="82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Adviser to a Regulated Fund will present to the Board of each Regulated Fund, on a quarterly basis, and at such other times as the Board may request, (i) a record of all investments in Potential Co-Investment Transactions made by any of the other Regulated Funds or any of the Affiliated Funds during the preceding quarter that fell within the Regulated Fund’s then-current Objectives and Strategies and Board-Established Criteria that were not made available to the Regulated Fund, and an explanation of why such investment opportunities were not made available to the Regulated Fund; (ii) a record of all Follow-On Investments in and Dispositions of investments in any issuer in which the Regulated Fund holds any investments by any Affiliated Fund or other Regulated Fund during the prior quarter; and (iii) all information concerning Potential Co-Investment Transactions and Co-Investment Transactions, including investments made by other Regulated Funds or Affiliated Funds that the Regulated Fund considered but declined to participate in, so that the Independent Directors, may determine whether all Potential Co-Investment Transactions and Co-Investment Transactions during the preceding quarter, including those investments that the Regulated Fund considered but declined to participate in, comply with the Conditions.</w:t>
      </w:r>
    </w:p>
    <w:p>
      <w:pPr>
        <w:spacing w:after="0" w:line="194" w:lineRule="exact"/>
        <w:rPr>
          <w:rFonts w:ascii="Times New Roman" w:cs="Times New Roman" w:eastAsia="Times New Roman" w:hAnsi="Times New Roman"/>
          <w:sz w:val="18"/>
          <w:szCs w:val="18"/>
          <w:color w:val="auto"/>
        </w:rPr>
      </w:pPr>
    </w:p>
    <w:p>
      <w:pPr>
        <w:ind w:left="4" w:right="340" w:firstLine="436"/>
        <w:spacing w:after="0" w:line="282" w:lineRule="auto"/>
        <w:tabs>
          <w:tab w:leader="none" w:pos="82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presented to the Regulated Fund’s Board pursuant to this Condition will be kept for the life of the Regulated Fund and at least two years thereafter, and will be subject to examination by the Commission and its staff.</w:t>
      </w:r>
    </w:p>
    <w:p>
      <w:pPr>
        <w:spacing w:after="0" w:line="161" w:lineRule="exact"/>
        <w:rPr>
          <w:rFonts w:ascii="Times New Roman" w:cs="Times New Roman" w:eastAsia="Times New Roman" w:hAnsi="Times New Roman"/>
          <w:sz w:val="18"/>
          <w:szCs w:val="18"/>
          <w:color w:val="auto"/>
        </w:rPr>
      </w:pPr>
    </w:p>
    <w:p>
      <w:pPr>
        <w:ind w:left="4" w:right="360" w:firstLine="436"/>
        <w:spacing w:after="0" w:line="261" w:lineRule="auto"/>
        <w:tabs>
          <w:tab w:leader="none" w:pos="82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Regulated Fund’s chief compliance officer, as defined in rule 38a-1(a)(4), will prepare an annual report for its Board each year that evaluates (and documents the basis of that evaluation) the Regulated Fund’s compliance with the terms and Conditions of the application and the procedures established to achieve such compliance. In the case of a BDC Downstream Fund that does not have a chief compliance officer, the chief compliance officer of the BDC that controls the BDC Downstream Fund will prepare the report for the relevant Independent Party.</w:t>
      </w:r>
    </w:p>
    <w:p>
      <w:pPr>
        <w:spacing w:after="0" w:line="179" w:lineRule="exact"/>
        <w:rPr>
          <w:rFonts w:ascii="Times New Roman" w:cs="Times New Roman" w:eastAsia="Times New Roman" w:hAnsi="Times New Roman"/>
          <w:sz w:val="18"/>
          <w:szCs w:val="18"/>
          <w:color w:val="auto"/>
        </w:rPr>
      </w:pPr>
    </w:p>
    <w:p>
      <w:pPr>
        <w:ind w:left="4" w:right="620" w:firstLine="436"/>
        <w:spacing w:after="0" w:line="282" w:lineRule="auto"/>
        <w:tabs>
          <w:tab w:leader="none" w:pos="831"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Directors (including the non-interested members of each Independent Party) will consider at least annually whether continued participation in new and existing Co-Investment Transactions is in the Regulated Fund’s best interests.</w:t>
      </w:r>
    </w:p>
    <w:p>
      <w:pPr>
        <w:spacing w:after="0" w:line="67" w:lineRule="exact"/>
        <w:rPr>
          <w:rFonts w:ascii="Times New Roman" w:cs="Times New Roman" w:eastAsia="Times New Roman" w:hAnsi="Times New Roman"/>
          <w:sz w:val="18"/>
          <w:szCs w:val="18"/>
          <w:color w:val="auto"/>
        </w:rPr>
      </w:pPr>
    </w:p>
    <w:p>
      <w:pPr>
        <w:ind w:left="544" w:right="20" w:hanging="544"/>
        <w:spacing w:after="0" w:line="282" w:lineRule="auto"/>
        <w:tabs>
          <w:tab w:leader="none" w:pos="54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Keeping</w:t>
      </w:r>
      <w:r>
        <w:rPr>
          <w:rFonts w:ascii="Times New Roman" w:cs="Times New Roman" w:eastAsia="Times New Roman" w:hAnsi="Times New Roman"/>
          <w:sz w:val="18"/>
          <w:szCs w:val="18"/>
          <w:color w:val="auto"/>
        </w:rPr>
        <w:t>. Each Regulated Fund will maintain the records required by Section 57(f)(3) of the Act as if each of the Regulated Funds were a BDC and each of the investments permitted under these Conditions were approved by the Required Majority under Section 57(f).</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68" w:right="459" w:bottom="1440" w:gutter="0" w:footer="0" w:header="0"/>
        </w:sectPr>
      </w:pPr>
    </w:p>
    <w:bookmarkStart w:id="25" w:name="page26"/>
    <w:bookmarkEnd w:id="25"/>
    <w:p>
      <w:pPr>
        <w:ind w:left="544" w:hanging="544"/>
        <w:spacing w:after="0" w:line="266" w:lineRule="auto"/>
        <w:tabs>
          <w:tab w:leader="none" w:pos="54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 Independence</w:t>
      </w:r>
      <w:r>
        <w:rPr>
          <w:rFonts w:ascii="Times New Roman" w:cs="Times New Roman" w:eastAsia="Times New Roman" w:hAnsi="Times New Roman"/>
          <w:sz w:val="18"/>
          <w:szCs w:val="18"/>
          <w:color w:val="auto"/>
        </w:rPr>
        <w:t>. No Independent Director (including the non-interested members of any Independent Party) of a Regulated Fund will also be a director, general partner, managing member or principal, or otherwise be an “affiliated person” (as defined in the Act) of any Affiliated Fund.</w:t>
      </w:r>
    </w:p>
    <w:p>
      <w:pPr>
        <w:spacing w:after="0" w:line="81" w:lineRule="exact"/>
        <w:rPr>
          <w:rFonts w:ascii="Times New Roman" w:cs="Times New Roman" w:eastAsia="Times New Roman" w:hAnsi="Times New Roman"/>
          <w:sz w:val="18"/>
          <w:szCs w:val="18"/>
          <w:color w:val="auto"/>
        </w:rPr>
      </w:pPr>
    </w:p>
    <w:p>
      <w:pPr>
        <w:ind w:left="544" w:right="140" w:hanging="544"/>
        <w:spacing w:after="0" w:line="258" w:lineRule="auto"/>
        <w:tabs>
          <w:tab w:leader="none" w:pos="54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expenses, if any, associated with acquiring, holding or disposing of any securities acquired in a Co-Investment Transaction (including, without limitation, the expenses of the distribution of any such securities registered for sale under the Securities Act) will, to the extent not payable by the Advisers under their respective advisory agreements with the Regulated Funds and the Affiliated Funds, be shared by the Regulated Funds and the participating Affiliated Funds in proportion to the relative amounts of the securities held or being acquired or disposed of, as the case may be.</w:t>
      </w:r>
    </w:p>
    <w:p>
      <w:pPr>
        <w:spacing w:after="0" w:line="88" w:lineRule="exact"/>
        <w:rPr>
          <w:rFonts w:ascii="Times New Roman" w:cs="Times New Roman" w:eastAsia="Times New Roman" w:hAnsi="Times New Roman"/>
          <w:sz w:val="18"/>
          <w:szCs w:val="18"/>
          <w:color w:val="auto"/>
        </w:rPr>
      </w:pPr>
    </w:p>
    <w:p>
      <w:pPr>
        <w:ind w:left="544" w:hanging="544"/>
        <w:spacing w:after="0" w:line="242" w:lineRule="auto"/>
        <w:tabs>
          <w:tab w:leader="none" w:pos="54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 Fees</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33</w:t>
      </w:r>
      <w:r>
        <w:rPr>
          <w:rFonts w:ascii="Times New Roman" w:cs="Times New Roman" w:eastAsia="Times New Roman" w:hAnsi="Times New Roman"/>
          <w:sz w:val="18"/>
          <w:szCs w:val="18"/>
          <w:color w:val="auto"/>
        </w:rPr>
        <w:t xml:space="preserve"> Any transaction fee (including break-up, structuring, monitoring or commitment fees but excluding brokerage or underwriting compensation permitted by Section 17(e) or 57(k)) received in connection with any Co-Investment Transaction will be distributed to the participants on a pro rata basis based on the amounts they invested or committed, as the case may be, in such Co-Investment Transaction. If any transaction fee is to be held by an Adviser pending consummation of the transaction, the fee will be deposited into an account maintained by the Adviser at a bank or banks having the qualifications prescribed in Section 26(a)(1), and the account will earn a competitive rate of interest that will also be divided pro rata among the participants. None of the Advisers, the Affiliated Funds, the other Regulated Funds or any affiliated person of the Affiliated Funds or the Regulated Funds will receive any additional compensation or remuneration of any kind as a result of or in connection with a Co-Investment Transaction other than (i) in the case of the Regulated Funds and the Affiliated Funds, the pro rata transaction fees described above and fees or other compensation described in Condition 2(c)(iii)(B)(z), (ii) brokerage or underwriting compensation permitted by Section 17(e) or 57(k) or (iii) in the case of the Advisers, investment advisory compensation paid in accordance with investment advisory agreements between the applicable Regulated Fund(s) or Affiliated Fund(s) and its Adviser.</w:t>
      </w:r>
    </w:p>
    <w:p>
      <w:pPr>
        <w:spacing w:after="0" w:line="108" w:lineRule="exact"/>
        <w:rPr>
          <w:rFonts w:ascii="Times New Roman" w:cs="Times New Roman" w:eastAsia="Times New Roman" w:hAnsi="Times New Roman"/>
          <w:sz w:val="18"/>
          <w:szCs w:val="18"/>
          <w:color w:val="auto"/>
        </w:rPr>
      </w:pPr>
    </w:p>
    <w:p>
      <w:pPr>
        <w:ind w:left="544" w:right="380" w:hanging="544"/>
        <w:spacing w:after="0" w:line="261" w:lineRule="auto"/>
        <w:tabs>
          <w:tab w:leader="none" w:pos="54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Independence</w:t>
      </w:r>
      <w:r>
        <w:rPr>
          <w:rFonts w:ascii="Times New Roman" w:cs="Times New Roman" w:eastAsia="Times New Roman" w:hAnsi="Times New Roman"/>
          <w:sz w:val="18"/>
          <w:szCs w:val="18"/>
          <w:color w:val="auto"/>
        </w:rPr>
        <w:t>. If the Holders own in the aggregate more than 25 percent of the Shares of a Regulated Fund, then the Holders will vote such Shares in the same percentages as the Regulated Fund’s other shareholders (not including the Holders) when voting on (1) the election of directors; (2) the removal of one or more directors; or (3) any other matter under either the Act or applicable State law affecting the Board’s composition, size or manner of election.</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8"/>
          <w:szCs w:val="18"/>
          <w:b w:val="1"/>
          <w:bCs w:val="1"/>
          <w:u w:val="single" w:color="auto"/>
          <w:color w:val="auto"/>
        </w:rPr>
        <w:t>PROCEDURAL MATTERS</w:t>
      </w:r>
    </w:p>
    <w:p>
      <w:pPr>
        <w:spacing w:after="0" w:line="135" w:lineRule="exact"/>
        <w:rPr>
          <w:sz w:val="20"/>
          <w:szCs w:val="20"/>
          <w:color w:val="auto"/>
        </w:rPr>
      </w:pPr>
    </w:p>
    <w:p>
      <w:pPr>
        <w:ind w:left="544" w:hanging="544"/>
        <w:spacing w:after="0"/>
        <w:tabs>
          <w:tab w:leader="none" w:pos="54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Communications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Please address all communications concerning this Application and the Notice and Order to:</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Ted Goldthorpe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BC Partners Lending Corporation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650 Madison Avenue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444" w:hanging="444"/>
        <w:spacing w:after="0"/>
        <w:tabs>
          <w:tab w:leader="none" w:pos="44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891-2880</w:t>
      </w:r>
    </w:p>
    <w:p>
      <w:pPr>
        <w:spacing w:after="0" w:line="98"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address any questions, and a copy of any communications, concerning this Application, the Notice and Order to:</w:t>
      </w:r>
    </w:p>
    <w:p>
      <w:pPr>
        <w:spacing w:after="0" w:line="225" w:lineRule="exact"/>
        <w:rPr>
          <w:rFonts w:ascii="Times New Roman" w:cs="Times New Roman" w:eastAsia="Times New Roman" w:hAnsi="Times New Roman"/>
          <w:sz w:val="18"/>
          <w:szCs w:val="18"/>
          <w:color w:val="auto"/>
        </w:rPr>
      </w:pPr>
    </w:p>
    <w:p>
      <w:pPr>
        <w:ind w:left="444" w:right="814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Rajib Chanda, Esq. Christopher Healey, Esq. Simpson Thacher &amp; Bartlett LLP 900 G Street, NW Washington, DC 20001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224155</wp:posOffset>
            </wp:positionV>
            <wp:extent cx="771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56" w:lineRule="exact"/>
        <w:rPr>
          <w:sz w:val="20"/>
          <w:szCs w:val="20"/>
          <w:color w:val="auto"/>
        </w:rPr>
      </w:pPr>
    </w:p>
    <w:p>
      <w:pPr>
        <w:ind w:left="424" w:right="900" w:hanging="424"/>
        <w:spacing w:after="0" w:line="208" w:lineRule="auto"/>
        <w:tabs>
          <w:tab w:leader="none" w:pos="424" w:val="left"/>
        </w:tabs>
        <w:numPr>
          <w:ilvl w:val="0"/>
          <w:numId w:val="8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Applicants are not requesting and the Commission is not providing any relief for transaction fees received in connection with any Co-Investment Transaction.</w:t>
      </w:r>
    </w:p>
    <w:p>
      <w:pPr>
        <w:spacing w:after="0" w:line="13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4"/>
          </w:cols>
          <w:pgMar w:left="436" w:top="270" w:right="479" w:bottom="1440" w:gutter="0" w:footer="0" w:header="0"/>
        </w:sectPr>
      </w:pPr>
    </w:p>
    <w:bookmarkStart w:id="26" w:name="page27"/>
    <w:bookmarkEnd w:id="26"/>
    <w:p>
      <w:pPr>
        <w:ind w:left="544" w:hanging="544"/>
        <w:spacing w:after="0"/>
        <w:tabs>
          <w:tab w:leader="none" w:pos="54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Authorization</w:t>
      </w:r>
    </w:p>
    <w:p>
      <w:pPr>
        <w:spacing w:after="0" w:line="225" w:lineRule="exact"/>
        <w:rPr>
          <w:sz w:val="20"/>
          <w:szCs w:val="20"/>
          <w:color w:val="auto"/>
        </w:rPr>
      </w:pPr>
    </w:p>
    <w:p>
      <w:pPr>
        <w:ind w:left="4" w:right="320" w:firstLine="440"/>
        <w:spacing w:after="0" w:line="282" w:lineRule="auto"/>
        <w:rPr>
          <w:sz w:val="20"/>
          <w:szCs w:val="20"/>
          <w:color w:val="auto"/>
        </w:rPr>
      </w:pPr>
      <w:r>
        <w:rPr>
          <w:rFonts w:ascii="Times New Roman" w:cs="Times New Roman" w:eastAsia="Times New Roman" w:hAnsi="Times New Roman"/>
          <w:sz w:val="18"/>
          <w:szCs w:val="18"/>
          <w:color w:val="auto"/>
        </w:rPr>
        <w:t>All requirements for the execution and filing of this Application in the name and on behalf of each Applicant by the undersigned have been complied with and the undersigned is fully authorized to do so and has duly executed this Application as of this 10th day of January, 2023.</w:t>
      </w:r>
    </w:p>
    <w:p>
      <w:pPr>
        <w:spacing w:after="0" w:line="18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BC PARTNERS LENDING CORPORATION</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17145</wp:posOffset>
            </wp:positionV>
            <wp:extent cx="25717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4"/>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6964"/>
        <w:spacing w:after="0"/>
        <w:tabs>
          <w:tab w:leader="none" w:pos="7524"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PORTMAN RIDGE FINANCE CORPORATION</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17145</wp:posOffset>
            </wp:positionV>
            <wp:extent cx="25717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4"/>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6964"/>
        <w:spacing w:after="0"/>
        <w:tabs>
          <w:tab w:leader="none" w:pos="7524"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LOGAN RIDGE FINANCE CORPORATION</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17145</wp:posOffset>
            </wp:positionV>
            <wp:extent cx="25717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4"/>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6964"/>
        <w:spacing w:after="0"/>
        <w:tabs>
          <w:tab w:leader="none" w:pos="7524"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ALTERNATIVE CREDIT INCOME FUND</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17145</wp:posOffset>
            </wp:positionV>
            <wp:extent cx="25717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4"/>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6964"/>
        <w:spacing w:after="0"/>
        <w:tabs>
          <w:tab w:leader="none" w:pos="7524"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OPPORTUNISTIC CREDIT INTERVAL FUND</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17145</wp:posOffset>
            </wp:positionV>
            <wp:extent cx="25717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4"/>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6964"/>
        <w:spacing w:after="0"/>
        <w:tabs>
          <w:tab w:leader="none" w:pos="7524"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MOUNT LOGAN CAPITAL INC.</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17145</wp:posOffset>
            </wp:positionV>
            <wp:extent cx="25717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4"/>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6964"/>
        <w:spacing w:after="0"/>
        <w:tabs>
          <w:tab w:leader="none" w:pos="7524"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BC PARTNERS ADVISORS L.P.</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17145</wp:posOffset>
            </wp:positionV>
            <wp:extent cx="25717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4"/>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6964"/>
        <w:spacing w:after="0"/>
        <w:tabs>
          <w:tab w:leader="none" w:pos="7524"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7"/>
          <w:szCs w:val="17"/>
          <w:color w:val="auto"/>
        </w:rPr>
        <w:t>SIERRA CREST INVESTMENT MANAGEMENT LLC</w:t>
      </w:r>
    </w:p>
    <w:p>
      <w:pPr>
        <w:spacing w:after="0" w:line="23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17145</wp:posOffset>
            </wp:positionV>
            <wp:extent cx="25717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4"/>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6964"/>
        <w:spacing w:after="0"/>
        <w:tabs>
          <w:tab w:leader="none" w:pos="7524"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MOUNT LOGAN MANAGEMENT, LLC</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17145</wp:posOffset>
            </wp:positionV>
            <wp:extent cx="25717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4"/>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6964"/>
        <w:spacing w:after="0"/>
        <w:tabs>
          <w:tab w:leader="none" w:pos="7524"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39" w:lineRule="exact"/>
        <w:rPr>
          <w:sz w:val="20"/>
          <w:szCs w:val="20"/>
          <w:color w:val="auto"/>
        </w:rPr>
      </w:pPr>
    </w:p>
    <w:p>
      <w:pPr>
        <w:jc w:val="center"/>
        <w:ind w:right="-22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784"/>
          </w:cols>
          <w:pgMar w:left="436" w:top="270" w:right="679" w:bottom="1440" w:gutter="0" w:footer="0" w:header="0"/>
        </w:sectPr>
      </w:pPr>
    </w:p>
    <w:bookmarkStart w:id="27" w:name="page28"/>
    <w:bookmarkEnd w:id="27"/>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BCP SPECIAL OPPORTUNITIES FUND II LP</w:t>
      </w:r>
    </w:p>
    <w:p>
      <w:pPr>
        <w:spacing w:after="0" w:line="1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BCP Special Opportunities Fund II GP LP, as general</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Officer of the General Partner of the GP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BCP SPECIAL OPPORTUNITIES FUND II EUR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HOLDINGS LP</w:t>
      </w:r>
    </w:p>
    <w:p>
      <w:pPr>
        <w:spacing w:after="0" w:line="9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BCP Special Opportunities Fund II GP LP, as general</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jc w:val="center"/>
        <w:ind w:left="6840"/>
        <w:spacing w:after="0"/>
        <w:tabs>
          <w:tab w:leader="none" w:pos="180" w:val="left"/>
        </w:tabs>
        <w:rPr>
          <w:sz w:val="20"/>
          <w:szCs w:val="20"/>
          <w:color w:val="auto"/>
        </w:rPr>
      </w:pPr>
      <w:r>
        <w:rPr>
          <w:rFonts w:ascii="Times New Roman" w:cs="Times New Roman" w:eastAsia="Times New Roman" w:hAnsi="Times New Roman"/>
          <w:sz w:val="18"/>
          <w:szCs w:val="18"/>
          <w:color w:val="auto"/>
        </w:rPr>
        <w:t>Title:</w:t>
        <w:tab/>
        <w:t>Officer of the General Partner of the GP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BCP SPECIAL OPPORTUNITIES FUND II HOLDINGS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LP</w:t>
      </w:r>
    </w:p>
    <w:p>
      <w:pPr>
        <w:spacing w:after="0" w:line="9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BCP Special Opportunities Fund II Holdings GP LLC,</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Officer of the General Partner of the GP</w:t>
      </w:r>
    </w:p>
    <w:p>
      <w:pPr>
        <w:spacing w:after="0" w:line="1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9900"/>
          </w:cols>
          <w:pgMar w:left="1440" w:top="270" w:right="559" w:bottom="1440" w:gutter="0" w:footer="0" w:header="0"/>
        </w:sectPr>
      </w:pPr>
    </w:p>
    <w:bookmarkStart w:id="28" w:name="page29"/>
    <w:bookmarkEnd w:id="2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BCP SPECIAL OPPORTUNITIES FUND II</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ORIGINATIONS LP</w:t>
      </w:r>
    </w:p>
    <w:p>
      <w:pPr>
        <w:spacing w:after="0" w:line="9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BCP Special Opportunities Fund II Originations LLC,</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Officer of the General Partner of the GP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GARRISON MML CLO 2019-1 LLC</w:t>
      </w:r>
    </w:p>
    <w:p>
      <w:pPr>
        <w:spacing w:after="0" w:line="1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Mount Logan Middle Market Funding II GP LLC, as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collateral 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jc w:val="center"/>
        <w:ind w:left="6580"/>
        <w:spacing w:after="0"/>
        <w:tabs>
          <w:tab w:leader="none" w:pos="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GREAT LAKES SENIOR MLC I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Henry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Henry Wang</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MOUNT LOGAN FUNDING 2018-1 LP</w:t>
      </w:r>
    </w:p>
    <w:p>
      <w:pPr>
        <w:spacing w:after="0" w:line="1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Mount Logan Capital Inc., as collateral manager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Officer of the General Partner of the GP</w:t>
      </w:r>
    </w:p>
    <w:p>
      <w:pPr>
        <w:spacing w:after="0" w:line="1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9860"/>
          </w:cols>
          <w:pgMar w:left="1440" w:top="270" w:right="599" w:bottom="1440" w:gutter="0" w:footer="0" w:header="0"/>
        </w:sectPr>
      </w:pPr>
    </w:p>
    <w:bookmarkStart w:id="29" w:name="page30"/>
    <w:bookmarkEnd w:id="29"/>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MOUNT LOGAN MIDDLE MARKET FUNDING LP</w:t>
      </w:r>
    </w:p>
    <w:p>
      <w:pPr>
        <w:spacing w:after="0" w:line="1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Garrison Middle Market Funding GP LLC, as general</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jc w:val="center"/>
        <w:ind w:left="6720"/>
        <w:spacing w:after="0"/>
        <w:tabs>
          <w:tab w:leader="none" w:pos="180" w:val="left"/>
        </w:tabs>
        <w:rPr>
          <w:sz w:val="20"/>
          <w:szCs w:val="20"/>
          <w:color w:val="auto"/>
        </w:rPr>
      </w:pPr>
      <w:r>
        <w:rPr>
          <w:rFonts w:ascii="Times New Roman" w:cs="Times New Roman" w:eastAsia="Times New Roman" w:hAnsi="Times New Roman"/>
          <w:sz w:val="18"/>
          <w:szCs w:val="18"/>
          <w:color w:val="auto"/>
        </w:rPr>
        <w:t>Title:</w:t>
        <w:tab/>
        <w:t>Officer of the General Partner of the GP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MOUNT LOGAN MIDDLE MARKET FUNDING A LP</w:t>
      </w:r>
    </w:p>
    <w:p>
      <w:pPr>
        <w:spacing w:after="0" w:line="1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Garrison Middle Market Funding GP LLC, as general</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jc w:val="center"/>
        <w:ind w:left="6720"/>
        <w:spacing w:after="0"/>
        <w:tabs>
          <w:tab w:leader="none" w:pos="180" w:val="left"/>
        </w:tabs>
        <w:rPr>
          <w:sz w:val="20"/>
          <w:szCs w:val="20"/>
          <w:color w:val="auto"/>
        </w:rPr>
      </w:pPr>
      <w:r>
        <w:rPr>
          <w:rFonts w:ascii="Times New Roman" w:cs="Times New Roman" w:eastAsia="Times New Roman" w:hAnsi="Times New Roman"/>
          <w:sz w:val="18"/>
          <w:szCs w:val="18"/>
          <w:color w:val="auto"/>
        </w:rPr>
        <w:t>Title:</w:t>
        <w:tab/>
        <w:t>Officer of the General Partner of the GP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MOUNT LOGAN MIDDLE MARKET FUNDING II LP</w:t>
      </w:r>
    </w:p>
    <w:p>
      <w:pPr>
        <w:spacing w:after="0" w:line="1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Mount Logan Middle Market Funding II GP LLC, as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Officer of the General Partner of the GP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MOUNT LOGAN MIDDLE MARKET FUNDING II A LP</w:t>
      </w:r>
    </w:p>
    <w:p>
      <w:pPr>
        <w:spacing w:after="0" w:line="1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Mount Logan Middle Market Funding II GP LLC, as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Officer of the General Partner of the GP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MOUNT LOGAN MML CLO 2019-1 LP</w:t>
      </w:r>
    </w:p>
    <w:p>
      <w:pPr>
        <w:spacing w:after="0" w:line="1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Mount Logan Management, LLC, as collateral manager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ABILITY INSURANCE COMPANY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Anna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Anna Elliott</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MOUNT LOGAN BLUEBIRD FUNDING LP</w:t>
      </w:r>
    </w:p>
    <w:p>
      <w:pPr>
        <w:spacing w:after="0" w:line="1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Mount Logan Middle Market Funding II GP LLC, as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Officer of the General Partner of the GP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MOUNT LOGAN LAUREL FUNDING LP</w:t>
      </w:r>
    </w:p>
    <w:p>
      <w:pPr>
        <w:spacing w:after="0" w:line="1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Mount Logan Middle Market Funding II GP LLC, as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Officer of the General Partner of the GP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BLUE SKY CREDIT FUND LP</w:t>
      </w:r>
    </w:p>
    <w:p>
      <w:pPr>
        <w:spacing w:after="0" w:line="1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BCP Special Opportunities Fund II GP LP, as general</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Authorized Signatory of the General Partner of</w:t>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the GP</w:t>
      </w:r>
    </w:p>
    <w:p>
      <w:pPr>
        <w:sectPr>
          <w:pgSz w:w="11900" w:h="16838" w:orient="portrait"/>
          <w:cols w:equalWidth="0" w:num="1">
            <w:col w:w="9980"/>
          </w:cols>
          <w:pgMar w:left="1440" w:top="270" w:right="479" w:bottom="0" w:gutter="0" w:footer="0" w:header="0"/>
        </w:sectPr>
      </w:pPr>
    </w:p>
    <w:p>
      <w:pPr>
        <w:spacing w:after="0" w:line="1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9980"/>
          </w:cols>
          <w:pgMar w:left="1440" w:top="270" w:right="479" w:bottom="0" w:gutter="0" w:footer="0" w:header="0"/>
          <w:type w:val="continuous"/>
        </w:sectPr>
      </w:pPr>
    </w:p>
    <w:bookmarkStart w:id="30" w:name="page31"/>
    <w:bookmarkEnd w:id="3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CAPITALA BUSINESS LENDING,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Logan Ridge Finance Corporation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Officer to the Sole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CAPITALSOUTH FUND III,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Logan Ridge Finance Corporation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Officer of the General Partner of the GP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CAPITALSOUTH PARTNERS FUND II LIMITED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PARTNERSHIP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Logan Ridge Finance Corporation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Officer of the General Partner of the GP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CPTA MASTER BLOCKER,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Logan Ridge Finance Corporation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Officer of the Sole Shareholder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GREAT LAKES PORTMAN RIDGE FUNDING I, LLC</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Portman Ridge Finance Corporation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Officer of the Sole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PTMN SUB HOLDINGS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Portman Ridge Finance Corporation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Officer of the Sole Member</w:t>
      </w:r>
    </w:p>
    <w:p>
      <w:pPr>
        <w:spacing w:after="0" w:line="1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9720"/>
          </w:cols>
          <w:pgMar w:left="1440" w:top="486" w:right="739" w:bottom="1440" w:gutter="0" w:footer="0" w:header="0"/>
        </w:sectPr>
      </w:pPr>
    </w:p>
    <w:bookmarkStart w:id="31" w:name="page32"/>
    <w:bookmarkEnd w:id="3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BCPL SUB HOLDINGS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BC Partners Lending Corporation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Officer of the Sole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GREAT LAKES BCPL FUNDING LTD.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BC Partners Lending Corporation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jc w:val="center"/>
        <w:ind w:left="5840"/>
        <w:spacing w:after="0"/>
        <w:tabs>
          <w:tab w:leader="none" w:pos="180" w:val="left"/>
        </w:tabs>
        <w:rPr>
          <w:sz w:val="20"/>
          <w:szCs w:val="20"/>
          <w:color w:val="auto"/>
        </w:rPr>
      </w:pPr>
      <w:r>
        <w:rPr>
          <w:rFonts w:ascii="Times New Roman" w:cs="Times New Roman" w:eastAsia="Times New Roman" w:hAnsi="Times New Roman"/>
          <w:sz w:val="18"/>
          <w:szCs w:val="18"/>
          <w:color w:val="auto"/>
        </w:rPr>
        <w:t>Title:</w:t>
        <w:tab/>
        <w:t>Officer of the Sole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PORTMAN RIDGE FUNDING 2018-2 LTD.</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Portman Ridge Finance Corporation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Officer of the Sole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ACIF MASTER BLOCKER,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Alternative Credit Income Fund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Officer of the Sole Member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9019"/>
          </w:cols>
          <w:pgMar w:left="1440" w:top="486" w:right="1440" w:bottom="1440" w:gutter="0" w:footer="0" w:header="0"/>
        </w:sectPr>
      </w:pPr>
    </w:p>
    <w:bookmarkStart w:id="32" w:name="page33"/>
    <w:bookmarkEnd w:id="32"/>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states that he or she has duly executed the attached Application for an Order under Sections 17(d) and 57(i) of the Investment Company Act of 1940, as amended, and Rule 17d-1 thereunder, dated January 10, 2023, for and on behalf of the Applicants, as the case may be, that he or she holds the office with such entity as indicated below and that all actions by the stockholders, directors, and other bodies necessary to authorize the undersigned to execute and file such Application have been taken. The undersigned further says that he or she is familiar with the instrument and the contents thereof, and that the facts set forth therein are true to the best of his or her knowledge, information, and belief.</w:t>
      </w:r>
    </w:p>
    <w:p>
      <w:pPr>
        <w:spacing w:after="0" w:line="21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BC PARTNERS LENDING CORPORATION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PORTMAN RIDGE FINANCE CORPORATION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LOGAN RIDGE FINANCE CORPORATION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ALTERNATIVE CREDIT INCOME FUND</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OPPORTUNISTIC CREDIT INTERVAL FUND</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MOUNT LOGAN CAPITAL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BC PARTNERS ADVISORS 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SIERRA CREST INVESTMENT MANAGEMENT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MOUNT LOGAN MANAGEMENT,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Authorized Signatory</w:t>
      </w:r>
    </w:p>
    <w:p>
      <w:pPr>
        <w:sectPr>
          <w:pgSz w:w="11900" w:h="16838" w:orient="portrait"/>
          <w:cols w:equalWidth="0" w:num="1">
            <w:col w:w="10920"/>
          </w:cols>
          <w:pgMar w:left="440" w:top="270" w:right="539" w:bottom="1440" w:gutter="0" w:footer="0" w:header="0"/>
        </w:sectPr>
      </w:pP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20"/>
          </w:cols>
          <w:pgMar w:left="440" w:top="270" w:right="539" w:bottom="1440" w:gutter="0" w:footer="0" w:header="0"/>
          <w:type w:val="continuous"/>
        </w:sectPr>
      </w:pPr>
    </w:p>
    <w:bookmarkStart w:id="33" w:name="page34"/>
    <w:bookmarkEnd w:id="3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BCP SPECIAL OPPORTUNITIES FUND II LP</w:t>
      </w:r>
    </w:p>
    <w:p>
      <w:pPr>
        <w:spacing w:after="0" w:line="1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BCP Special Opportunities Fund II GP LP, as general</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Officer of the General Partner of the GP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BCP SPECIAL OPPORTUNITIES FUND II EUR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HOLDINGS LP</w:t>
      </w:r>
    </w:p>
    <w:p>
      <w:pPr>
        <w:spacing w:after="0" w:line="9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BCP Special Opportunities Fund II GP LP, as general</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jc w:val="center"/>
        <w:ind w:left="6840"/>
        <w:spacing w:after="0"/>
        <w:tabs>
          <w:tab w:leader="none" w:pos="180" w:val="left"/>
        </w:tabs>
        <w:rPr>
          <w:sz w:val="20"/>
          <w:szCs w:val="20"/>
          <w:color w:val="auto"/>
        </w:rPr>
      </w:pPr>
      <w:r>
        <w:rPr>
          <w:rFonts w:ascii="Times New Roman" w:cs="Times New Roman" w:eastAsia="Times New Roman" w:hAnsi="Times New Roman"/>
          <w:sz w:val="18"/>
          <w:szCs w:val="18"/>
          <w:color w:val="auto"/>
        </w:rPr>
        <w:t>Title:</w:t>
        <w:tab/>
        <w:t>Officer of the General Partner of the GP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BCP SPECIAL OPPORTUNITIES FUND II HOLDINGS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LP</w:t>
      </w:r>
    </w:p>
    <w:p>
      <w:pPr>
        <w:spacing w:after="0" w:line="9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BCP Special Opportunities Fund II Holdings GP LLC,</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Officer of the General Partner of the GP</w:t>
      </w:r>
    </w:p>
    <w:p>
      <w:pPr>
        <w:spacing w:after="0" w:line="1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9900"/>
          </w:cols>
          <w:pgMar w:left="1440" w:top="270" w:right="559" w:bottom="1440" w:gutter="0" w:footer="0" w:header="0"/>
        </w:sectPr>
      </w:pPr>
    </w:p>
    <w:bookmarkStart w:id="34" w:name="page35"/>
    <w:bookmarkEnd w:id="3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BCP SPECIAL OPPORTUNITIES FUND II</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ORIGINATIONS LP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BCP Special Opportunities Fund II Originations LLC,</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Officer of the General Partner of the GP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GARRISON MML CLO 2019-1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Mount Logan Middle Market Funding II GP LLC, as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collateral 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jc w:val="center"/>
        <w:ind w:left="6580"/>
        <w:spacing w:after="0"/>
        <w:tabs>
          <w:tab w:leader="none" w:pos="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GREAT LAKES SENIOR MLC I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Henry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Henry Wang</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MOUNT LOGAN FUNDING 2018-1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Mount Logan Capital Inc., as collateral manager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Officer of the General Partner of the GP</w:t>
      </w:r>
    </w:p>
    <w:p>
      <w:pPr>
        <w:spacing w:after="0" w:line="1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9860"/>
          </w:cols>
          <w:pgMar w:left="1440" w:top="270" w:right="599" w:bottom="1440" w:gutter="0" w:footer="0" w:header="0"/>
        </w:sectPr>
      </w:pPr>
    </w:p>
    <w:bookmarkStart w:id="35" w:name="page36"/>
    <w:bookmarkEnd w:id="35"/>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MOUNT LOGAN MIDDLE MARKET FUNDING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Garrison Middle Market Funding GP LLC, as general</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jc w:val="center"/>
        <w:ind w:left="6720"/>
        <w:spacing w:after="0"/>
        <w:tabs>
          <w:tab w:leader="none" w:pos="180" w:val="left"/>
        </w:tabs>
        <w:rPr>
          <w:sz w:val="20"/>
          <w:szCs w:val="20"/>
          <w:color w:val="auto"/>
        </w:rPr>
      </w:pPr>
      <w:r>
        <w:rPr>
          <w:rFonts w:ascii="Times New Roman" w:cs="Times New Roman" w:eastAsia="Times New Roman" w:hAnsi="Times New Roman"/>
          <w:sz w:val="18"/>
          <w:szCs w:val="18"/>
          <w:color w:val="auto"/>
        </w:rPr>
        <w:t>Title:</w:t>
        <w:tab/>
        <w:t>Officer of the General Partner of the GP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MOUNT LOGAN MIDDLE MARKET FUNDING A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Garrison Middle Market Funding GP LLC, as general</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jc w:val="center"/>
        <w:ind w:left="6720"/>
        <w:spacing w:after="0"/>
        <w:tabs>
          <w:tab w:leader="none" w:pos="180" w:val="left"/>
        </w:tabs>
        <w:rPr>
          <w:sz w:val="20"/>
          <w:szCs w:val="20"/>
          <w:color w:val="auto"/>
        </w:rPr>
      </w:pPr>
      <w:r>
        <w:rPr>
          <w:rFonts w:ascii="Times New Roman" w:cs="Times New Roman" w:eastAsia="Times New Roman" w:hAnsi="Times New Roman"/>
          <w:sz w:val="18"/>
          <w:szCs w:val="18"/>
          <w:color w:val="auto"/>
        </w:rPr>
        <w:t>Title:</w:t>
        <w:tab/>
        <w:t>Officer of the General Partner of the GP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MOUNT LOGAN MIDDLE MARKET FUNDING II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Mount Logan Middle Market Funding II GP LLC, as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Officer of the General Partner of the GP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MOUNT LOGAN MIDDLE MARKET FUNDING II A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Mount Logan Middle Market Funding II GP LLC, as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Officer of the General Partner of the GP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MOUNT LOGAN MML CLO 2019-1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Mount Logan Management, LLC, as collateral manager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ABILITY INSURANCE COMPANY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Anna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Anna Elliott</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MOUNT LOGAN BLUEBIRD FUNDING LP</w:t>
      </w:r>
    </w:p>
    <w:p>
      <w:pPr>
        <w:spacing w:after="0" w:line="1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Mount Logan Middle Market Funding II GP LLC, as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Officer of the General Partner of the GP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MOUNT LOGAN LAUREL FUNDING LP</w:t>
      </w:r>
    </w:p>
    <w:p>
      <w:pPr>
        <w:spacing w:after="0" w:line="1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Mount Logan Middle Market Funding II GP LLC, as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Officer of the General Partner of the GP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BLUE SKY CREDIT FUND LP</w:t>
      </w:r>
    </w:p>
    <w:p>
      <w:pPr>
        <w:spacing w:after="0" w:line="1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BCP Special Opportunities Fund II GP LP, as general</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ectPr>
          <w:pgSz w:w="11900" w:h="16838" w:orient="portrait"/>
          <w:cols w:equalWidth="0" w:num="1">
            <w:col w:w="9980"/>
          </w:cols>
          <w:pgMar w:left="1440" w:top="270" w:right="479" w:bottom="0" w:gutter="0" w:footer="0" w:header="0"/>
        </w:sectPr>
      </w:pPr>
    </w:p>
    <w:bookmarkStart w:id="36" w:name="page37"/>
    <w:bookmarkEnd w:id="36"/>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Authorized Signatory of the General Partner of</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the GP</w:t>
      </w:r>
    </w:p>
    <w:p>
      <w:pPr>
        <w:spacing w:after="0" w:line="1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9940"/>
          </w:cols>
          <w:pgMar w:left="1440" w:top="121" w:right="519" w:bottom="1440" w:gutter="0" w:footer="0" w:header="0"/>
        </w:sectPr>
      </w:pPr>
    </w:p>
    <w:bookmarkStart w:id="37" w:name="page38"/>
    <w:bookmarkEnd w:id="37"/>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CAPITALA BUSINESS LENDING,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Logan Ridge Finance Corporation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Officer to the Sole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CAPITALSOUTH FUND III,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Logan Ridge Finance Corporation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Officer of the General Partner of the GP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CAPITALSOUTH PARTNERS FUND II LIMITED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PARTNERSHIP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Logan Ridge Finance Corporation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Officer of the General Partner of the GP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CPTA MASTER BLOCKER,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Logan Ridge Finance Corporation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Officer of the Sole Shareholder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GREAT LAKES PORTMAN RIDGE FUNDING I, LLC</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Portman Ridge Finance Corporation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Officer of the Sole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PTMN SUB HOLDINGS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Portman Ridge Finance Corporation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Officer of the Sole Member</w:t>
      </w:r>
    </w:p>
    <w:p>
      <w:pPr>
        <w:spacing w:after="0" w:line="1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9720"/>
          </w:cols>
          <w:pgMar w:left="1440" w:top="486" w:right="739" w:bottom="1440" w:gutter="0" w:footer="0" w:header="0"/>
        </w:sectPr>
      </w:pPr>
    </w:p>
    <w:bookmarkStart w:id="38" w:name="page39"/>
    <w:bookmarkEnd w:id="3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BCPL SUB HOLDINGS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BC Partners Lending Corporation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Officer of the Sole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GREAT LAKES BCPL FUNDING LTD.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BC Partners Lending Corporation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jc w:val="center"/>
        <w:ind w:left="5840"/>
        <w:spacing w:after="0"/>
        <w:tabs>
          <w:tab w:leader="none" w:pos="180" w:val="left"/>
        </w:tabs>
        <w:rPr>
          <w:sz w:val="20"/>
          <w:szCs w:val="20"/>
          <w:color w:val="auto"/>
        </w:rPr>
      </w:pPr>
      <w:r>
        <w:rPr>
          <w:rFonts w:ascii="Times New Roman" w:cs="Times New Roman" w:eastAsia="Times New Roman" w:hAnsi="Times New Roman"/>
          <w:sz w:val="18"/>
          <w:szCs w:val="18"/>
          <w:color w:val="auto"/>
        </w:rPr>
        <w:t>Title:</w:t>
        <w:tab/>
        <w:t>Officer of the Sole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PORTMAN RIDGE FUNDING 2018-2 LTD.</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Portman Ridge Finance Corporation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Officer of the Sole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ACIF MASTER BLOCKER,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Alternative Credit Income Fund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Roos</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Officer of the Sole Member</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9019"/>
          </w:cols>
          <w:pgMar w:left="1440" w:top="486" w:right="1440" w:bottom="1440" w:gutter="0" w:footer="0" w:header="0"/>
        </w:sectPr>
      </w:pPr>
    </w:p>
    <w:bookmarkStart w:id="39" w:name="page40"/>
    <w:bookmarkEnd w:id="39"/>
    <w:p>
      <w:pPr>
        <w:ind w:left="99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A</w:t>
      </w:r>
    </w:p>
    <w:p>
      <w:pPr>
        <w:spacing w:after="0" w:line="237"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Below is a list of the Existing Affiliated Funds other than the Proprietary Accounts. All such Existing Affiliated Funds are advised by Existing Advisers:</w:t>
      </w:r>
    </w:p>
    <w:p>
      <w:pPr>
        <w:spacing w:after="0" w:line="67" w:lineRule="exact"/>
        <w:rPr>
          <w:sz w:val="20"/>
          <w:szCs w:val="20"/>
          <w:color w:val="auto"/>
        </w:rPr>
      </w:pPr>
    </w:p>
    <w:p>
      <w:pPr>
        <w:ind w:left="960" w:hanging="532"/>
        <w:spacing w:after="0"/>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BCP Special Opportunities Fund II LP. This fund is managed by BC Partners Advisors L.P.</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BCP Special Opportunities Fund II EUR Holdings LP. The fund is managed by BC Partners Advisors L.P.</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BCP Special Opportunities Fund II Holdings LP. The fund is managed by BC Partners Advisors L.P.</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BCP Special Opportunities Fund II Originations LP. The fund is managed by BC Partners Advisors L.P.</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Garrison MML CLO 2019-1 LLC. The fund is managed by Sierra Crest Investment Management LLC.</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Mount Logan Funding 2018-1 LP. The fund is managed by Mount Logan Management, LLC.</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Mount Logan Middle Market Funding LP. The fund is managed by Mount Logan Management, LLC.</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Mount Logan Middle Market Funding A LP. The fund is managed by Mount Logan Management, LLC.</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Mount Logan Middle Market Funding II LP. The fund is managed by Mount Logan Management, LLC.</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Mount Logan Middle Market Funding II A LP. The fund is managed by Mount Logan Management, LLC.</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Mount Logan MML CLO 2019-1 LP. The fund is managed by Mount Logan Management, LLC.</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Mount Logan Bluebird Funding LP. The fund is managed by Mount Logan Management, LLC.</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Mount Logan Laurel Funding LP. The fund is managed by Mount Logan Management, LLC.</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Sky Credit Fund LP. The fund is managed by BC Partners Advisors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list of the Proprietary Accounts:</w:t>
      </w:r>
    </w:p>
    <w:p>
      <w:pPr>
        <w:spacing w:after="0" w:line="131" w:lineRule="exact"/>
        <w:rPr>
          <w:sz w:val="20"/>
          <w:szCs w:val="20"/>
          <w:color w:val="auto"/>
        </w:rPr>
      </w:pPr>
    </w:p>
    <w:p>
      <w:pPr>
        <w:ind w:left="960" w:hanging="532"/>
        <w:spacing w:after="0"/>
        <w:tabs>
          <w:tab w:leader="none" w:pos="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Mount Logan Capital, Inc.</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 Lakes Senior MLC I LLC</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Insurance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list of the Wholly Owned Investment Subs:</w:t>
      </w:r>
    </w:p>
    <w:p>
      <w:pPr>
        <w:spacing w:after="0" w:line="131" w:lineRule="exact"/>
        <w:rPr>
          <w:sz w:val="20"/>
          <w:szCs w:val="20"/>
          <w:color w:val="auto"/>
        </w:rPr>
      </w:pPr>
    </w:p>
    <w:p>
      <w:pPr>
        <w:ind w:left="960" w:hanging="532"/>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Capitala Business Lending, LLC</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CapitalSouth Fund III, L.P.</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CapitalSouth Partners Fund II Limited Partnership</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CPTA Master Blocker, Inc.</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 Lakes Portman Ridge Funding I, LLC</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PTMN Sub Holdings LLC</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BCPL Sub Holdings LLC</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 Lakes BCPL Funding Ltd.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Portman Ridge Funding 2018-2 Ltd.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ACIF Master Blocker, LLC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20"/>
          </w:cols>
          <w:pgMar w:left="440" w:top="270" w:right="4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B</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Resolutions of the Board of Directors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BC Partners Lending Corporation (the “Company”)</w:t>
      </w:r>
    </w:p>
    <w:p>
      <w:pPr>
        <w:spacing w:after="0" w:line="203"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deems it advisable and in the best interest of the Company to file with the Securities and Exchange Commission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an application for an Order of Exemption pursuant to Sections 17(d) and 57(i) of the Investment Company Act, as amended (the “</w:t>
      </w:r>
      <w:r>
        <w:rPr>
          <w:rFonts w:ascii="Times New Roman" w:cs="Times New Roman" w:eastAsia="Times New Roman" w:hAnsi="Times New Roman"/>
          <w:sz w:val="18"/>
          <w:szCs w:val="18"/>
          <w:b w:val="1"/>
          <w:bCs w:val="1"/>
          <w:i w:val="1"/>
          <w:iCs w:val="1"/>
          <w:color w:val="auto"/>
        </w:rPr>
        <w:t>1940 Act</w:t>
      </w:r>
      <w:r>
        <w:rPr>
          <w:rFonts w:ascii="Times New Roman" w:cs="Times New Roman" w:eastAsia="Times New Roman" w:hAnsi="Times New Roman"/>
          <w:sz w:val="18"/>
          <w:szCs w:val="18"/>
          <w:color w:val="auto"/>
        </w:rPr>
        <w:t>”), and Rule 17d-1 promulgated thereunder (an “</w:t>
      </w:r>
      <w:r>
        <w:rPr>
          <w:rFonts w:ascii="Times New Roman" w:cs="Times New Roman" w:eastAsia="Times New Roman" w:hAnsi="Times New Roman"/>
          <w:sz w:val="18"/>
          <w:szCs w:val="18"/>
          <w:b w:val="1"/>
          <w:bCs w:val="1"/>
          <w:i w:val="1"/>
          <w:iCs w:val="1"/>
          <w:color w:val="auto"/>
        </w:rPr>
        <w:t>Application</w:t>
      </w:r>
      <w:r>
        <w:rPr>
          <w:rFonts w:ascii="Times New Roman" w:cs="Times New Roman" w:eastAsia="Times New Roman" w:hAnsi="Times New Roman"/>
          <w:sz w:val="18"/>
          <w:szCs w:val="18"/>
          <w:color w:val="auto"/>
        </w:rPr>
        <w:t>”), to authorize the entering into of certain joint transactions and co-investments by the Company with certain entities which may be deemed to be “affiliates” of the Company pursuant to the provisions of the 1940 Act, which such joint transactions and co-investments may otherwise be prohibited by Sections 17(d) and 57(a)(4) of the 1940 Act;</w:t>
      </w:r>
    </w:p>
    <w:p>
      <w:pPr>
        <w:spacing w:after="0" w:line="17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the officers of the Company be, and each of them hereby is, authorized and directed on behalf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in its name to prepare, execute, and cause to be filed with the Commission the Application, and any amendments thereto; and</w:t>
      </w:r>
    </w:p>
    <w:p>
      <w:pPr>
        <w:spacing w:after="0" w:line="155" w:lineRule="exact"/>
        <w:rPr>
          <w:sz w:val="20"/>
          <w:szCs w:val="20"/>
          <w:color w:val="auto"/>
        </w:rPr>
      </w:pPr>
    </w:p>
    <w:p>
      <w:pPr>
        <w:ind w:right="220"/>
        <w:spacing w:after="0" w:line="317" w:lineRule="auto"/>
        <w:rPr>
          <w:sz w:val="20"/>
          <w:szCs w:val="20"/>
          <w:color w:val="auto"/>
        </w:rPr>
      </w:pPr>
      <w:r>
        <w:rPr>
          <w:rFonts w:ascii="Times New Roman" w:cs="Times New Roman" w:eastAsia="Times New Roman" w:hAnsi="Times New Roman"/>
          <w:sz w:val="17"/>
          <w:szCs w:val="17"/>
          <w:b w:val="1"/>
          <w:bCs w:val="1"/>
          <w:color w:val="auto"/>
        </w:rPr>
        <w:t>FURTHER RESOLVED</w:t>
      </w:r>
      <w:r>
        <w:rPr>
          <w:rFonts w:ascii="Times New Roman" w:cs="Times New Roman" w:eastAsia="Times New Roman" w:hAnsi="Times New Roman"/>
          <w:sz w:val="17"/>
          <w:szCs w:val="17"/>
          <w:color w:val="auto"/>
        </w:rPr>
        <w:t>, that the officers of the Company be, and each of them hereby is, authorized and directed to take such further action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execute such other documents as such officer or officers shall deem necessary or advisable in order to effectuate the intent of the foregoing resolution.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on November 3, 2021)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020"/>
          </w:cols>
          <w:pgMar w:left="440" w:top="270" w:right="4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Resolutions of the Board of Directors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Portman Ridge Finance Corporation (the “Company”)</w:t>
      </w:r>
    </w:p>
    <w:p>
      <w:pPr>
        <w:spacing w:after="0" w:line="203"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deems it advisable and in the best interest of the Company to file with the Securities and Exchange Commission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an application for an Order of Exemption pursuant to Sections 17(d) and 57(i) of the Investment Company Act, as amended (the “</w:t>
      </w:r>
      <w:r>
        <w:rPr>
          <w:rFonts w:ascii="Times New Roman" w:cs="Times New Roman" w:eastAsia="Times New Roman" w:hAnsi="Times New Roman"/>
          <w:sz w:val="18"/>
          <w:szCs w:val="18"/>
          <w:b w:val="1"/>
          <w:bCs w:val="1"/>
          <w:i w:val="1"/>
          <w:iCs w:val="1"/>
          <w:color w:val="auto"/>
        </w:rPr>
        <w:t>1940 Act</w:t>
      </w:r>
      <w:r>
        <w:rPr>
          <w:rFonts w:ascii="Times New Roman" w:cs="Times New Roman" w:eastAsia="Times New Roman" w:hAnsi="Times New Roman"/>
          <w:sz w:val="18"/>
          <w:szCs w:val="18"/>
          <w:color w:val="auto"/>
        </w:rPr>
        <w:t>”), and Rule 17d-1 promulgated thereunder (an “</w:t>
      </w:r>
      <w:r>
        <w:rPr>
          <w:rFonts w:ascii="Times New Roman" w:cs="Times New Roman" w:eastAsia="Times New Roman" w:hAnsi="Times New Roman"/>
          <w:sz w:val="18"/>
          <w:szCs w:val="18"/>
          <w:b w:val="1"/>
          <w:bCs w:val="1"/>
          <w:i w:val="1"/>
          <w:iCs w:val="1"/>
          <w:color w:val="auto"/>
        </w:rPr>
        <w:t>Application</w:t>
      </w:r>
      <w:r>
        <w:rPr>
          <w:rFonts w:ascii="Times New Roman" w:cs="Times New Roman" w:eastAsia="Times New Roman" w:hAnsi="Times New Roman"/>
          <w:sz w:val="18"/>
          <w:szCs w:val="18"/>
          <w:color w:val="auto"/>
        </w:rPr>
        <w:t>”), to authorize the entering into of certain joint transactions and co-investments by the Company with certain entities which may be deemed to be “affiliates” of the Company pursuant to the provisions of the 1940 Act, which such joint transactions and co-investments may otherwise be prohibited by Sections 17(d) and 57(a)(4) of the 1940 Act;</w:t>
      </w:r>
    </w:p>
    <w:p>
      <w:pPr>
        <w:spacing w:after="0" w:line="17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the officers of the Company be, and each of them hereby is, authorized and directed on behalf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in its name to prepare, execute, and cause to be filed with the Commission the Application, and any amendments thereto; and</w:t>
      </w:r>
    </w:p>
    <w:p>
      <w:pPr>
        <w:spacing w:after="0" w:line="155" w:lineRule="exact"/>
        <w:rPr>
          <w:sz w:val="20"/>
          <w:szCs w:val="20"/>
          <w:color w:val="auto"/>
        </w:rPr>
      </w:pPr>
    </w:p>
    <w:p>
      <w:pPr>
        <w:ind w:right="220"/>
        <w:spacing w:after="0" w:line="317" w:lineRule="auto"/>
        <w:rPr>
          <w:sz w:val="20"/>
          <w:szCs w:val="20"/>
          <w:color w:val="auto"/>
        </w:rPr>
      </w:pPr>
      <w:r>
        <w:rPr>
          <w:rFonts w:ascii="Times New Roman" w:cs="Times New Roman" w:eastAsia="Times New Roman" w:hAnsi="Times New Roman"/>
          <w:sz w:val="17"/>
          <w:szCs w:val="17"/>
          <w:b w:val="1"/>
          <w:bCs w:val="1"/>
          <w:color w:val="auto"/>
        </w:rPr>
        <w:t>FURTHER RESOLVED</w:t>
      </w:r>
      <w:r>
        <w:rPr>
          <w:rFonts w:ascii="Times New Roman" w:cs="Times New Roman" w:eastAsia="Times New Roman" w:hAnsi="Times New Roman"/>
          <w:sz w:val="17"/>
          <w:szCs w:val="17"/>
          <w:color w:val="auto"/>
        </w:rPr>
        <w:t>, that the officers of the Company be, and each of them hereby is, authorized and directed to take such further action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execute such other documents as such officer or officers shall deem necessary or advisable in order to effectuate the intent of the foregoing resolution.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on November 3, 2021)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020"/>
          </w:cols>
          <w:pgMar w:left="440" w:top="270" w:right="4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Resolutions of the Board of Directors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Logan Ridge Finance Corporation (the “Company”)</w:t>
      </w:r>
    </w:p>
    <w:p>
      <w:pPr>
        <w:spacing w:after="0" w:line="203" w:lineRule="exact"/>
        <w:rPr>
          <w:sz w:val="20"/>
          <w:szCs w:val="20"/>
          <w:color w:val="auto"/>
        </w:rPr>
      </w:pPr>
    </w:p>
    <w:p>
      <w:pPr>
        <w:jc w:val="both"/>
        <w:ind w:right="28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deems it advisable and in the best interest of the Company to file with the Securities and Exchange Commission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an application for an Order of Exemption pursuant to Sections 17(d) and 57(i) of the Investment Company Act, as amended (the “</w:t>
      </w:r>
      <w:r>
        <w:rPr>
          <w:rFonts w:ascii="Times New Roman" w:cs="Times New Roman" w:eastAsia="Times New Roman" w:hAnsi="Times New Roman"/>
          <w:sz w:val="18"/>
          <w:szCs w:val="18"/>
          <w:b w:val="1"/>
          <w:bCs w:val="1"/>
          <w:i w:val="1"/>
          <w:iCs w:val="1"/>
          <w:color w:val="auto"/>
        </w:rPr>
        <w:t>1940 Act</w:t>
      </w:r>
      <w:r>
        <w:rPr>
          <w:rFonts w:ascii="Times New Roman" w:cs="Times New Roman" w:eastAsia="Times New Roman" w:hAnsi="Times New Roman"/>
          <w:sz w:val="18"/>
          <w:szCs w:val="18"/>
          <w:color w:val="auto"/>
        </w:rPr>
        <w:t>”), and Rule 17d-1 promulgated thereunder (an “</w:t>
      </w:r>
      <w:r>
        <w:rPr>
          <w:rFonts w:ascii="Times New Roman" w:cs="Times New Roman" w:eastAsia="Times New Roman" w:hAnsi="Times New Roman"/>
          <w:sz w:val="18"/>
          <w:szCs w:val="18"/>
          <w:b w:val="1"/>
          <w:bCs w:val="1"/>
          <w:i w:val="1"/>
          <w:iCs w:val="1"/>
          <w:color w:val="auto"/>
        </w:rPr>
        <w:t>Application</w:t>
      </w:r>
      <w:r>
        <w:rPr>
          <w:rFonts w:ascii="Times New Roman" w:cs="Times New Roman" w:eastAsia="Times New Roman" w:hAnsi="Times New Roman"/>
          <w:sz w:val="18"/>
          <w:szCs w:val="18"/>
          <w:color w:val="auto"/>
        </w:rPr>
        <w:t>”), to authorize the entering into of certain joint transactions</w:t>
      </w:r>
    </w:p>
    <w:p>
      <w:pPr>
        <w:ind w:right="60"/>
        <w:spacing w:after="0" w:line="260" w:lineRule="auto"/>
        <w:rPr>
          <w:sz w:val="20"/>
          <w:szCs w:val="20"/>
          <w:color w:val="auto"/>
        </w:rPr>
      </w:pPr>
      <w:r>
        <w:rPr>
          <w:rFonts w:ascii="Times New Roman" w:cs="Times New Roman" w:eastAsia="Times New Roman" w:hAnsi="Times New Roman"/>
          <w:sz w:val="18"/>
          <w:szCs w:val="18"/>
          <w:color w:val="auto"/>
        </w:rPr>
        <w:t>and co-investments by the Company with certain entities which may be deemed to be “affiliates” of the Company pursuant to the provisions of the 1940 Act, which such joint transactions and co-investments may otherwise be prohibited by Sections 17(d) and 57(a)(4) of the 1940 Act;</w:t>
      </w:r>
    </w:p>
    <w:p>
      <w:pPr>
        <w:spacing w:after="0" w:line="17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the officers of the Company be, and each of them hereby is, authorized and directed on behalf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in its name to prepare, execute, and cause to be filed with the Commission the Application, and any amendments thereto; and</w:t>
      </w:r>
    </w:p>
    <w:p>
      <w:pPr>
        <w:spacing w:after="0" w:line="155" w:lineRule="exact"/>
        <w:rPr>
          <w:sz w:val="20"/>
          <w:szCs w:val="20"/>
          <w:color w:val="auto"/>
        </w:rPr>
      </w:pPr>
    </w:p>
    <w:p>
      <w:pPr>
        <w:ind w:right="220"/>
        <w:spacing w:after="0" w:line="317" w:lineRule="auto"/>
        <w:rPr>
          <w:sz w:val="20"/>
          <w:szCs w:val="20"/>
          <w:color w:val="auto"/>
        </w:rPr>
      </w:pPr>
      <w:r>
        <w:rPr>
          <w:rFonts w:ascii="Times New Roman" w:cs="Times New Roman" w:eastAsia="Times New Roman" w:hAnsi="Times New Roman"/>
          <w:sz w:val="17"/>
          <w:szCs w:val="17"/>
          <w:b w:val="1"/>
          <w:bCs w:val="1"/>
          <w:color w:val="auto"/>
        </w:rPr>
        <w:t>FURTHER RESOLVED</w:t>
      </w:r>
      <w:r>
        <w:rPr>
          <w:rFonts w:ascii="Times New Roman" w:cs="Times New Roman" w:eastAsia="Times New Roman" w:hAnsi="Times New Roman"/>
          <w:sz w:val="17"/>
          <w:szCs w:val="17"/>
          <w:color w:val="auto"/>
        </w:rPr>
        <w:t>, that the officers of the Company be, and each of them hereby is, authorized and directed to take such further action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execute such other documents as such officer or officers shall deem necessary or advisable in order to effectuate the intent of the foregoing resolution.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on November 9, 2021)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11020"/>
          </w:cols>
          <w:pgMar w:left="440" w:top="270" w:right="4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Resolutions of the Board of Trustees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Alternative Credit Income Fund (the “Fund”)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Trustees deems it advisable and in the best interest of the Fund to file with the Securities and Exchange Commission (the</w:t>
      </w:r>
    </w:p>
    <w:p>
      <w:pPr>
        <w:spacing w:after="0" w:line="31" w:lineRule="exact"/>
        <w:rPr>
          <w:sz w:val="20"/>
          <w:szCs w:val="20"/>
          <w:color w:val="auto"/>
        </w:rPr>
      </w:pPr>
    </w:p>
    <w:p>
      <w:pPr>
        <w:jc w:val="both"/>
        <w:ind w:right="12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an application for an Order of Exemption pursuant to Sections 17(d) and 57(i) of the Investment Company Act, as amended (the “</w:t>
      </w:r>
      <w:r>
        <w:rPr>
          <w:rFonts w:ascii="Times New Roman" w:cs="Times New Roman" w:eastAsia="Times New Roman" w:hAnsi="Times New Roman"/>
          <w:sz w:val="18"/>
          <w:szCs w:val="18"/>
          <w:b w:val="1"/>
          <w:bCs w:val="1"/>
          <w:i w:val="1"/>
          <w:iCs w:val="1"/>
          <w:color w:val="auto"/>
        </w:rPr>
        <w:t>1940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and Rule 17d-1 promulgated thereunder (an “</w:t>
      </w:r>
      <w:r>
        <w:rPr>
          <w:rFonts w:ascii="Times New Roman" w:cs="Times New Roman" w:eastAsia="Times New Roman" w:hAnsi="Times New Roman"/>
          <w:sz w:val="18"/>
          <w:szCs w:val="18"/>
          <w:b w:val="1"/>
          <w:bCs w:val="1"/>
          <w:i w:val="1"/>
          <w:iCs w:val="1"/>
          <w:color w:val="auto"/>
        </w:rPr>
        <w:t>Application</w:t>
      </w:r>
      <w:r>
        <w:rPr>
          <w:rFonts w:ascii="Times New Roman" w:cs="Times New Roman" w:eastAsia="Times New Roman" w:hAnsi="Times New Roman"/>
          <w:sz w:val="18"/>
          <w:szCs w:val="18"/>
          <w:color w:val="auto"/>
        </w:rPr>
        <w:t>”), to authorize the entering into of certain joint transactions and co-investments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Fund with certain entities which may be deemed to be “affiliates” of the Fund pursuant to the provisions of the 1940 Act, which such joint transactions and co-investments may otherwise be prohibited by Sections 17(d) and 57(a)(4) of the 1940 Act;</w:t>
      </w:r>
    </w:p>
    <w:p>
      <w:pPr>
        <w:spacing w:after="0" w:line="18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the officers of the Fund be, and each of them hereby is, authorized and directed on behalf of the Fund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 its name to prepare, execute, and cause to be filed with the Commission the Application, and any amendments thereto; and</w:t>
      </w:r>
    </w:p>
    <w:p>
      <w:pPr>
        <w:spacing w:after="0" w:line="15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officers of the Fund be, and each of them hereby is, authorized and directed to take such further action and execute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other documents as such officer or officers shall deem necessary or advisable in order to effectuate the intent of the foregoing resolution.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on November 8, 2021)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w:t>
      </w:r>
    </w:p>
    <w:p>
      <w:pPr>
        <w:sectPr>
          <w:pgSz w:w="11900" w:h="16838" w:orient="portrait"/>
          <w:cols w:equalWidth="0" w:num="1">
            <w:col w:w="11020"/>
          </w:cols>
          <w:pgMar w:left="440" w:top="270" w:right="4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F</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Resolutions of the Board of Trustees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Opportunistic Credit Interval Fund (the “Fund”)</w:t>
      </w:r>
    </w:p>
    <w:p>
      <w:pPr>
        <w:spacing w:after="0" w:line="20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Board deems it advisable and in the best interest of the Fund to file with the Securities and Exchange Commission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“Commission”) an application to amend the Fund’s current Order of Exemption pursuant to Sections 17(d) and 57(i) of the Investment Company Act, as amended (the “1940 Act”), and Rule 17d-1 promulgated thereunder (the “Application”), to permanently authorize the participation in follow-on investments with one or more affiliates, in accordance with the requirements provided by the Commission in Investment Company Act of 1940 Release No. 33837 (dated April 8, 2020); now therefore be it</w:t>
      </w:r>
    </w:p>
    <w:p>
      <w:pPr>
        <w:spacing w:after="0" w:line="17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RESOLVED: </w:t>
      </w:r>
      <w:r>
        <w:rPr>
          <w:rFonts w:ascii="Times New Roman" w:cs="Times New Roman" w:eastAsia="Times New Roman" w:hAnsi="Times New Roman"/>
          <w:sz w:val="18"/>
          <w:szCs w:val="18"/>
          <w:color w:val="auto"/>
        </w:rPr>
        <w:t>That the officers of the Fund be, and each of them hereby is, authorized and directed on behalf of the Fund and in its name to prepare,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 and cause to be filed with the Commission the Application, and any further amendments thereto; and further</w:t>
      </w:r>
    </w:p>
    <w:p>
      <w:pPr>
        <w:spacing w:after="0" w:line="15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RESOLVED: </w:t>
      </w:r>
      <w:r>
        <w:rPr>
          <w:rFonts w:ascii="Times New Roman" w:cs="Times New Roman" w:eastAsia="Times New Roman" w:hAnsi="Times New Roman"/>
          <w:sz w:val="18"/>
          <w:szCs w:val="18"/>
          <w:color w:val="auto"/>
        </w:rPr>
        <w:t>That the officers of the Fund be, and each of them hereby is, authorized and directed to take such further action and execute such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as such officer or officers shall deem necessary or advisable in order to effectuate the intent of the foregoing resolution.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June 2, 2022</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D4ED43B"/>
    <w:multiLevelType w:val="hybridMultilevel"/>
    <w:lvl w:ilvl="0">
      <w:lvlJc w:val="left"/>
      <w:lvlText w:val="%1."/>
      <w:numFmt w:val="upperLetter"/>
      <w:start w:val="9"/>
    </w:lvl>
  </w:abstractNum>
  <w:abstractNum w:abstractNumId="1">
    <w:nsid w:val="725A06FB"/>
    <w:multiLevelType w:val="hybridMultilevel"/>
    <w:lvl w:ilvl="0">
      <w:lvlJc w:val="left"/>
      <w:lvlText w:val="%1."/>
      <w:numFmt w:val="upperLetter"/>
      <w:start w:val="1"/>
    </w:lvl>
  </w:abstractNum>
  <w:abstractNum w:abstractNumId="2">
    <w:nsid w:val="2CD89A32"/>
    <w:multiLevelType w:val="hybridMultilevel"/>
    <w:lvl w:ilvl="0">
      <w:lvlJc w:val="left"/>
      <w:lvlText w:val="%1."/>
      <w:numFmt w:val="upperLetter"/>
      <w:start w:val="2"/>
    </w:lvl>
    <w:lvl w:ilvl="1">
      <w:lvlJc w:val="left"/>
      <w:lvlText w:val="•"/>
      <w:numFmt w:val="bullet"/>
      <w:start w:val="1"/>
    </w:lvl>
  </w:abstractNum>
  <w:abstractNum w:abstractNumId="3">
    <w:nsid w:val="57E4CCAF"/>
    <w:multiLevelType w:val="hybridMultilevel"/>
    <w:lvl w:ilvl="0">
      <w:lvlJc w:val="left"/>
      <w:lvlText w:val="1"/>
      <w:numFmt w:val="bullet"/>
      <w:start w:val="1"/>
    </w:lvl>
  </w:abstractNum>
  <w:abstractNum w:abstractNumId="4">
    <w:nsid w:val="7A6D8D3C"/>
    <w:multiLevelType w:val="hybridMultilevel"/>
    <w:lvl w:ilvl="0">
      <w:lvlJc w:val="left"/>
      <w:lvlText w:val="2"/>
      <w:numFmt w:val="bullet"/>
      <w:start w:val="1"/>
    </w:lvl>
  </w:abstractNum>
  <w:abstractNum w:abstractNumId="5">
    <w:nsid w:val="4B588F54"/>
    <w:multiLevelType w:val="hybridMultilevel"/>
    <w:lvl w:ilvl="0">
      <w:lvlJc w:val="left"/>
      <w:lvlText w:val="3"/>
      <w:numFmt w:val="bullet"/>
      <w:start w:val="1"/>
    </w:lvl>
  </w:abstractNum>
  <w:abstractNum w:abstractNumId="6">
    <w:nsid w:val="542289EC"/>
    <w:multiLevelType w:val="hybridMultilevel"/>
    <w:lvl w:ilvl="0">
      <w:lvlJc w:val="left"/>
      <w:lvlText w:val="4"/>
      <w:numFmt w:val="bullet"/>
      <w:start w:val="1"/>
    </w:lvl>
  </w:abstractNum>
  <w:abstractNum w:abstractNumId="7">
    <w:nsid w:val="6DE91B18"/>
    <w:multiLevelType w:val="hybridMultilevel"/>
    <w:lvl w:ilvl="0">
      <w:lvlJc w:val="left"/>
      <w:lvlText w:val="%1."/>
      <w:numFmt w:val="upperLetter"/>
      <w:start w:val="2"/>
    </w:lvl>
    <w:lvl w:ilvl="1">
      <w:lvlJc w:val="left"/>
      <w:lvlText w:val="•"/>
      <w:numFmt w:val="bullet"/>
      <w:start w:val="1"/>
    </w:lvl>
  </w:abstractNum>
  <w:abstractNum w:abstractNumId="8">
    <w:nsid w:val="38437FDB"/>
    <w:multiLevelType w:val="hybridMultilevel"/>
    <w:lvl w:ilvl="0">
      <w:lvlJc w:val="left"/>
      <w:lvlText w:val="(%1)"/>
      <w:numFmt w:val="lowerRoman"/>
      <w:start w:val="2"/>
    </w:lvl>
  </w:abstractNum>
  <w:abstractNum w:abstractNumId="9">
    <w:nsid w:val="7644A45C"/>
    <w:multiLevelType w:val="hybridMultilevel"/>
    <w:lvl w:ilvl="0">
      <w:lvlJc w:val="left"/>
      <w:lvlText w:val="5"/>
      <w:numFmt w:val="bullet"/>
      <w:start w:val="1"/>
    </w:lvl>
  </w:abstractNum>
  <w:abstractNum w:abstractNumId="10">
    <w:nsid w:val="32FFF902"/>
    <w:multiLevelType w:val="hybridMultilevel"/>
    <w:lvl w:ilvl="0">
      <w:lvlJc w:val="left"/>
      <w:lvlText w:val="6"/>
      <w:numFmt w:val="bullet"/>
      <w:start w:val="1"/>
    </w:lvl>
  </w:abstractNum>
  <w:abstractNum w:abstractNumId="11">
    <w:nsid w:val="684A481A"/>
    <w:multiLevelType w:val="hybridMultilevel"/>
    <w:lvl w:ilvl="0">
      <w:lvlJc w:val="left"/>
      <w:lvlText w:val="7"/>
      <w:numFmt w:val="bullet"/>
      <w:start w:val="1"/>
    </w:lvl>
  </w:abstractNum>
  <w:abstractNum w:abstractNumId="12">
    <w:nsid w:val="579478FE"/>
    <w:multiLevelType w:val="hybridMultilevel"/>
    <w:lvl w:ilvl="0">
      <w:lvlJc w:val="left"/>
      <w:lvlText w:val="8"/>
      <w:numFmt w:val="bullet"/>
      <w:start w:val="1"/>
    </w:lvl>
  </w:abstractNum>
  <w:abstractNum w:abstractNumId="13">
    <w:nsid w:val="749ABB43"/>
    <w:multiLevelType w:val="hybridMultilevel"/>
    <w:lvl w:ilvl="0">
      <w:lvlJc w:val="left"/>
      <w:lvlText w:val="9"/>
      <w:numFmt w:val="bullet"/>
      <w:start w:val="1"/>
    </w:lvl>
  </w:abstractNum>
  <w:abstractNum w:abstractNumId="14">
    <w:nsid w:val="3DC240FB"/>
    <w:multiLevelType w:val="hybridMultilevel"/>
    <w:lvl w:ilvl="0">
      <w:lvlJc w:val="left"/>
      <w:lvlText w:val="%1)"/>
      <w:numFmt w:val="lowerRoman"/>
      <w:start w:val="1"/>
    </w:lvl>
  </w:abstractNum>
  <w:abstractNum w:abstractNumId="15">
    <w:nsid w:val="1BA026FA"/>
    <w:multiLevelType w:val="hybridMultilevel"/>
    <w:lvl w:ilvl="0">
      <w:lvlJc w:val="left"/>
      <w:lvlText w:val="(%1)"/>
      <w:numFmt w:val="lowerRoman"/>
      <w:start w:val="1"/>
    </w:lvl>
  </w:abstractNum>
  <w:abstractNum w:abstractNumId="16">
    <w:nsid w:val="79A1DEAA"/>
    <w:multiLevelType w:val="hybridMultilevel"/>
    <w:lvl w:ilvl="0">
      <w:lvlJc w:val="left"/>
      <w:lvlText w:val="%1."/>
      <w:numFmt w:val="upperLetter"/>
      <w:start w:val="35"/>
    </w:lvl>
  </w:abstractNum>
  <w:abstractNum w:abstractNumId="17">
    <w:nsid w:val="75C6C33A"/>
    <w:multiLevelType w:val="hybridMultilevel"/>
    <w:lvl w:ilvl="0">
      <w:lvlJc w:val="left"/>
      <w:lvlText w:val="%1."/>
      <w:numFmt w:val="upperLetter"/>
      <w:start w:val="1"/>
    </w:lvl>
  </w:abstractNum>
  <w:abstractNum w:abstractNumId="18">
    <w:nsid w:val="12E685FB"/>
    <w:multiLevelType w:val="hybridMultilevel"/>
    <w:lvl w:ilvl="0">
      <w:lvlJc w:val="left"/>
      <w:lvlText w:val="%1"/>
      <w:numFmt w:val="decimal"/>
      <w:start w:val="10"/>
    </w:lvl>
  </w:abstractNum>
  <w:abstractNum w:abstractNumId="19">
    <w:nsid w:val="70C6A529"/>
    <w:multiLevelType w:val="hybridMultilevel"/>
    <w:lvl w:ilvl="0">
      <w:lvlJc w:val="left"/>
      <w:lvlText w:val="%1."/>
      <w:numFmt w:val="upperLetter"/>
      <w:start w:val="2"/>
    </w:lvl>
  </w:abstractNum>
  <w:abstractNum w:abstractNumId="20">
    <w:nsid w:val="520EEDD1"/>
    <w:multiLevelType w:val="hybridMultilevel"/>
    <w:lvl w:ilvl="0">
      <w:lvlJc w:val="left"/>
      <w:lvlText w:val="%1."/>
      <w:numFmt w:val="upperLetter"/>
      <w:start w:val="3"/>
    </w:lvl>
  </w:abstractNum>
  <w:abstractNum w:abstractNumId="21">
    <w:nsid w:val="374A3FE6"/>
    <w:multiLevelType w:val="hybridMultilevel"/>
    <w:lvl w:ilvl="0">
      <w:lvlJc w:val="left"/>
      <w:lvlText w:val="%1."/>
      <w:numFmt w:val="upperLetter"/>
      <w:start w:val="4"/>
    </w:lvl>
  </w:abstractNum>
  <w:abstractNum w:abstractNumId="22">
    <w:nsid w:val="4F4EF005"/>
    <w:multiLevelType w:val="hybridMultilevel"/>
    <w:lvl w:ilvl="0">
      <w:lvlJc w:val="left"/>
      <w:lvlText w:val="%1."/>
      <w:numFmt w:val="upperLetter"/>
      <w:start w:val="5"/>
    </w:lvl>
  </w:abstractNum>
  <w:abstractNum w:abstractNumId="23">
    <w:nsid w:val="23F9C13C"/>
    <w:multiLevelType w:val="hybridMultilevel"/>
    <w:lvl w:ilvl="0">
      <w:lvlJc w:val="left"/>
      <w:lvlText w:val="%1."/>
      <w:numFmt w:val="upperLetter"/>
      <w:start w:val="6"/>
    </w:lvl>
  </w:abstractNum>
  <w:abstractNum w:abstractNumId="24">
    <w:nsid w:val="649BB77C"/>
    <w:multiLevelType w:val="hybridMultilevel"/>
    <w:lvl w:ilvl="0">
      <w:lvlJc w:val="left"/>
      <w:lvlText w:val="%1."/>
      <w:numFmt w:val="upperLetter"/>
      <w:start w:val="7"/>
    </w:lvl>
  </w:abstractNum>
  <w:abstractNum w:abstractNumId="25">
    <w:nsid w:val="275AC794"/>
    <w:multiLevelType w:val="hybridMultilevel"/>
    <w:lvl w:ilvl="0">
      <w:lvlJc w:val="left"/>
      <w:lvlText w:val="%1."/>
      <w:numFmt w:val="upperLetter"/>
      <w:start w:val="8"/>
    </w:lvl>
  </w:abstractNum>
  <w:abstractNum w:abstractNumId="26">
    <w:nsid w:val="39386575"/>
    <w:multiLevelType w:val="hybridMultilevel"/>
    <w:lvl w:ilvl="0">
      <w:lvlJc w:val="left"/>
      <w:lvlText w:val="%1."/>
      <w:numFmt w:val="upperLetter"/>
      <w:start w:val="9"/>
    </w:lvl>
  </w:abstractNum>
  <w:abstractNum w:abstractNumId="27">
    <w:nsid w:val="1CF10FD8"/>
    <w:multiLevelType w:val="hybridMultilevel"/>
    <w:lvl w:ilvl="0">
      <w:lvlJc w:val="left"/>
      <w:lvlText w:val="%1."/>
      <w:numFmt w:val="upperLetter"/>
      <w:start w:val="10"/>
    </w:lvl>
  </w:abstractNum>
  <w:abstractNum w:abstractNumId="28">
    <w:nsid w:val="180115BE"/>
    <w:multiLevelType w:val="hybridMultilevel"/>
    <w:lvl w:ilvl="0">
      <w:lvlJc w:val="left"/>
      <w:lvlText w:val="%1."/>
      <w:numFmt w:val="upperLetter"/>
      <w:start w:val="11"/>
    </w:lvl>
  </w:abstractNum>
  <w:abstractNum w:abstractNumId="29">
    <w:nsid w:val="235BA861"/>
    <w:multiLevelType w:val="hybridMultilevel"/>
    <w:lvl w:ilvl="0">
      <w:lvlJc w:val="left"/>
      <w:lvlText w:val="%1."/>
      <w:numFmt w:val="upperLetter"/>
      <w:start w:val="61"/>
    </w:lvl>
  </w:abstractNum>
  <w:abstractNum w:abstractNumId="30">
    <w:nsid w:val="47398C89"/>
    <w:multiLevelType w:val="hybridMultilevel"/>
    <w:lvl w:ilvl="0">
      <w:lvlJc w:val="left"/>
      <w:lvlText w:val="%1."/>
      <w:numFmt w:val="upperLetter"/>
      <w:start w:val="1"/>
    </w:lvl>
  </w:abstractNum>
  <w:abstractNum w:abstractNumId="31">
    <w:nsid w:val="354FE9F9"/>
    <w:multiLevelType w:val="hybridMultilevel"/>
    <w:lvl w:ilvl="0">
      <w:lvlJc w:val="left"/>
      <w:lvlText w:val="%1."/>
      <w:numFmt w:val="decimal"/>
      <w:start w:val="1"/>
    </w:lvl>
  </w:abstractNum>
  <w:abstractNum w:abstractNumId="32">
    <w:nsid w:val="15B5AF5C"/>
    <w:multiLevelType w:val="hybridMultilevel"/>
    <w:lvl w:ilvl="0">
      <w:lvlJc w:val="left"/>
      <w:lvlText w:val="(%1)"/>
      <w:numFmt w:val="lowerLetter"/>
      <w:start w:val="1"/>
    </w:lvl>
  </w:abstractNum>
  <w:abstractNum w:abstractNumId="33">
    <w:nsid w:val="741226BB"/>
    <w:multiLevelType w:val="hybridMultilevel"/>
    <w:lvl w:ilvl="0">
      <w:lvlJc w:val="left"/>
      <w:lvlText w:val="%1"/>
      <w:numFmt w:val="decimal"/>
      <w:start w:val="12"/>
    </w:lvl>
  </w:abstractNum>
  <w:abstractNum w:abstractNumId="34">
    <w:nsid w:val="D34B6A8"/>
    <w:multiLevelType w:val="hybridMultilevel"/>
    <w:lvl w:ilvl="0">
      <w:lvlJc w:val="left"/>
      <w:lvlText w:val="(%1)"/>
      <w:numFmt w:val="lowerLetter"/>
      <w:start w:val="2"/>
    </w:lvl>
  </w:abstractNum>
  <w:abstractNum w:abstractNumId="35">
    <w:nsid w:val="10233C99"/>
    <w:multiLevelType w:val="hybridMultilevel"/>
    <w:lvl w:ilvl="0">
      <w:lvlJc w:val="left"/>
      <w:lvlText w:val="(%1)"/>
      <w:numFmt w:val="lowerLetter"/>
      <w:start w:val="3"/>
    </w:lvl>
  </w:abstractNum>
  <w:abstractNum w:abstractNumId="36">
    <w:nsid w:val="3F6AB60F"/>
    <w:multiLevelType w:val="hybridMultilevel"/>
    <w:lvl w:ilvl="0">
      <w:lvlJc w:val="left"/>
      <w:lvlText w:val="%1"/>
      <w:numFmt w:val="decimal"/>
      <w:start w:val="14"/>
    </w:lvl>
  </w:abstractNum>
  <w:abstractNum w:abstractNumId="37">
    <w:nsid w:val="61574095"/>
    <w:multiLevelType w:val="hybridMultilevel"/>
    <w:lvl w:ilvl="0">
      <w:lvlJc w:val="left"/>
      <w:lvlText w:val="%1."/>
      <w:numFmt w:val="decimal"/>
      <w:start w:val="2"/>
    </w:lvl>
  </w:abstractNum>
  <w:abstractNum w:abstractNumId="38">
    <w:nsid w:val="7E0C57B1"/>
    <w:multiLevelType w:val="hybridMultilevel"/>
    <w:lvl w:ilvl="0">
      <w:lvlJc w:val="left"/>
      <w:lvlText w:val="%1."/>
      <w:numFmt w:val="decimal"/>
      <w:start w:val="3"/>
    </w:lvl>
  </w:abstractNum>
  <w:abstractNum w:abstractNumId="39">
    <w:nsid w:val="77AE35EB"/>
    <w:multiLevelType w:val="hybridMultilevel"/>
    <w:lvl w:ilvl="0">
      <w:lvlJc w:val="left"/>
      <w:lvlText w:val="(%1)"/>
      <w:numFmt w:val="lowerLetter"/>
      <w:start w:val="1"/>
    </w:lvl>
  </w:abstractNum>
  <w:abstractNum w:abstractNumId="40">
    <w:nsid w:val="579BE4F1"/>
    <w:multiLevelType w:val="hybridMultilevel"/>
    <w:lvl w:ilvl="0">
      <w:lvlJc w:val="left"/>
      <w:lvlText w:val="(%1)"/>
      <w:numFmt w:val="lowerLetter"/>
      <w:start w:val="2"/>
    </w:lvl>
  </w:abstractNum>
  <w:abstractNum w:abstractNumId="41">
    <w:nsid w:val="310C50B3"/>
    <w:multiLevelType w:val="hybridMultilevel"/>
    <w:lvl w:ilvl="0">
      <w:lvlJc w:val="left"/>
      <w:lvlText w:val="%1."/>
      <w:numFmt w:val="decimal"/>
      <w:start w:val="4"/>
    </w:lvl>
  </w:abstractNum>
  <w:abstractNum w:abstractNumId="42">
    <w:nsid w:val="5FF87E05"/>
    <w:multiLevelType w:val="hybridMultilevel"/>
    <w:lvl w:ilvl="0">
      <w:lvlJc w:val="left"/>
      <w:lvlText w:val="%1"/>
      <w:numFmt w:val="decimal"/>
      <w:start w:val="16"/>
    </w:lvl>
  </w:abstractNum>
  <w:abstractNum w:abstractNumId="43">
    <w:nsid w:val="2F305DEF"/>
    <w:multiLevelType w:val="hybridMultilevel"/>
    <w:lvl w:ilvl="0">
      <w:lvlJc w:val="left"/>
      <w:lvlText w:val="(%1)"/>
      <w:numFmt w:val="lowerLetter"/>
      <w:start w:val="1"/>
    </w:lvl>
  </w:abstractNum>
  <w:abstractNum w:abstractNumId="44">
    <w:nsid w:val="25A70BF7"/>
    <w:multiLevelType w:val="hybridMultilevel"/>
    <w:lvl w:ilvl="0">
      <w:lvlJc w:val="left"/>
      <w:lvlText w:val="(%1)"/>
      <w:numFmt w:val="lowerLetter"/>
      <w:start w:val="2"/>
    </w:lvl>
  </w:abstractNum>
  <w:abstractNum w:abstractNumId="45">
    <w:nsid w:val="1DBABF00"/>
    <w:multiLevelType w:val="hybridMultilevel"/>
    <w:lvl w:ilvl="0">
      <w:lvlJc w:val="left"/>
      <w:lvlText w:val="%1."/>
      <w:numFmt w:val="decimal"/>
      <w:start w:val="5"/>
    </w:lvl>
  </w:abstractNum>
  <w:abstractNum w:abstractNumId="46">
    <w:nsid w:val="4AD084E9"/>
    <w:multiLevelType w:val="hybridMultilevel"/>
    <w:lvl w:ilvl="0">
      <w:lvlJc w:val="left"/>
      <w:lvlText w:val="%1"/>
      <w:numFmt w:val="decimal"/>
      <w:start w:val="17"/>
    </w:lvl>
  </w:abstractNum>
  <w:abstractNum w:abstractNumId="47">
    <w:nsid w:val="1F48EAA1"/>
    <w:multiLevelType w:val="hybridMultilevel"/>
    <w:lvl w:ilvl="0">
      <w:lvlJc w:val="left"/>
      <w:lvlText w:val="%1."/>
      <w:numFmt w:val="upperLetter"/>
      <w:start w:val="2"/>
    </w:lvl>
  </w:abstractNum>
  <w:abstractNum w:abstractNumId="48">
    <w:nsid w:val="1381823A"/>
    <w:multiLevelType w:val="hybridMultilevel"/>
    <w:lvl w:ilvl="0">
      <w:lvlJc w:val="left"/>
      <w:lvlText w:val="%1."/>
      <w:numFmt w:val="decimal"/>
      <w:start w:val="1"/>
    </w:lvl>
  </w:abstractNum>
  <w:abstractNum w:abstractNumId="49">
    <w:nsid w:val="5DB70AE5"/>
    <w:multiLevelType w:val="hybridMultilevel"/>
    <w:lvl w:ilvl="0">
      <w:lvlJc w:val="left"/>
      <w:lvlText w:val="•"/>
      <w:numFmt w:val="bullet"/>
      <w:start w:val="1"/>
    </w:lvl>
  </w:abstractNum>
  <w:abstractNum w:abstractNumId="50">
    <w:nsid w:val="100F8FCA"/>
    <w:multiLevelType w:val="hybridMultilevel"/>
    <w:lvl w:ilvl="0">
      <w:lvlJc w:val="left"/>
      <w:lvlText w:val="%1"/>
      <w:numFmt w:val="decimal"/>
      <w:start w:val="20"/>
    </w:lvl>
  </w:abstractNum>
  <w:abstractNum w:abstractNumId="51">
    <w:nsid w:val="6590700B"/>
    <w:multiLevelType w:val="hybridMultilevel"/>
    <w:lvl w:ilvl="0">
      <w:lvlJc w:val="left"/>
      <w:lvlText w:val="%1."/>
      <w:numFmt w:val="decimal"/>
      <w:start w:val="2"/>
    </w:lvl>
  </w:abstractNum>
  <w:abstractNum w:abstractNumId="52">
    <w:nsid w:val="15014ACB"/>
    <w:multiLevelType w:val="hybridMultilevel"/>
    <w:lvl w:ilvl="0">
      <w:lvlJc w:val="left"/>
      <w:lvlText w:val="%1"/>
      <w:numFmt w:val="decimal"/>
      <w:start w:val="21"/>
    </w:lvl>
  </w:abstractNum>
  <w:abstractNum w:abstractNumId="53">
    <w:nsid w:val="5F5E7FD0"/>
    <w:multiLevelType w:val="hybridMultilevel"/>
    <w:lvl w:ilvl="0">
      <w:lvlJc w:val="left"/>
      <w:lvlText w:val="%1."/>
      <w:numFmt w:val="upperLetter"/>
      <w:start w:val="3"/>
    </w:lvl>
  </w:abstractNum>
  <w:abstractNum w:abstractNumId="54">
    <w:nsid w:val="98A3148"/>
    <w:multiLevelType w:val="hybridMultilevel"/>
    <w:lvl w:ilvl="0">
      <w:lvlJc w:val="left"/>
      <w:lvlText w:val="%1."/>
      <w:numFmt w:val="upperLetter"/>
      <w:start w:val="4"/>
    </w:lvl>
  </w:abstractNum>
  <w:abstractNum w:abstractNumId="55">
    <w:nsid w:val="799D0247"/>
    <w:multiLevelType w:val="hybridMultilevel"/>
    <w:lvl w:ilvl="0">
      <w:lvlJc w:val="left"/>
      <w:lvlText w:val="%1"/>
      <w:numFmt w:val="decimal"/>
      <w:start w:val="23"/>
    </w:lvl>
  </w:abstractNum>
  <w:abstractNum w:abstractNumId="56">
    <w:nsid w:val="6B94764"/>
    <w:multiLevelType w:val="hybridMultilevel"/>
    <w:lvl w:ilvl="0">
      <w:lvlJc w:val="left"/>
      <w:lvlText w:val="%1"/>
      <w:numFmt w:val="decimal"/>
      <w:start w:val="26"/>
    </w:lvl>
  </w:abstractNum>
  <w:abstractNum w:abstractNumId="57">
    <w:nsid w:val="42C296BD"/>
    <w:multiLevelType w:val="hybridMultilevel"/>
    <w:lvl w:ilvl="0">
      <w:lvlJc w:val="left"/>
      <w:lvlText w:val="%1."/>
      <w:numFmt w:val="upperLetter"/>
      <w:start w:val="1"/>
    </w:lvl>
  </w:abstractNum>
  <w:abstractNum w:abstractNumId="58">
    <w:nsid w:val="168E121F"/>
    <w:multiLevelType w:val="hybridMultilevel"/>
    <w:lvl w:ilvl="0">
      <w:lvlJc w:val="left"/>
      <w:lvlText w:val="(%1)"/>
      <w:numFmt w:val="lowerRoman"/>
      <w:start w:val="2"/>
    </w:lvl>
  </w:abstractNum>
  <w:abstractNum w:abstractNumId="59">
    <w:nsid w:val="1EBA5D23"/>
    <w:multiLevelType w:val="hybridMultilevel"/>
    <w:lvl w:ilvl="0">
      <w:lvlJc w:val="left"/>
      <w:lvlText w:val="%1."/>
      <w:numFmt w:val="upperLetter"/>
      <w:start w:val="2"/>
    </w:lvl>
  </w:abstractNum>
  <w:abstractNum w:abstractNumId="60">
    <w:nsid w:val="661E3F1E"/>
    <w:multiLevelType w:val="hybridMultilevel"/>
    <w:lvl w:ilvl="0">
      <w:lvlJc w:val="left"/>
      <w:lvlText w:val="%1."/>
      <w:numFmt w:val="upperLetter"/>
      <w:start w:val="22"/>
    </w:lvl>
  </w:abstractNum>
  <w:abstractNum w:abstractNumId="61">
    <w:nsid w:val="5DC79EA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2">
    <w:nsid w:val="540A471C"/>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63">
    <w:nsid w:val="7BD3EE7B"/>
    <w:multiLevelType w:val="hybridMultilevel"/>
    <w:lvl w:ilvl="0">
      <w:lvlJc w:val="left"/>
      <w:lvlText w:val="%1"/>
      <w:numFmt w:val="decimal"/>
      <w:start w:val="1"/>
    </w:lvl>
    <w:lvl w:ilvl="1">
      <w:lvlJc w:val="left"/>
      <w:lvlText w:val="(%2)"/>
      <w:numFmt w:val="lowerRoman"/>
      <w:start w:val="4"/>
    </w:lvl>
    <w:lvl w:ilvl="2">
      <w:lvlJc w:val="left"/>
      <w:lvlText w:val="%3"/>
      <w:numFmt w:val="upperLetter"/>
      <w:start w:val="1"/>
    </w:lvl>
  </w:abstractNum>
  <w:abstractNum w:abstractNumId="64">
    <w:nsid w:val="51D9C564"/>
    <w:multiLevelType w:val="hybridMultilevel"/>
    <w:lvl w:ilvl="0">
      <w:lvlJc w:val="left"/>
      <w:lvlText w:val="%1."/>
      <w:numFmt w:val="decimal"/>
      <w:start w:val="3"/>
    </w:lvl>
    <w:lvl w:ilvl="1">
      <w:lvlJc w:val="left"/>
      <w:lvlText w:val="%2"/>
      <w:numFmt w:val="lowerRoman"/>
      <w:start w:val="1"/>
    </w:lvl>
    <w:lvl w:ilvl="2">
      <w:lvlJc w:val="left"/>
      <w:lvlText w:val="%3"/>
      <w:numFmt w:val="upperLetter"/>
      <w:start w:val="1"/>
    </w:lvl>
  </w:abstractNum>
  <w:abstractNum w:abstractNumId="65">
    <w:nsid w:val="613EFDC5"/>
    <w:multiLevelType w:val="hybridMultilevel"/>
    <w:lvl w:ilvl="0">
      <w:lvlJc w:val="left"/>
      <w:lvlText w:val="%1"/>
      <w:numFmt w:val="decimal"/>
      <w:start w:val="27"/>
    </w:lvl>
  </w:abstractNum>
  <w:abstractNum w:abstractNumId="66">
    <w:nsid w:val="BF72B1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67">
    <w:nsid w:val="11447B73"/>
    <w:multiLevelType w:val="hybridMultilevel"/>
    <w:lvl w:ilvl="0">
      <w:lvlJc w:val="left"/>
      <w:lvlText w:val="%1"/>
      <w:numFmt w:val="decimal"/>
      <w:start w:val="29"/>
    </w:lvl>
  </w:abstractNum>
  <w:abstractNum w:abstractNumId="68">
    <w:nsid w:val="42963E5A"/>
    <w:multiLevelType w:val="hybridMultilevel"/>
    <w:lvl w:ilvl="0">
      <w:lvlJc w:val="left"/>
      <w:lvlText w:val="%1"/>
      <w:numFmt w:val="lowerLetter"/>
      <w:start w:val="1"/>
    </w:lvl>
    <w:lvl w:ilvl="1">
      <w:lvlJc w:val="left"/>
      <w:lvlText w:val="(%2)"/>
      <w:numFmt w:val="lowerRoman"/>
      <w:start w:val="2"/>
    </w:lvl>
  </w:abstractNum>
  <w:abstractNum w:abstractNumId="69">
    <w:nsid w:val="A0382C5"/>
    <w:multiLevelType w:val="hybridMultilevel"/>
    <w:lvl w:ilvl="0">
      <w:lvlJc w:val="left"/>
      <w:lvlText w:val="(%1)"/>
      <w:numFmt w:val="lowerLetter"/>
      <w:start w:val="2"/>
    </w:lvl>
    <w:lvl w:ilvl="1">
      <w:lvlJc w:val="left"/>
      <w:lvlText w:val="(%2)"/>
      <w:numFmt w:val="lowerRoman"/>
      <w:start w:val="1"/>
    </w:lvl>
  </w:abstractNum>
  <w:abstractNum w:abstractNumId="70">
    <w:nsid w:val="8F2B15E"/>
    <w:multiLevelType w:val="hybridMultilevel"/>
    <w:lvl w:ilvl="0">
      <w:lvlJc w:val="left"/>
      <w:lvlText w:val="%1"/>
      <w:numFmt w:val="decimal"/>
      <w:start w:val="31"/>
    </w:lvl>
  </w:abstractNum>
  <w:abstractNum w:abstractNumId="71">
    <w:nsid w:val="1A32234B"/>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72">
    <w:nsid w:val="3B0FD379"/>
    <w:multiLevelType w:val="hybridMultilevel"/>
    <w:lvl w:ilvl="0">
      <w:lvlJc w:val="left"/>
      <w:lvlText w:val="%1"/>
      <w:numFmt w:val="decimal"/>
      <w:start w:val="32"/>
    </w:lvl>
  </w:abstractNum>
  <w:abstractNum w:abstractNumId="73">
    <w:nsid w:val="68EB2F63"/>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74">
    <w:nsid w:val="4962813B"/>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75">
    <w:nsid w:val="60B6DF7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76">
    <w:nsid w:val="6A5EE64"/>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77">
    <w:nsid w:val="14330624"/>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78">
    <w:nsid w:val="7FFFCA11"/>
    <w:multiLevelType w:val="hybridMultilevel"/>
    <w:lvl w:ilvl="0">
      <w:lvlJc w:val="left"/>
      <w:lvlText w:val="%1."/>
      <w:numFmt w:val="decimal"/>
      <w:start w:val="12"/>
    </w:lvl>
  </w:abstractNum>
  <w:abstractNum w:abstractNumId="79">
    <w:nsid w:val="1A27709E"/>
    <w:multiLevelType w:val="hybridMultilevel"/>
    <w:lvl w:ilvl="0">
      <w:lvlJc w:val="left"/>
      <w:lvlText w:val="%1."/>
      <w:numFmt w:val="upperLetter"/>
      <w:start w:val="1"/>
    </w:lvl>
  </w:abstractNum>
  <w:abstractNum w:abstractNumId="80">
    <w:nsid w:val="71EA1109"/>
    <w:multiLevelType w:val="hybridMultilevel"/>
    <w:lvl w:ilvl="0">
      <w:lvlJc w:val="left"/>
      <w:lvlText w:val="(%1)"/>
      <w:numFmt w:val="decimal"/>
      <w:start w:val="212"/>
    </w:lvl>
  </w:abstractNum>
  <w:abstractNum w:abstractNumId="81">
    <w:nsid w:val="100F59DC"/>
    <w:multiLevelType w:val="hybridMultilevel"/>
    <w:lvl w:ilvl="0">
      <w:lvlJc w:val="left"/>
      <w:lvlText w:val="%1"/>
      <w:numFmt w:val="decimal"/>
      <w:start w:val="33"/>
    </w:lvl>
  </w:abstractNum>
  <w:abstractNum w:abstractNumId="82">
    <w:nsid w:val="7FB7E0AA"/>
    <w:multiLevelType w:val="hybridMultilevel"/>
    <w:lvl w:ilvl="0">
      <w:lvlJc w:val="left"/>
      <w:lvlText w:val="%1."/>
      <w:numFmt w:val="upperLetter"/>
      <w:start w:val="2"/>
    </w:lvl>
  </w:abstractNum>
  <w:abstractNum w:abstractNumId="83">
    <w:nsid w:val="6EB5BD4"/>
    <w:multiLevelType w:val="hybridMultilevel"/>
    <w:lvl w:ilvl="0">
      <w:lvlJc w:val="left"/>
      <w:lvlText w:val="%1."/>
      <w:numFmt w:val="decimal"/>
      <w:start w:val="1"/>
    </w:lvl>
  </w:abstractNum>
  <w:abstractNum w:abstractNumId="84">
    <w:nsid w:val="6F6DD9AC"/>
    <w:multiLevelType w:val="hybridMultilevel"/>
    <w:lvl w:ilvl="0">
      <w:lvlJc w:val="left"/>
      <w:lvlText w:val="%1."/>
      <w:numFmt w:val="decimal"/>
      <w:start w:val="1"/>
    </w:lvl>
  </w:abstractNum>
  <w:abstractNum w:abstractNumId="85">
    <w:nsid w:val="94211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2023-01-10T16:21:13Z</dcterms:created>
  <dcterms:modified xsi:type="dcterms:W3CDTF">2023-01-10T16:21:13Z</dcterms:modified>
</cp:coreProperties>
</file>