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55880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80010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68" w:lineRule="exact"/>
        <w:rPr>
          <w:sz w:val="24"/>
          <w:szCs w:val="24"/>
          <w:color w:val="auto"/>
        </w:rPr>
      </w:pPr>
    </w:p>
    <w:p>
      <w:pPr>
        <w:ind w:left="3980" w:right="1660" w:hanging="3972"/>
        <w:spacing w:after="0" w:line="320" w:lineRule="auto"/>
        <w:tabs>
          <w:tab w:leader="none" w:pos="60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29"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88" w:lineRule="exact"/>
        <w:rPr>
          <w:sz w:val="24"/>
          <w:szCs w:val="24"/>
          <w:color w:val="auto"/>
        </w:rPr>
      </w:pPr>
    </w:p>
    <w:p>
      <w:pPr>
        <w:ind w:left="4680"/>
        <w:spacing w:after="0"/>
        <w:tabs>
          <w:tab w:leader="none" w:pos="7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Commission File No. 814-00735</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Portman Ridge Finance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73025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p>
      <w:pPr>
        <w:spacing w:after="0" w:line="192" w:lineRule="exact"/>
        <w:rPr>
          <w:sz w:val="24"/>
          <w:szCs w:val="24"/>
          <w:color w:val="auto"/>
        </w:rPr>
      </w:pPr>
    </w:p>
    <w:p>
      <w:pPr>
        <w:ind w:left="2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20-5951150</w:t>
      </w:r>
    </w:p>
    <w:p>
      <w:pPr>
        <w:spacing w:after="0" w:line="31" w:lineRule="exact"/>
        <w:rPr>
          <w:sz w:val="24"/>
          <w:szCs w:val="24"/>
          <w:color w:val="auto"/>
        </w:rPr>
      </w:pPr>
    </w:p>
    <w:p>
      <w:pPr>
        <w:sectPr>
          <w:pgSz w:w="11900" w:h="16838" w:orient="portrait"/>
          <w:cols w:equalWidth="0" w:num="2">
            <w:col w:w="7440" w:space="720"/>
            <w:col w:w="3260"/>
          </w:cols>
          <w:pgMar w:left="240" w:top="333" w:right="239" w:bottom="1440" w:gutter="0" w:footer="0" w:header="0"/>
          <w:type w:val="continuous"/>
        </w:sectPr>
      </w:pPr>
    </w:p>
    <w:p>
      <w:pPr>
        <w:spacing w:after="0" w:line="12" w:lineRule="exact"/>
        <w:rPr>
          <w:sz w:val="24"/>
          <w:szCs w:val="24"/>
          <w:color w:val="auto"/>
        </w:rPr>
      </w:pPr>
    </w:p>
    <w:p>
      <w:pPr>
        <w:ind w:left="1940"/>
        <w:spacing w:after="0"/>
        <w:rPr>
          <w:sz w:val="20"/>
          <w:szCs w:val="20"/>
          <w:color w:val="auto"/>
        </w:rPr>
      </w:pPr>
      <w:r>
        <w:rPr>
          <w:rFonts w:ascii="Arial" w:cs="Arial" w:eastAsia="Arial" w:hAnsi="Arial"/>
          <w:sz w:val="13"/>
          <w:szCs w:val="13"/>
          <w:b w:val="1"/>
          <w:bCs w:val="1"/>
          <w:color w:val="auto"/>
        </w:rPr>
        <w:t>(State or other jurisdiction of</w:t>
      </w:r>
    </w:p>
    <w:p>
      <w:pPr>
        <w:ind w:left="19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4"/>
          <w:szCs w:val="14"/>
          <w:b w:val="1"/>
          <w:bCs w:val="1"/>
          <w:color w:val="auto"/>
        </w:rPr>
        <w:t>(I.R.S. Employer</w:t>
      </w:r>
    </w:p>
    <w:p>
      <w:pPr>
        <w:jc w:val="center"/>
        <w:ind w:right="2100"/>
        <w:spacing w:after="0"/>
        <w:rPr>
          <w:sz w:val="20"/>
          <w:szCs w:val="20"/>
          <w:color w:val="auto"/>
        </w:rPr>
      </w:pPr>
      <w:r>
        <w:rPr>
          <w:rFonts w:ascii="Arial" w:cs="Arial" w:eastAsia="Arial" w:hAnsi="Arial"/>
          <w:sz w:val="13"/>
          <w:szCs w:val="13"/>
          <w:b w:val="1"/>
          <w:bCs w:val="1"/>
          <w:color w:val="auto"/>
        </w:rPr>
        <w:t>Identification Number)</w:t>
      </w:r>
    </w:p>
    <w:p>
      <w:pPr>
        <w:spacing w:after="0" w:line="55" w:lineRule="exact"/>
        <w:rPr>
          <w:sz w:val="24"/>
          <w:szCs w:val="24"/>
          <w:color w:val="auto"/>
        </w:rPr>
      </w:pPr>
    </w:p>
    <w:p>
      <w:pPr>
        <w:sectPr>
          <w:pgSz w:w="11900" w:h="16838" w:orient="portrait"/>
          <w:cols w:equalWidth="0" w:num="2">
            <w:col w:w="7160" w:space="720"/>
            <w:col w:w="3540"/>
          </w:cols>
          <w:pgMar w:left="240" w:top="333"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650 Madison Avenue, 23rd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420"/>
          </w:cols>
          <w:pgMar w:left="240" w:top="333" w:right="239" w:bottom="1440" w:gutter="0" w:footer="0" w:header="0"/>
          <w:type w:val="continuous"/>
        </w:sectPr>
      </w:pPr>
    </w:p>
    <w:p>
      <w:pPr>
        <w:spacing w:after="0" w:line="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891-2880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3760" w:type="dxa"/>
            <w:vAlign w:val="bottom"/>
          </w:tcPr>
          <w:p>
            <w:pPr>
              <w:spacing w:after="0"/>
              <w:rPr>
                <w:sz w:val="17"/>
                <w:szCs w:val="17"/>
                <w:color w:val="auto"/>
              </w:rPr>
            </w:pPr>
          </w:p>
        </w:tc>
        <w:tc>
          <w:tcPr>
            <w:tcW w:w="386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800" w:type="dxa"/>
            <w:vAlign w:val="bottom"/>
          </w:tcPr>
          <w:p>
            <w:pPr>
              <w:spacing w:after="0"/>
              <w:rPr>
                <w:sz w:val="17"/>
                <w:szCs w:val="17"/>
                <w:color w:val="auto"/>
              </w:rPr>
            </w:pPr>
          </w:p>
        </w:tc>
      </w:tr>
      <w:tr>
        <w:trPr>
          <w:trHeight w:val="213"/>
        </w:trPr>
        <w:tc>
          <w:tcPr>
            <w:tcW w:w="3760" w:type="dxa"/>
            <w:vAlign w:val="bottom"/>
          </w:tcPr>
          <w:p>
            <w:pPr>
              <w:jc w:val="center"/>
              <w:ind w:left="739"/>
              <w:spacing w:after="0"/>
              <w:rPr>
                <w:sz w:val="20"/>
                <w:szCs w:val="20"/>
                <w:color w:val="auto"/>
              </w:rPr>
            </w:pPr>
            <w:r>
              <w:rPr>
                <w:rFonts w:ascii="Arial" w:cs="Arial" w:eastAsia="Arial" w:hAnsi="Arial"/>
                <w:sz w:val="16"/>
                <w:szCs w:val="16"/>
                <w:b w:val="1"/>
                <w:bCs w:val="1"/>
                <w:color w:val="auto"/>
                <w:w w:val="88"/>
              </w:rPr>
              <w:t>Title of each class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3"/>
          </w:tcPr>
          <w:p>
            <w:pPr>
              <w:jc w:val="center"/>
              <w:ind w:right="860"/>
              <w:spacing w:after="0"/>
              <w:rPr>
                <w:sz w:val="20"/>
                <w:szCs w:val="20"/>
                <w:color w:val="auto"/>
              </w:rPr>
            </w:pPr>
            <w:r>
              <w:rPr>
                <w:rFonts w:ascii="Arial" w:cs="Arial" w:eastAsia="Arial" w:hAnsi="Arial"/>
                <w:sz w:val="16"/>
                <w:szCs w:val="16"/>
                <w:b w:val="1"/>
                <w:bCs w:val="1"/>
                <w:color w:val="auto"/>
                <w:w w:val="92"/>
              </w:rPr>
              <w:t>Trading Symbol(s)</w:t>
            </w:r>
          </w:p>
        </w:tc>
        <w:tc>
          <w:tcPr>
            <w:tcW w:w="3800" w:type="dxa"/>
            <w:vAlign w:val="bottom"/>
          </w:tcPr>
          <w:p>
            <w:pPr>
              <w:jc w:val="center"/>
              <w:ind w:right="67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89"/>
        </w:trPr>
        <w:tc>
          <w:tcPr>
            <w:tcW w:w="3760" w:type="dxa"/>
            <w:vAlign w:val="bottom"/>
            <w:tcBorders>
              <w:top w:val="single" w:sz="8" w:color="auto"/>
            </w:tcBorders>
          </w:tcPr>
          <w:p>
            <w:pPr>
              <w:jc w:val="center"/>
              <w:ind w:left="739"/>
              <w:spacing w:after="0"/>
              <w:rPr>
                <w:sz w:val="20"/>
                <w:szCs w:val="20"/>
                <w:color w:val="auto"/>
              </w:rPr>
            </w:pPr>
            <w:r>
              <w:rPr>
                <w:rFonts w:ascii="Arial" w:cs="Arial" w:eastAsia="Arial" w:hAnsi="Arial"/>
                <w:sz w:val="16"/>
                <w:szCs w:val="16"/>
                <w:color w:val="auto"/>
                <w:w w:val="91"/>
              </w:rPr>
              <w:t>Common Stock, par value $0.01 per share</w:t>
            </w: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PTMN</w:t>
            </w: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0" w:type="dxa"/>
            <w:vAlign w:val="bottom"/>
            <w:tcBorders>
              <w:top w:val="single" w:sz="8" w:color="auto"/>
            </w:tcBorders>
          </w:tcPr>
          <w:p>
            <w:pPr>
              <w:jc w:val="center"/>
              <w:ind w:right="679"/>
              <w:spacing w:after="0"/>
              <w:rPr>
                <w:sz w:val="20"/>
                <w:szCs w:val="20"/>
                <w:color w:val="auto"/>
              </w:rPr>
            </w:pPr>
            <w:r>
              <w:rPr>
                <w:rFonts w:ascii="Arial" w:cs="Arial" w:eastAsia="Arial" w:hAnsi="Arial"/>
                <w:sz w:val="16"/>
                <w:szCs w:val="16"/>
                <w:color w:val="auto"/>
                <w:w w:val="95"/>
              </w:rPr>
              <w:t>The NASDAQ Global Select Market</w:t>
            </w:r>
          </w:p>
        </w:tc>
      </w:tr>
      <w:tr>
        <w:trPr>
          <w:trHeight w:val="206"/>
        </w:trPr>
        <w:tc>
          <w:tcPr>
            <w:tcW w:w="3760" w:type="dxa"/>
            <w:vAlign w:val="bottom"/>
          </w:tcPr>
          <w:p>
            <w:pPr>
              <w:jc w:val="center"/>
              <w:ind w:left="739"/>
              <w:spacing w:after="0"/>
              <w:rPr>
                <w:sz w:val="20"/>
                <w:szCs w:val="20"/>
                <w:color w:val="auto"/>
              </w:rPr>
            </w:pPr>
            <w:r>
              <w:rPr>
                <w:rFonts w:ascii="Arial" w:cs="Arial" w:eastAsia="Arial" w:hAnsi="Arial"/>
                <w:sz w:val="16"/>
                <w:szCs w:val="16"/>
                <w:color w:val="auto"/>
                <w:w w:val="89"/>
              </w:rPr>
              <w:t>6.125% Notes due 2022</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3"/>
          </w:tcPr>
          <w:p>
            <w:pPr>
              <w:jc w:val="center"/>
              <w:ind w:right="860"/>
              <w:spacing w:after="0"/>
              <w:rPr>
                <w:sz w:val="20"/>
                <w:szCs w:val="20"/>
                <w:color w:val="auto"/>
              </w:rPr>
            </w:pPr>
            <w:r>
              <w:rPr>
                <w:rFonts w:ascii="Arial" w:cs="Arial" w:eastAsia="Arial" w:hAnsi="Arial"/>
                <w:sz w:val="16"/>
                <w:szCs w:val="16"/>
                <w:color w:val="auto"/>
              </w:rPr>
              <w:t>KCAPL</w:t>
            </w:r>
          </w:p>
        </w:tc>
        <w:tc>
          <w:tcPr>
            <w:tcW w:w="3800" w:type="dxa"/>
            <w:vAlign w:val="bottom"/>
          </w:tcPr>
          <w:p>
            <w:pPr>
              <w:jc w:val="center"/>
              <w:ind w:right="679"/>
              <w:spacing w:after="0"/>
              <w:rPr>
                <w:sz w:val="20"/>
                <w:szCs w:val="20"/>
                <w:color w:val="auto"/>
              </w:rPr>
            </w:pPr>
            <w:r>
              <w:rPr>
                <w:rFonts w:ascii="Arial" w:cs="Arial" w:eastAsia="Arial" w:hAnsi="Arial"/>
                <w:sz w:val="16"/>
                <w:szCs w:val="16"/>
                <w:color w:val="auto"/>
                <w:w w:val="95"/>
              </w:rPr>
              <w:t>The NASDAQ Global Select Market</w:t>
            </w:r>
          </w:p>
        </w:tc>
      </w:tr>
    </w:tbl>
    <w:p>
      <w:pPr>
        <w:spacing w:after="0" w:line="64" w:lineRule="exact"/>
        <w:rPr>
          <w:sz w:val="24"/>
          <w:szCs w:val="24"/>
          <w:color w:val="auto"/>
        </w:rPr>
      </w:pPr>
    </w:p>
    <w:p>
      <w:pPr>
        <w:ind w:right="180" w:firstLine="43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40" w:firstLine="439"/>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9" w:lineRule="exact"/>
        <w:rPr>
          <w:sz w:val="24"/>
          <w:szCs w:val="24"/>
          <w:color w:val="auto"/>
        </w:rPr>
      </w:pPr>
    </w:p>
    <w:p>
      <w:pPr>
        <w:ind w:right="60" w:firstLine="43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46" w:lineRule="exact"/>
        <w:rPr>
          <w:sz w:val="24"/>
          <w:szCs w:val="24"/>
          <w:color w:val="auto"/>
        </w:rPr>
      </w:pPr>
    </w:p>
    <w:p>
      <w:pPr>
        <w:ind w:right="320" w:firstLine="43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6" w:lineRule="exact"/>
        <w:rPr>
          <w:sz w:val="24"/>
          <w:szCs w:val="24"/>
          <w:color w:val="auto"/>
        </w:rPr>
      </w:pPr>
    </w:p>
    <w:p>
      <w:pPr>
        <w:ind w:left="4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6"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The number of outstanding shares of common stock of the registrant as of August 2, 2019 was 37,356,061.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534035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20" w:type="dxa"/>
            <w:vAlign w:val="bottom"/>
            <w:gridSpan w:val="16"/>
          </w:tcPr>
          <w:p>
            <w:pPr>
              <w:ind w:left="128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20" w:type="dxa"/>
            <w:vAlign w:val="bottom"/>
            <w:gridSpan w:val="16"/>
            <w:shd w:val="clear" w:color="auto" w:fill="CCEEFF"/>
          </w:tcPr>
          <w:p>
            <w:pPr>
              <w:jc w:val="center"/>
              <w:ind w:right="2340"/>
              <w:spacing w:after="0" w:line="176" w:lineRule="exact"/>
              <w:rPr>
                <w:sz w:val="20"/>
                <w:szCs w:val="20"/>
                <w:color w:val="auto"/>
              </w:rPr>
            </w:pPr>
            <w:r>
              <w:rPr>
                <w:rFonts w:ascii="Arial" w:cs="Arial" w:eastAsia="Arial" w:hAnsi="Arial"/>
                <w:sz w:val="18"/>
                <w:szCs w:val="18"/>
                <w:b w:val="1"/>
                <w:bCs w:val="1"/>
                <w:color w:val="auto"/>
                <w:w w:val="94"/>
              </w:rPr>
              <w:t>Part I. Financial Information</w:t>
            </w: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22"/>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540" w:type="dxa"/>
            <w:vAlign w:val="bottom"/>
            <w:gridSpan w:val="2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as of June 30, 2019 (unaudited) and December 31, 2018</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540" w:type="dxa"/>
            <w:vAlign w:val="bottom"/>
            <w:gridSpan w:val="2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Operations (unaudited) for the three and six months ended June 30, 2019 and 2018</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540" w:type="dxa"/>
            <w:vAlign w:val="bottom"/>
            <w:gridSpan w:val="22"/>
            <w:shd w:val="clear" w:color="auto" w:fill="CCEEFF"/>
          </w:tcPr>
          <w:p>
            <w:pPr>
              <w:spacing w:after="0" w:line="17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Consolidated Statements of Changes in Net Assets (unaudited) for the three and six months ended June 30, 2019 and 2018</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540" w:type="dxa"/>
            <w:vAlign w:val="bottom"/>
            <w:gridSpan w:val="22"/>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(unaudited) for the six months ended June 30, 2019 and 2018</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540" w:type="dxa"/>
            <w:vAlign w:val="bottom"/>
            <w:gridSpan w:val="22"/>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Schedule of Investments as of June 30, 2019 (unaudited) and December 31, 2018</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540" w:type="dxa"/>
            <w:vAlign w:val="bottom"/>
            <w:gridSpan w:val="2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Consolidated Financial Highlights (unaudited) for the six months ended June 30, 2019 and 2018</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540" w:type="dxa"/>
            <w:vAlign w:val="bottom"/>
            <w:gridSpan w:val="22"/>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Notes to Consolidated Financial Statements (unaudited)</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540" w:type="dxa"/>
            <w:vAlign w:val="bottom"/>
            <w:gridSpan w:val="22"/>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Management’s Discussion and Analysis of Financial Condition and Results of Operations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540" w:type="dxa"/>
            <w:vAlign w:val="bottom"/>
            <w:gridSpan w:val="22"/>
            <w:shd w:val="clear" w:color="auto" w:fill="CCEEFF"/>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Quantitative and Qualitative Disclosures About Market Risk</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540" w:type="dxa"/>
            <w:vAlign w:val="bottom"/>
            <w:gridSpan w:val="22"/>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Changes in and Disagreements with Accountants on Accounting and Financial Disclosure</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540" w:type="dxa"/>
            <w:vAlign w:val="bottom"/>
            <w:gridSpan w:val="22"/>
            <w:shd w:val="clear" w:color="auto" w:fill="CCEEFF"/>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Controls and Procedures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20" w:type="dxa"/>
            <w:vAlign w:val="bottom"/>
            <w:gridSpan w:val="14"/>
            <w:shd w:val="clear" w:color="auto" w:fill="CCEEFF"/>
          </w:tcPr>
          <w:p>
            <w:pPr>
              <w:jc w:val="center"/>
              <w:ind w:right="3760"/>
              <w:spacing w:after="0" w:line="176" w:lineRule="exact"/>
              <w:rPr>
                <w:rFonts w:ascii="Arial" w:cs="Arial" w:eastAsia="Arial" w:hAnsi="Arial"/>
                <w:sz w:val="18"/>
                <w:szCs w:val="18"/>
                <w:b w:val="1"/>
                <w:bCs w:val="1"/>
                <w:color w:val="0000EE"/>
                <w:w w:val="97"/>
              </w:rPr>
            </w:pPr>
            <w:hyperlink w:anchor="page98">
              <w:r>
                <w:rPr>
                  <w:rFonts w:ascii="Arial" w:cs="Arial" w:eastAsia="Arial" w:hAnsi="Arial"/>
                  <w:sz w:val="18"/>
                  <w:szCs w:val="18"/>
                  <w:b w:val="1"/>
                  <w:bCs w:val="1"/>
                  <w:color w:val="0000EE"/>
                  <w:w w:val="97"/>
                </w:rPr>
                <w:t>Part II. Other Information</w:t>
              </w:r>
            </w:hyperlink>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540" w:type="dxa"/>
            <w:vAlign w:val="bottom"/>
            <w:gridSpan w:val="22"/>
            <w:shd w:val="clear" w:color="auto" w:fill="CCEEFF"/>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Legal Proceedings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540" w:type="dxa"/>
            <w:vAlign w:val="bottom"/>
            <w:gridSpan w:val="22"/>
            <w:shd w:val="clear" w:color="auto" w:fill="CCEEFF"/>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Risk Factors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540" w:type="dxa"/>
            <w:vAlign w:val="bottom"/>
            <w:gridSpan w:val="22"/>
            <w:shd w:val="clear" w:color="auto" w:fill="CCEEFF"/>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Unregistered Sales of Equity Securities and Use of Proceeds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540" w:type="dxa"/>
            <w:vAlign w:val="bottom"/>
            <w:gridSpan w:val="22"/>
            <w:shd w:val="clear" w:color="auto" w:fill="CCEEFF"/>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Defaults Upon Senior Securities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540" w:type="dxa"/>
            <w:vAlign w:val="bottom"/>
            <w:gridSpan w:val="22"/>
            <w:shd w:val="clear" w:color="auto" w:fill="CCEEFF"/>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Mine Safety Disclosures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540" w:type="dxa"/>
            <w:vAlign w:val="bottom"/>
            <w:gridSpan w:val="22"/>
            <w:shd w:val="clear" w:color="auto" w:fill="CCEEFF"/>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Other Information</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540" w:type="dxa"/>
            <w:vAlign w:val="bottom"/>
            <w:gridSpan w:val="22"/>
            <w:shd w:val="clear" w:color="auto" w:fill="CCEEFF"/>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Exhibits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5780" w:type="dxa"/>
            <w:vAlign w:val="bottom"/>
            <w:tcBorders>
              <w:top w:val="single" w:sz="8" w:color="CCEEFF"/>
            </w:tcBorders>
            <w:gridSpan w:val="12"/>
          </w:tcPr>
          <w:p>
            <w:pPr>
              <w:ind w:left="450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NOTE ABOUT REFERENCES TO PORTMAN RIDGE FINANCE CORPORATION</w:t>
      </w:r>
    </w:p>
    <w:p>
      <w:pPr>
        <w:spacing w:after="0" w:line="189" w:lineRule="exact"/>
        <w:rPr>
          <w:sz w:val="20"/>
          <w:szCs w:val="20"/>
          <w:color w:val="auto"/>
        </w:rPr>
      </w:pPr>
    </w:p>
    <w:p>
      <w:pPr>
        <w:ind w:firstLine="439"/>
        <w:spacing w:after="0" w:line="264" w:lineRule="auto"/>
        <w:rPr>
          <w:sz w:val="20"/>
          <w:szCs w:val="20"/>
          <w:color w:val="auto"/>
        </w:rPr>
      </w:pPr>
      <w:r>
        <w:rPr>
          <w:rFonts w:ascii="Arial" w:cs="Arial" w:eastAsia="Arial" w:hAnsi="Arial"/>
          <w:sz w:val="18"/>
          <w:szCs w:val="18"/>
          <w:color w:val="auto"/>
        </w:rPr>
        <w:t>In this Quarterly Report on Form 10-Q, the “Company”, “Portman Ridge”, “we”, “us” and “our” refer to Portman Ridge Finance Corporation and its wholly-owned subsidiaries, Great Lakes KCAP Funding I LLC, Kohlberg Capital Funding I LLC, KCAP Senior Funding I, LLC and KCAP Senior Funding I Holdings, LLC, unless the context otherwise requires.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89" w:lineRule="exact"/>
        <w:rPr>
          <w:sz w:val="20"/>
          <w:szCs w:val="20"/>
          <w:color w:val="auto"/>
        </w:rPr>
      </w:pPr>
    </w:p>
    <w:p>
      <w:pPr>
        <w:ind w:right="80" w:firstLine="439"/>
        <w:spacing w:after="0" w:line="268" w:lineRule="auto"/>
        <w:rPr>
          <w:sz w:val="20"/>
          <w:szCs w:val="20"/>
          <w:color w:val="auto"/>
        </w:rPr>
      </w:pPr>
      <w:r>
        <w:rPr>
          <w:rFonts w:ascii="Arial" w:cs="Arial" w:eastAsia="Arial" w:hAnsi="Arial"/>
          <w:sz w:val="17"/>
          <w:szCs w:val="17"/>
          <w:color w:val="auto"/>
        </w:rPr>
        <w:t>The information contained in this item should be read in conjunction with our consolidated financial statements and notes thereto appearing elsewhere in this Quarterly Report and in conjunction with the financial statements and notes thereto in the Company’s Form 10-K for the year ended December 31, 2018,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Portman Ridge Finance Corporation,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“outlook,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45"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184" w:lineRule="exact"/>
        <w:rPr>
          <w:rFonts w:ascii="Arial" w:cs="Arial" w:eastAsia="Arial" w:hAnsi="Arial"/>
          <w:sz w:val="18"/>
          <w:szCs w:val="18"/>
          <w:color w:val="auto"/>
        </w:rPr>
      </w:pPr>
    </w:p>
    <w:p>
      <w:pPr>
        <w:ind w:left="880" w:right="60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(“BDC”) and a regulated investment company (“RIC”), including the impact of changes in laws or regulations governing our operations or the operations of our portfolio companies;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84" w:lineRule="exact"/>
        <w:rPr>
          <w:rFonts w:ascii="Arial" w:cs="Arial" w:eastAsia="Arial" w:hAnsi="Arial"/>
          <w:sz w:val="18"/>
          <w:szCs w:val="18"/>
          <w:color w:val="auto"/>
        </w:rPr>
      </w:pPr>
    </w:p>
    <w:p>
      <w:pPr>
        <w:ind w:left="880" w:right="440" w:hanging="440"/>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Sierra Crest Investment Management LLC (the “Adviser”) to locate suitable investments for us to monitor and administer our investments;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Adviser to attract and retain highly talented professionals;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actual and potential conflicts of interest with the Adviser and its affiliates;</w:t>
      </w:r>
    </w:p>
    <w:p>
      <w:pPr>
        <w:spacing w:after="0" w:line="184" w:lineRule="exact"/>
        <w:rPr>
          <w:rFonts w:ascii="Arial" w:cs="Arial" w:eastAsia="Arial" w:hAnsi="Arial"/>
          <w:sz w:val="18"/>
          <w:szCs w:val="18"/>
          <w:color w:val="auto"/>
        </w:rPr>
      </w:pPr>
    </w:p>
    <w:p>
      <w:pPr>
        <w:ind w:left="880" w:right="540" w:hanging="440"/>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qualify and maintain our qualification as a RIC under Subchapter M of the Internal Revenue Code of 1986, as amended (the “Code”), and as a BDC;</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legal, tax, and regulatory changes;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185" w:lineRule="exact"/>
        <w:rPr>
          <w:sz w:val="20"/>
          <w:szCs w:val="20"/>
          <w:color w:val="auto"/>
        </w:rPr>
      </w:pPr>
    </w:p>
    <w:p>
      <w:pPr>
        <w:ind w:firstLine="439"/>
        <w:spacing w:after="0" w:line="276" w:lineRule="auto"/>
        <w:rPr>
          <w:sz w:val="20"/>
          <w:szCs w:val="20"/>
          <w:color w:val="auto"/>
        </w:rPr>
      </w:pPr>
      <w:r>
        <w:rPr>
          <w:rFonts w:ascii="Arial" w:cs="Arial" w:eastAsia="Arial" w:hAnsi="Arial"/>
          <w:sz w:val="17"/>
          <w:szCs w:val="17"/>
          <w:color w:val="auto"/>
        </w:rPr>
        <w:t>For a more detailed discussion of factors that could cause our actual results to differ from forward-looking statements contained in this Quarterly Report, please see the discussion in Part II, “Item 1A. Risk Factors”, and in Part I, “Item 1A. Risk Factors” in our Annual Report on Form 10-K for the fiscal year ended December 31, 2018.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0"/>
              </w:rPr>
              <w:t>June 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3"/>
        </w:trPr>
        <w:tc>
          <w:tcPr>
            <w:tcW w:w="7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89"/>
              </w:rPr>
              <w:t>2019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center"/>
              <w:ind w:right="171"/>
              <w:spacing w:after="0"/>
              <w:rPr>
                <w:sz w:val="20"/>
                <w:szCs w:val="20"/>
                <w:color w:val="auto"/>
              </w:rPr>
            </w:pPr>
            <w:r>
              <w:rPr>
                <w:rFonts w:ascii="Arial" w:cs="Arial" w:eastAsia="Arial" w:hAnsi="Arial"/>
                <w:sz w:val="16"/>
                <w:szCs w:val="16"/>
                <w:b w:val="1"/>
                <w:bCs w:val="1"/>
                <w:color w:val="auto"/>
                <w:w w:val="91"/>
              </w:rPr>
              <w:t>(unaudited)</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 (cost: 2019 - $27,443,091; 2018 - $44,756,478)</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27,443,091</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44,756,478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Debt securities (amortized cost: 2019 - $185,518,733; 2018 - $162,264,482)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175,321,765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147,861,744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w w:val="96"/>
              </w:rPr>
              <w:t>CLO Fund Securities managed by affiliates (amortized cost: 2019 - $46,522,911; 2018 - $4,407,106)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37,667,754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4,473,840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w w:val="92"/>
              </w:rPr>
              <w:t>CLO Fund Securities managed by non-affiliates (amortized cost: 2019 - $2,777,759; 2018 - $51,073,520)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2,338,727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39,851,160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 (cost: 2019 - $16,482,841; 2018 - $9,477,763)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4,143,686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2,038,020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Asset Manager Affiliates (cost: 2019 - $17,791,230; 2018 - $17,791,230)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3,470,000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Joint Ventures (cost: 2019 - $42,611,525; 2018 - $37,381,525)</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40,089,257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30,857,107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Total Investments at Fair Value (cost: 2019 - $339,148,090; 2018 - $327,152,104)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287,004,280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273,308,349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236,828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5,417,125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3,467,338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3,907,341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875,396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1,342,970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Receivable for Open Trades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10,457,443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Due from affiliates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695,768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1,687,901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1,068,576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481,265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305,493,530</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285,464,681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6.125% Notes Due 2022 (net of offering costs of: 2019-$1,933,295; 2018 - $2,207,341)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75,473,905</w:t>
            </w:r>
          </w:p>
        </w:tc>
        <w:tc>
          <w:tcPr>
            <w:tcW w:w="280" w:type="dxa"/>
            <w:vAlign w:val="bottom"/>
          </w:tcPr>
          <w:p>
            <w:pPr>
              <w:spacing w:after="0"/>
              <w:rPr>
                <w:sz w:val="19"/>
                <w:szCs w:val="19"/>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75,199,858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w w:val="95"/>
              </w:rPr>
              <w:t>Great Lakes KCAP Funding I, LLC Revolving Credit Facility (net of offering costs of: 2019-$1,326,443;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2018 - $1,155,754)</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44,032,368</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25,200,331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3,415,460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Payable for open trades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38,030,859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23,204,564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2,162,223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3,591,910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1,386,248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Due to affiliates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788,776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115,825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Management and incentive fees payable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1,026,100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166,315,939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127,443,670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w w:val="93"/>
              </w:rPr>
              <w:t>Common stock, par value $0.01 per share, 100,000,000 common shares authorized; 37,550,920 issued,</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w w:val="95"/>
              </w:rPr>
              <w:t>and 37,356,061 outstanding at June 30, 2019, and 37,521,705 issued, and 37,326,846 outstanding at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373,561</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373,268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307,172,819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306,784,387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Total distributable (loss) earnings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(168,368,789)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(149,136,644)</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139,177,591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158,021,011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305,493,530</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285,464,681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NET ASSET VALUE PER COMMON SHARE</w:t>
            </w:r>
          </w:p>
        </w:tc>
        <w:tc>
          <w:tcPr>
            <w:tcW w:w="3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right"/>
              <w:ind w:right="700"/>
              <w:spacing w:after="0"/>
              <w:rPr>
                <w:sz w:val="20"/>
                <w:szCs w:val="20"/>
                <w:color w:val="auto"/>
              </w:rPr>
            </w:pPr>
            <w:r>
              <w:rPr>
                <w:rFonts w:ascii="Arial" w:cs="Arial" w:eastAsia="Arial" w:hAnsi="Arial"/>
                <w:sz w:val="15"/>
                <w:szCs w:val="15"/>
                <w:b w:val="1"/>
                <w:bCs w:val="1"/>
                <w:color w:val="auto"/>
              </w:rPr>
              <w:t>Three Months Ended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6"/>
          </w:tcPr>
          <w:p>
            <w:pPr>
              <w:jc w:val="right"/>
              <w:ind w:right="800"/>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79"/>
        </w:trPr>
        <w:tc>
          <w:tcPr>
            <w:tcW w:w="5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5"/>
                <w:szCs w:val="15"/>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5"/>
                <w:szCs w:val="15"/>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b w:val="1"/>
                <w:bCs w:val="1"/>
                <w:color w:val="auto"/>
              </w:rPr>
              <w:t>2019</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3"/>
              <w:spacing w:after="0" w:line="169" w:lineRule="exact"/>
              <w:rPr>
                <w:sz w:val="20"/>
                <w:szCs w:val="20"/>
                <w:color w:val="auto"/>
              </w:rPr>
            </w:pPr>
            <w:r>
              <w:rPr>
                <w:rFonts w:ascii="Arial" w:cs="Arial" w:eastAsia="Arial" w:hAnsi="Arial"/>
                <w:sz w:val="15"/>
                <w:szCs w:val="15"/>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3"/>
              <w:spacing w:after="0" w:line="169" w:lineRule="exact"/>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2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Investment Income:</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260"/>
              <w:spacing w:after="0"/>
              <w:rPr>
                <w:sz w:val="20"/>
                <w:szCs w:val="20"/>
                <w:color w:val="auto"/>
              </w:rPr>
            </w:pPr>
            <w:r>
              <w:rPr>
                <w:rFonts w:ascii="Arial" w:cs="Arial" w:eastAsia="Arial" w:hAnsi="Arial"/>
                <w:sz w:val="15"/>
                <w:szCs w:val="15"/>
                <w:color w:val="auto"/>
              </w:rPr>
              <w:t>Interest from investments in debt securities</w:t>
            </w:r>
          </w:p>
        </w:tc>
        <w:tc>
          <w:tcPr>
            <w:tcW w:w="340" w:type="dxa"/>
            <w:vAlign w:val="bottom"/>
            <w:gridSpan w:val="2"/>
          </w:tcPr>
          <w:p>
            <w:pPr>
              <w:jc w:val="right"/>
              <w:ind w:right="10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3,831,861</w:t>
            </w:r>
          </w:p>
        </w:tc>
        <w:tc>
          <w:tcPr>
            <w:tcW w:w="1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3,910,473</w:t>
            </w:r>
          </w:p>
        </w:tc>
        <w:tc>
          <w:tcPr>
            <w:tcW w:w="12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6,768,657</w:t>
            </w:r>
          </w:p>
        </w:tc>
        <w:tc>
          <w:tcPr>
            <w:tcW w:w="16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7,308,670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Payment-in-kind investment income</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11,520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369,116</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13,542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732,053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260"/>
              <w:spacing w:after="0"/>
              <w:rPr>
                <w:sz w:val="20"/>
                <w:szCs w:val="20"/>
                <w:color w:val="auto"/>
              </w:rPr>
            </w:pPr>
            <w:r>
              <w:rPr>
                <w:rFonts w:ascii="Arial" w:cs="Arial" w:eastAsia="Arial" w:hAnsi="Arial"/>
                <w:sz w:val="15"/>
                <w:szCs w:val="15"/>
                <w:color w:val="auto"/>
              </w:rPr>
              <w:t>Interest from cash and time deposits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16,444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12,211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52,113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61,416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Investment income on CLO Fund Securities managed by affiliates</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1,607,308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1,414,903</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1,739,754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3,248,569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260"/>
              <w:spacing w:after="0"/>
              <w:rPr>
                <w:sz w:val="20"/>
                <w:szCs w:val="20"/>
                <w:color w:val="auto"/>
              </w:rPr>
            </w:pPr>
            <w:r>
              <w:rPr>
                <w:rFonts w:ascii="Arial" w:cs="Arial" w:eastAsia="Arial" w:hAnsi="Arial"/>
                <w:sz w:val="15"/>
                <w:szCs w:val="15"/>
                <w:color w:val="auto"/>
              </w:rPr>
              <w:t>Investment income on CLO Fund Securities managed by non-affiliates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105,574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98,341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1,786,848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197,702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Dividends from Asset Manager Affiliates</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300,000</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260"/>
              <w:spacing w:after="0"/>
              <w:rPr>
                <w:sz w:val="20"/>
                <w:szCs w:val="20"/>
                <w:color w:val="auto"/>
              </w:rPr>
            </w:pPr>
            <w:r>
              <w:rPr>
                <w:rFonts w:ascii="Arial" w:cs="Arial" w:eastAsia="Arial" w:hAnsi="Arial"/>
                <w:sz w:val="15"/>
                <w:szCs w:val="15"/>
                <w:color w:val="auto"/>
              </w:rPr>
              <w:t>Investment income - Joint Ventures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1,291,667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700,000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2,241,667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1,400,000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Capital structuring service fees</w:t>
            </w:r>
          </w:p>
        </w:tc>
        <w:tc>
          <w:tcPr>
            <w:tcW w:w="8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49,795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43,399</w:t>
            </w:r>
          </w:p>
        </w:tc>
        <w:tc>
          <w:tcPr>
            <w:tcW w:w="12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110,998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106,509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20" w:type="dxa"/>
            <w:vAlign w:val="bottom"/>
          </w:tcPr>
          <w:p>
            <w:pPr>
              <w:ind w:left="500"/>
              <w:spacing w:after="0" w:line="169" w:lineRule="exact"/>
              <w:rPr>
                <w:sz w:val="20"/>
                <w:szCs w:val="20"/>
                <w:color w:val="auto"/>
              </w:rPr>
            </w:pPr>
            <w:r>
              <w:rPr>
                <w:rFonts w:ascii="Arial" w:cs="Arial" w:eastAsia="Arial" w:hAnsi="Arial"/>
                <w:sz w:val="15"/>
                <w:szCs w:val="15"/>
                <w:color w:val="auto"/>
              </w:rPr>
              <w:t>Total investment income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6,914,169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6,848,443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12,713,579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13,674,919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Expenses:</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260"/>
              <w:spacing w:after="0"/>
              <w:rPr>
                <w:sz w:val="20"/>
                <w:szCs w:val="20"/>
                <w:color w:val="auto"/>
              </w:rPr>
            </w:pPr>
            <w:r>
              <w:rPr>
                <w:rFonts w:ascii="Arial" w:cs="Arial" w:eastAsia="Arial" w:hAnsi="Arial"/>
                <w:sz w:val="15"/>
                <w:szCs w:val="15"/>
                <w:color w:val="auto"/>
              </w:rPr>
              <w:t>Management fees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1,026,100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1,026,100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Performance-based incentive fees</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820" w:type="dxa"/>
            <w:vAlign w:val="bottom"/>
          </w:tcPr>
          <w:p>
            <w:pPr>
              <w:ind w:left="260"/>
              <w:spacing w:after="0"/>
              <w:rPr>
                <w:sz w:val="20"/>
                <w:szCs w:val="20"/>
                <w:color w:val="auto"/>
              </w:rPr>
            </w:pPr>
            <w:r>
              <w:rPr>
                <w:rFonts w:ascii="Arial" w:cs="Arial" w:eastAsia="Arial" w:hAnsi="Arial"/>
                <w:sz w:val="15"/>
                <w:szCs w:val="15"/>
                <w:color w:val="auto"/>
              </w:rPr>
              <w:t>Interest and amortization of debt issuance costs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1,982,431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1,847,432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3,783,357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3,711,280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Compensation</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1,005,050</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3,688,578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2,212,387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260"/>
              <w:spacing w:after="0"/>
              <w:rPr>
                <w:sz w:val="20"/>
                <w:szCs w:val="20"/>
                <w:color w:val="auto"/>
              </w:rPr>
            </w:pPr>
            <w:r>
              <w:rPr>
                <w:rFonts w:ascii="Arial" w:cs="Arial" w:eastAsia="Arial" w:hAnsi="Arial"/>
                <w:sz w:val="15"/>
                <w:szCs w:val="15"/>
                <w:color w:val="auto"/>
              </w:rPr>
              <w:t>Professional fees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514,523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906,965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2,182,645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1,621,375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Insurance</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359,449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79,726</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448,099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157,748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260"/>
              <w:spacing w:after="0"/>
              <w:rPr>
                <w:sz w:val="20"/>
                <w:szCs w:val="20"/>
                <w:color w:val="auto"/>
              </w:rPr>
            </w:pPr>
            <w:r>
              <w:rPr>
                <w:rFonts w:ascii="Arial" w:cs="Arial" w:eastAsia="Arial" w:hAnsi="Arial"/>
                <w:sz w:val="15"/>
                <w:szCs w:val="15"/>
                <w:color w:val="auto"/>
              </w:rPr>
              <w:t>Administrative services expense</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409,600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409,600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general and administrative expenses</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311,296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480,351</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1,059,615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982,466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260"/>
              <w:spacing w:after="0"/>
              <w:rPr>
                <w:sz w:val="20"/>
                <w:szCs w:val="20"/>
                <w:color w:val="auto"/>
              </w:rPr>
            </w:pPr>
            <w:r>
              <w:rPr>
                <w:rFonts w:ascii="Arial" w:cs="Arial" w:eastAsia="Arial" w:hAnsi="Arial"/>
                <w:sz w:val="15"/>
                <w:szCs w:val="15"/>
                <w:color w:val="auto"/>
              </w:rPr>
              <w:t>Impairment of operating lease right-of-use asset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1,431,030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1,431,030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5820" w:type="dxa"/>
            <w:vAlign w:val="bottom"/>
            <w:tcBorders>
              <w:top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expenses</w:t>
            </w:r>
          </w:p>
        </w:tc>
        <w:tc>
          <w:tcPr>
            <w:tcW w:w="8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6,034,429</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4,319,524</w:t>
            </w:r>
          </w:p>
        </w:tc>
        <w:tc>
          <w:tcPr>
            <w:tcW w:w="12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14,029,024</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8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8,685,256</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20" w:type="dxa"/>
            <w:vAlign w:val="bottom"/>
          </w:tcPr>
          <w:p>
            <w:pPr>
              <w:ind w:left="260"/>
              <w:spacing w:after="0" w:line="169" w:lineRule="exact"/>
              <w:rPr>
                <w:sz w:val="20"/>
                <w:szCs w:val="20"/>
                <w:color w:val="auto"/>
              </w:rPr>
            </w:pPr>
            <w:r>
              <w:rPr>
                <w:rFonts w:ascii="Arial" w:cs="Arial" w:eastAsia="Arial" w:hAnsi="Arial"/>
                <w:sz w:val="15"/>
                <w:szCs w:val="15"/>
                <w:color w:val="auto"/>
              </w:rPr>
              <w:t>Management and performance-based incentive fees waived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5820" w:type="dxa"/>
            <w:vAlign w:val="bottom"/>
            <w:tcBorders>
              <w:top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Net Expenses</w:t>
            </w:r>
          </w:p>
        </w:tc>
        <w:tc>
          <w:tcPr>
            <w:tcW w:w="8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6,034,429</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4,319,524</w:t>
            </w:r>
          </w:p>
        </w:tc>
        <w:tc>
          <w:tcPr>
            <w:tcW w:w="12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14,029,024</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8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8,685,256</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line="169" w:lineRule="exact"/>
              <w:rPr>
                <w:sz w:val="20"/>
                <w:szCs w:val="20"/>
                <w:color w:val="auto"/>
              </w:rPr>
            </w:pPr>
            <w:r>
              <w:rPr>
                <w:rFonts w:ascii="Arial" w:cs="Arial" w:eastAsia="Arial" w:hAnsi="Arial"/>
                <w:sz w:val="15"/>
                <w:szCs w:val="15"/>
                <w:b w:val="1"/>
                <w:bCs w:val="1"/>
                <w:color w:val="auto"/>
              </w:rPr>
              <w:t>Net Investment (Loss) Income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879,740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2,528,919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(1,315,445)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4,989,663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Realized And Unrealized (Losses) Gains On Investments:</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260"/>
              <w:spacing w:after="0"/>
              <w:rPr>
                <w:sz w:val="20"/>
                <w:szCs w:val="20"/>
                <w:color w:val="auto"/>
              </w:rPr>
            </w:pPr>
            <w:r>
              <w:rPr>
                <w:rFonts w:ascii="Arial" w:cs="Arial" w:eastAsia="Arial" w:hAnsi="Arial"/>
                <w:sz w:val="15"/>
                <w:szCs w:val="15"/>
                <w:color w:val="auto"/>
              </w:rPr>
              <w:t>Net realized (losses) gains from investment transactions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(2,270,962)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(3,671)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(15,620,391)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(571)</w:t>
            </w:r>
          </w:p>
        </w:tc>
        <w:tc>
          <w:tcPr>
            <w:tcW w:w="0" w:type="dxa"/>
            <w:vAlign w:val="bottom"/>
          </w:tcPr>
          <w:p>
            <w:pPr>
              <w:spacing w:after="0"/>
              <w:rPr>
                <w:sz w:val="1"/>
                <w:szCs w:val="1"/>
                <w:color w:val="auto"/>
              </w:rPr>
            </w:pPr>
          </w:p>
        </w:tc>
      </w:tr>
      <w:tr>
        <w:trPr>
          <w:trHeight w:val="176"/>
        </w:trPr>
        <w:tc>
          <w:tcPr>
            <w:tcW w:w="5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change in unrealized (depreciation) appreciation on:</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500"/>
              <w:spacing w:after="0"/>
              <w:rPr>
                <w:sz w:val="20"/>
                <w:szCs w:val="20"/>
                <w:color w:val="auto"/>
              </w:rPr>
            </w:pPr>
            <w:r>
              <w:rPr>
                <w:rFonts w:ascii="Arial" w:cs="Arial" w:eastAsia="Arial" w:hAnsi="Arial"/>
                <w:sz w:val="15"/>
                <w:szCs w:val="15"/>
                <w:color w:val="auto"/>
              </w:rPr>
              <w:t>Debt securities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2,305,906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(682,477)</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4,205,770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(1,125,361)</w:t>
            </w:r>
          </w:p>
        </w:tc>
        <w:tc>
          <w:tcPr>
            <w:tcW w:w="0" w:type="dxa"/>
            <w:vAlign w:val="bottom"/>
          </w:tcPr>
          <w:p>
            <w:pPr>
              <w:spacing w:after="0"/>
              <w:rPr>
                <w:sz w:val="1"/>
                <w:szCs w:val="1"/>
                <w:color w:val="auto"/>
              </w:rPr>
            </w:pPr>
          </w:p>
        </w:tc>
      </w:tr>
      <w:tr>
        <w:trPr>
          <w:trHeight w:val="176"/>
        </w:trPr>
        <w:tc>
          <w:tcPr>
            <w:tcW w:w="58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Equity securities</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151,619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(227,169)</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(4,899,412)</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(163,573)</w:t>
            </w:r>
          </w:p>
        </w:tc>
        <w:tc>
          <w:tcPr>
            <w:tcW w:w="0" w:type="dxa"/>
            <w:vAlign w:val="bottom"/>
          </w:tcPr>
          <w:p>
            <w:pPr>
              <w:spacing w:after="0"/>
              <w:rPr>
                <w:sz w:val="1"/>
                <w:szCs w:val="1"/>
                <w:color w:val="auto"/>
              </w:rPr>
            </w:pPr>
          </w:p>
        </w:tc>
      </w:tr>
      <w:tr>
        <w:trPr>
          <w:trHeight w:val="176"/>
        </w:trPr>
        <w:tc>
          <w:tcPr>
            <w:tcW w:w="5820" w:type="dxa"/>
            <w:vAlign w:val="bottom"/>
          </w:tcPr>
          <w:p>
            <w:pPr>
              <w:ind w:left="500"/>
              <w:spacing w:after="0"/>
              <w:rPr>
                <w:sz w:val="20"/>
                <w:szCs w:val="20"/>
                <w:color w:val="auto"/>
              </w:rPr>
            </w:pPr>
            <w:r>
              <w:rPr>
                <w:rFonts w:ascii="Arial" w:cs="Arial" w:eastAsia="Arial" w:hAnsi="Arial"/>
                <w:sz w:val="15"/>
                <w:szCs w:val="15"/>
                <w:color w:val="auto"/>
              </w:rPr>
              <w:t>CLO Fund Securities managed by affiliates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(532,566)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(787,433)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(615,135)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(1,008,252)</w:t>
            </w:r>
          </w:p>
        </w:tc>
        <w:tc>
          <w:tcPr>
            <w:tcW w:w="0" w:type="dxa"/>
            <w:vAlign w:val="bottom"/>
          </w:tcPr>
          <w:p>
            <w:pPr>
              <w:spacing w:after="0"/>
              <w:rPr>
                <w:sz w:val="1"/>
                <w:szCs w:val="1"/>
                <w:color w:val="auto"/>
              </w:rPr>
            </w:pPr>
          </w:p>
        </w:tc>
      </w:tr>
      <w:tr>
        <w:trPr>
          <w:trHeight w:val="176"/>
        </w:trPr>
        <w:tc>
          <w:tcPr>
            <w:tcW w:w="58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CLO Fund Securities managed by non-affiliates</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(66,680)</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(154,059)</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2,476,572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195,296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500"/>
              <w:spacing w:after="0"/>
              <w:rPr>
                <w:sz w:val="20"/>
                <w:szCs w:val="20"/>
                <w:color w:val="auto"/>
              </w:rPr>
            </w:pPr>
            <w:r>
              <w:rPr>
                <w:rFonts w:ascii="Arial" w:cs="Arial" w:eastAsia="Arial" w:hAnsi="Arial"/>
                <w:sz w:val="15"/>
                <w:szCs w:val="15"/>
                <w:color w:val="auto"/>
              </w:rPr>
              <w:t>Asset Manager Affiliates investments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(1,310,000)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(996,000)</w:t>
            </w:r>
          </w:p>
        </w:tc>
        <w:tc>
          <w:tcPr>
            <w:tcW w:w="0" w:type="dxa"/>
            <w:vAlign w:val="bottom"/>
          </w:tcPr>
          <w:p>
            <w:pPr>
              <w:spacing w:after="0"/>
              <w:rPr>
                <w:sz w:val="1"/>
                <w:szCs w:val="1"/>
                <w:color w:val="auto"/>
              </w:rPr>
            </w:pPr>
          </w:p>
        </w:tc>
      </w:tr>
      <w:tr>
        <w:trPr>
          <w:trHeight w:val="176"/>
        </w:trPr>
        <w:tc>
          <w:tcPr>
            <w:tcW w:w="58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Joint Venture Investments</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(1,315,379)</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(675,882)</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4,002,150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(424,506)</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500"/>
              <w:spacing w:after="0"/>
              <w:rPr>
                <w:sz w:val="20"/>
                <w:szCs w:val="20"/>
                <w:color w:val="auto"/>
              </w:rPr>
            </w:pPr>
            <w:r>
              <w:rPr>
                <w:rFonts w:ascii="Arial" w:cs="Arial" w:eastAsia="Arial" w:hAnsi="Arial"/>
                <w:sz w:val="15"/>
                <w:szCs w:val="15"/>
                <w:color w:val="auto"/>
              </w:rPr>
              <w:t>Total net change in unrealized appreciation (depreciation)</w:t>
            </w: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542,900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(3,837,020)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5,169,945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(3,522,396)</w:t>
            </w: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FF0FC"/>
          </w:tcPr>
          <w:p>
            <w:pPr>
              <w:ind w:left="260"/>
              <w:spacing w:after="0"/>
              <w:rPr>
                <w:sz w:val="20"/>
                <w:szCs w:val="20"/>
                <w:color w:val="auto"/>
              </w:rPr>
            </w:pPr>
            <w:r>
              <w:rPr>
                <w:rFonts w:ascii="Arial" w:cs="Arial" w:eastAsia="Arial" w:hAnsi="Arial"/>
                <w:sz w:val="15"/>
                <w:szCs w:val="15"/>
                <w:color w:val="auto"/>
              </w:rPr>
              <w:t>Net realized and unrealized (depreciation) appreciation on investments</w:t>
            </w: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(1,728,062)</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(3,840,691)</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(10,450,446)</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(3,522,967)</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5"/>
                <w:szCs w:val="15"/>
                <w:color w:val="auto"/>
              </w:rPr>
              <w:t>Realized losses on extinguishments of Debt</w:t>
            </w: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(169,074)</w:t>
            </w: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Net (Decrease) Increase In Stockholders’ Equity Resulting From Operations</w:t>
            </w: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3"/>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(848,322)</w:t>
            </w:r>
          </w:p>
        </w:tc>
        <w:tc>
          <w:tcPr>
            <w:tcW w:w="38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(1,311,772)</w:t>
            </w:r>
          </w:p>
        </w:tc>
        <w:tc>
          <w:tcPr>
            <w:tcW w:w="42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08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(11,765,891)</w:t>
            </w:r>
          </w:p>
        </w:tc>
        <w:tc>
          <w:tcPr>
            <w:tcW w:w="3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1,297,622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5"/>
                <w:szCs w:val="15"/>
                <w:color w:val="auto"/>
                <w:w w:val="94"/>
              </w:rPr>
              <w:t>Net (Decrease) Increase In Stockholders' Equity Resulting from Operations per Common</w:t>
            </w: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820" w:type="dxa"/>
            <w:vAlign w:val="bottom"/>
          </w:tcPr>
          <w:p>
            <w:pPr>
              <w:ind w:left="260"/>
              <w:spacing w:after="0"/>
              <w:rPr>
                <w:sz w:val="20"/>
                <w:szCs w:val="20"/>
                <w:color w:val="auto"/>
              </w:rPr>
            </w:pPr>
            <w:r>
              <w:rPr>
                <w:rFonts w:ascii="Arial" w:cs="Arial" w:eastAsia="Arial" w:hAnsi="Arial"/>
                <w:sz w:val="15"/>
                <w:szCs w:val="15"/>
                <w:color w:val="auto"/>
              </w:rPr>
              <w:t>Share:</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Basic:</w:t>
            </w:r>
          </w:p>
        </w:tc>
        <w:tc>
          <w:tcPr>
            <w:tcW w:w="340" w:type="dxa"/>
            <w:vAlign w:val="bottom"/>
            <w:gridSpan w:val="2"/>
            <w:shd w:val="clear" w:color="auto" w:fill="CFF0FC"/>
          </w:tcPr>
          <w:p>
            <w:pPr>
              <w:jc w:val="right"/>
              <w:ind w:right="103"/>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(0.02)</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(0.04)</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(0.32)</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500"/>
              <w:spacing w:after="0"/>
              <w:rPr>
                <w:sz w:val="20"/>
                <w:szCs w:val="20"/>
                <w:color w:val="auto"/>
              </w:rPr>
            </w:pPr>
            <w:r>
              <w:rPr>
                <w:rFonts w:ascii="Arial" w:cs="Arial" w:eastAsia="Arial" w:hAnsi="Arial"/>
                <w:sz w:val="15"/>
                <w:szCs w:val="15"/>
                <w:color w:val="auto"/>
              </w:rPr>
              <w:t>Diluted:</w:t>
            </w:r>
          </w:p>
        </w:tc>
        <w:tc>
          <w:tcPr>
            <w:tcW w:w="340" w:type="dxa"/>
            <w:vAlign w:val="bottom"/>
            <w:gridSpan w:val="2"/>
          </w:tcPr>
          <w:p>
            <w:pPr>
              <w:jc w:val="right"/>
              <w:ind w:right="103"/>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(0.02)</w:t>
            </w:r>
          </w:p>
        </w:tc>
        <w:tc>
          <w:tcPr>
            <w:tcW w:w="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(0.03)</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(0.32)</w:t>
            </w: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Investment (Loss) Income Per Common Share:</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500"/>
              <w:spacing w:after="0"/>
              <w:rPr>
                <w:sz w:val="20"/>
                <w:szCs w:val="20"/>
                <w:color w:val="auto"/>
              </w:rPr>
            </w:pPr>
            <w:r>
              <w:rPr>
                <w:rFonts w:ascii="Arial" w:cs="Arial" w:eastAsia="Arial" w:hAnsi="Arial"/>
                <w:sz w:val="15"/>
                <w:szCs w:val="15"/>
                <w:color w:val="auto"/>
              </w:rPr>
              <w:t>Basic:</w:t>
            </w:r>
          </w:p>
        </w:tc>
        <w:tc>
          <w:tcPr>
            <w:tcW w:w="340" w:type="dxa"/>
            <w:vAlign w:val="bottom"/>
            <w:gridSpan w:val="2"/>
          </w:tcPr>
          <w:p>
            <w:pPr>
              <w:jc w:val="right"/>
              <w:ind w:right="10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0.02</w:t>
            </w:r>
          </w:p>
        </w:tc>
        <w:tc>
          <w:tcPr>
            <w:tcW w:w="1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0.07</w:t>
            </w:r>
          </w:p>
        </w:tc>
        <w:tc>
          <w:tcPr>
            <w:tcW w:w="12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(0.04)</w:t>
            </w: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Diluted:</w:t>
            </w:r>
          </w:p>
        </w:tc>
        <w:tc>
          <w:tcPr>
            <w:tcW w:w="340" w:type="dxa"/>
            <w:vAlign w:val="bottom"/>
            <w:gridSpan w:val="2"/>
            <w:shd w:val="clear" w:color="auto" w:fill="CFF0FC"/>
          </w:tcPr>
          <w:p>
            <w:pPr>
              <w:jc w:val="right"/>
              <w:ind w:right="103"/>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0.02</w:t>
            </w:r>
          </w:p>
        </w:tc>
        <w:tc>
          <w:tcPr>
            <w:tcW w:w="14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0.07</w:t>
            </w:r>
          </w:p>
        </w:tc>
        <w:tc>
          <w:tcPr>
            <w:tcW w:w="1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(0.04)</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260"/>
              <w:spacing w:after="0"/>
              <w:rPr>
                <w:sz w:val="20"/>
                <w:szCs w:val="20"/>
                <w:color w:val="auto"/>
              </w:rPr>
            </w:pPr>
            <w:r>
              <w:rPr>
                <w:rFonts w:ascii="Arial" w:cs="Arial" w:eastAsia="Arial" w:hAnsi="Arial"/>
                <w:sz w:val="15"/>
                <w:szCs w:val="15"/>
                <w:color w:val="auto"/>
              </w:rPr>
              <w:t>Weighted Average Shares of Common Stock Outstanding—Basic</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37,349,371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37,363,038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37,342,272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37,356,759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Weighted Average Shares of Common Stock Outstanding—Diluted</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37,349,371</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37,363,038</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37,342,272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37,356,759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r>
        <w:rPr>
          <w:rFonts w:ascii="Arial" w:cs="Arial" w:eastAsia="Arial" w:hAnsi="Arial"/>
          <w:sz w:val="15"/>
          <w:szCs w:val="15"/>
          <w:b w:val="1"/>
          <w:bCs w:val="1"/>
          <w:color w:val="auto"/>
        </w:rPr>
        <w:t>(1)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Operations: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Net investment (loss) income</w:t>
            </w:r>
          </w:p>
        </w:tc>
        <w:tc>
          <w:tcPr>
            <w:tcW w:w="1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(1,315,445)</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4,989,663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 gains from investment transactions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(15,620,391)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Realized losses from extinguishments of debt</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(169,074)</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appreciation on investments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5,169,945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(3,522,396)</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(decrease) increase in stockholders’ equity resulting from operations</w:t>
            </w:r>
          </w:p>
        </w:tc>
        <w:tc>
          <w:tcPr>
            <w:tcW w:w="11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(11,765,891)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1,297,622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 distributions: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(7,466,254)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(7,434,120)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for:</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Dividend reinvestment plan</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129,789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102,099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(85,807)</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 based compensation</w:t>
            </w:r>
          </w:p>
        </w:tc>
        <w:tc>
          <w:tcPr>
            <w:tcW w:w="1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258,936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increase in net assets resulting from capital share transactions</w:t>
            </w:r>
          </w:p>
        </w:tc>
        <w:tc>
          <w:tcPr>
            <w:tcW w:w="1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388,725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477,185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assets at beginning of period</w:t>
            </w:r>
          </w:p>
        </w:tc>
        <w:tc>
          <w:tcPr>
            <w:tcW w:w="1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158,021,011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181,804,576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at end of period</w:t>
            </w:r>
          </w:p>
        </w:tc>
        <w:tc>
          <w:tcPr>
            <w:tcW w:w="1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139,177,591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176,145,264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Net asset value per common share</w:t>
            </w: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Common shares outstanding at end of period</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37,356,061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37,341,924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500" w:right="2520" w:hanging="3492"/>
        <w:spacing w:after="0" w:line="505" w:lineRule="auto"/>
        <w:tabs>
          <w:tab w:leader="none" w:pos="448" w:val="left"/>
        </w:tabs>
        <w:numPr>
          <w:ilvl w:val="0"/>
          <w:numId w:val="5"/>
        </w:numPr>
        <w:rPr>
          <w:rFonts w:ascii="Arial" w:cs="Arial" w:eastAsia="Arial" w:hAnsi="Arial"/>
          <w:sz w:val="17"/>
          <w:szCs w:val="17"/>
          <w:color w:val="auto"/>
        </w:rPr>
      </w:pPr>
      <w:r>
        <w:rPr>
          <w:rFonts w:ascii="Arial" w:cs="Arial" w:eastAsia="Arial" w:hAnsi="Arial"/>
          <w:sz w:val="17"/>
          <w:szCs w:val="17"/>
          <w:color w:val="auto"/>
        </w:rPr>
        <w:t>Refer to note 10 "Stockholders' Equity" for additional information on changes in components of Stockholders' Equity See accompanying 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gridSpan w:val="5"/>
          </w:tcPr>
          <w:p>
            <w:pPr>
              <w:jc w:val="right"/>
              <w:ind w:right="90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OPERATING ACTIVITIES:</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60"/>
              <w:spacing w:after="0"/>
              <w:rPr>
                <w:sz w:val="20"/>
                <w:szCs w:val="20"/>
                <w:color w:val="auto"/>
              </w:rPr>
            </w:pPr>
            <w:r>
              <w:rPr>
                <w:rFonts w:ascii="Arial" w:cs="Arial" w:eastAsia="Arial" w:hAnsi="Arial"/>
                <w:sz w:val="16"/>
                <w:szCs w:val="16"/>
                <w:color w:val="auto"/>
              </w:rPr>
              <w:t>Net (decrease) increase in stockholder's equity resulting from operations</w:t>
            </w: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(11,765,891)</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1,297,622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4"/>
              </w:rPr>
              <w:t>Adjustments to reconcile net (decrease) increase in stockholder’s equity resulting from operations to net cash</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(used in) provided by in operations:</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Net realized losses (gains) on investment transactions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15,620,391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change in unrealized appreciation from investments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(5,169,945)</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3,522,396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Purchases of investments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(59,016,697)</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(61,534,043)</w:t>
            </w: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sales and redemptions of investments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35,658,265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100,935,386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Net accretion of investments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(3,392,422)</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(3,998,143)</w:t>
            </w: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475,507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424,938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Realized losses on extinguishments of debt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169,074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Operating lease impairment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1,431,030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Net amortization of operating lease</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55,174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Payment-in-kind interest income</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(13,542)</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(732,053)</w:t>
            </w: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258,936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460,893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Increase (decrease) in payable for open trades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14,826,295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(33,439,015)</w:t>
            </w: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(Increase) Decrease in receivable for open trades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(10,457,443)</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2,993,750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Decrease (increase) in interest and dividends receivable</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467,574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(469,587)</w:t>
            </w: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Increase in accrued interest payable</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1,255,066</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90,664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(Increase) decrease in other assets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(587,311)</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52,185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Decrease (increase) in due from affiliates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311,863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87,858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Increase in management and incentive fees payable</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672,951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(16,393)</w:t>
            </w: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(Decrease) increase in due to affiliates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1,026,100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Decrease (increase) in accounts payable and accrued expenses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1,429,687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(768,275)</w:t>
            </w:r>
          </w:p>
        </w:tc>
        <w:tc>
          <w:tcPr>
            <w:tcW w:w="0" w:type="dxa"/>
            <w:vAlign w:val="bottom"/>
          </w:tcPr>
          <w:p>
            <w:pPr>
              <w:spacing w:after="0"/>
              <w:rPr>
                <w:sz w:val="1"/>
                <w:szCs w:val="1"/>
                <w:color w:val="auto"/>
              </w:rPr>
            </w:pPr>
          </w:p>
        </w:tc>
      </w:tr>
      <w:tr>
        <w:trPr>
          <w:trHeight w:val="20"/>
        </w:trPr>
        <w:tc>
          <w:tcPr>
            <w:tcW w:w="760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(used in) provided by operating activities</w:t>
            </w: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6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(16,914,412)</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9,077,828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spacing w:after="0"/>
              <w:rPr>
                <w:sz w:val="20"/>
                <w:szCs w:val="20"/>
                <w:color w:val="auto"/>
              </w:rPr>
            </w:pPr>
            <w:r>
              <w:rPr>
                <w:rFonts w:ascii="Arial" w:cs="Arial" w:eastAsia="Arial" w:hAnsi="Arial"/>
                <w:sz w:val="16"/>
                <w:szCs w:val="16"/>
                <w:color w:val="auto"/>
              </w:rPr>
              <w:t>FINANCING ACTIVITIES: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Debt issuance costs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(372,150)</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(1,379,899)</w:t>
            </w: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Issuance (forfeitures) of restricted shares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Common stock withheld for payroll taxes upon vesting of restricted stock</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(85,807)</w:t>
            </w: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Distributions to stockholders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(7,336,465)</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(7,332,021)</w:t>
            </w: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Repayment 7.375 Notes Due 2019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(20,000,000)</w:t>
            </w: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Borrowings under Great Lakes KCAP Funding LLC, Revolving Credit Facility</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45,000,000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Repayment of Great Lakes KCAP Funding LLC, Revolving Credit Facility</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(25,997,274)</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(5,839,813)</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74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11,294,111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(7,637,560)</w:t>
            </w:r>
          </w:p>
        </w:tc>
        <w:tc>
          <w:tcPr>
            <w:tcW w:w="0" w:type="dxa"/>
            <w:vAlign w:val="bottom"/>
          </w:tcPr>
          <w:p>
            <w:pPr>
              <w:spacing w:after="0"/>
              <w:rPr>
                <w:sz w:val="1"/>
                <w:szCs w:val="1"/>
                <w:color w:val="auto"/>
              </w:rPr>
            </w:pPr>
          </w:p>
        </w:tc>
      </w:tr>
      <w:tr>
        <w:trPr>
          <w:trHeight w:val="20"/>
        </w:trPr>
        <w:tc>
          <w:tcPr>
            <w:tcW w:w="76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CHANGE IN CASH AND RESTRICTED CASH</w:t>
            </w: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6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(5,620,300)</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1,440,268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RESTRICTED CASH, BEGINNING OF PERIOD</w:t>
            </w:r>
          </w:p>
        </w:tc>
        <w:tc>
          <w:tcPr>
            <w:tcW w:w="2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9,324,466</w:t>
            </w: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2,034,095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CASH AND RESTRICTED CASH, END OF PERIOD</w:t>
            </w: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3,704,166</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3,474,363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Supplemental Information:</w:t>
            </w: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Interest paid during the period</w:t>
            </w: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1,570,418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3,195,678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Dividends paid during the period under the dividend reinvestment plan</w:t>
            </w: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129,789</w:t>
            </w:r>
          </w:p>
        </w:tc>
        <w:tc>
          <w:tcPr>
            <w:tcW w:w="28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102,099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Supplemental non-cash information:</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Realized loss on Asset Manager Affiliates</w:t>
            </w: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3,470,000</w:t>
            </w:r>
          </w:p>
        </w:tc>
        <w:tc>
          <w:tcPr>
            <w:tcW w:w="28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Amounts per balance sheet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Cash</w:t>
            </w: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236,828</w:t>
            </w:r>
          </w:p>
        </w:tc>
        <w:tc>
          <w:tcPr>
            <w:tcW w:w="28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2,451,249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Restricted cash</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3,467,338</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1,023,114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600" w:type="dxa"/>
            <w:vAlign w:val="bottom"/>
          </w:tcPr>
          <w:p>
            <w:pPr>
              <w:ind w:left="500"/>
              <w:spacing w:after="0"/>
              <w:rPr>
                <w:sz w:val="20"/>
                <w:szCs w:val="20"/>
                <w:color w:val="auto"/>
              </w:rPr>
            </w:pPr>
            <w:r>
              <w:rPr>
                <w:rFonts w:ascii="Arial" w:cs="Arial" w:eastAsia="Arial" w:hAnsi="Arial"/>
                <w:sz w:val="16"/>
                <w:szCs w:val="16"/>
                <w:color w:val="auto"/>
              </w:rPr>
              <w:t>Total Cash and Restricted cash</w:t>
            </w: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3,704,166</w:t>
            </w:r>
          </w:p>
        </w:tc>
        <w:tc>
          <w:tcPr>
            <w:tcW w:w="28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3,474,363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ectPr>
          <w:pgSz w:w="11900" w:h="16838" w:orient="portrait"/>
          <w:cols w:equalWidth="0" w:num="1">
            <w:col w:w="11420"/>
          </w:cols>
          <w:pgMar w:left="240" w:top="121" w:right="239" w:bottom="1440" w:gutter="0" w:footer="0" w:header="0"/>
        </w:sectPr>
      </w:pP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rPr>
          <w:sz w:val="20"/>
          <w:szCs w:val="20"/>
          <w:color w:val="auto"/>
        </w:rPr>
      </w:pPr>
      <w:r>
        <w:rPr>
          <w:rFonts w:ascii="Arial" w:cs="Arial" w:eastAsia="Arial" w:hAnsi="Arial"/>
          <w:sz w:val="13"/>
          <w:szCs w:val="13"/>
          <w:b w:val="1"/>
          <w:bCs w:val="1"/>
          <w:color w:val="auto"/>
        </w:rPr>
        <w:t>Principal Business</w:t>
      </w:r>
    </w:p>
    <w:p>
      <w:pPr>
        <w:spacing w:after="0" w:line="236" w:lineRule="auto"/>
        <w:rPr>
          <w:sz w:val="20"/>
          <w:szCs w:val="20"/>
          <w:color w:val="auto"/>
        </w:rPr>
      </w:pPr>
      <w:r>
        <w:rPr>
          <w:rFonts w:ascii="Arial" w:cs="Arial" w:eastAsia="Arial" w:hAnsi="Arial"/>
          <w:sz w:val="13"/>
          <w:szCs w:val="13"/>
          <w:color w:val="auto"/>
        </w:rPr>
        <w:t>Advanced Lighting Technologies, Inc.</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Consumer goods: Durable</w:t>
      </w: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color w:val="auto"/>
        </w:rPr>
        <w:t>Akumin Corp.</w:t>
      </w:r>
    </w:p>
    <w:p>
      <w:pPr>
        <w:ind w:left="160"/>
        <w:spacing w:after="0"/>
        <w:rPr>
          <w:sz w:val="20"/>
          <w:szCs w:val="20"/>
          <w:color w:val="auto"/>
        </w:rPr>
      </w:pPr>
      <w:r>
        <w:rPr>
          <w:rFonts w:ascii="Arial" w:cs="Arial" w:eastAsia="Arial" w:hAnsi="Arial"/>
          <w:sz w:val="13"/>
          <w:szCs w:val="13"/>
          <w:color w:val="auto"/>
        </w:rPr>
        <w:t>Healthcare &amp; Pharmaceuticals</w:t>
      </w:r>
    </w:p>
    <w:p>
      <w:pPr>
        <w:spacing w:after="0" w:line="273" w:lineRule="exact"/>
        <w:rPr>
          <w:sz w:val="20"/>
          <w:szCs w:val="20"/>
          <w:color w:val="auto"/>
        </w:rPr>
      </w:pPr>
    </w:p>
    <w:p>
      <w:pPr>
        <w:ind w:left="160" w:hanging="157"/>
        <w:spacing w:after="0" w:line="320" w:lineRule="auto"/>
        <w:rPr>
          <w:sz w:val="20"/>
          <w:szCs w:val="20"/>
          <w:color w:val="auto"/>
        </w:rPr>
      </w:pPr>
      <w:r>
        <w:rPr>
          <w:rFonts w:ascii="Arial" w:cs="Arial" w:eastAsia="Arial" w:hAnsi="Arial"/>
          <w:sz w:val="11"/>
          <w:szCs w:val="11"/>
          <w:color w:val="auto"/>
        </w:rPr>
        <w:t>BMC Acquisition, Inc. (aka BenefitMall) Banking, Finance, Insurance &amp; Real Estate</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Bristol Hospice, L.L.C.</w:t>
      </w:r>
    </w:p>
    <w:p>
      <w:pPr>
        <w:ind w:left="160"/>
        <w:spacing w:after="0"/>
        <w:rPr>
          <w:sz w:val="20"/>
          <w:szCs w:val="20"/>
          <w:color w:val="auto"/>
        </w:rPr>
      </w:pPr>
      <w:r>
        <w:rPr>
          <w:rFonts w:ascii="Arial" w:cs="Arial" w:eastAsia="Arial" w:hAnsi="Arial"/>
          <w:sz w:val="13"/>
          <w:szCs w:val="13"/>
          <w:color w:val="auto"/>
        </w:rPr>
        <w:t>Healthcare &amp; Pharmaceuticals</w:t>
      </w: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color w:val="auto"/>
        </w:rPr>
        <w:t>BW NHHC Holdco Inc.</w:t>
      </w:r>
    </w:p>
    <w:p>
      <w:pPr>
        <w:ind w:left="160"/>
        <w:spacing w:after="0"/>
        <w:rPr>
          <w:sz w:val="20"/>
          <w:szCs w:val="20"/>
          <w:color w:val="auto"/>
        </w:rPr>
      </w:pPr>
      <w:r>
        <w:rPr>
          <w:rFonts w:ascii="Arial" w:cs="Arial" w:eastAsia="Arial" w:hAnsi="Arial"/>
          <w:sz w:val="13"/>
          <w:szCs w:val="13"/>
          <w:color w:val="auto"/>
        </w:rPr>
        <w:t>Healthcare &amp; Pharmaceuticals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Carestream Health, Inc.</w:t>
      </w:r>
    </w:p>
    <w:p>
      <w:pPr>
        <w:ind w:left="160"/>
        <w:spacing w:after="0"/>
        <w:rPr>
          <w:sz w:val="20"/>
          <w:szCs w:val="20"/>
          <w:color w:val="auto"/>
        </w:rPr>
      </w:pPr>
      <w:r>
        <w:rPr>
          <w:rFonts w:ascii="Arial" w:cs="Arial" w:eastAsia="Arial" w:hAnsi="Arial"/>
          <w:sz w:val="13"/>
          <w:szCs w:val="13"/>
          <w:color w:val="auto"/>
        </w:rPr>
        <w:t>Healthcare &amp; Pharmaceuticals</w:t>
      </w: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color w:val="auto"/>
        </w:rPr>
        <w:t>Child Development Schools, Inc.</w:t>
      </w:r>
    </w:p>
    <w:p>
      <w:pPr>
        <w:ind w:left="160"/>
        <w:spacing w:after="0"/>
        <w:rPr>
          <w:sz w:val="20"/>
          <w:szCs w:val="20"/>
          <w:color w:val="auto"/>
        </w:rPr>
      </w:pPr>
      <w:r>
        <w:rPr>
          <w:rFonts w:ascii="Arial" w:cs="Arial" w:eastAsia="Arial" w:hAnsi="Arial"/>
          <w:sz w:val="13"/>
          <w:szCs w:val="13"/>
          <w:color w:val="auto"/>
        </w:rPr>
        <w:t>Services: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(5)(8)(13)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1"/>
          <w:szCs w:val="11"/>
          <w:color w:val="auto"/>
        </w:rPr>
        <w:t>(8)(14)</w:t>
      </w:r>
    </w:p>
    <w:p>
      <w:pPr>
        <w:spacing w:after="0" w:line="157" w:lineRule="exact"/>
        <w:rPr>
          <w:sz w:val="20"/>
          <w:szCs w:val="20"/>
          <w:color w:val="auto"/>
        </w:rPr>
      </w:pPr>
    </w:p>
    <w:p>
      <w:pPr>
        <w:spacing w:after="0"/>
        <w:rPr>
          <w:sz w:val="20"/>
          <w:szCs w:val="20"/>
          <w:color w:val="auto"/>
        </w:rPr>
      </w:pPr>
      <w:r>
        <w:rPr>
          <w:rFonts w:ascii="Arial" w:cs="Arial" w:eastAsia="Arial" w:hAnsi="Arial"/>
          <w:sz w:val="10"/>
          <w:szCs w:val="10"/>
          <w:color w:val="auto"/>
        </w:rPr>
        <w:t>(8)(13)(14)</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0"/>
          <w:szCs w:val="10"/>
          <w:color w:val="auto"/>
        </w:rPr>
        <w:t>(8)(13)(14)</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0"/>
          <w:szCs w:val="10"/>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60"/>
        <w:spacing w:after="0"/>
        <w:rPr>
          <w:sz w:val="20"/>
          <w:szCs w:val="20"/>
          <w:color w:val="auto"/>
        </w:rPr>
      </w:pPr>
      <w:r>
        <w:rPr>
          <w:rFonts w:ascii="Arial" w:cs="Arial" w:eastAsia="Arial" w:hAnsi="Arial"/>
          <w:sz w:val="10"/>
          <w:szCs w:val="10"/>
          <w:color w:val="auto"/>
        </w:rPr>
        <w:t>(8)(13)</w:t>
      </w:r>
    </w:p>
    <w:p>
      <w:pPr>
        <w:spacing w:after="0" w:line="317" w:lineRule="exact"/>
        <w:rPr>
          <w:sz w:val="20"/>
          <w:szCs w:val="20"/>
          <w:color w:val="auto"/>
        </w:rPr>
      </w:pPr>
    </w:p>
    <w:p>
      <w:pPr>
        <w:jc w:val="center"/>
        <w:ind w:right="160"/>
        <w:spacing w:after="0"/>
        <w:rPr>
          <w:sz w:val="20"/>
          <w:szCs w:val="20"/>
          <w:color w:val="auto"/>
        </w:rPr>
      </w:pPr>
      <w:r>
        <w:rPr>
          <w:rFonts w:ascii="Arial" w:cs="Arial" w:eastAsia="Arial" w:hAnsi="Arial"/>
          <w:sz w:val="10"/>
          <w:szCs w:val="10"/>
          <w:color w:val="auto"/>
        </w:rPr>
        <w:t>(8)(14)</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4"/>
              </w:rPr>
              <w:t>Initial</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3300" w:type="dxa"/>
            <w:vAlign w:val="bottom"/>
            <w:gridSpan w:val="2"/>
          </w:tcPr>
          <w:p>
            <w:pPr>
              <w:ind w:left="1260"/>
              <w:spacing w:after="0" w:line="135" w:lineRule="exact"/>
              <w:rPr>
                <w:sz w:val="20"/>
                <w:szCs w:val="20"/>
                <w:color w:val="auto"/>
              </w:rPr>
            </w:pPr>
            <w:r>
              <w:rPr>
                <w:rFonts w:ascii="Arial" w:cs="Arial" w:eastAsia="Arial" w:hAnsi="Arial"/>
                <w:sz w:val="13"/>
                <w:szCs w:val="13"/>
                <w:b w:val="1"/>
                <w:bCs w:val="1"/>
                <w:color w:val="auto"/>
              </w:rPr>
              <w:t>Investment</w:t>
            </w:r>
          </w:p>
        </w:tc>
        <w:tc>
          <w:tcPr>
            <w:tcW w:w="140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8"/>
              </w:rPr>
              <w:t>Amortized</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3"/>
        </w:trPr>
        <w:tc>
          <w:tcPr>
            <w:tcW w:w="3300" w:type="dxa"/>
            <w:vAlign w:val="bottom"/>
            <w:gridSpan w:val="2"/>
          </w:tcPr>
          <w:p>
            <w:pPr>
              <w:ind w:left="86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4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Date</w:t>
            </w:r>
          </w:p>
        </w:tc>
        <w:tc>
          <w:tcPr>
            <w:tcW w:w="840" w:type="dxa"/>
            <w:vAlign w:val="bottom"/>
          </w:tcPr>
          <w:p>
            <w:pPr>
              <w:jc w:val="right"/>
              <w:ind w:right="197"/>
              <w:spacing w:after="0"/>
              <w:rPr>
                <w:sz w:val="20"/>
                <w:szCs w:val="20"/>
                <w:color w:val="auto"/>
              </w:rPr>
            </w:pPr>
            <w:r>
              <w:rPr>
                <w:rFonts w:ascii="Arial" w:cs="Arial" w:eastAsia="Arial" w:hAnsi="Arial"/>
                <w:sz w:val="13"/>
                <w:szCs w:val="13"/>
                <w:b w:val="1"/>
                <w:bCs w:val="1"/>
                <w:color w:val="auto"/>
              </w:rPr>
              <w:t>Principal</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2"/>
              </w:rPr>
              <w:t>Cost</w:t>
            </w:r>
          </w:p>
        </w:tc>
        <w:tc>
          <w:tcPr>
            <w:tcW w:w="120" w:type="dxa"/>
            <w:vAlign w:val="bottom"/>
          </w:tcPr>
          <w:p>
            <w:pPr>
              <w:spacing w:after="0"/>
              <w:rPr>
                <w:sz w:val="13"/>
                <w:szCs w:val="13"/>
                <w:color w:val="auto"/>
              </w:rPr>
            </w:pPr>
          </w:p>
        </w:tc>
        <w:tc>
          <w:tcPr>
            <w:tcW w:w="880" w:type="dxa"/>
            <w:vAlign w:val="bottom"/>
          </w:tcPr>
          <w:p>
            <w:pPr>
              <w:jc w:val="right"/>
              <w:ind w:right="137"/>
              <w:spacing w:after="0"/>
              <w:rPr>
                <w:sz w:val="20"/>
                <w:szCs w:val="20"/>
                <w:color w:val="auto"/>
              </w:rPr>
            </w:pPr>
            <w:r>
              <w:rPr>
                <w:rFonts w:ascii="Arial" w:cs="Arial" w:eastAsia="Arial" w:hAnsi="Arial"/>
                <w:sz w:val="13"/>
                <w:szCs w:val="13"/>
                <w:b w:val="1"/>
                <w:bCs w:val="1"/>
                <w:color w:val="auto"/>
                <w:w w:val="97"/>
              </w:rPr>
              <w:t>Fair Value</w:t>
            </w:r>
            <w:r>
              <w:rPr>
                <w:rFonts w:ascii="Arial" w:cs="Arial" w:eastAsia="Arial" w:hAnsi="Arial"/>
                <w:sz w:val="10"/>
                <w:szCs w:val="10"/>
                <w:b w:val="1"/>
                <w:bCs w:val="1"/>
                <w:color w:val="auto"/>
                <w:w w:val="97"/>
              </w:rPr>
              <w:t>2</w:t>
            </w:r>
          </w:p>
        </w:tc>
      </w:tr>
      <w:tr>
        <w:trPr>
          <w:trHeight w:val="128"/>
        </w:trPr>
        <w:tc>
          <w:tcPr>
            <w:tcW w:w="3160" w:type="dxa"/>
            <w:vAlign w:val="bottom"/>
            <w:tcBorders>
              <w:top w:val="single" w:sz="8" w:color="auto"/>
            </w:tcBorders>
          </w:tcPr>
          <w:p>
            <w:pPr>
              <w:spacing w:after="0" w:line="128" w:lineRule="exact"/>
              <w:rPr>
                <w:sz w:val="20"/>
                <w:szCs w:val="20"/>
                <w:color w:val="auto"/>
              </w:rPr>
            </w:pPr>
            <w:r>
              <w:rPr>
                <w:rFonts w:ascii="Arial" w:cs="Arial" w:eastAsia="Arial" w:hAnsi="Arial"/>
                <w:sz w:val="13"/>
                <w:szCs w:val="13"/>
                <w:color w:val="auto"/>
              </w:rPr>
              <w:t>Junior Secured Loan — Second Lien Notes</w:t>
            </w:r>
          </w:p>
        </w:tc>
        <w:tc>
          <w:tcPr>
            <w:tcW w:w="14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35"/>
        </w:trPr>
        <w:tc>
          <w:tcPr>
            <w:tcW w:w="3300" w:type="dxa"/>
            <w:vAlign w:val="bottom"/>
            <w:gridSpan w:val="2"/>
          </w:tcPr>
          <w:p>
            <w:pPr>
              <w:spacing w:after="0" w:line="135" w:lineRule="exact"/>
              <w:rPr>
                <w:sz w:val="20"/>
                <w:szCs w:val="20"/>
                <w:color w:val="auto"/>
              </w:rPr>
            </w:pPr>
            <w:r>
              <w:rPr>
                <w:rFonts w:ascii="Arial" w:cs="Arial" w:eastAsia="Arial" w:hAnsi="Arial"/>
                <w:sz w:val="13"/>
                <w:szCs w:val="13"/>
                <w:color w:val="auto"/>
                <w:w w:val="99"/>
              </w:rPr>
              <w:t>9.3% Cash, 10.0% PIK, 3 month LIBOR(2.29%) + 7.00%;</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0"/>
        </w:trPr>
        <w:tc>
          <w:tcPr>
            <w:tcW w:w="3300" w:type="dxa"/>
            <w:vAlign w:val="bottom"/>
            <w:gridSpan w:val="2"/>
          </w:tcPr>
          <w:p>
            <w:pPr>
              <w:spacing w:after="0"/>
              <w:rPr>
                <w:sz w:val="20"/>
                <w:szCs w:val="20"/>
                <w:color w:val="auto"/>
              </w:rPr>
            </w:pPr>
            <w:r>
              <w:rPr>
                <w:rFonts w:ascii="Arial" w:cs="Arial" w:eastAsia="Arial" w:hAnsi="Arial"/>
                <w:sz w:val="13"/>
                <w:szCs w:val="13"/>
                <w:color w:val="auto"/>
              </w:rPr>
              <w:t>LIBOR Floor 1.00% , Due 10/23</w:t>
            </w:r>
          </w:p>
        </w:tc>
        <w:tc>
          <w:tcPr>
            <w:tcW w:w="1400" w:type="dxa"/>
            <w:vAlign w:val="bottom"/>
            <w:gridSpan w:val="3"/>
          </w:tcPr>
          <w:p>
            <w:pPr>
              <w:jc w:val="right"/>
              <w:ind w:right="80"/>
              <w:spacing w:after="0"/>
              <w:rPr>
                <w:sz w:val="20"/>
                <w:szCs w:val="20"/>
                <w:color w:val="auto"/>
              </w:rPr>
            </w:pPr>
            <w:r>
              <w:rPr>
                <w:rFonts w:ascii="Arial" w:cs="Arial" w:eastAsia="Arial" w:hAnsi="Arial"/>
                <w:sz w:val="13"/>
                <w:szCs w:val="13"/>
                <w:color w:val="auto"/>
              </w:rPr>
              <w:t>6/13/2012   $</w:t>
            </w:r>
          </w:p>
        </w:tc>
        <w:tc>
          <w:tcPr>
            <w:tcW w:w="840" w:type="dxa"/>
            <w:vAlign w:val="bottom"/>
          </w:tcPr>
          <w:p>
            <w:pPr>
              <w:jc w:val="right"/>
              <w:spacing w:after="0"/>
              <w:rPr>
                <w:sz w:val="20"/>
                <w:szCs w:val="20"/>
                <w:color w:val="auto"/>
              </w:rPr>
            </w:pPr>
            <w:r>
              <w:rPr>
                <w:rFonts w:ascii="Arial" w:cs="Arial" w:eastAsia="Arial" w:hAnsi="Arial"/>
                <w:sz w:val="13"/>
                <w:szCs w:val="13"/>
                <w:color w:val="auto"/>
              </w:rPr>
              <w:t>1,108,051</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1,078,343</w:t>
            </w:r>
          </w:p>
        </w:tc>
        <w:tc>
          <w:tcPr>
            <w:tcW w:w="26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2,474</w:t>
            </w:r>
          </w:p>
        </w:tc>
      </w:tr>
      <w:tr>
        <w:trPr>
          <w:trHeight w:val="272"/>
        </w:trPr>
        <w:tc>
          <w:tcPr>
            <w:tcW w:w="3300" w:type="dxa"/>
            <w:vAlign w:val="bottom"/>
            <w:gridSpan w:val="2"/>
          </w:tcPr>
          <w:p>
            <w:pPr>
              <w:spacing w:after="0"/>
              <w:rPr>
                <w:sz w:val="20"/>
                <w:szCs w:val="20"/>
                <w:color w:val="auto"/>
              </w:rPr>
            </w:pPr>
            <w:r>
              <w:rPr>
                <w:rFonts w:ascii="Arial" w:cs="Arial" w:eastAsia="Arial" w:hAnsi="Arial"/>
                <w:sz w:val="13"/>
                <w:szCs w:val="13"/>
                <w:color w:val="auto"/>
              </w:rPr>
              <w:t>Senior Secured Loan — Term B Loan</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5"/>
        </w:trPr>
        <w:tc>
          <w:tcPr>
            <w:tcW w:w="3300" w:type="dxa"/>
            <w:vAlign w:val="bottom"/>
            <w:gridSpan w:val="2"/>
          </w:tcPr>
          <w:p>
            <w:pPr>
              <w:spacing w:after="0" w:line="135" w:lineRule="exact"/>
              <w:rPr>
                <w:sz w:val="20"/>
                <w:szCs w:val="20"/>
                <w:color w:val="auto"/>
              </w:rPr>
            </w:pPr>
            <w:r>
              <w:rPr>
                <w:rFonts w:ascii="Arial" w:cs="Arial" w:eastAsia="Arial" w:hAnsi="Arial"/>
                <w:sz w:val="13"/>
                <w:szCs w:val="13"/>
                <w:color w:val="auto"/>
                <w:w w:val="97"/>
              </w:rPr>
              <w:t>8.4% Cash, 1 month LIBOR(2.44%) + 6.00%; LIBOR Floor</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0"/>
        </w:trPr>
        <w:tc>
          <w:tcPr>
            <w:tcW w:w="3300" w:type="dxa"/>
            <w:vAlign w:val="bottom"/>
            <w:gridSpan w:val="2"/>
          </w:tcPr>
          <w:p>
            <w:pPr>
              <w:spacing w:after="0"/>
              <w:rPr>
                <w:sz w:val="20"/>
                <w:szCs w:val="20"/>
                <w:color w:val="auto"/>
              </w:rPr>
            </w:pPr>
            <w:r>
              <w:rPr>
                <w:rFonts w:ascii="Arial" w:cs="Arial" w:eastAsia="Arial" w:hAnsi="Arial"/>
                <w:sz w:val="13"/>
                <w:szCs w:val="13"/>
                <w:color w:val="auto"/>
              </w:rPr>
              <w:t>1.00% , Due 5/24</w:t>
            </w:r>
          </w:p>
        </w:tc>
        <w:tc>
          <w:tcPr>
            <w:tcW w:w="1120" w:type="dxa"/>
            <w:vAlign w:val="bottom"/>
          </w:tcPr>
          <w:p>
            <w:pPr>
              <w:jc w:val="right"/>
              <w:spacing w:after="0"/>
              <w:rPr>
                <w:sz w:val="20"/>
                <w:szCs w:val="20"/>
                <w:color w:val="auto"/>
              </w:rPr>
            </w:pPr>
            <w:r>
              <w:rPr>
                <w:rFonts w:ascii="Arial" w:cs="Arial" w:eastAsia="Arial" w:hAnsi="Arial"/>
                <w:sz w:val="13"/>
                <w:szCs w:val="13"/>
                <w:color w:val="auto"/>
              </w:rPr>
              <w:t>5/31/2019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2,250,000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2,205,764</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2,205,000</w:t>
            </w:r>
          </w:p>
        </w:tc>
      </w:tr>
      <w:tr>
        <w:trPr>
          <w:trHeight w:val="272"/>
        </w:trPr>
        <w:tc>
          <w:tcPr>
            <w:tcW w:w="3300" w:type="dxa"/>
            <w:vAlign w:val="bottom"/>
            <w:gridSpan w:val="2"/>
          </w:tcPr>
          <w:p>
            <w:pPr>
              <w:spacing w:after="0"/>
              <w:rPr>
                <w:sz w:val="20"/>
                <w:szCs w:val="20"/>
                <w:color w:val="auto"/>
              </w:rPr>
            </w:pPr>
            <w:r>
              <w:rPr>
                <w:rFonts w:ascii="Arial" w:cs="Arial" w:eastAsia="Arial" w:hAnsi="Arial"/>
                <w:sz w:val="13"/>
                <w:szCs w:val="13"/>
                <w:color w:val="auto"/>
              </w:rPr>
              <w:t>Senior Secured Loan — Initial Term Loan</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5"/>
        </w:trPr>
        <w:tc>
          <w:tcPr>
            <w:tcW w:w="3300" w:type="dxa"/>
            <w:vAlign w:val="bottom"/>
            <w:gridSpan w:val="2"/>
          </w:tcPr>
          <w:p>
            <w:pPr>
              <w:spacing w:after="0" w:line="135" w:lineRule="exact"/>
              <w:rPr>
                <w:sz w:val="20"/>
                <w:szCs w:val="20"/>
                <w:color w:val="auto"/>
              </w:rPr>
            </w:pPr>
            <w:r>
              <w:rPr>
                <w:rFonts w:ascii="Arial" w:cs="Arial" w:eastAsia="Arial" w:hAnsi="Arial"/>
                <w:sz w:val="13"/>
                <w:szCs w:val="13"/>
                <w:color w:val="auto"/>
                <w:w w:val="97"/>
              </w:rPr>
              <w:t>7.9% Cash, 6 month LIBOR(2.65%) + 5.25%; LIBOR Floor</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0"/>
        </w:trPr>
        <w:tc>
          <w:tcPr>
            <w:tcW w:w="3300" w:type="dxa"/>
            <w:vAlign w:val="bottom"/>
            <w:gridSpan w:val="2"/>
          </w:tcPr>
          <w:p>
            <w:pPr>
              <w:spacing w:after="0"/>
              <w:rPr>
                <w:sz w:val="20"/>
                <w:szCs w:val="20"/>
                <w:color w:val="auto"/>
              </w:rPr>
            </w:pPr>
            <w:r>
              <w:rPr>
                <w:rFonts w:ascii="Arial" w:cs="Arial" w:eastAsia="Arial" w:hAnsi="Arial"/>
                <w:sz w:val="13"/>
                <w:szCs w:val="13"/>
                <w:color w:val="auto"/>
              </w:rPr>
              <w:t>1.00% , Due 12/24</w:t>
            </w:r>
          </w:p>
        </w:tc>
        <w:tc>
          <w:tcPr>
            <w:tcW w:w="1120" w:type="dxa"/>
            <w:vAlign w:val="bottom"/>
          </w:tcPr>
          <w:p>
            <w:pPr>
              <w:jc w:val="right"/>
              <w:spacing w:after="0"/>
              <w:rPr>
                <w:sz w:val="20"/>
                <w:szCs w:val="20"/>
                <w:color w:val="auto"/>
              </w:rPr>
            </w:pPr>
            <w:r>
              <w:rPr>
                <w:rFonts w:ascii="Arial" w:cs="Arial" w:eastAsia="Arial" w:hAnsi="Arial"/>
                <w:sz w:val="13"/>
                <w:szCs w:val="13"/>
                <w:color w:val="auto"/>
              </w:rPr>
              <w:t>1/2/2018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2,955,000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2,953,632</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2,913,031</w:t>
            </w:r>
          </w:p>
        </w:tc>
      </w:tr>
      <w:tr>
        <w:trPr>
          <w:trHeight w:val="272"/>
        </w:trPr>
        <w:tc>
          <w:tcPr>
            <w:tcW w:w="3300" w:type="dxa"/>
            <w:vAlign w:val="bottom"/>
            <w:gridSpan w:val="2"/>
          </w:tcPr>
          <w:p>
            <w:pPr>
              <w:spacing w:after="0"/>
              <w:rPr>
                <w:sz w:val="20"/>
                <w:szCs w:val="20"/>
                <w:color w:val="auto"/>
              </w:rPr>
            </w:pPr>
            <w:r>
              <w:rPr>
                <w:rFonts w:ascii="Arial" w:cs="Arial" w:eastAsia="Arial" w:hAnsi="Arial"/>
                <w:sz w:val="13"/>
                <w:szCs w:val="13"/>
                <w:color w:val="auto"/>
              </w:rPr>
              <w:t>Junior Secured Loan — Initial Term Loan (Second Lien)</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5"/>
        </w:trPr>
        <w:tc>
          <w:tcPr>
            <w:tcW w:w="3300" w:type="dxa"/>
            <w:vAlign w:val="bottom"/>
            <w:gridSpan w:val="2"/>
          </w:tcPr>
          <w:p>
            <w:pPr>
              <w:spacing w:after="0" w:line="135" w:lineRule="exact"/>
              <w:rPr>
                <w:sz w:val="20"/>
                <w:szCs w:val="20"/>
                <w:color w:val="auto"/>
              </w:rPr>
            </w:pPr>
            <w:r>
              <w:rPr>
                <w:rFonts w:ascii="Arial" w:cs="Arial" w:eastAsia="Arial" w:hAnsi="Arial"/>
                <w:sz w:val="13"/>
                <w:szCs w:val="13"/>
                <w:color w:val="auto"/>
                <w:w w:val="97"/>
              </w:rPr>
              <w:t>9.7% Cash, 1 month LIBOR(2.40%) + 7.25%; LIBOR Floor</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0"/>
        </w:trPr>
        <w:tc>
          <w:tcPr>
            <w:tcW w:w="3300" w:type="dxa"/>
            <w:vAlign w:val="bottom"/>
            <w:gridSpan w:val="2"/>
          </w:tcPr>
          <w:p>
            <w:pPr>
              <w:spacing w:after="0"/>
              <w:rPr>
                <w:sz w:val="20"/>
                <w:szCs w:val="20"/>
                <w:color w:val="auto"/>
              </w:rPr>
            </w:pPr>
            <w:r>
              <w:rPr>
                <w:rFonts w:ascii="Arial" w:cs="Arial" w:eastAsia="Arial" w:hAnsi="Arial"/>
                <w:sz w:val="13"/>
                <w:szCs w:val="13"/>
                <w:color w:val="auto"/>
              </w:rPr>
              <w:t>1.00% , Due 1/24</w:t>
            </w:r>
          </w:p>
        </w:tc>
        <w:tc>
          <w:tcPr>
            <w:tcW w:w="1120" w:type="dxa"/>
            <w:vAlign w:val="bottom"/>
          </w:tcPr>
          <w:p>
            <w:pPr>
              <w:jc w:val="right"/>
              <w:spacing w:after="0"/>
              <w:rPr>
                <w:sz w:val="20"/>
                <w:szCs w:val="20"/>
                <w:color w:val="auto"/>
              </w:rPr>
            </w:pPr>
            <w:r>
              <w:rPr>
                <w:rFonts w:ascii="Arial" w:cs="Arial" w:eastAsia="Arial" w:hAnsi="Arial"/>
                <w:sz w:val="13"/>
                <w:szCs w:val="13"/>
                <w:color w:val="auto"/>
              </w:rPr>
              <w:t>3/29/2019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8,800,000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8,746,520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8,835,499</w:t>
            </w:r>
          </w:p>
        </w:tc>
      </w:tr>
      <w:tr>
        <w:trPr>
          <w:trHeight w:val="272"/>
        </w:trPr>
        <w:tc>
          <w:tcPr>
            <w:tcW w:w="3300" w:type="dxa"/>
            <w:vAlign w:val="bottom"/>
            <w:gridSpan w:val="2"/>
          </w:tcPr>
          <w:p>
            <w:pPr>
              <w:spacing w:after="0"/>
              <w:rPr>
                <w:sz w:val="20"/>
                <w:szCs w:val="20"/>
                <w:color w:val="auto"/>
              </w:rPr>
            </w:pPr>
            <w:r>
              <w:rPr>
                <w:rFonts w:ascii="Arial" w:cs="Arial" w:eastAsia="Arial" w:hAnsi="Arial"/>
                <w:sz w:val="13"/>
                <w:szCs w:val="13"/>
                <w:color w:val="auto"/>
              </w:rPr>
              <w:t>Senior Secured Loan — Initial Term Loan (First Lien)</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60"/>
        </w:trPr>
        <w:tc>
          <w:tcPr>
            <w:tcW w:w="3300" w:type="dxa"/>
            <w:vAlign w:val="bottom"/>
            <w:gridSpan w:val="2"/>
          </w:tcPr>
          <w:p>
            <w:pPr>
              <w:spacing w:after="0"/>
              <w:rPr>
                <w:sz w:val="20"/>
                <w:szCs w:val="20"/>
                <w:color w:val="auto"/>
              </w:rPr>
            </w:pPr>
            <w:r>
              <w:rPr>
                <w:rFonts w:ascii="Arial" w:cs="Arial" w:eastAsia="Arial" w:hAnsi="Arial"/>
                <w:sz w:val="13"/>
                <w:szCs w:val="13"/>
                <w:color w:val="auto"/>
              </w:rPr>
              <w:t>7.4% Cash, 1 month LIBOR(2.40%) + 5.00% , Due 5/25</w:t>
            </w:r>
          </w:p>
        </w:tc>
        <w:tc>
          <w:tcPr>
            <w:tcW w:w="1120" w:type="dxa"/>
            <w:vAlign w:val="bottom"/>
          </w:tcPr>
          <w:p>
            <w:pPr>
              <w:jc w:val="right"/>
              <w:spacing w:after="0"/>
              <w:rPr>
                <w:sz w:val="20"/>
                <w:szCs w:val="20"/>
                <w:color w:val="auto"/>
              </w:rPr>
            </w:pPr>
            <w:r>
              <w:rPr>
                <w:rFonts w:ascii="Arial" w:cs="Arial" w:eastAsia="Arial" w:hAnsi="Arial"/>
                <w:sz w:val="13"/>
                <w:szCs w:val="13"/>
                <w:color w:val="auto"/>
              </w:rPr>
              <w:t>5/16/2018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1,980,000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1,954,997</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1,848,825</w:t>
            </w:r>
          </w:p>
        </w:tc>
      </w:tr>
      <w:tr>
        <w:trPr>
          <w:trHeight w:val="272"/>
        </w:trPr>
        <w:tc>
          <w:tcPr>
            <w:tcW w:w="3300" w:type="dxa"/>
            <w:vAlign w:val="bottom"/>
            <w:gridSpan w:val="2"/>
          </w:tcPr>
          <w:p>
            <w:pPr>
              <w:spacing w:after="0"/>
              <w:rPr>
                <w:sz w:val="20"/>
                <w:szCs w:val="20"/>
                <w:color w:val="auto"/>
              </w:rPr>
            </w:pPr>
            <w:r>
              <w:rPr>
                <w:rFonts w:ascii="Arial" w:cs="Arial" w:eastAsia="Arial" w:hAnsi="Arial"/>
                <w:sz w:val="13"/>
                <w:szCs w:val="13"/>
                <w:color w:val="auto"/>
                <w:w w:val="94"/>
              </w:rPr>
              <w:t>Junior Secured Loan — Extended Term Loan (Second Lien)</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5"/>
        </w:trPr>
        <w:tc>
          <w:tcPr>
            <w:tcW w:w="3300" w:type="dxa"/>
            <w:vAlign w:val="bottom"/>
            <w:gridSpan w:val="2"/>
          </w:tcPr>
          <w:p>
            <w:pPr>
              <w:spacing w:after="0" w:line="135" w:lineRule="exact"/>
              <w:rPr>
                <w:sz w:val="20"/>
                <w:szCs w:val="20"/>
                <w:color w:val="auto"/>
              </w:rPr>
            </w:pPr>
            <w:r>
              <w:rPr>
                <w:rFonts w:ascii="Arial" w:cs="Arial" w:eastAsia="Arial" w:hAnsi="Arial"/>
                <w:sz w:val="13"/>
                <w:szCs w:val="13"/>
                <w:color w:val="auto"/>
                <w:w w:val="95"/>
              </w:rPr>
              <w:t>11.9% Cash, 1 month LIBOR(2.40%) + 9.50%; LIBOR Floor</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0"/>
        </w:trPr>
        <w:tc>
          <w:tcPr>
            <w:tcW w:w="3300" w:type="dxa"/>
            <w:vAlign w:val="bottom"/>
            <w:gridSpan w:val="2"/>
          </w:tcPr>
          <w:p>
            <w:pPr>
              <w:spacing w:after="0"/>
              <w:rPr>
                <w:sz w:val="20"/>
                <w:szCs w:val="20"/>
                <w:color w:val="auto"/>
              </w:rPr>
            </w:pPr>
            <w:r>
              <w:rPr>
                <w:rFonts w:ascii="Arial" w:cs="Arial" w:eastAsia="Arial" w:hAnsi="Arial"/>
                <w:sz w:val="13"/>
                <w:szCs w:val="13"/>
                <w:color w:val="auto"/>
              </w:rPr>
              <w:t>1.00% , Due 6/21</w:t>
            </w:r>
          </w:p>
        </w:tc>
        <w:tc>
          <w:tcPr>
            <w:tcW w:w="1120" w:type="dxa"/>
            <w:vAlign w:val="bottom"/>
          </w:tcPr>
          <w:p>
            <w:pPr>
              <w:jc w:val="right"/>
              <w:spacing w:after="0"/>
              <w:rPr>
                <w:sz w:val="20"/>
                <w:szCs w:val="20"/>
                <w:color w:val="auto"/>
              </w:rPr>
            </w:pPr>
            <w:r>
              <w:rPr>
                <w:rFonts w:ascii="Arial" w:cs="Arial" w:eastAsia="Arial" w:hAnsi="Arial"/>
                <w:sz w:val="13"/>
                <w:szCs w:val="13"/>
                <w:color w:val="auto"/>
              </w:rPr>
              <w:t>10/7/2014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1,510,955</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1,499,111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1,480,736</w:t>
            </w:r>
          </w:p>
        </w:tc>
      </w:tr>
      <w:tr>
        <w:trPr>
          <w:trHeight w:val="272"/>
        </w:trPr>
        <w:tc>
          <w:tcPr>
            <w:tcW w:w="3300" w:type="dxa"/>
            <w:vAlign w:val="bottom"/>
            <w:gridSpan w:val="2"/>
          </w:tcPr>
          <w:p>
            <w:pPr>
              <w:spacing w:after="0"/>
              <w:rPr>
                <w:sz w:val="20"/>
                <w:szCs w:val="20"/>
                <w:color w:val="auto"/>
              </w:rPr>
            </w:pPr>
            <w:r>
              <w:rPr>
                <w:rFonts w:ascii="Arial" w:cs="Arial" w:eastAsia="Arial" w:hAnsi="Arial"/>
                <w:sz w:val="13"/>
                <w:szCs w:val="13"/>
                <w:color w:val="auto"/>
              </w:rPr>
              <w:t>Senior Secured Loan — Term Loan</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60"/>
        </w:trPr>
        <w:tc>
          <w:tcPr>
            <w:tcW w:w="3300" w:type="dxa"/>
            <w:vAlign w:val="bottom"/>
            <w:gridSpan w:val="2"/>
          </w:tcPr>
          <w:p>
            <w:pPr>
              <w:spacing w:after="0"/>
              <w:rPr>
                <w:sz w:val="20"/>
                <w:szCs w:val="20"/>
                <w:color w:val="auto"/>
              </w:rPr>
            </w:pPr>
            <w:r>
              <w:rPr>
                <w:rFonts w:ascii="Arial" w:cs="Arial" w:eastAsia="Arial" w:hAnsi="Arial"/>
                <w:sz w:val="13"/>
                <w:szCs w:val="13"/>
                <w:color w:val="auto"/>
              </w:rPr>
              <w:t>6.7% Cash, 3 month LIBOR(2.48%) + 4.25% , Due 5/23</w:t>
            </w:r>
          </w:p>
        </w:tc>
        <w:tc>
          <w:tcPr>
            <w:tcW w:w="1120" w:type="dxa"/>
            <w:vAlign w:val="bottom"/>
          </w:tcPr>
          <w:p>
            <w:pPr>
              <w:jc w:val="right"/>
              <w:spacing w:after="0"/>
              <w:rPr>
                <w:sz w:val="20"/>
                <w:szCs w:val="20"/>
                <w:color w:val="auto"/>
              </w:rPr>
            </w:pPr>
            <w:r>
              <w:rPr>
                <w:rFonts w:ascii="Arial" w:cs="Arial" w:eastAsia="Arial" w:hAnsi="Arial"/>
                <w:sz w:val="13"/>
                <w:szCs w:val="13"/>
                <w:color w:val="auto"/>
              </w:rPr>
              <w:t>6/6/2018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4,657,184</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4,648,050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4,645,542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-1901825</wp:posOffset>
            </wp:positionV>
            <wp:extent cx="7246620" cy="266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-1541145</wp:posOffset>
            </wp:positionV>
            <wp:extent cx="7246620" cy="266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-1181100</wp:posOffset>
            </wp:positionV>
            <wp:extent cx="7246620" cy="266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-821055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-546735</wp:posOffset>
            </wp:positionV>
            <wp:extent cx="7246620" cy="266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-186690</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-2270125</wp:posOffset>
            </wp:positionV>
            <wp:extent cx="72466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3">
            <w:col w:w="2340" w:space="320"/>
            <w:col w:w="480" w:space="140"/>
            <w:col w:w="81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w w:val="90"/>
              </w:rPr>
              <w:t>Community Care Health Network, Inc. (aka Matrix</w:t>
            </w:r>
          </w:p>
        </w:tc>
        <w:tc>
          <w:tcPr>
            <w:tcW w:w="480" w:type="dxa"/>
            <w:vAlign w:val="bottom"/>
            <w:shd w:val="clear" w:color="auto" w:fill="CFF0FC"/>
          </w:tcPr>
          <w:p>
            <w:pPr>
              <w:ind w:left="20"/>
              <w:spacing w:after="0"/>
              <w:rPr>
                <w:sz w:val="20"/>
                <w:szCs w:val="20"/>
                <w:color w:val="auto"/>
              </w:rPr>
            </w:pPr>
            <w:r>
              <w:rPr>
                <w:rFonts w:ascii="Arial" w:cs="Arial" w:eastAsia="Arial" w:hAnsi="Arial"/>
                <w:sz w:val="11"/>
                <w:szCs w:val="11"/>
                <w:color w:val="auto"/>
              </w:rPr>
              <w:t>(8)(14)</w:t>
            </w:r>
          </w:p>
        </w:tc>
        <w:tc>
          <w:tcPr>
            <w:tcW w:w="366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Senior Secured Loan — Closing Date Term Loan</w:t>
            </w:r>
          </w:p>
        </w:tc>
        <w:tc>
          <w:tcPr>
            <w:tcW w:w="12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Medical Network)</w:t>
            </w:r>
          </w:p>
        </w:tc>
        <w:tc>
          <w:tcPr>
            <w:tcW w:w="480" w:type="dxa"/>
            <w:vAlign w:val="bottom"/>
            <w:shd w:val="clear" w:color="auto" w:fill="CFF0FC"/>
          </w:tcPr>
          <w:p>
            <w:pPr>
              <w:spacing w:after="0"/>
              <w:rPr>
                <w:sz w:val="11"/>
                <w:szCs w:val="11"/>
                <w:color w:val="auto"/>
              </w:rPr>
            </w:pPr>
          </w:p>
        </w:tc>
        <w:tc>
          <w:tcPr>
            <w:tcW w:w="3660" w:type="dxa"/>
            <w:vAlign w:val="bottom"/>
            <w:gridSpan w:val="2"/>
            <w:shd w:val="clear" w:color="auto" w:fill="CFF0FC"/>
          </w:tcPr>
          <w:p>
            <w:pPr>
              <w:ind w:left="160"/>
              <w:spacing w:after="0" w:line="135" w:lineRule="exact"/>
              <w:rPr>
                <w:sz w:val="20"/>
                <w:szCs w:val="20"/>
                <w:color w:val="auto"/>
              </w:rPr>
            </w:pPr>
            <w:r>
              <w:rPr>
                <w:rFonts w:ascii="Arial" w:cs="Arial" w:eastAsia="Arial" w:hAnsi="Arial"/>
                <w:sz w:val="13"/>
                <w:szCs w:val="13"/>
                <w:color w:val="auto"/>
              </w:rPr>
              <w:t>7.1% Cash, 3 month LIBOR(2.35%) + 4.75%; LIBOR Floor</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Healthcare &amp; Pharmaceuticals</w:t>
            </w:r>
          </w:p>
        </w:tc>
        <w:tc>
          <w:tcPr>
            <w:tcW w:w="480" w:type="dxa"/>
            <w:vAlign w:val="bottom"/>
            <w:shd w:val="clear" w:color="auto" w:fill="CFF0FC"/>
          </w:tcPr>
          <w:p>
            <w:pPr>
              <w:spacing w:after="0"/>
              <w:rPr>
                <w:sz w:val="12"/>
                <w:szCs w:val="12"/>
                <w:color w:val="auto"/>
              </w:rPr>
            </w:pPr>
          </w:p>
        </w:tc>
        <w:tc>
          <w:tcPr>
            <w:tcW w:w="500" w:type="dxa"/>
            <w:vAlign w:val="bottom"/>
            <w:shd w:val="clear" w:color="auto" w:fill="CFF0FC"/>
          </w:tcPr>
          <w:p>
            <w:pPr>
              <w:ind w:left="160"/>
              <w:spacing w:after="0"/>
              <w:rPr>
                <w:sz w:val="20"/>
                <w:szCs w:val="20"/>
                <w:color w:val="auto"/>
              </w:rPr>
            </w:pPr>
            <w:r>
              <w:rPr>
                <w:rFonts w:ascii="Arial" w:cs="Arial" w:eastAsia="Arial" w:hAnsi="Arial"/>
                <w:sz w:val="13"/>
                <w:szCs w:val="13"/>
                <w:color w:val="auto"/>
                <w:w w:val="86"/>
              </w:rPr>
              <w:t>1.00%</w:t>
            </w:r>
          </w:p>
        </w:tc>
        <w:tc>
          <w:tcPr>
            <w:tcW w:w="3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 Due 2/25</w:t>
            </w:r>
          </w:p>
        </w:tc>
        <w:tc>
          <w:tcPr>
            <w:tcW w:w="1220" w:type="dxa"/>
            <w:vAlign w:val="bottom"/>
            <w:shd w:val="clear" w:color="auto" w:fill="CFF0FC"/>
          </w:tcPr>
          <w:p>
            <w:pPr>
              <w:jc w:val="right"/>
              <w:ind w:right="257"/>
              <w:spacing w:after="0"/>
              <w:rPr>
                <w:sz w:val="20"/>
                <w:szCs w:val="20"/>
                <w:color w:val="auto"/>
              </w:rPr>
            </w:pPr>
            <w:r>
              <w:rPr>
                <w:rFonts w:ascii="Arial" w:cs="Arial" w:eastAsia="Arial" w:hAnsi="Arial"/>
                <w:sz w:val="13"/>
                <w:szCs w:val="13"/>
                <w:color w:val="auto"/>
              </w:rPr>
              <w:t>2/9/2018</w:t>
            </w:r>
          </w:p>
        </w:tc>
        <w:tc>
          <w:tcPr>
            <w:tcW w:w="118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1,980,000</w:t>
            </w:r>
          </w:p>
        </w:tc>
        <w:tc>
          <w:tcPr>
            <w:tcW w:w="124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1,976,008</w:t>
            </w:r>
          </w:p>
        </w:tc>
        <w:tc>
          <w:tcPr>
            <w:tcW w:w="10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1,848,108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Corsair Gaming, Inc.</w:t>
            </w:r>
          </w:p>
        </w:tc>
        <w:tc>
          <w:tcPr>
            <w:tcW w:w="480" w:type="dxa"/>
            <w:vAlign w:val="bottom"/>
            <w:shd w:val="clear" w:color="auto" w:fill="CFF0FC"/>
          </w:tcPr>
          <w:p>
            <w:pPr>
              <w:ind w:left="20"/>
              <w:spacing w:after="0"/>
              <w:rPr>
                <w:sz w:val="20"/>
                <w:szCs w:val="20"/>
                <w:color w:val="auto"/>
              </w:rPr>
            </w:pPr>
            <w:r>
              <w:rPr>
                <w:rFonts w:ascii="Arial" w:cs="Arial" w:eastAsia="Arial" w:hAnsi="Arial"/>
                <w:sz w:val="11"/>
                <w:szCs w:val="11"/>
                <w:color w:val="auto"/>
              </w:rPr>
              <w:t>(8)(14)</w:t>
            </w:r>
          </w:p>
        </w:tc>
        <w:tc>
          <w:tcPr>
            <w:tcW w:w="3660" w:type="dxa"/>
            <w:vAlign w:val="bottom"/>
            <w:gridSpan w:val="2"/>
            <w:shd w:val="clear" w:color="auto" w:fill="CFF0FC"/>
          </w:tcPr>
          <w:p>
            <w:pPr>
              <w:ind w:left="160"/>
              <w:spacing w:after="0" w:line="134" w:lineRule="exact"/>
              <w:rPr>
                <w:sz w:val="20"/>
                <w:szCs w:val="20"/>
                <w:color w:val="auto"/>
              </w:rPr>
            </w:pPr>
            <w:r>
              <w:rPr>
                <w:rFonts w:ascii="Arial" w:cs="Arial" w:eastAsia="Arial" w:hAnsi="Arial"/>
                <w:sz w:val="13"/>
                <w:szCs w:val="13"/>
                <w:color w:val="auto"/>
              </w:rPr>
              <w:t>Senior Secured Loan — Term Loan (First Lien)</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480" w:type="dxa"/>
            <w:vAlign w:val="bottom"/>
            <w:shd w:val="clear" w:color="auto" w:fill="CFF0FC"/>
          </w:tcPr>
          <w:p>
            <w:pPr>
              <w:spacing w:after="0"/>
              <w:rPr>
                <w:sz w:val="11"/>
                <w:szCs w:val="11"/>
                <w:color w:val="auto"/>
              </w:rPr>
            </w:pPr>
          </w:p>
        </w:tc>
        <w:tc>
          <w:tcPr>
            <w:tcW w:w="3660" w:type="dxa"/>
            <w:vAlign w:val="bottom"/>
            <w:gridSpan w:val="2"/>
            <w:shd w:val="clear" w:color="auto" w:fill="CFF0FC"/>
          </w:tcPr>
          <w:p>
            <w:pPr>
              <w:ind w:left="160"/>
              <w:spacing w:after="0" w:line="135" w:lineRule="exact"/>
              <w:rPr>
                <w:sz w:val="20"/>
                <w:szCs w:val="20"/>
                <w:color w:val="auto"/>
              </w:rPr>
            </w:pPr>
            <w:r>
              <w:rPr>
                <w:rFonts w:ascii="Arial" w:cs="Arial" w:eastAsia="Arial" w:hAnsi="Arial"/>
                <w:sz w:val="13"/>
                <w:szCs w:val="13"/>
                <w:color w:val="auto"/>
              </w:rPr>
              <w:t>6.6% Cash, 3 month LIBOR(2.33%) + 4.25%; LIBOR Floor</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500" w:type="dxa"/>
            <w:vAlign w:val="bottom"/>
            <w:shd w:val="clear" w:color="auto" w:fill="CFF0FC"/>
          </w:tcPr>
          <w:p>
            <w:pPr>
              <w:ind w:left="160"/>
              <w:spacing w:after="0"/>
              <w:rPr>
                <w:sz w:val="20"/>
                <w:szCs w:val="20"/>
                <w:color w:val="auto"/>
              </w:rPr>
            </w:pPr>
            <w:r>
              <w:rPr>
                <w:rFonts w:ascii="Arial" w:cs="Arial" w:eastAsia="Arial" w:hAnsi="Arial"/>
                <w:sz w:val="13"/>
                <w:szCs w:val="13"/>
                <w:color w:val="auto"/>
                <w:w w:val="86"/>
              </w:rPr>
              <w:t>1.00%</w:t>
            </w:r>
          </w:p>
        </w:tc>
        <w:tc>
          <w:tcPr>
            <w:tcW w:w="3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 Due 8/24</w:t>
            </w:r>
          </w:p>
        </w:tc>
        <w:tc>
          <w:tcPr>
            <w:tcW w:w="1220" w:type="dxa"/>
            <w:vAlign w:val="bottom"/>
            <w:shd w:val="clear" w:color="auto" w:fill="CFF0FC"/>
          </w:tcPr>
          <w:p>
            <w:pPr>
              <w:jc w:val="right"/>
              <w:ind w:right="257"/>
              <w:spacing w:after="0"/>
              <w:rPr>
                <w:sz w:val="20"/>
                <w:szCs w:val="20"/>
                <w:color w:val="auto"/>
              </w:rPr>
            </w:pPr>
            <w:r>
              <w:rPr>
                <w:rFonts w:ascii="Arial" w:cs="Arial" w:eastAsia="Arial" w:hAnsi="Arial"/>
                <w:sz w:val="13"/>
                <w:szCs w:val="13"/>
                <w:color w:val="auto"/>
              </w:rPr>
              <w:t>9/29/2017</w:t>
            </w:r>
          </w:p>
        </w:tc>
        <w:tc>
          <w:tcPr>
            <w:tcW w:w="118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1,979,899</w:t>
            </w:r>
          </w:p>
        </w:tc>
        <w:tc>
          <w:tcPr>
            <w:tcW w:w="124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1,975,904</w:t>
            </w:r>
          </w:p>
        </w:tc>
        <w:tc>
          <w:tcPr>
            <w:tcW w:w="10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1,965,049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60" w:type="dxa"/>
            <w:vAlign w:val="bottom"/>
            <w:gridSpan w:val="2"/>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Corsair Gaming, Inc.</w:t>
            </w:r>
          </w:p>
        </w:tc>
        <w:tc>
          <w:tcPr>
            <w:tcW w:w="480" w:type="dxa"/>
            <w:vAlign w:val="bottom"/>
            <w:shd w:val="clear" w:color="auto" w:fill="CFF0FC"/>
          </w:tcPr>
          <w:p>
            <w:pPr>
              <w:ind w:left="20"/>
              <w:spacing w:after="0"/>
              <w:rPr>
                <w:sz w:val="20"/>
                <w:szCs w:val="20"/>
                <w:color w:val="auto"/>
              </w:rPr>
            </w:pPr>
            <w:r>
              <w:rPr>
                <w:rFonts w:ascii="Arial" w:cs="Arial" w:eastAsia="Arial" w:hAnsi="Arial"/>
                <w:sz w:val="11"/>
                <w:szCs w:val="11"/>
                <w:color w:val="auto"/>
              </w:rPr>
              <w:t>(8)</w:t>
            </w:r>
          </w:p>
        </w:tc>
        <w:tc>
          <w:tcPr>
            <w:tcW w:w="3660" w:type="dxa"/>
            <w:vAlign w:val="bottom"/>
            <w:gridSpan w:val="2"/>
            <w:shd w:val="clear" w:color="auto" w:fill="CFF0FC"/>
          </w:tcPr>
          <w:p>
            <w:pPr>
              <w:ind w:left="16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480" w:type="dxa"/>
            <w:vAlign w:val="bottom"/>
            <w:shd w:val="clear" w:color="auto" w:fill="CFF0FC"/>
          </w:tcPr>
          <w:p>
            <w:pPr>
              <w:spacing w:after="0"/>
              <w:rPr>
                <w:sz w:val="11"/>
                <w:szCs w:val="11"/>
                <w:color w:val="auto"/>
              </w:rPr>
            </w:pPr>
          </w:p>
        </w:tc>
        <w:tc>
          <w:tcPr>
            <w:tcW w:w="50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86"/>
              </w:rPr>
              <w:t>10.8%</w:t>
            </w:r>
          </w:p>
        </w:tc>
        <w:tc>
          <w:tcPr>
            <w:tcW w:w="316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LIBOR(2.33%) + 8.50%; LIBOR Floor</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500" w:type="dxa"/>
            <w:vAlign w:val="bottom"/>
            <w:shd w:val="clear" w:color="auto" w:fill="CFF0FC"/>
          </w:tcPr>
          <w:p>
            <w:pPr>
              <w:ind w:left="160"/>
              <w:spacing w:after="0"/>
              <w:rPr>
                <w:sz w:val="20"/>
                <w:szCs w:val="20"/>
                <w:color w:val="auto"/>
              </w:rPr>
            </w:pPr>
            <w:r>
              <w:rPr>
                <w:rFonts w:ascii="Arial" w:cs="Arial" w:eastAsia="Arial" w:hAnsi="Arial"/>
                <w:sz w:val="13"/>
                <w:szCs w:val="13"/>
                <w:color w:val="auto"/>
                <w:w w:val="86"/>
              </w:rPr>
              <w:t>1.00%</w:t>
            </w:r>
          </w:p>
        </w:tc>
        <w:tc>
          <w:tcPr>
            <w:tcW w:w="3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 Due 8/25</w:t>
            </w:r>
          </w:p>
        </w:tc>
        <w:tc>
          <w:tcPr>
            <w:tcW w:w="1220" w:type="dxa"/>
            <w:vAlign w:val="bottom"/>
            <w:shd w:val="clear" w:color="auto" w:fill="CFF0FC"/>
          </w:tcPr>
          <w:p>
            <w:pPr>
              <w:jc w:val="right"/>
              <w:ind w:right="257"/>
              <w:spacing w:after="0"/>
              <w:rPr>
                <w:sz w:val="20"/>
                <w:szCs w:val="20"/>
                <w:color w:val="auto"/>
              </w:rPr>
            </w:pPr>
            <w:r>
              <w:rPr>
                <w:rFonts w:ascii="Arial" w:cs="Arial" w:eastAsia="Arial" w:hAnsi="Arial"/>
                <w:sz w:val="13"/>
                <w:szCs w:val="13"/>
                <w:color w:val="auto"/>
              </w:rPr>
              <w:t>9/29/2017</w:t>
            </w:r>
          </w:p>
        </w:tc>
        <w:tc>
          <w:tcPr>
            <w:tcW w:w="118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5,000,000</w:t>
            </w:r>
          </w:p>
        </w:tc>
        <w:tc>
          <w:tcPr>
            <w:tcW w:w="124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4,941,263</w:t>
            </w:r>
          </w:p>
        </w:tc>
        <w:tc>
          <w:tcPr>
            <w:tcW w:w="10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4,900,000</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60" w:type="dxa"/>
            <w:vAlign w:val="bottom"/>
            <w:gridSpan w:val="2"/>
          </w:tcPr>
          <w:p>
            <w:pPr>
              <w:ind w:left="1460"/>
              <w:spacing w:after="0" w:line="135" w:lineRule="exact"/>
              <w:rPr>
                <w:sz w:val="20"/>
                <w:szCs w:val="20"/>
                <w:color w:val="auto"/>
              </w:rPr>
            </w:pPr>
            <w:r>
              <w:rPr>
                <w:rFonts w:ascii="Arial" w:cs="Arial" w:eastAsia="Arial" w:hAnsi="Arial"/>
                <w:sz w:val="13"/>
                <w:szCs w:val="13"/>
                <w:b w:val="1"/>
                <w:bCs w:val="1"/>
                <w:color w:val="auto"/>
              </w:rPr>
              <w:t>Investment</w:t>
            </w: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Amortized</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0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60" w:type="dxa"/>
            <w:vAlign w:val="bottom"/>
            <w:gridSpan w:val="2"/>
          </w:tcPr>
          <w:p>
            <w:pPr>
              <w:ind w:left="104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140" w:type="dxa"/>
            <w:vAlign w:val="bottom"/>
            <w:gridSpan w:val="2"/>
          </w:tcPr>
          <w:p>
            <w:pPr>
              <w:ind w:left="180"/>
              <w:spacing w:after="0"/>
              <w:rPr>
                <w:sz w:val="20"/>
                <w:szCs w:val="20"/>
                <w:color w:val="auto"/>
              </w:rPr>
            </w:pPr>
            <w:r>
              <w:rPr>
                <w:rFonts w:ascii="Arial" w:cs="Arial" w:eastAsia="Arial" w:hAnsi="Arial"/>
                <w:sz w:val="13"/>
                <w:szCs w:val="13"/>
                <w:b w:val="1"/>
                <w:bCs w:val="1"/>
                <w:color w:val="auto"/>
              </w:rPr>
              <w:t>Principal</w:t>
            </w: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104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w w:val="95"/>
              </w:rPr>
              <w:t>CSM Bakery Solutions Limited (fka CSM Bakery</w:t>
            </w:r>
          </w:p>
        </w:tc>
        <w:tc>
          <w:tcPr>
            <w:tcW w:w="4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w:t>
            </w:r>
          </w:p>
        </w:tc>
        <w:tc>
          <w:tcPr>
            <w:tcW w:w="35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Term Loan (Second Lien)</w:t>
            </w:r>
          </w:p>
        </w:tc>
        <w:tc>
          <w:tcPr>
            <w:tcW w:w="12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Supplies Limited)</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10.3% Cash, 3 month LIBOR(2.59%) + 7.75%; LIBOR Floor 1.00%</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Beverage, Food and Tobacco</w:t>
            </w: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 Due 7/21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5/23/2013</w:t>
            </w: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3,005,058</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2,801,149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88"/>
              </w:rPr>
              <w:t>CT Technologies Intermediate Holdings, Inc. (Smart</w:t>
            </w:r>
          </w:p>
        </w:tc>
        <w:tc>
          <w:tcPr>
            <w:tcW w:w="580" w:type="dxa"/>
            <w:vAlign w:val="bottom"/>
            <w:gridSpan w:val="2"/>
            <w:shd w:val="clear" w:color="auto" w:fill="CFF0FC"/>
          </w:tcPr>
          <w:p>
            <w:pPr>
              <w:ind w:left="40"/>
              <w:spacing w:after="0"/>
              <w:rPr>
                <w:sz w:val="20"/>
                <w:szCs w:val="20"/>
                <w:color w:val="auto"/>
              </w:rPr>
            </w:pPr>
            <w:r>
              <w:rPr>
                <w:rFonts w:ascii="Arial" w:cs="Arial" w:eastAsia="Arial" w:hAnsi="Arial"/>
                <w:sz w:val="11"/>
                <w:szCs w:val="11"/>
                <w:color w:val="auto"/>
                <w:w w:val="98"/>
              </w:rPr>
              <w:t>(8)(13)(14)</w:t>
            </w:r>
          </w:p>
        </w:tc>
        <w:tc>
          <w:tcPr>
            <w:tcW w:w="36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New Term Loan Facility</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Holdings Corp.) (aka HealthPort)</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6.7% Cash, 1 month LIBOR(2.40%) + 4.25%; LIBOR Floor 1.00% ,</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Healthcare &amp; Pharmaceuticals</w:t>
            </w: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12/21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11/19/2014</w:t>
            </w: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3,943,524</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3,938,518</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3,420,031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Digitran Innovations B.V. (Pomeroy Solutions</w:t>
            </w:r>
          </w:p>
        </w:tc>
        <w:tc>
          <w:tcPr>
            <w:tcW w:w="580" w:type="dxa"/>
            <w:vAlign w:val="bottom"/>
            <w:gridSpan w:val="2"/>
            <w:shd w:val="clear" w:color="auto" w:fill="CFF0FC"/>
          </w:tcPr>
          <w:p>
            <w:pPr>
              <w:ind w:left="40"/>
              <w:spacing w:after="0"/>
              <w:rPr>
                <w:sz w:val="20"/>
                <w:szCs w:val="20"/>
                <w:color w:val="auto"/>
              </w:rPr>
            </w:pPr>
            <w:r>
              <w:rPr>
                <w:rFonts w:ascii="Arial" w:cs="Arial" w:eastAsia="Arial" w:hAnsi="Arial"/>
                <w:sz w:val="11"/>
                <w:szCs w:val="11"/>
                <w:color w:val="auto"/>
                <w:w w:val="98"/>
              </w:rPr>
              <w:t>(8)(13)(14)</w:t>
            </w:r>
          </w:p>
        </w:tc>
        <w:tc>
          <w:tcPr>
            <w:tcW w:w="36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Holding Company, Inc.)</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9.8% Cash, 3 month LIBOR(2.33%) + 7.50%; LIBOR Floor 1.50% ,</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High Tech Industries</w:t>
            </w: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7/24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12/10/2018</w:t>
            </w: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4,962,406</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4,917,720</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4,844,090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Drilling Info Holdings, Inc.</w:t>
            </w:r>
          </w:p>
        </w:tc>
        <w:tc>
          <w:tcPr>
            <w:tcW w:w="580" w:type="dxa"/>
            <w:vAlign w:val="bottom"/>
            <w:gridSpan w:val="2"/>
            <w:shd w:val="clear" w:color="auto" w:fill="CFF0FC"/>
          </w:tcPr>
          <w:p>
            <w:pPr>
              <w:ind w:left="40"/>
              <w:spacing w:after="0"/>
              <w:rPr>
                <w:sz w:val="20"/>
                <w:szCs w:val="20"/>
                <w:color w:val="auto"/>
              </w:rPr>
            </w:pPr>
            <w:r>
              <w:rPr>
                <w:rFonts w:ascii="Arial" w:cs="Arial" w:eastAsia="Arial" w:hAnsi="Arial"/>
                <w:sz w:val="11"/>
                <w:szCs w:val="11"/>
                <w:color w:val="auto"/>
                <w:w w:val="98"/>
              </w:rPr>
              <w:t>(8)(13)(14)</w:t>
            </w:r>
          </w:p>
        </w:tc>
        <w:tc>
          <w:tcPr>
            <w:tcW w:w="36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 (First Lien)</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High Tech Industries</w:t>
            </w: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6.7% Cash, 1 month LIBOR(2.40%) + 4.25% , Due 7/25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2/12/2019</w:t>
            </w: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3,369,206</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3,359,351</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3,352,360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Dun &amp; Bradstreet Corporation, The</w:t>
            </w:r>
          </w:p>
        </w:tc>
        <w:tc>
          <w:tcPr>
            <w:tcW w:w="580" w:type="dxa"/>
            <w:vAlign w:val="bottom"/>
            <w:gridSpan w:val="2"/>
            <w:shd w:val="clear" w:color="auto" w:fill="CFF0FC"/>
          </w:tcPr>
          <w:p>
            <w:pPr>
              <w:ind w:left="40"/>
              <w:spacing w:after="0"/>
              <w:rPr>
                <w:sz w:val="20"/>
                <w:szCs w:val="20"/>
                <w:color w:val="auto"/>
              </w:rPr>
            </w:pPr>
            <w:r>
              <w:rPr>
                <w:rFonts w:ascii="Arial" w:cs="Arial" w:eastAsia="Arial" w:hAnsi="Arial"/>
                <w:sz w:val="11"/>
                <w:szCs w:val="11"/>
                <w:color w:val="auto"/>
                <w:w w:val="98"/>
              </w:rPr>
              <w:t>(8)(13)(14)</w:t>
            </w:r>
          </w:p>
        </w:tc>
        <w:tc>
          <w:tcPr>
            <w:tcW w:w="36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Borrowing</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Telecommunications</w:t>
            </w: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7.4% Cash, 1 month LIBOR(2.40%) + 5.00% , Due 2/26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4/24/2019</w:t>
            </w: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5,043,248</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5,012,500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6"/>
              </w:rPr>
              <w:t>Evergreen North America Acquisition, LLC (f/k/a</w:t>
            </w:r>
          </w:p>
        </w:tc>
        <w:tc>
          <w:tcPr>
            <w:tcW w:w="580" w:type="dxa"/>
            <w:vAlign w:val="bottom"/>
            <w:gridSpan w:val="2"/>
            <w:shd w:val="clear" w:color="auto" w:fill="CFF0FC"/>
          </w:tcPr>
          <w:p>
            <w:pPr>
              <w:ind w:left="40"/>
              <w:spacing w:after="0"/>
              <w:rPr>
                <w:sz w:val="20"/>
                <w:szCs w:val="20"/>
                <w:color w:val="auto"/>
              </w:rPr>
            </w:pPr>
            <w:r>
              <w:rPr>
                <w:rFonts w:ascii="Arial" w:cs="Arial" w:eastAsia="Arial" w:hAnsi="Arial"/>
                <w:sz w:val="11"/>
                <w:szCs w:val="11"/>
                <w:color w:val="auto"/>
                <w:w w:val="98"/>
              </w:rPr>
              <w:t>(8)(13)(14)</w:t>
            </w:r>
          </w:p>
        </w:tc>
        <w:tc>
          <w:tcPr>
            <w:tcW w:w="36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Industrial Services Acquisition, LLC)</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7.4% Cash, 3 month LIBOR(2.38%) + 5.00%; LIBOR Floor 1.00% ,</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Environmental Industries</w:t>
            </w: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6/22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6/21/2016</w:t>
            </w: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1,071,638</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1,074,987</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1,071,638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First American Payment Systems, L.P.</w:t>
            </w:r>
          </w:p>
        </w:tc>
        <w:tc>
          <w:tcPr>
            <w:tcW w:w="580" w:type="dxa"/>
            <w:vAlign w:val="bottom"/>
            <w:gridSpan w:val="2"/>
            <w:shd w:val="clear" w:color="auto" w:fill="CFF0FC"/>
          </w:tcPr>
          <w:p>
            <w:pPr>
              <w:ind w:left="40"/>
              <w:spacing w:after="0"/>
              <w:rPr>
                <w:sz w:val="20"/>
                <w:szCs w:val="20"/>
                <w:color w:val="auto"/>
              </w:rPr>
            </w:pPr>
            <w:r>
              <w:rPr>
                <w:rFonts w:ascii="Arial" w:cs="Arial" w:eastAsia="Arial" w:hAnsi="Arial"/>
                <w:sz w:val="11"/>
                <w:szCs w:val="11"/>
                <w:color w:val="auto"/>
                <w:w w:val="98"/>
              </w:rPr>
              <w:t>(8)(13)(14)</w:t>
            </w:r>
          </w:p>
        </w:tc>
        <w:tc>
          <w:tcPr>
            <w:tcW w:w="36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Banking, Finance, Insurance &amp; Real Estate</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13.1% Cash, 3 month LIBOR(2.60%) + 10.50%; LIBOR Floor</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7/24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1/4/2017</w:t>
            </w: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1,469,854</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1,458,000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3"/>
              </w:rPr>
              <w:t>Flexera Software LLC (fka Flexera Software, Inc.)</w:t>
            </w:r>
          </w:p>
        </w:tc>
        <w:tc>
          <w:tcPr>
            <w:tcW w:w="580" w:type="dxa"/>
            <w:vAlign w:val="bottom"/>
            <w:gridSpan w:val="2"/>
            <w:shd w:val="clear" w:color="auto" w:fill="CFF0FC"/>
          </w:tcPr>
          <w:p>
            <w:pPr>
              <w:ind w:left="40"/>
              <w:spacing w:after="0"/>
              <w:rPr>
                <w:sz w:val="20"/>
                <w:szCs w:val="20"/>
                <w:color w:val="auto"/>
              </w:rPr>
            </w:pPr>
            <w:r>
              <w:rPr>
                <w:rFonts w:ascii="Arial" w:cs="Arial" w:eastAsia="Arial" w:hAnsi="Arial"/>
                <w:sz w:val="11"/>
                <w:szCs w:val="11"/>
                <w:color w:val="auto"/>
              </w:rPr>
              <w:t>(8)</w:t>
            </w:r>
          </w:p>
        </w:tc>
        <w:tc>
          <w:tcPr>
            <w:tcW w:w="36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 Lien)</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9.7% Cash, 1 month LIBOR(2.41%) + 7.25%; LIBOR Floor 1.00% ,</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2/26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1/25/2018</w:t>
            </w: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1,324,654</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1,333,444</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1,323,415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8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GI Advo Opco, LLC</w:t>
            </w:r>
          </w:p>
        </w:tc>
        <w:tc>
          <w:tcPr>
            <w:tcW w:w="580" w:type="dxa"/>
            <w:vAlign w:val="bottom"/>
            <w:gridSpan w:val="2"/>
            <w:shd w:val="clear" w:color="auto" w:fill="CFF0FC"/>
          </w:tcPr>
          <w:p>
            <w:pPr>
              <w:ind w:left="40"/>
              <w:spacing w:after="0"/>
              <w:rPr>
                <w:sz w:val="20"/>
                <w:szCs w:val="20"/>
                <w:color w:val="auto"/>
              </w:rPr>
            </w:pPr>
            <w:r>
              <w:rPr>
                <w:rFonts w:ascii="Arial" w:cs="Arial" w:eastAsia="Arial" w:hAnsi="Arial"/>
                <w:sz w:val="11"/>
                <w:szCs w:val="11"/>
                <w:color w:val="auto"/>
              </w:rPr>
              <w:t>(5)(8)(13)</w:t>
            </w:r>
          </w:p>
        </w:tc>
        <w:tc>
          <w:tcPr>
            <w:tcW w:w="366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Healthcare &amp; Pharmaceuticals</w:t>
            </w:r>
          </w:p>
        </w:tc>
        <w:tc>
          <w:tcPr>
            <w:tcW w:w="580" w:type="dxa"/>
            <w:vAlign w:val="bottom"/>
            <w:gridSpan w:val="2"/>
            <w:shd w:val="clear" w:color="auto" w:fill="CFF0FC"/>
          </w:tcPr>
          <w:p>
            <w:pPr>
              <w:ind w:left="40"/>
              <w:spacing w:after="0"/>
              <w:rPr>
                <w:sz w:val="20"/>
                <w:szCs w:val="20"/>
                <w:color w:val="auto"/>
              </w:rPr>
            </w:pPr>
            <w:r>
              <w:rPr>
                <w:rFonts w:ascii="Arial" w:cs="Arial" w:eastAsia="Arial" w:hAnsi="Arial"/>
                <w:sz w:val="11"/>
                <w:szCs w:val="11"/>
                <w:color w:val="auto"/>
              </w:rPr>
              <w:t>(14)</w:t>
            </w:r>
          </w:p>
        </w:tc>
        <w:tc>
          <w:tcPr>
            <w:tcW w:w="36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9.5% Cash, fixed , Due 11/21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11/19/2015</w:t>
            </w: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180,304</w:t>
            </w: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179,431</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GK Holdings, Inc. (aka Global Knowledge)</w:t>
            </w:r>
          </w:p>
        </w:tc>
        <w:tc>
          <w:tcPr>
            <w:tcW w:w="580" w:type="dxa"/>
            <w:vAlign w:val="bottom"/>
            <w:gridSpan w:val="2"/>
            <w:shd w:val="clear" w:color="auto" w:fill="CFF0FC"/>
          </w:tcPr>
          <w:p>
            <w:pPr>
              <w:ind w:left="40"/>
              <w:spacing w:after="0"/>
              <w:rPr>
                <w:sz w:val="20"/>
                <w:szCs w:val="20"/>
                <w:color w:val="auto"/>
              </w:rPr>
            </w:pPr>
            <w:r>
              <w:rPr>
                <w:rFonts w:ascii="Arial" w:cs="Arial" w:eastAsia="Arial" w:hAnsi="Arial"/>
                <w:sz w:val="11"/>
                <w:szCs w:val="11"/>
                <w:color w:val="auto"/>
              </w:rPr>
              <w:t>(8)(13)</w:t>
            </w:r>
          </w:p>
        </w:tc>
        <w:tc>
          <w:tcPr>
            <w:tcW w:w="36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 Lien)</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12.6% Cash, 3 month LIBOR(2.33%) + 10.25%; LIBOR Floor</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1/22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1/30/2015</w:t>
            </w: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1,488,969</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1,213,554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1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Initial</w:t>
            </w: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w:t>
            </w:r>
          </w:p>
        </w:tc>
        <w:tc>
          <w:tcPr>
            <w:tcW w:w="620" w:type="dxa"/>
            <w:vAlign w:val="bottom"/>
          </w:tcPr>
          <w:p>
            <w:pPr>
              <w:spacing w:after="0"/>
              <w:rPr>
                <w:sz w:val="11"/>
                <w:szCs w:val="11"/>
                <w:color w:val="auto"/>
              </w:rPr>
            </w:pPr>
          </w:p>
        </w:tc>
        <w:tc>
          <w:tcPr>
            <w:tcW w:w="3300" w:type="dxa"/>
            <w:vAlign w:val="bottom"/>
            <w:gridSpan w:val="2"/>
          </w:tcPr>
          <w:p>
            <w:pPr>
              <w:ind w:left="1260"/>
              <w:spacing w:after="0" w:line="135" w:lineRule="exact"/>
              <w:rPr>
                <w:sz w:val="20"/>
                <w:szCs w:val="20"/>
                <w:color w:val="auto"/>
              </w:rPr>
            </w:pPr>
            <w:r>
              <w:rPr>
                <w:rFonts w:ascii="Arial" w:cs="Arial" w:eastAsia="Arial" w:hAnsi="Arial"/>
                <w:sz w:val="13"/>
                <w:szCs w:val="13"/>
                <w:b w:val="1"/>
                <w:bCs w:val="1"/>
                <w:color w:val="auto"/>
              </w:rPr>
              <w:t>Investment</w:t>
            </w:r>
          </w:p>
        </w:tc>
        <w:tc>
          <w:tcPr>
            <w:tcW w:w="12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Amortized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20" w:type="dxa"/>
            <w:vAlign w:val="bottom"/>
          </w:tcPr>
          <w:p>
            <w:pPr>
              <w:spacing w:after="0"/>
              <w:rPr>
                <w:sz w:val="13"/>
                <w:szCs w:val="13"/>
                <w:color w:val="auto"/>
              </w:rPr>
            </w:pPr>
          </w:p>
        </w:tc>
        <w:tc>
          <w:tcPr>
            <w:tcW w:w="3300" w:type="dxa"/>
            <w:vAlign w:val="bottom"/>
            <w:gridSpan w:val="2"/>
          </w:tcPr>
          <w:p>
            <w:pPr>
              <w:ind w:left="86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260" w:type="dxa"/>
            <w:vAlign w:val="bottom"/>
            <w:gridSpan w:val="2"/>
          </w:tcPr>
          <w:p>
            <w:pPr>
              <w:ind w:left="260"/>
              <w:spacing w:after="0"/>
              <w:rPr>
                <w:sz w:val="20"/>
                <w:szCs w:val="20"/>
                <w:color w:val="auto"/>
              </w:rPr>
            </w:pPr>
            <w:r>
              <w:rPr>
                <w:rFonts w:ascii="Arial" w:cs="Arial" w:eastAsia="Arial" w:hAnsi="Arial"/>
                <w:sz w:val="13"/>
                <w:szCs w:val="13"/>
                <w:b w:val="1"/>
                <w:bCs w:val="1"/>
                <w:color w:val="auto"/>
              </w:rPr>
              <w:t>Principal</w:t>
            </w: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2"/>
              </w:rPr>
              <w:t>Cost</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Global Tel*Link Corporation</w:t>
            </w:r>
          </w:p>
        </w:tc>
        <w:tc>
          <w:tcPr>
            <w:tcW w:w="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(8)(13)(14)</w:t>
            </w:r>
          </w:p>
        </w:tc>
        <w:tc>
          <w:tcPr>
            <w:tcW w:w="31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Loan (Second Lien)</w:t>
            </w:r>
          </w:p>
        </w:tc>
        <w:tc>
          <w:tcPr>
            <w:tcW w:w="14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5/21/2013</w:t>
            </w: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Telecommunications</w:t>
            </w:r>
          </w:p>
        </w:tc>
        <w:tc>
          <w:tcPr>
            <w:tcW w:w="620" w:type="dxa"/>
            <w:vAlign w:val="bottom"/>
            <w:shd w:val="clear" w:color="auto" w:fill="CFF0FC"/>
          </w:tcPr>
          <w:p>
            <w:pPr>
              <w:spacing w:after="0"/>
              <w:rPr>
                <w:sz w:val="12"/>
                <w:szCs w:val="12"/>
                <w:color w:val="auto"/>
              </w:rPr>
            </w:pPr>
          </w:p>
        </w:tc>
        <w:tc>
          <w:tcPr>
            <w:tcW w:w="330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7"/>
              </w:rPr>
              <w:t>10.7% Cash, 1 month LIBOR(2.40%) + 8.25% , Due 11/26</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2,000,000</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1,967,519</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Global Tel*Link Corporation</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3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Loan (Second Lien)</w:t>
            </w:r>
          </w:p>
        </w:tc>
        <w:tc>
          <w:tcPr>
            <w:tcW w:w="11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5/21/2013</w:t>
            </w: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Telecommunications</w:t>
            </w:r>
          </w:p>
        </w:tc>
        <w:tc>
          <w:tcPr>
            <w:tcW w:w="620" w:type="dxa"/>
            <w:vAlign w:val="bottom"/>
            <w:shd w:val="clear" w:color="auto" w:fill="CFF0FC"/>
          </w:tcPr>
          <w:p>
            <w:pPr>
              <w:spacing w:after="0"/>
              <w:rPr>
                <w:sz w:val="12"/>
                <w:szCs w:val="12"/>
                <w:color w:val="auto"/>
              </w:rPr>
            </w:pPr>
          </w:p>
        </w:tc>
        <w:tc>
          <w:tcPr>
            <w:tcW w:w="330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7"/>
              </w:rPr>
              <w:t>10.7% Cash, 1 month LIBOR(2.40%) + 8.25% , Due 11/26</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4,921,225</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Grupo HIMA San Pablo, Inc.</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3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B Loan (First Lien)</w:t>
            </w:r>
          </w:p>
        </w:tc>
        <w:tc>
          <w:tcPr>
            <w:tcW w:w="11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1/30/2013</w:t>
            </w: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1"/>
                <w:szCs w:val="11"/>
                <w:color w:val="auto"/>
              </w:rPr>
            </w:pPr>
          </w:p>
        </w:tc>
        <w:tc>
          <w:tcPr>
            <w:tcW w:w="33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11.6% Cash, 3 month LIBOR(4.58%) + 7.00%;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3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1.50% , Due 1/18</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2,739,174</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2,739,174</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2,708,495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Grupo HIMA San Pablo, Inc.</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(5)(8)(13)</w:t>
            </w:r>
          </w:p>
        </w:tc>
        <w:tc>
          <w:tcPr>
            <w:tcW w:w="33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1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1/30/2013</w:t>
            </w: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2"/>
                <w:szCs w:val="12"/>
                <w:color w:val="auto"/>
              </w:rPr>
            </w:pPr>
          </w:p>
        </w:tc>
        <w:tc>
          <w:tcPr>
            <w:tcW w:w="33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13.8% Cash, fixed , Due 7/18</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7,191,667</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7,169,109</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4,709,103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Harland Clarke Holdings Corp. (fka Clarke</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3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11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6/18/2013</w:t>
            </w: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American Corp.)</w:t>
            </w:r>
          </w:p>
        </w:tc>
        <w:tc>
          <w:tcPr>
            <w:tcW w:w="620" w:type="dxa"/>
            <w:vAlign w:val="bottom"/>
            <w:shd w:val="clear" w:color="auto" w:fill="CFF0FC"/>
          </w:tcPr>
          <w:p>
            <w:pPr>
              <w:spacing w:after="0"/>
              <w:rPr>
                <w:sz w:val="11"/>
                <w:szCs w:val="11"/>
                <w:color w:val="auto"/>
              </w:rPr>
            </w:pPr>
          </w:p>
        </w:tc>
        <w:tc>
          <w:tcPr>
            <w:tcW w:w="33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7.1% Cash, 3 month LIBOR(2.33%) + 4.75%;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Media: Advertising, Printing &amp; Publishing</w:t>
            </w:r>
          </w:p>
        </w:tc>
        <w:tc>
          <w:tcPr>
            <w:tcW w:w="620" w:type="dxa"/>
            <w:vAlign w:val="bottom"/>
            <w:shd w:val="clear" w:color="auto" w:fill="CFF0FC"/>
          </w:tcPr>
          <w:p>
            <w:pPr>
              <w:spacing w:after="0"/>
              <w:rPr>
                <w:sz w:val="12"/>
                <w:szCs w:val="12"/>
                <w:color w:val="auto"/>
              </w:rPr>
            </w:pPr>
          </w:p>
        </w:tc>
        <w:tc>
          <w:tcPr>
            <w:tcW w:w="33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11/23</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2,732,525</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2,749,423</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2,367,049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Hoffmaster Group, Inc.</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3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 Lien)</w:t>
            </w:r>
          </w:p>
        </w:tc>
        <w:tc>
          <w:tcPr>
            <w:tcW w:w="11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5/6/2014</w:t>
            </w: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Forest Products &amp; Paper</w:t>
            </w:r>
          </w:p>
        </w:tc>
        <w:tc>
          <w:tcPr>
            <w:tcW w:w="620" w:type="dxa"/>
            <w:vAlign w:val="bottom"/>
            <w:shd w:val="clear" w:color="auto" w:fill="CFF0FC"/>
          </w:tcPr>
          <w:p>
            <w:pPr>
              <w:spacing w:after="0"/>
              <w:rPr>
                <w:sz w:val="11"/>
                <w:szCs w:val="11"/>
                <w:color w:val="auto"/>
              </w:rPr>
            </w:pPr>
          </w:p>
        </w:tc>
        <w:tc>
          <w:tcPr>
            <w:tcW w:w="33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11.8% Cash, 3 month LIBOR(2.33%) + 9.50%;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3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11/24</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1,600,000</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1,567,563</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1,561,375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Idera, Inc.</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3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Loan (Second Lien)</w:t>
            </w:r>
          </w:p>
        </w:tc>
        <w:tc>
          <w:tcPr>
            <w:tcW w:w="11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1"/>
                <w:szCs w:val="11"/>
                <w:color w:val="auto"/>
              </w:rPr>
            </w:pPr>
          </w:p>
        </w:tc>
        <w:tc>
          <w:tcPr>
            <w:tcW w:w="33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11.4% Cash, 1 month LIBOR(2.41%) + 9.00%;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3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6/27</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7,500,000</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7,387,500</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7,387,500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Infobase Holdings, Inc.</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3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12/13/2017</w:t>
            </w: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1"/>
                <w:szCs w:val="11"/>
                <w:color w:val="auto"/>
              </w:rPr>
            </w:pPr>
          </w:p>
        </w:tc>
        <w:tc>
          <w:tcPr>
            <w:tcW w:w="33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7.0% Cash, 3 month LIBOR(2.52%) + 4.50%;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3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12/22</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3,965,888</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3,935,032</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3,942,338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6"/>
              </w:rPr>
              <w:t>Ivanti Software, Inc. (fka LANDesk Group, Inc.)</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3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Loan (Second Lien)</w:t>
            </w:r>
          </w:p>
        </w:tc>
        <w:tc>
          <w:tcPr>
            <w:tcW w:w="11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3/10/2017</w:t>
            </w: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1"/>
                <w:szCs w:val="11"/>
                <w:color w:val="auto"/>
              </w:rPr>
            </w:pPr>
          </w:p>
        </w:tc>
        <w:tc>
          <w:tcPr>
            <w:tcW w:w="33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5"/>
              </w:rPr>
              <w:t>11.4% Cash, 1 month LIBOR(2.42%) + 9.00%;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3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1/25</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3,228,619</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3,228,619</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3,197,947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Kellermeyer Bergensons Services, LLC</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(8)</w:t>
            </w:r>
          </w:p>
        </w:tc>
        <w:tc>
          <w:tcPr>
            <w:tcW w:w="33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3"/>
              </w:rPr>
              <w:t>Senior Secured Loan — 2018 Replacement Term Loan (First</w:t>
            </w:r>
          </w:p>
        </w:tc>
        <w:tc>
          <w:tcPr>
            <w:tcW w:w="11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10/31/2014</w:t>
            </w: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20" w:type="dxa"/>
            <w:vAlign w:val="bottom"/>
            <w:shd w:val="clear" w:color="auto" w:fill="CFF0FC"/>
          </w:tcPr>
          <w:p>
            <w:pPr>
              <w:spacing w:after="0"/>
              <w:rPr>
                <w:sz w:val="11"/>
                <w:szCs w:val="11"/>
                <w:color w:val="auto"/>
              </w:rPr>
            </w:pPr>
          </w:p>
        </w:tc>
        <w:tc>
          <w:tcPr>
            <w:tcW w:w="33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3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7.3% Cash, 3 month LIBOR(2.52%) + 4.75%;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3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10/21</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2,082,960</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2,080,770</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2,078,682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Kronos Foods Corp</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3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Fourth Amendment Term Loan</w:t>
            </w:r>
          </w:p>
        </w:tc>
        <w:tc>
          <w:tcPr>
            <w:tcW w:w="11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Beverage, Food and Tobacco</w:t>
            </w:r>
          </w:p>
        </w:tc>
        <w:tc>
          <w:tcPr>
            <w:tcW w:w="620" w:type="dxa"/>
            <w:vAlign w:val="bottom"/>
            <w:shd w:val="clear" w:color="auto" w:fill="CFF0FC"/>
          </w:tcPr>
          <w:p>
            <w:pPr>
              <w:spacing w:after="0"/>
              <w:rPr>
                <w:sz w:val="12"/>
                <w:szCs w:val="12"/>
                <w:color w:val="auto"/>
              </w:rPr>
            </w:pPr>
          </w:p>
        </w:tc>
        <w:tc>
          <w:tcPr>
            <w:tcW w:w="33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6.9% Cash, 3 month LIBOR(2.33%) + 4.55% , Due 9/22</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4,950,000</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4,950,000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4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Navex Topco, Inc.</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30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rPr>
              <w:t>Junior Secured Loan — Initial Term Loan (Second Lien)</w:t>
            </w:r>
          </w:p>
        </w:tc>
        <w:tc>
          <w:tcPr>
            <w:tcW w:w="1120" w:type="dxa"/>
            <w:vAlign w:val="bottom"/>
            <w:shd w:val="clear" w:color="auto" w:fill="CFF0FC"/>
          </w:tcPr>
          <w:p>
            <w:pPr>
              <w:jc w:val="right"/>
              <w:spacing w:after="0" w:line="126" w:lineRule="exact"/>
              <w:rPr>
                <w:sz w:val="20"/>
                <w:szCs w:val="20"/>
                <w:color w:val="auto"/>
              </w:rPr>
            </w:pPr>
            <w:r>
              <w:rPr>
                <w:rFonts w:ascii="Arial" w:cs="Arial" w:eastAsia="Arial" w:hAnsi="Arial"/>
                <w:sz w:val="13"/>
                <w:szCs w:val="13"/>
                <w:color w:val="auto"/>
              </w:rPr>
              <w:t>12/4/2018</w:t>
            </w: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Electronics</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(19)</w:t>
            </w:r>
          </w:p>
        </w:tc>
        <w:tc>
          <w:tcPr>
            <w:tcW w:w="33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9.4% Cash, 1 month LIBOR(2.41%) + 7.00% , Due 9/26</w:t>
            </w: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6,700,000</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6,635,456</w:t>
            </w: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6,646,229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1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Initial</w:t>
            </w: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gridSpan w:val="2"/>
          </w:tcPr>
          <w:p>
            <w:pPr>
              <w:ind w:left="920"/>
              <w:spacing w:after="0" w:line="135" w:lineRule="exact"/>
              <w:rPr>
                <w:sz w:val="20"/>
                <w:szCs w:val="20"/>
                <w:color w:val="auto"/>
              </w:rPr>
            </w:pPr>
            <w:r>
              <w:rPr>
                <w:rFonts w:ascii="Arial" w:cs="Arial" w:eastAsia="Arial" w:hAnsi="Arial"/>
                <w:sz w:val="13"/>
                <w:szCs w:val="13"/>
                <w:b w:val="1"/>
                <w:bCs w:val="1"/>
                <w:color w:val="auto"/>
              </w:rPr>
              <w:t>Investment</w:t>
            </w:r>
          </w:p>
        </w:tc>
        <w:tc>
          <w:tcPr>
            <w:tcW w:w="12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Amortized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gridSpan w:val="2"/>
          </w:tcPr>
          <w:p>
            <w:pPr>
              <w:ind w:left="5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260" w:type="dxa"/>
            <w:vAlign w:val="bottom"/>
            <w:gridSpan w:val="2"/>
          </w:tcPr>
          <w:p>
            <w:pPr>
              <w:ind w:left="260"/>
              <w:spacing w:after="0"/>
              <w:rPr>
                <w:sz w:val="20"/>
                <w:szCs w:val="20"/>
                <w:color w:val="auto"/>
              </w:rPr>
            </w:pPr>
            <w:r>
              <w:rPr>
                <w:rFonts w:ascii="Arial" w:cs="Arial" w:eastAsia="Arial" w:hAnsi="Arial"/>
                <w:sz w:val="13"/>
                <w:szCs w:val="13"/>
                <w:b w:val="1"/>
                <w:bCs w:val="1"/>
                <w:color w:val="auto"/>
              </w:rPr>
              <w:t>Principal</w:t>
            </w: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2"/>
              </w:rPr>
              <w:t>Cost</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Pinstripe Holdings, LLC (Aka Cielo)</w:t>
            </w:r>
          </w:p>
        </w:tc>
        <w:tc>
          <w:tcPr>
            <w:tcW w:w="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(8)(13)(14)</w:t>
            </w:r>
          </w:p>
        </w:tc>
        <w:tc>
          <w:tcPr>
            <w:tcW w:w="316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Initial Term Loan</w:t>
            </w:r>
          </w:p>
        </w:tc>
        <w:tc>
          <w:tcPr>
            <w:tcW w:w="14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Consumer</w:t>
            </w:r>
          </w:p>
        </w:tc>
        <w:tc>
          <w:tcPr>
            <w:tcW w:w="62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7"/>
              </w:rPr>
              <w:t>8.4% Cash, 1 month LIBOR(2.41%) + 6.00%;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9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 Due 1/25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4,987,500</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4,894,708</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4,887,750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Playpower, Inc.</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3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Construction &amp; Building</w:t>
            </w:r>
          </w:p>
        </w:tc>
        <w:tc>
          <w:tcPr>
            <w:tcW w:w="620" w:type="dxa"/>
            <w:vAlign w:val="bottom"/>
            <w:shd w:val="clear" w:color="auto" w:fill="CFF0FC"/>
          </w:tcPr>
          <w:p>
            <w:pPr>
              <w:spacing w:after="0"/>
              <w:rPr>
                <w:sz w:val="12"/>
                <w:szCs w:val="12"/>
                <w:color w:val="auto"/>
              </w:rPr>
            </w:pPr>
          </w:p>
        </w:tc>
        <w:tc>
          <w:tcPr>
            <w:tcW w:w="33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7.9% Cash, 1 month LIBOR(2.40%) + 5.50% , Due 5/26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6/23/2015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1,524,087</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1,532,559</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1,508,846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PSC Industrial Holdings Corp.</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3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Environmental Industries</w:t>
            </w: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6"/>
              </w:rPr>
              <w:t>10.9%</w:t>
            </w:r>
          </w:p>
        </w:tc>
        <w:tc>
          <w:tcPr>
            <w:tcW w:w="29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6"/>
              </w:rPr>
              <w:t>Cash, 1 month LIBOR(2.39%) + 8.50%;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9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 Due 10/25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10/5/2017</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2,952,766</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2,905,695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PVHC Holding Corp</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3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Chemicals, Plastics and Rubber</w:t>
            </w:r>
          </w:p>
        </w:tc>
        <w:tc>
          <w:tcPr>
            <w:tcW w:w="62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7"/>
              </w:rPr>
              <w:t>7.1% Cash, 3 month LIBOR(2.33%) + 4.75%;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9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 Due 8/24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8/10/2018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2,858,400</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2,846,195</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2,777,793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Q Holding Company (fka Lexington Precision</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3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B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Corporation)</w:t>
            </w:r>
          </w:p>
        </w:tc>
        <w:tc>
          <w:tcPr>
            <w:tcW w:w="62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7"/>
              </w:rPr>
              <w:t>7.4% Cash, 1 month LIBOR(2.40%) + 5.00%;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Chemicals, Plastics and Rubber</w:t>
            </w: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9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 Due 12/21</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12/16/2016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1,969,072</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1,988,405</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1,951,519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Radius Aerospace, Inc.</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3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Aerospace and Defense</w:t>
            </w:r>
          </w:p>
        </w:tc>
        <w:tc>
          <w:tcPr>
            <w:tcW w:w="62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7"/>
              </w:rPr>
              <w:t>8.1% Cash, 3 month LIBOR(2.32%) + 5.74%;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9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 Due 3/25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7,000,000</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6,895,000</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6,895,000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Ravn Air Group, Inc.</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3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Aerospace and Defense</w:t>
            </w:r>
          </w:p>
        </w:tc>
        <w:tc>
          <w:tcPr>
            <w:tcW w:w="62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7"/>
              </w:rPr>
              <w:t>7.3% Cash, 3 month LIBOR(2.33%) + 5.00%;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9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 Due 7/21</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7/29/2015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1,841,182</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1,841,182</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1,841,182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2"/>
              </w:rPr>
              <w:t>Robertshaw US Holding Corp. (fka Fox US Bidco</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3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Corp.)</w:t>
            </w: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6"/>
              </w:rPr>
              <w:t>10.4%</w:t>
            </w:r>
          </w:p>
        </w:tc>
        <w:tc>
          <w:tcPr>
            <w:tcW w:w="29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6"/>
              </w:rPr>
              <w:t>Cash, 1 month LIBOR(2.44%) + 8.00%;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Capital Equipment</w:t>
            </w: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9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 Due 2/26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2,974,959</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2,688,172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Roscoe Medical, Inc.</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3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13.3%</w:t>
            </w:r>
          </w:p>
        </w:tc>
        <w:tc>
          <w:tcPr>
            <w:tcW w:w="29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8"/>
              </w:rPr>
              <w:t>Cash, 3 month LIBOR(0.00%) + 13.25% , Due 9/19</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4,995,555</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2,525,000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Roscoe Medical, Inc.</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(5)(8)(13)</w:t>
            </w:r>
          </w:p>
        </w:tc>
        <w:tc>
          <w:tcPr>
            <w:tcW w:w="33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Healthcare &amp; Pharmaceuticals</w:t>
            </w: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13.3%</w:t>
            </w:r>
          </w:p>
        </w:tc>
        <w:tc>
          <w:tcPr>
            <w:tcW w:w="29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8"/>
              </w:rPr>
              <w:t>Cash, 3 month LIBOR(0.00%) + 13.25% , Due 9/19</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1,700,000</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1,698,486</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858,500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Salient CRGT Inc.</w:t>
            </w:r>
          </w:p>
        </w:tc>
        <w:tc>
          <w:tcPr>
            <w:tcW w:w="62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3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620" w:type="dxa"/>
            <w:vAlign w:val="bottom"/>
            <w:shd w:val="clear" w:color="auto" w:fill="CFF0FC"/>
          </w:tcPr>
          <w:p>
            <w:pPr>
              <w:spacing w:after="0"/>
              <w:rPr>
                <w:sz w:val="11"/>
                <w:szCs w:val="11"/>
                <w:color w:val="auto"/>
              </w:rPr>
            </w:pPr>
          </w:p>
        </w:tc>
        <w:tc>
          <w:tcPr>
            <w:tcW w:w="330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7"/>
              </w:rPr>
              <w:t>8.4% Cash, 1 month LIBOR(2.40%) + 6.00%;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9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 Due 2/22</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2/27/2017</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1,816,190</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1,830,896</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1,748,320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15"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3"/>
          </w:tcPr>
          <w:p>
            <w:pPr>
              <w:jc w:val="center"/>
              <w:ind w:right="273"/>
              <w:spacing w:after="0"/>
              <w:rPr>
                <w:sz w:val="20"/>
                <w:szCs w:val="20"/>
                <w:color w:val="auto"/>
              </w:rPr>
            </w:pPr>
            <w:r>
              <w:rPr>
                <w:rFonts w:ascii="Arial" w:cs="Arial" w:eastAsia="Arial" w:hAnsi="Arial"/>
                <w:sz w:val="13"/>
                <w:szCs w:val="13"/>
                <w:b w:val="1"/>
                <w:bCs w:val="1"/>
                <w:color w:val="auto"/>
                <w:w w:val="94"/>
              </w:rPr>
              <w:t>Initial</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980" w:type="dxa"/>
            <w:vAlign w:val="bottom"/>
            <w:gridSpan w:val="2"/>
          </w:tcPr>
          <w:p>
            <w:pPr>
              <w:ind w:left="940"/>
              <w:spacing w:after="0" w:line="135" w:lineRule="exact"/>
              <w:rPr>
                <w:sz w:val="20"/>
                <w:szCs w:val="20"/>
                <w:color w:val="auto"/>
              </w:rPr>
            </w:pPr>
            <w:r>
              <w:rPr>
                <w:rFonts w:ascii="Arial" w:cs="Arial" w:eastAsia="Arial" w:hAnsi="Arial"/>
                <w:sz w:val="13"/>
                <w:szCs w:val="13"/>
                <w:b w:val="1"/>
                <w:bCs w:val="1"/>
                <w:color w:val="auto"/>
              </w:rPr>
              <w:t>Investment</w:t>
            </w:r>
          </w:p>
        </w:tc>
        <w:tc>
          <w:tcPr>
            <w:tcW w:w="1400" w:type="dxa"/>
            <w:vAlign w:val="bottom"/>
            <w:gridSpan w:val="3"/>
          </w:tcPr>
          <w:p>
            <w:pPr>
              <w:jc w:val="center"/>
              <w:ind w:right="293"/>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1"/>
              </w:rPr>
              <w:t>Amortized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80" w:type="dxa"/>
            <w:vAlign w:val="bottom"/>
            <w:gridSpan w:val="2"/>
          </w:tcPr>
          <w:p>
            <w:pPr>
              <w:ind w:left="5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400" w:type="dxa"/>
            <w:vAlign w:val="bottom"/>
            <w:gridSpan w:val="3"/>
          </w:tcPr>
          <w:p>
            <w:pPr>
              <w:jc w:val="center"/>
              <w:ind w:right="273"/>
              <w:spacing w:after="0"/>
              <w:rPr>
                <w:sz w:val="20"/>
                <w:szCs w:val="20"/>
                <w:color w:val="auto"/>
              </w:rPr>
            </w:pPr>
            <w:r>
              <w:rPr>
                <w:rFonts w:ascii="Arial" w:cs="Arial" w:eastAsia="Arial" w:hAnsi="Arial"/>
                <w:sz w:val="13"/>
                <w:szCs w:val="13"/>
                <w:b w:val="1"/>
                <w:bCs w:val="1"/>
                <w:color w:val="auto"/>
                <w:w w:val="85"/>
              </w:rPr>
              <w:t>Date</w:t>
            </w:r>
          </w:p>
        </w:tc>
        <w:tc>
          <w:tcPr>
            <w:tcW w:w="860" w:type="dxa"/>
            <w:vAlign w:val="bottom"/>
          </w:tcPr>
          <w:p>
            <w:pPr>
              <w:jc w:val="right"/>
              <w:ind w:right="197"/>
              <w:spacing w:after="0"/>
              <w:rPr>
                <w:sz w:val="20"/>
                <w:szCs w:val="20"/>
                <w:color w:val="auto"/>
              </w:rPr>
            </w:pPr>
            <w:r>
              <w:rPr>
                <w:rFonts w:ascii="Arial" w:cs="Arial" w:eastAsia="Arial" w:hAnsi="Arial"/>
                <w:sz w:val="13"/>
                <w:szCs w:val="13"/>
                <w:b w:val="1"/>
                <w:bCs w:val="1"/>
                <w:color w:val="auto"/>
              </w:rPr>
              <w:t>Principal</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2"/>
              </w:rPr>
              <w:t>Cost</w:t>
            </w:r>
          </w:p>
        </w:tc>
        <w:tc>
          <w:tcPr>
            <w:tcW w:w="14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3160" w:type="dxa"/>
            <w:vAlign w:val="bottom"/>
            <w:gridSpan w:val="2"/>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34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SCSG EA Acquisition Company, Inc.</w:t>
            </w: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(8)(14)</w:t>
            </w:r>
          </w:p>
        </w:tc>
        <w:tc>
          <w:tcPr>
            <w:tcW w:w="3160" w:type="dxa"/>
            <w:vAlign w:val="bottom"/>
            <w:gridSpan w:val="2"/>
            <w:shd w:val="clear" w:color="auto" w:fill="CFF0FC"/>
          </w:tcPr>
          <w:p>
            <w:pPr>
              <w:spacing w:after="0" w:line="128" w:lineRule="exact"/>
              <w:rPr>
                <w:sz w:val="20"/>
                <w:szCs w:val="20"/>
                <w:color w:val="auto"/>
              </w:rPr>
            </w:pPr>
            <w:r>
              <w:rPr>
                <w:rFonts w:ascii="Arial" w:cs="Arial" w:eastAsia="Arial" w:hAnsi="Arial"/>
                <w:sz w:val="13"/>
                <w:szCs w:val="13"/>
                <w:color w:val="auto"/>
                <w:w w:val="97"/>
              </w:rPr>
              <w:t>Junior Secured Loan — Initial Term Loan (Second Lien)</w:t>
            </w:r>
          </w:p>
        </w:tc>
        <w:tc>
          <w:tcPr>
            <w:tcW w:w="160" w:type="dxa"/>
            <w:vAlign w:val="bottom"/>
            <w:vMerge w:val="continue"/>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6"/>
              </w:rPr>
              <w:t>10.8%</w:t>
            </w:r>
          </w:p>
        </w:tc>
        <w:tc>
          <w:tcPr>
            <w:tcW w:w="29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6"/>
              </w:rPr>
              <w:t>Cash, 3 month LIBOR(2.60%) + 8.25%; LIBOR Floor</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9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 Due 9/24</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8/18/2017</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4,962,991</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4,975,000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SCSG EA Acquisition Company, Inc.</w:t>
            </w: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(8)</w:t>
            </w:r>
          </w:p>
        </w:tc>
        <w:tc>
          <w:tcPr>
            <w:tcW w:w="33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 Lien)</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6"/>
              </w:rPr>
              <w:t>10.8%</w:t>
            </w:r>
          </w:p>
        </w:tc>
        <w:tc>
          <w:tcPr>
            <w:tcW w:w="29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6"/>
              </w:rPr>
              <w:t>Cash, 3 month LIBOR(2.60%) + 8.25%; LIBOR Floor</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9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 Due 9/24</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8/18/2017</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991,965</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995,000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SOS Security Holdings LLC</w:t>
            </w: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(8)(14)</w:t>
            </w:r>
          </w:p>
        </w:tc>
        <w:tc>
          <w:tcPr>
            <w:tcW w:w="33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7"/>
              </w:rPr>
              <w:t>9.1% Cash, 3 month LIBOR(2.58%) + 6.50%; LIBOR Floor</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9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 Due 4/25</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6/5/2019</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2,500,000</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2,475,244</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2,475,000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Tailwind Randys, LLC</w:t>
            </w: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(8)(14)</w:t>
            </w:r>
          </w:p>
        </w:tc>
        <w:tc>
          <w:tcPr>
            <w:tcW w:w="33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Automotive</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7"/>
              </w:rPr>
              <w:t>8.0% Cash, 3 month LIBOR(2.52%) + 5.50%; LIBOR Floor</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9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 Due 5/25</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4,912,500</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4,912,500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 LLC</w:t>
            </w: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(8)(13)</w:t>
            </w:r>
          </w:p>
        </w:tc>
        <w:tc>
          <w:tcPr>
            <w:tcW w:w="33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3"/>
              </w:rPr>
              <w:t>Senior Unsecured Bond — 10.000% - 02/2022 - TankConvert</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Energy: Oil &amp; Gas</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9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fixed , Due 2/22</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2/15/2019</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468,494</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468,494</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422,347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Tex-Tech Industries, Inc.</w:t>
            </w: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(8)(13)</w:t>
            </w:r>
          </w:p>
        </w:tc>
        <w:tc>
          <w:tcPr>
            <w:tcW w:w="33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Textiles and Leather</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5"/>
              </w:rPr>
              <w:t>11.4% Cash, 3 month LIBOR(2.40%) + 9.00%; LIBOR Floor</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9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 Due 8/24</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8/24/2017</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12,508,000</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12,376,690</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12,257,840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Time Manufacturing Acquisition, LLC</w:t>
            </w: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(8)(13)(14)</w:t>
            </w:r>
          </w:p>
        </w:tc>
        <w:tc>
          <w:tcPr>
            <w:tcW w:w="33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Capital Equipment</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7"/>
              </w:rPr>
              <w:t>7.7% Cash, 6 month LIBOR(2.69%) + 5.00%; LIBOR Floor</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9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 Due 2/23</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2/3/2017</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3,428,606</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3,429,980</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3,415,292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TLE Holdings, LLC</w:t>
            </w: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(8)(13)(14)</w:t>
            </w:r>
          </w:p>
        </w:tc>
        <w:tc>
          <w:tcPr>
            <w:tcW w:w="33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Consumer</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7"/>
              </w:rPr>
              <w:t>7.9% Cash, 1 month LIBOR(2.40%) + 5.50%; LIBOR Floor</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9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 Due 6/24</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208,422</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206,673</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206,338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TLE Holdings, LLC</w:t>
            </w: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(8)(13)(14)</w:t>
            </w:r>
          </w:p>
        </w:tc>
        <w:tc>
          <w:tcPr>
            <w:tcW w:w="33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Consumer</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7"/>
              </w:rPr>
              <w:t>7.7% Cash, 6 month LIBOR(2.20%) + 5.50%; LIBOR Floor</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9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 Due 6/24</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3/29/2019</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5,717,790</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5,691,239</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5,660,612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TronAir Parent Inc.</w:t>
            </w: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(8)(13)(14)</w:t>
            </w:r>
          </w:p>
        </w:tc>
        <w:tc>
          <w:tcPr>
            <w:tcW w:w="33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 (First Lien)</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Aerospace and Defense</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5"/>
              </w:rPr>
              <w:t>7.6% Cash, 12 month LIBOR(2.82%) + 4.75%; LIBOR Floor</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9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 Due 9/23</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9/30/2016</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982,322</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980,513</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947,424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 Inc.</w:t>
            </w: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(8)(13)</w:t>
            </w:r>
          </w:p>
        </w:tc>
        <w:tc>
          <w:tcPr>
            <w:tcW w:w="33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Energy: Oil &amp; Gas</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rPr>
              <w:t>14.0% Cash, 3 month LIBOR(1.00%) + 13.00%; LIBOR</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3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Floor 1.00% , Due 12/19</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998,623</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Arial" w:cs="Arial" w:eastAsia="Arial" w:hAnsi="Arial"/>
                <w:sz w:val="13"/>
                <w:szCs w:val="13"/>
                <w:color w:val="auto"/>
              </w:rPr>
              <w:t>0</w:t>
            </w:r>
          </w:p>
        </w:tc>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WireCo WorldGroup Inc.</w:t>
            </w: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(8)(13)</w:t>
            </w:r>
          </w:p>
        </w:tc>
        <w:tc>
          <w:tcPr>
            <w:tcW w:w="33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 Lien)</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Capital Equipment</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5"/>
              </w:rPr>
              <w:t>11.4% Cash, 1 month LIBOR(2.40%) + 9.00%; LIBOR Floor</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9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 Due 9/24</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8/9/2016</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2,970,411</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2,895,235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Zest Acquisition Corp.</w:t>
            </w: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(8)(13)(19)</w:t>
            </w:r>
          </w:p>
        </w:tc>
        <w:tc>
          <w:tcPr>
            <w:tcW w:w="33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 Lien)</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3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7"/>
              </w:rPr>
              <w:t>9.9% Cash, 1 month LIBOR(2.41%) + 7.50%; LIBOR Floor</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9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 Due 3/26</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3/8/2018</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3,500,000</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3,481,137</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3,231,682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vMerge w:val="restart"/>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Debt Securities</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shd w:val="clear" w:color="auto" w:fill="CFF0FC"/>
          </w:tcPr>
          <w:p>
            <w:pPr>
              <w:ind w:left="80"/>
              <w:spacing w:after="0"/>
              <w:rPr>
                <w:sz w:val="20"/>
                <w:szCs w:val="20"/>
                <w:color w:val="auto"/>
              </w:rPr>
            </w:pPr>
            <w:r>
              <w:rPr>
                <w:rFonts w:ascii="Arial" w:cs="Arial" w:eastAsia="Arial" w:hAnsi="Arial"/>
                <w:sz w:val="13"/>
                <w:szCs w:val="13"/>
                <w:b w:val="1"/>
                <w:bCs w:val="1"/>
                <w:color w:val="auto"/>
                <w:w w:val="97"/>
              </w:rPr>
              <w:t>(126% of net asset value at fair value)</w:t>
            </w: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spacing w:after="0"/>
              <w:rPr>
                <w:sz w:val="13"/>
                <w:szCs w:val="13"/>
                <w:color w:val="auto"/>
              </w:rPr>
            </w:pPr>
          </w:p>
        </w:tc>
        <w:tc>
          <w:tcPr>
            <w:tcW w:w="160" w:type="dxa"/>
            <w:vAlign w:val="bottom"/>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186,823,719</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185,518,733</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3"/>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175,321,765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Equity Securities Portfolio</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1"/>
                <w:szCs w:val="11"/>
                <w:color w:val="auto"/>
              </w:rPr>
            </w:pPr>
          </w:p>
        </w:tc>
        <w:tc>
          <w:tcPr>
            <w:tcW w:w="960" w:type="dxa"/>
            <w:vAlign w:val="bottom"/>
            <w:gridSpan w:val="3"/>
          </w:tcPr>
          <w:p>
            <w:pPr>
              <w:ind w:left="340"/>
              <w:spacing w:after="0" w:line="135" w:lineRule="exact"/>
              <w:rPr>
                <w:sz w:val="20"/>
                <w:szCs w:val="20"/>
                <w:color w:val="auto"/>
              </w:rPr>
            </w:pPr>
            <w:r>
              <w:rPr>
                <w:rFonts w:ascii="Arial" w:cs="Arial" w:eastAsia="Arial" w:hAnsi="Arial"/>
                <w:sz w:val="13"/>
                <w:szCs w:val="13"/>
                <w:b w:val="1"/>
                <w:bCs w:val="1"/>
                <w:color w:val="auto"/>
                <w:w w:val="85"/>
              </w:rPr>
              <w:t>Percentage</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2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2"/>
          </w:tcPr>
          <w:p>
            <w:pPr>
              <w:ind w:left="56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4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Pr>
          <w:p>
            <w:pPr>
              <w:spacing w:after="0"/>
              <w:rPr>
                <w:sz w:val="13"/>
                <w:szCs w:val="13"/>
                <w:color w:val="auto"/>
              </w:rPr>
            </w:pPr>
          </w:p>
        </w:tc>
        <w:tc>
          <w:tcPr>
            <w:tcW w:w="2040" w:type="dxa"/>
            <w:vAlign w:val="bottom"/>
            <w:gridSpan w:val="7"/>
          </w:tcPr>
          <w:p>
            <w:pPr>
              <w:jc w:val="right"/>
              <w:ind w:right="900"/>
              <w:spacing w:after="0"/>
              <w:rPr>
                <w:sz w:val="20"/>
                <w:szCs w:val="20"/>
                <w:color w:val="auto"/>
              </w:rPr>
            </w:pPr>
            <w:r>
              <w:rPr>
                <w:rFonts w:ascii="Arial" w:cs="Arial" w:eastAsia="Arial" w:hAnsi="Arial"/>
                <w:sz w:val="13"/>
                <w:szCs w:val="13"/>
                <w:b w:val="1"/>
                <w:bCs w:val="1"/>
                <w:color w:val="auto"/>
                <w:w w:val="98"/>
              </w:rPr>
              <w:t>Ownership/Shares</w:t>
            </w:r>
          </w:p>
        </w:tc>
        <w:tc>
          <w:tcPr>
            <w:tcW w:w="1060" w:type="dxa"/>
            <w:vAlign w:val="bottom"/>
            <w:gridSpan w:val="4"/>
          </w:tcPr>
          <w:p>
            <w:pPr>
              <w:ind w:left="4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0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(8)</w:t>
            </w:r>
          </w:p>
        </w:tc>
        <w:tc>
          <w:tcPr>
            <w:tcW w:w="3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8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Class A Preferred Units</w:t>
            </w:r>
          </w:p>
        </w:tc>
        <w:tc>
          <w:tcPr>
            <w:tcW w:w="16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Healthcare &amp; Pharmaceuticals</w:t>
            </w: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1.36%</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2,500,000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2,500,000</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(8)(13)(20)</w:t>
            </w: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w:t>
            </w: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Consumer goods: Durable</w:t>
            </w: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1.90%</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(8)(13)(20)</w:t>
            </w: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Membership Interests</w:t>
            </w: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Consumer goods: Durable</w:t>
            </w: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0.40%</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181,999</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Caribe Media Inc. (fka Caribe Information</w:t>
            </w: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w:t>
            </w: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Investments Incorporated)</w:t>
            </w:r>
            <w:r>
              <w:rPr>
                <w:rFonts w:ascii="Arial" w:cs="Arial" w:eastAsia="Arial" w:hAnsi="Arial"/>
                <w:sz w:val="10"/>
                <w:szCs w:val="10"/>
                <w:color w:val="auto"/>
              </w:rPr>
              <w:t>(8)(13)(20)</w:t>
            </w: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Media: Advertising, Printing &amp; Publishing</w:t>
            </w: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12/18/2006</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1.17%</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359,765</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107,135</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eInstruction Acquisition, LLC</w:t>
            </w:r>
            <w:r>
              <w:rPr>
                <w:rFonts w:ascii="Arial" w:cs="Arial" w:eastAsia="Arial" w:hAnsi="Arial"/>
                <w:sz w:val="10"/>
                <w:szCs w:val="10"/>
                <w:color w:val="auto"/>
              </w:rPr>
              <w:t>(8)(13)(20)</w:t>
            </w: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Membership Units</w:t>
            </w: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Services: Business</w:t>
            </w: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7/2/2007</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1.10%</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1,079,617</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FP WRCA Coinvestment Fund VII, Ltd.</w:t>
            </w:r>
            <w:r>
              <w:rPr>
                <w:rFonts w:ascii="Arial" w:cs="Arial" w:eastAsia="Arial" w:hAnsi="Arial"/>
                <w:sz w:val="10"/>
                <w:szCs w:val="10"/>
                <w:color w:val="auto"/>
              </w:rPr>
              <w:t>(3)(13)(20)</w:t>
            </w: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Shares</w:t>
            </w: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Capital Equipment</w:t>
            </w: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2/2/2007</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0.41%</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601,683</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New Millennium Holdco, Inc. (Millennium</w:t>
            </w: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w:t>
            </w: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Health, LLC)</w:t>
            </w:r>
            <w:r>
              <w:rPr>
                <w:rFonts w:ascii="Arial" w:cs="Arial" w:eastAsia="Arial" w:hAnsi="Arial"/>
                <w:sz w:val="10"/>
                <w:szCs w:val="10"/>
                <w:color w:val="auto"/>
              </w:rPr>
              <w:t>(8)(13)(20)</w:t>
            </w: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Healthcare &amp; Pharmaceuticals</w:t>
            </w: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10/7/2014</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0.20%</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1,953,299</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Roscoe Investors, LLC</w:t>
            </w:r>
            <w:r>
              <w:rPr>
                <w:rFonts w:ascii="Arial" w:cs="Arial" w:eastAsia="Arial" w:hAnsi="Arial"/>
                <w:sz w:val="10"/>
                <w:szCs w:val="10"/>
                <w:color w:val="auto"/>
              </w:rPr>
              <w:t>(8)(13)(20)</w:t>
            </w: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Units</w:t>
            </w: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Healthcare &amp; Pharmaceuticals</w:t>
            </w: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1.56%</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Tank Partners Holdings, LLC</w:t>
            </w:r>
            <w:r>
              <w:rPr>
                <w:rFonts w:ascii="Arial" w:cs="Arial" w:eastAsia="Arial" w:hAnsi="Arial"/>
                <w:sz w:val="10"/>
                <w:szCs w:val="10"/>
                <w:color w:val="auto"/>
              </w:rPr>
              <w:t>(8)(10)(13)(20)</w:t>
            </w: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Units</w:t>
            </w: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Energy: Oil &amp; Gas</w:t>
            </w: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8/28/2014</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48.5%</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6,228,000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417,793</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Ohene Holdings B.V.- Digitran Pomeroy</w:t>
            </w:r>
            <w:r>
              <w:rPr>
                <w:rFonts w:ascii="Arial" w:cs="Arial" w:eastAsia="Arial" w:hAnsi="Arial"/>
                <w:sz w:val="10"/>
                <w:szCs w:val="10"/>
                <w:color w:val="auto"/>
              </w:rPr>
              <w:t>(13)(20)</w:t>
            </w: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Warrants</w:t>
            </w: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Services: Business</w:t>
            </w: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3/31/2019</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0.2%</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TRSO II, Inc.</w:t>
            </w:r>
            <w:r>
              <w:rPr>
                <w:rFonts w:ascii="Arial" w:cs="Arial" w:eastAsia="Arial" w:hAnsi="Arial"/>
                <w:sz w:val="10"/>
                <w:szCs w:val="10"/>
                <w:color w:val="auto"/>
              </w:rPr>
              <w:t>(8)(13)(20)</w:t>
            </w: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 Stock</w:t>
            </w: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Energy: Oil &amp; Gas</w:t>
            </w: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5.40%</w:t>
            </w:r>
          </w:p>
        </w:tc>
        <w:tc>
          <w:tcPr>
            <w:tcW w:w="22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1,680,161</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512,075</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00" w:type="dxa"/>
            <w:vAlign w:val="bottom"/>
            <w:gridSpan w:val="2"/>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Equity Securities</w:t>
            </w: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00" w:type="dxa"/>
            <w:vAlign w:val="bottom"/>
            <w:gridSpan w:val="2"/>
            <w:shd w:val="clear" w:color="auto" w:fill="CFF0FC"/>
          </w:tcPr>
          <w:p>
            <w:pPr>
              <w:ind w:left="80"/>
              <w:spacing w:after="0"/>
              <w:rPr>
                <w:sz w:val="20"/>
                <w:szCs w:val="20"/>
                <w:color w:val="auto"/>
              </w:rPr>
            </w:pPr>
            <w:r>
              <w:rPr>
                <w:rFonts w:ascii="Arial" w:cs="Arial" w:eastAsia="Arial" w:hAnsi="Arial"/>
                <w:sz w:val="13"/>
                <w:szCs w:val="13"/>
                <w:b w:val="1"/>
                <w:bCs w:val="1"/>
                <w:color w:val="auto"/>
              </w:rPr>
              <w:t>(3% of net asset value at fair value)</w:t>
            </w:r>
          </w:p>
        </w:tc>
        <w:tc>
          <w:tcPr>
            <w:tcW w:w="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16,482,841</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5"/>
              <w:spacing w:after="0"/>
              <w:rPr>
                <w:sz w:val="20"/>
                <w:szCs w:val="20"/>
                <w:color w:val="auto"/>
              </w:rPr>
            </w:pPr>
            <w:r>
              <w:rPr>
                <w:rFonts w:ascii="Arial" w:cs="Arial" w:eastAsia="Arial" w:hAnsi="Arial"/>
                <w:sz w:val="9"/>
                <w:szCs w:val="9"/>
                <w:b w:val="1"/>
                <w:bCs w:val="1"/>
                <w:color w:val="auto"/>
                <w:w w:val="78"/>
              </w:rPr>
              <w:t>$</w:t>
            </w: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4,143,686</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2820" w:type="dxa"/>
            <w:vAlign w:val="bottom"/>
            <w:gridSpan w:val="3"/>
          </w:tcPr>
          <w:p>
            <w:pPr>
              <w:spacing w:after="0"/>
              <w:rPr>
                <w:sz w:val="20"/>
                <w:szCs w:val="20"/>
                <w:color w:val="auto"/>
              </w:rPr>
            </w:pPr>
            <w:r>
              <w:rPr>
                <w:rFonts w:ascii="Arial" w:cs="Arial" w:eastAsia="Arial" w:hAnsi="Arial"/>
                <w:sz w:val="18"/>
                <w:szCs w:val="18"/>
                <w:b w:val="1"/>
                <w:bCs w:val="1"/>
                <w:color w:val="auto"/>
              </w:rPr>
              <w:t>CLO Fund Securities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20" w:type="dxa"/>
            <w:vAlign w:val="bottom"/>
            <w:gridSpan w:val="3"/>
          </w:tcPr>
          <w:p>
            <w:pPr>
              <w:spacing w:after="0"/>
              <w:rPr>
                <w:sz w:val="20"/>
                <w:szCs w:val="20"/>
                <w:color w:val="auto"/>
              </w:rPr>
            </w:pPr>
            <w:r>
              <w:rPr>
                <w:rFonts w:ascii="Arial" w:cs="Arial" w:eastAsia="Arial" w:hAnsi="Arial"/>
                <w:sz w:val="18"/>
                <w:szCs w:val="18"/>
                <w:b w:val="1"/>
                <w:bCs w:val="1"/>
                <w:color w:val="auto"/>
              </w:rPr>
              <w:t>CLO Subordinated Investments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4"/>
          </w:tcPr>
          <w:p>
            <w:pPr>
              <w:jc w:val="center"/>
              <w:ind w:right="580"/>
              <w:spacing w:after="0"/>
              <w:rPr>
                <w:sz w:val="20"/>
                <w:szCs w:val="20"/>
                <w:color w:val="auto"/>
              </w:rPr>
            </w:pPr>
            <w:r>
              <w:rPr>
                <w:rFonts w:ascii="Arial" w:cs="Arial" w:eastAsia="Arial" w:hAnsi="Arial"/>
                <w:sz w:val="13"/>
                <w:szCs w:val="13"/>
                <w:b w:val="1"/>
                <w:bCs w:val="1"/>
                <w:color w:val="auto"/>
                <w:w w:val="94"/>
              </w:rPr>
              <w:t>Initial</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5"/>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80" w:type="dxa"/>
            <w:vAlign w:val="bottom"/>
            <w:gridSpan w:val="4"/>
          </w:tcPr>
          <w:p>
            <w:pPr>
              <w:jc w:val="right"/>
              <w:ind w:right="460"/>
              <w:spacing w:after="0" w:line="135" w:lineRule="exact"/>
              <w:rPr>
                <w:sz w:val="20"/>
                <w:szCs w:val="20"/>
                <w:color w:val="auto"/>
              </w:rPr>
            </w:pPr>
            <w:r>
              <w:rPr>
                <w:rFonts w:ascii="Arial" w:cs="Arial" w:eastAsia="Arial" w:hAnsi="Arial"/>
                <w:sz w:val="13"/>
                <w:szCs w:val="13"/>
                <w:b w:val="1"/>
                <w:bCs w:val="1"/>
                <w:color w:val="auto"/>
                <w:w w:val="85"/>
              </w:rPr>
              <w:t>Percentage</w:t>
            </w:r>
          </w:p>
        </w:tc>
        <w:tc>
          <w:tcPr>
            <w:tcW w:w="120" w:type="dxa"/>
            <w:vAlign w:val="bottom"/>
          </w:tcPr>
          <w:p>
            <w:pPr>
              <w:spacing w:after="0"/>
              <w:rPr>
                <w:sz w:val="11"/>
                <w:szCs w:val="11"/>
                <w:color w:val="auto"/>
              </w:rPr>
            </w:pPr>
          </w:p>
        </w:tc>
        <w:tc>
          <w:tcPr>
            <w:tcW w:w="94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Amortized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00" w:type="dxa"/>
            <w:vAlign w:val="bottom"/>
            <w:gridSpan w:val="2"/>
          </w:tcPr>
          <w:p>
            <w:pPr>
              <w:ind w:left="800"/>
              <w:spacing w:after="0"/>
              <w:rPr>
                <w:sz w:val="20"/>
                <w:szCs w:val="20"/>
                <w:color w:val="auto"/>
              </w:rPr>
            </w:pPr>
            <w:r>
              <w:rPr>
                <w:rFonts w:ascii="Arial" w:cs="Arial" w:eastAsia="Arial" w:hAnsi="Arial"/>
                <w:sz w:val="13"/>
                <w:szCs w:val="13"/>
                <w:b w:val="1"/>
                <w:bCs w:val="1"/>
                <w:color w:val="auto"/>
              </w:rPr>
              <w:t>Portfolio Company</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2"/>
          </w:tcPr>
          <w:p>
            <w:pPr>
              <w:ind w:left="80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15,11</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4"/>
          </w:tcPr>
          <w:p>
            <w:pPr>
              <w:jc w:val="center"/>
              <w:ind w:right="580"/>
              <w:spacing w:after="0"/>
              <w:rPr>
                <w:sz w:val="20"/>
                <w:szCs w:val="20"/>
                <w:color w:val="auto"/>
              </w:rPr>
            </w:pPr>
            <w:r>
              <w:rPr>
                <w:rFonts w:ascii="Arial" w:cs="Arial" w:eastAsia="Arial" w:hAnsi="Arial"/>
                <w:sz w:val="13"/>
                <w:szCs w:val="13"/>
                <w:b w:val="1"/>
                <w:bCs w:val="1"/>
                <w:color w:val="auto"/>
                <w:w w:val="85"/>
              </w:rPr>
              <w:t>Date</w:t>
            </w:r>
          </w:p>
        </w:tc>
        <w:tc>
          <w:tcPr>
            <w:tcW w:w="1080" w:type="dxa"/>
            <w:vAlign w:val="bottom"/>
            <w:gridSpan w:val="4"/>
          </w:tcPr>
          <w:p>
            <w:pPr>
              <w:jc w:val="right"/>
              <w:ind w:right="460"/>
              <w:spacing w:after="0"/>
              <w:rPr>
                <w:sz w:val="20"/>
                <w:szCs w:val="20"/>
                <w:color w:val="auto"/>
              </w:rPr>
            </w:pPr>
            <w:r>
              <w:rPr>
                <w:rFonts w:ascii="Arial" w:cs="Arial" w:eastAsia="Arial" w:hAnsi="Arial"/>
                <w:sz w:val="13"/>
                <w:szCs w:val="13"/>
                <w:b w:val="1"/>
                <w:bCs w:val="1"/>
                <w:color w:val="auto"/>
                <w:w w:val="89"/>
              </w:rPr>
              <w:t>Ownership</w:t>
            </w:r>
          </w:p>
        </w:tc>
        <w:tc>
          <w:tcPr>
            <w:tcW w:w="120" w:type="dxa"/>
            <w:vAlign w:val="bottom"/>
          </w:tcPr>
          <w:p>
            <w:pPr>
              <w:spacing w:after="0"/>
              <w:rPr>
                <w:sz w:val="13"/>
                <w:szCs w:val="13"/>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2"/>
              </w:rPr>
              <w:t>Cost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4"/>
              </w:rPr>
              <w:t>Value</w:t>
            </w:r>
            <w:r>
              <w:rPr>
                <w:rFonts w:ascii="Arial" w:cs="Arial" w:eastAsia="Arial" w:hAnsi="Arial"/>
                <w:sz w:val="10"/>
                <w:szCs w:val="10"/>
                <w:b w:val="1"/>
                <w:bCs w:val="1"/>
                <w:color w:val="auto"/>
                <w:w w:val="84"/>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Katonah III, Ltd.</w:t>
            </w:r>
            <w:r>
              <w:rPr>
                <w:rFonts w:ascii="Arial" w:cs="Arial" w:eastAsia="Arial" w:hAnsi="Arial"/>
                <w:sz w:val="10"/>
                <w:szCs w:val="10"/>
                <w:color w:val="auto"/>
              </w:rPr>
              <w:t>(3)(12)(13)</w:t>
            </w:r>
          </w:p>
        </w:tc>
        <w:tc>
          <w:tcPr>
            <w:tcW w:w="140" w:type="dxa"/>
            <w:vAlign w:val="bottom"/>
            <w:tcBorders>
              <w:top w:val="single" w:sz="8" w:color="CFF0FC"/>
            </w:tcBorders>
            <w:shd w:val="clear" w:color="auto" w:fill="CFF0FC"/>
          </w:tcPr>
          <w:p>
            <w:pPr>
              <w:spacing w:after="0"/>
              <w:rPr>
                <w:sz w:val="11"/>
                <w:szCs w:val="11"/>
                <w:color w:val="auto"/>
              </w:rPr>
            </w:pPr>
          </w:p>
        </w:tc>
        <w:tc>
          <w:tcPr>
            <w:tcW w:w="2540" w:type="dxa"/>
            <w:vAlign w:val="bottom"/>
            <w:tcBorders>
              <w:top w:val="single" w:sz="8" w:color="auto"/>
            </w:tcBorders>
            <w:gridSpan w:val="4"/>
            <w:shd w:val="clear" w:color="auto" w:fill="CFF0FC"/>
          </w:tcPr>
          <w:p>
            <w:pPr>
              <w:spacing w:after="0" w:line="128" w:lineRule="exact"/>
              <w:rPr>
                <w:sz w:val="20"/>
                <w:szCs w:val="20"/>
                <w:color w:val="auto"/>
              </w:rPr>
            </w:pPr>
            <w:r>
              <w:rPr>
                <w:rFonts w:ascii="Arial" w:cs="Arial" w:eastAsia="Arial" w:hAnsi="Arial"/>
                <w:sz w:val="13"/>
                <w:szCs w:val="13"/>
                <w:color w:val="auto"/>
                <w:w w:val="92"/>
              </w:rPr>
              <w:t>Subordinated Securities, effective interest N/M,</w:t>
            </w:r>
          </w:p>
        </w:tc>
        <w:tc>
          <w:tcPr>
            <w:tcW w:w="9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540" w:type="dxa"/>
            <w:vAlign w:val="bottom"/>
            <w:gridSpan w:val="4"/>
            <w:shd w:val="clear" w:color="auto" w:fill="CFF0FC"/>
          </w:tcPr>
          <w:p>
            <w:pPr>
              <w:spacing w:after="0"/>
              <w:rPr>
                <w:sz w:val="20"/>
                <w:szCs w:val="20"/>
                <w:color w:val="auto"/>
              </w:rPr>
            </w:pPr>
            <w:r>
              <w:rPr>
                <w:rFonts w:ascii="Arial" w:cs="Arial" w:eastAsia="Arial" w:hAnsi="Arial"/>
                <w:sz w:val="13"/>
                <w:szCs w:val="13"/>
                <w:color w:val="auto"/>
              </w:rPr>
              <w:t xml:space="preserve">5/15 maturity </w:t>
            </w:r>
            <w:r>
              <w:rPr>
                <w:rFonts w:ascii="Arial" w:cs="Arial" w:eastAsia="Arial" w:hAnsi="Arial"/>
                <w:sz w:val="10"/>
                <w:szCs w:val="10"/>
                <w:color w:val="auto"/>
              </w:rPr>
              <w:t>(16)</w:t>
            </w: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12/11/2006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23.1%</w:t>
            </w:r>
          </w:p>
        </w:tc>
        <w:tc>
          <w:tcPr>
            <w:tcW w:w="120" w:type="dxa"/>
            <w:vAlign w:val="bottom"/>
            <w:shd w:val="clear" w:color="auto" w:fill="CFF0FC"/>
          </w:tcPr>
          <w:p>
            <w:pPr>
              <w:jc w:val="right"/>
              <w:ind w:right="7"/>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1,287,155</w:t>
            </w:r>
          </w:p>
        </w:tc>
        <w:tc>
          <w:tcPr>
            <w:tcW w:w="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369,280</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00" w:type="dxa"/>
            <w:vAlign w:val="bottom"/>
            <w:gridSpan w:val="2"/>
          </w:tcPr>
          <w:p>
            <w:pPr>
              <w:spacing w:after="0" w:line="134" w:lineRule="exact"/>
              <w:rPr>
                <w:sz w:val="20"/>
                <w:szCs w:val="20"/>
                <w:color w:val="auto"/>
              </w:rPr>
            </w:pPr>
            <w:r>
              <w:rPr>
                <w:rFonts w:ascii="Arial" w:cs="Arial" w:eastAsia="Arial" w:hAnsi="Arial"/>
                <w:sz w:val="13"/>
                <w:szCs w:val="13"/>
                <w:color w:val="auto"/>
              </w:rPr>
              <w:t>Catamaran CLO 2013- 1 Ltd.</w:t>
            </w:r>
            <w:r>
              <w:rPr>
                <w:rFonts w:ascii="Arial" w:cs="Arial" w:eastAsia="Arial" w:hAnsi="Arial"/>
                <w:sz w:val="10"/>
                <w:szCs w:val="10"/>
                <w:color w:val="auto"/>
              </w:rPr>
              <w:t>(3)(13)(19)</w:t>
            </w:r>
          </w:p>
        </w:tc>
        <w:tc>
          <w:tcPr>
            <w:tcW w:w="2540" w:type="dxa"/>
            <w:vAlign w:val="bottom"/>
            <w:gridSpan w:val="4"/>
          </w:tcPr>
          <w:p>
            <w:pPr>
              <w:spacing w:after="0" w:line="134" w:lineRule="exact"/>
              <w:rPr>
                <w:sz w:val="20"/>
                <w:szCs w:val="20"/>
                <w:color w:val="auto"/>
              </w:rPr>
            </w:pPr>
            <w:r>
              <w:rPr>
                <w:rFonts w:ascii="Arial" w:cs="Arial" w:eastAsia="Arial" w:hAnsi="Arial"/>
                <w:sz w:val="13"/>
                <w:szCs w:val="13"/>
                <w:color w:val="auto"/>
                <w:w w:val="88"/>
              </w:rPr>
              <w:t>Subordinated Securities, effective interest 22.2%,</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gridSpan w:val="4"/>
          </w:tcPr>
          <w:p>
            <w:pPr>
              <w:spacing w:after="0"/>
              <w:rPr>
                <w:sz w:val="20"/>
                <w:szCs w:val="20"/>
                <w:color w:val="auto"/>
              </w:rPr>
            </w:pPr>
            <w:r>
              <w:rPr>
                <w:rFonts w:ascii="Arial" w:cs="Arial" w:eastAsia="Arial" w:hAnsi="Arial"/>
                <w:sz w:val="13"/>
                <w:szCs w:val="13"/>
                <w:color w:val="auto"/>
              </w:rPr>
              <w:t>1/28 maturity</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6/4/2013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3"/>
                <w:szCs w:val="13"/>
                <w:color w:val="auto"/>
              </w:rPr>
              <w:t>23.3%</w:t>
            </w:r>
          </w:p>
        </w:tc>
        <w:tc>
          <w:tcPr>
            <w:tcW w:w="12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6,374,855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7,159,028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Catamaran CLO 2014-1 Ltd.</w:t>
            </w:r>
            <w:r>
              <w:rPr>
                <w:rFonts w:ascii="Arial" w:cs="Arial" w:eastAsia="Arial" w:hAnsi="Arial"/>
                <w:sz w:val="10"/>
                <w:szCs w:val="10"/>
                <w:color w:val="auto"/>
              </w:rPr>
              <w:t>(3)(13)(19)</w:t>
            </w:r>
          </w:p>
        </w:tc>
        <w:tc>
          <w:tcPr>
            <w:tcW w:w="2540" w:type="dxa"/>
            <w:vAlign w:val="bottom"/>
            <w:gridSpan w:val="4"/>
            <w:shd w:val="clear" w:color="auto" w:fill="CFF0FC"/>
          </w:tcPr>
          <w:p>
            <w:pPr>
              <w:spacing w:after="0" w:line="134" w:lineRule="exact"/>
              <w:rPr>
                <w:sz w:val="20"/>
                <w:szCs w:val="20"/>
                <w:color w:val="auto"/>
              </w:rPr>
            </w:pPr>
            <w:r>
              <w:rPr>
                <w:rFonts w:ascii="Arial" w:cs="Arial" w:eastAsia="Arial" w:hAnsi="Arial"/>
                <w:sz w:val="13"/>
                <w:szCs w:val="13"/>
                <w:color w:val="auto"/>
                <w:w w:val="88"/>
              </w:rPr>
              <w:t>Subordinated Securities, effective interest 12.9%,</w:t>
            </w: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540" w:type="dxa"/>
            <w:vAlign w:val="bottom"/>
            <w:gridSpan w:val="4"/>
            <w:shd w:val="clear" w:color="auto" w:fill="CFF0FC"/>
          </w:tcPr>
          <w:p>
            <w:pPr>
              <w:spacing w:after="0"/>
              <w:rPr>
                <w:sz w:val="20"/>
                <w:szCs w:val="20"/>
                <w:color w:val="auto"/>
              </w:rPr>
            </w:pPr>
            <w:r>
              <w:rPr>
                <w:rFonts w:ascii="Arial" w:cs="Arial" w:eastAsia="Arial" w:hAnsi="Arial"/>
                <w:sz w:val="13"/>
                <w:szCs w:val="13"/>
                <w:color w:val="auto"/>
              </w:rPr>
              <w:t>4/30 maturity</w:t>
            </w: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5/6/2014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22.2%</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10,283,225</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8,649,726</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00" w:type="dxa"/>
            <w:vAlign w:val="bottom"/>
            <w:gridSpan w:val="2"/>
          </w:tcPr>
          <w:p>
            <w:pPr>
              <w:spacing w:after="0" w:line="134" w:lineRule="exact"/>
              <w:rPr>
                <w:sz w:val="20"/>
                <w:szCs w:val="20"/>
                <w:color w:val="auto"/>
              </w:rPr>
            </w:pPr>
            <w:r>
              <w:rPr>
                <w:rFonts w:ascii="Arial" w:cs="Arial" w:eastAsia="Arial" w:hAnsi="Arial"/>
                <w:sz w:val="13"/>
                <w:szCs w:val="13"/>
                <w:color w:val="auto"/>
              </w:rPr>
              <w:t>Dryden 30 Senior Loan Fund</w:t>
            </w:r>
            <w:r>
              <w:rPr>
                <w:rFonts w:ascii="Arial" w:cs="Arial" w:eastAsia="Arial" w:hAnsi="Arial"/>
                <w:sz w:val="10"/>
                <w:szCs w:val="10"/>
                <w:color w:val="auto"/>
              </w:rPr>
              <w:t>(3)(13)</w:t>
            </w:r>
          </w:p>
        </w:tc>
        <w:tc>
          <w:tcPr>
            <w:tcW w:w="2540" w:type="dxa"/>
            <w:vAlign w:val="bottom"/>
            <w:gridSpan w:val="4"/>
          </w:tcPr>
          <w:p>
            <w:pPr>
              <w:spacing w:after="0" w:line="134" w:lineRule="exact"/>
              <w:rPr>
                <w:sz w:val="20"/>
                <w:szCs w:val="20"/>
                <w:color w:val="auto"/>
              </w:rPr>
            </w:pPr>
            <w:r>
              <w:rPr>
                <w:rFonts w:ascii="Arial" w:cs="Arial" w:eastAsia="Arial" w:hAnsi="Arial"/>
                <w:sz w:val="13"/>
                <w:szCs w:val="13"/>
                <w:color w:val="auto"/>
                <w:w w:val="88"/>
              </w:rPr>
              <w:t>Subordinated Securities, effective interest 28.8%,</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gridSpan w:val="4"/>
          </w:tcPr>
          <w:p>
            <w:pPr>
              <w:spacing w:after="0"/>
              <w:rPr>
                <w:sz w:val="20"/>
                <w:szCs w:val="20"/>
                <w:color w:val="auto"/>
              </w:rPr>
            </w:pPr>
            <w:r>
              <w:rPr>
                <w:rFonts w:ascii="Arial" w:cs="Arial" w:eastAsia="Arial" w:hAnsi="Arial"/>
                <w:sz w:val="13"/>
                <w:szCs w:val="13"/>
                <w:color w:val="auto"/>
              </w:rPr>
              <w:t>12/29 maturity</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10/10/2013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1,490,604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1,969,447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Catamaran CLO 2014-2 Ltd.</w:t>
            </w:r>
            <w:r>
              <w:rPr>
                <w:rFonts w:ascii="Arial" w:cs="Arial" w:eastAsia="Arial" w:hAnsi="Arial"/>
                <w:sz w:val="10"/>
                <w:szCs w:val="10"/>
                <w:color w:val="auto"/>
              </w:rPr>
              <w:t>(3)(13)(19)</w:t>
            </w:r>
          </w:p>
        </w:tc>
        <w:tc>
          <w:tcPr>
            <w:tcW w:w="2540" w:type="dxa"/>
            <w:vAlign w:val="bottom"/>
            <w:gridSpan w:val="4"/>
            <w:shd w:val="clear" w:color="auto" w:fill="CFF0FC"/>
          </w:tcPr>
          <w:p>
            <w:pPr>
              <w:spacing w:after="0" w:line="134" w:lineRule="exact"/>
              <w:rPr>
                <w:sz w:val="20"/>
                <w:szCs w:val="20"/>
                <w:color w:val="auto"/>
              </w:rPr>
            </w:pPr>
            <w:r>
              <w:rPr>
                <w:rFonts w:ascii="Arial" w:cs="Arial" w:eastAsia="Arial" w:hAnsi="Arial"/>
                <w:sz w:val="13"/>
                <w:szCs w:val="13"/>
                <w:color w:val="auto"/>
                <w:w w:val="91"/>
              </w:rPr>
              <w:t>Subordinated Securities, effective interest 5.3%,</w:t>
            </w: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540" w:type="dxa"/>
            <w:vAlign w:val="bottom"/>
            <w:gridSpan w:val="4"/>
            <w:shd w:val="clear" w:color="auto" w:fill="CFF0FC"/>
          </w:tcPr>
          <w:p>
            <w:pPr>
              <w:spacing w:after="0"/>
              <w:rPr>
                <w:sz w:val="20"/>
                <w:szCs w:val="20"/>
                <w:color w:val="auto"/>
              </w:rPr>
            </w:pPr>
            <w:r>
              <w:rPr>
                <w:rFonts w:ascii="Arial" w:cs="Arial" w:eastAsia="Arial" w:hAnsi="Arial"/>
                <w:sz w:val="13"/>
                <w:szCs w:val="13"/>
                <w:color w:val="auto"/>
              </w:rPr>
              <w:t>11/25 maturity</w:t>
            </w: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8/15/2014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24.9%</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6,224,838</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2,428,469</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00" w:type="dxa"/>
            <w:vAlign w:val="bottom"/>
            <w:gridSpan w:val="2"/>
          </w:tcPr>
          <w:p>
            <w:pPr>
              <w:spacing w:after="0" w:line="134" w:lineRule="exact"/>
              <w:rPr>
                <w:sz w:val="20"/>
                <w:szCs w:val="20"/>
                <w:color w:val="auto"/>
              </w:rPr>
            </w:pPr>
            <w:r>
              <w:rPr>
                <w:rFonts w:ascii="Arial" w:cs="Arial" w:eastAsia="Arial" w:hAnsi="Arial"/>
                <w:sz w:val="13"/>
                <w:szCs w:val="13"/>
                <w:color w:val="auto"/>
              </w:rPr>
              <w:t>Catamaran CLO 2015-1 Ltd.</w:t>
            </w:r>
            <w:r>
              <w:rPr>
                <w:rFonts w:ascii="Arial" w:cs="Arial" w:eastAsia="Arial" w:hAnsi="Arial"/>
                <w:sz w:val="10"/>
                <w:szCs w:val="10"/>
                <w:color w:val="auto"/>
              </w:rPr>
              <w:t>(3)(13)(19)</w:t>
            </w:r>
          </w:p>
        </w:tc>
        <w:tc>
          <w:tcPr>
            <w:tcW w:w="2540" w:type="dxa"/>
            <w:vAlign w:val="bottom"/>
            <w:gridSpan w:val="4"/>
          </w:tcPr>
          <w:p>
            <w:pPr>
              <w:spacing w:after="0" w:line="134" w:lineRule="exact"/>
              <w:rPr>
                <w:sz w:val="20"/>
                <w:szCs w:val="20"/>
                <w:color w:val="auto"/>
              </w:rPr>
            </w:pPr>
            <w:r>
              <w:rPr>
                <w:rFonts w:ascii="Arial" w:cs="Arial" w:eastAsia="Arial" w:hAnsi="Arial"/>
                <w:sz w:val="13"/>
                <w:szCs w:val="13"/>
                <w:color w:val="auto"/>
                <w:w w:val="88"/>
              </w:rPr>
              <w:t>Subordinated Securities, effective interest 10.7%,</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gridSpan w:val="4"/>
          </w:tcPr>
          <w:p>
            <w:pPr>
              <w:spacing w:after="0"/>
              <w:rPr>
                <w:sz w:val="20"/>
                <w:szCs w:val="20"/>
                <w:color w:val="auto"/>
              </w:rPr>
            </w:pPr>
            <w:r>
              <w:rPr>
                <w:rFonts w:ascii="Arial" w:cs="Arial" w:eastAsia="Arial" w:hAnsi="Arial"/>
                <w:sz w:val="13"/>
                <w:szCs w:val="13"/>
                <w:color w:val="auto"/>
              </w:rPr>
              <w:t>10/26 maturity</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5/5/2015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3"/>
                <w:szCs w:val="13"/>
                <w:color w:val="auto"/>
              </w:rPr>
              <w:t>9.9%</w:t>
            </w:r>
          </w:p>
        </w:tc>
        <w:tc>
          <w:tcPr>
            <w:tcW w:w="12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4,240,369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3,164,550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Catamaran CLO 2016-1 Ltd.</w:t>
            </w:r>
            <w:r>
              <w:rPr>
                <w:rFonts w:ascii="Arial" w:cs="Arial" w:eastAsia="Arial" w:hAnsi="Arial"/>
                <w:sz w:val="10"/>
                <w:szCs w:val="10"/>
                <w:color w:val="auto"/>
              </w:rPr>
              <w:t>(3)(13)(19)</w:t>
            </w:r>
          </w:p>
        </w:tc>
        <w:tc>
          <w:tcPr>
            <w:tcW w:w="2540" w:type="dxa"/>
            <w:vAlign w:val="bottom"/>
            <w:gridSpan w:val="4"/>
            <w:shd w:val="clear" w:color="auto" w:fill="CFF0FC"/>
          </w:tcPr>
          <w:p>
            <w:pPr>
              <w:spacing w:after="0" w:line="134" w:lineRule="exact"/>
              <w:rPr>
                <w:sz w:val="20"/>
                <w:szCs w:val="20"/>
                <w:color w:val="auto"/>
              </w:rPr>
            </w:pPr>
            <w:r>
              <w:rPr>
                <w:rFonts w:ascii="Arial" w:cs="Arial" w:eastAsia="Arial" w:hAnsi="Arial"/>
                <w:sz w:val="13"/>
                <w:szCs w:val="13"/>
                <w:color w:val="auto"/>
                <w:w w:val="88"/>
              </w:rPr>
              <w:t>Subordinated Securities, effective interest 10.1%,</w:t>
            </w: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540" w:type="dxa"/>
            <w:vAlign w:val="bottom"/>
            <w:gridSpan w:val="4"/>
            <w:shd w:val="clear" w:color="auto" w:fill="CFF0FC"/>
          </w:tcPr>
          <w:p>
            <w:pPr>
              <w:spacing w:after="0"/>
              <w:rPr>
                <w:sz w:val="20"/>
                <w:szCs w:val="20"/>
                <w:color w:val="auto"/>
              </w:rPr>
            </w:pPr>
            <w:r>
              <w:rPr>
                <w:rFonts w:ascii="Arial" w:cs="Arial" w:eastAsia="Arial" w:hAnsi="Arial"/>
                <w:sz w:val="13"/>
                <w:szCs w:val="13"/>
                <w:color w:val="auto"/>
              </w:rPr>
              <w:t>4/27 maturity</w:t>
            </w: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12/21/2016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24.9%</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9,530,845</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7,243,984</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00" w:type="dxa"/>
            <w:vAlign w:val="bottom"/>
            <w:gridSpan w:val="2"/>
          </w:tcPr>
          <w:p>
            <w:pPr>
              <w:spacing w:after="0" w:line="134" w:lineRule="exact"/>
              <w:rPr>
                <w:sz w:val="20"/>
                <w:szCs w:val="20"/>
                <w:color w:val="auto"/>
              </w:rPr>
            </w:pPr>
            <w:r>
              <w:rPr>
                <w:rFonts w:ascii="Arial" w:cs="Arial" w:eastAsia="Arial" w:hAnsi="Arial"/>
                <w:sz w:val="13"/>
                <w:szCs w:val="13"/>
                <w:color w:val="auto"/>
              </w:rPr>
              <w:t>Catamaran CLO 2018-1 Ltd</w:t>
            </w:r>
            <w:r>
              <w:rPr>
                <w:rFonts w:ascii="Arial" w:cs="Arial" w:eastAsia="Arial" w:hAnsi="Arial"/>
                <w:sz w:val="10"/>
                <w:szCs w:val="10"/>
                <w:color w:val="auto"/>
              </w:rPr>
              <w:t>(3)(13)(19)</w:t>
            </w:r>
          </w:p>
        </w:tc>
        <w:tc>
          <w:tcPr>
            <w:tcW w:w="2540" w:type="dxa"/>
            <w:vAlign w:val="bottom"/>
            <w:gridSpan w:val="4"/>
          </w:tcPr>
          <w:p>
            <w:pPr>
              <w:spacing w:after="0" w:line="134" w:lineRule="exact"/>
              <w:rPr>
                <w:sz w:val="20"/>
                <w:szCs w:val="20"/>
                <w:color w:val="auto"/>
              </w:rPr>
            </w:pPr>
            <w:r>
              <w:rPr>
                <w:rFonts w:ascii="Arial" w:cs="Arial" w:eastAsia="Arial" w:hAnsi="Arial"/>
                <w:sz w:val="13"/>
                <w:szCs w:val="13"/>
                <w:color w:val="auto"/>
                <w:w w:val="88"/>
              </w:rPr>
              <w:t>Subordinated Securities, effective interest 13.6%,</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540" w:type="dxa"/>
            <w:vAlign w:val="bottom"/>
            <w:tcBorders>
              <w:bottom w:val="single" w:sz="8" w:color="CFF0FC"/>
            </w:tcBorders>
            <w:gridSpan w:val="4"/>
          </w:tcPr>
          <w:p>
            <w:pPr>
              <w:spacing w:after="0"/>
              <w:rPr>
                <w:sz w:val="20"/>
                <w:szCs w:val="20"/>
                <w:color w:val="auto"/>
              </w:rPr>
            </w:pPr>
            <w:r>
              <w:rPr>
                <w:rFonts w:ascii="Arial" w:cs="Arial" w:eastAsia="Arial" w:hAnsi="Arial"/>
                <w:sz w:val="13"/>
                <w:szCs w:val="13"/>
                <w:color w:val="auto"/>
              </w:rPr>
              <w:t>10/31 maturity</w:t>
            </w:r>
          </w:p>
        </w:tc>
        <w:tc>
          <w:tcPr>
            <w:tcW w:w="9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820" w:type="dxa"/>
            <w:vAlign w:val="bottom"/>
            <w:tcBorders>
              <w:bottom w:val="single" w:sz="8" w:color="CFF0FC"/>
            </w:tcBorders>
            <w:gridSpan w:val="2"/>
          </w:tcPr>
          <w:p>
            <w:pPr>
              <w:jc w:val="right"/>
              <w:spacing w:after="0"/>
              <w:rPr>
                <w:sz w:val="20"/>
                <w:szCs w:val="20"/>
                <w:color w:val="auto"/>
              </w:rPr>
            </w:pPr>
            <w:r>
              <w:rPr>
                <w:rFonts w:ascii="Arial" w:cs="Arial" w:eastAsia="Arial" w:hAnsi="Arial"/>
                <w:sz w:val="13"/>
                <w:szCs w:val="13"/>
                <w:color w:val="auto"/>
              </w:rPr>
              <w:t>9/27/2018</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80" w:type="dxa"/>
            <w:vAlign w:val="bottom"/>
            <w:tcBorders>
              <w:bottom w:val="single" w:sz="8" w:color="CFF0FC"/>
            </w:tcBorders>
            <w:gridSpan w:val="4"/>
          </w:tcPr>
          <w:p>
            <w:pPr>
              <w:jc w:val="right"/>
              <w:ind w:right="160"/>
              <w:spacing w:after="0"/>
              <w:rPr>
                <w:sz w:val="20"/>
                <w:szCs w:val="20"/>
                <w:color w:val="auto"/>
              </w:rPr>
            </w:pPr>
            <w:r>
              <w:rPr>
                <w:rFonts w:ascii="Arial" w:cs="Arial" w:eastAsia="Arial" w:hAnsi="Arial"/>
                <w:sz w:val="13"/>
                <w:szCs w:val="13"/>
                <w:color w:val="auto"/>
              </w:rPr>
              <w:t>24.8%</w:t>
            </w: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9,868,779</w:t>
            </w: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9,021,997</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0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Total Investment in CLO Fund</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Securities (29% of net asset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00" w:type="dxa"/>
            <w:vAlign w:val="bottom"/>
            <w:gridSpan w:val="2"/>
          </w:tcPr>
          <w:p>
            <w:pPr>
              <w:ind w:left="80"/>
              <w:spacing w:after="0"/>
              <w:rPr>
                <w:sz w:val="20"/>
                <w:szCs w:val="20"/>
                <w:color w:val="auto"/>
              </w:rPr>
            </w:pPr>
            <w:r>
              <w:rPr>
                <w:rFonts w:ascii="Arial" w:cs="Arial" w:eastAsia="Arial" w:hAnsi="Arial"/>
                <w:sz w:val="13"/>
                <w:szCs w:val="13"/>
                <w:b w:val="1"/>
                <w:bCs w:val="1"/>
                <w:color w:val="auto"/>
              </w:rPr>
              <w:t>value at fair value)</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jc w:val="right"/>
              <w:ind w:right="7"/>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49,300,670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40,006,481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Asset Manager Affiliates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Initial</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40" w:type="dxa"/>
            <w:vAlign w:val="bottom"/>
          </w:tcPr>
          <w:p>
            <w:pPr>
              <w:jc w:val="right"/>
              <w:ind w:right="977"/>
              <w:spacing w:after="0" w:line="135" w:lineRule="exact"/>
              <w:rPr>
                <w:sz w:val="20"/>
                <w:szCs w:val="20"/>
                <w:color w:val="auto"/>
              </w:rPr>
            </w:pPr>
            <w:r>
              <w:rPr>
                <w:rFonts w:ascii="Arial" w:cs="Arial" w:eastAsia="Arial" w:hAnsi="Arial"/>
                <w:sz w:val="13"/>
                <w:szCs w:val="13"/>
                <w:b w:val="1"/>
                <w:bCs w:val="1"/>
                <w:color w:val="auto"/>
              </w:rPr>
              <w:t>Portfolio Company /</w:t>
            </w:r>
          </w:p>
        </w:tc>
        <w:tc>
          <w:tcPr>
            <w:tcW w:w="1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1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2"/>
              </w:rPr>
              <w:t>Percentage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40" w:type="dxa"/>
            <w:vAlign w:val="bottom"/>
            <w:tcBorders>
              <w:bottom w:val="single" w:sz="8" w:color="auto"/>
            </w:tcBorders>
          </w:tcPr>
          <w:p>
            <w:pPr>
              <w:jc w:val="right"/>
              <w:ind w:right="1017"/>
              <w:spacing w:after="0"/>
              <w:rPr>
                <w:sz w:val="20"/>
                <w:szCs w:val="20"/>
                <w:color w:val="auto"/>
              </w:rPr>
            </w:pPr>
            <w:r>
              <w:rPr>
                <w:rFonts w:ascii="Arial" w:cs="Arial" w:eastAsia="Arial" w:hAnsi="Arial"/>
                <w:sz w:val="13"/>
                <w:szCs w:val="13"/>
                <w:b w:val="1"/>
                <w:bCs w:val="1"/>
                <w:color w:val="auto"/>
              </w:rPr>
              <w:t>Principal Business</w:t>
            </w:r>
          </w:p>
        </w:tc>
        <w:tc>
          <w:tcPr>
            <w:tcW w:w="120" w:type="dxa"/>
            <w:vAlign w:val="bottom"/>
            <w:tcBorders>
              <w:bottom w:val="single" w:sz="8" w:color="CFF0FC"/>
            </w:tcBorders>
          </w:tcPr>
          <w:p>
            <w:pPr>
              <w:spacing w:after="0"/>
              <w:rPr>
                <w:sz w:val="13"/>
                <w:szCs w:val="13"/>
                <w:color w:val="auto"/>
              </w:rPr>
            </w:pPr>
          </w:p>
        </w:tc>
        <w:tc>
          <w:tcPr>
            <w:tcW w:w="3160" w:type="dxa"/>
            <w:vAlign w:val="bottom"/>
            <w:tcBorders>
              <w:bottom w:val="single" w:sz="8" w:color="auto"/>
            </w:tcBorders>
          </w:tcPr>
          <w:p>
            <w:pPr>
              <w:ind w:left="122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Ownership</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2"/>
              </w:rPr>
              <w:t>Cost</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1"/>
              </w:rPr>
              <w:t>Fair Value</w:t>
            </w:r>
            <w:r>
              <w:rPr>
                <w:rFonts w:ascii="Arial" w:cs="Arial" w:eastAsia="Arial" w:hAnsi="Arial"/>
                <w:sz w:val="10"/>
                <w:szCs w:val="10"/>
                <w:b w:val="1"/>
                <w:bCs w:val="1"/>
                <w:color w:val="auto"/>
                <w:w w:val="91"/>
              </w:rPr>
              <w:t>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10"/>
                <w:szCs w:val="10"/>
                <w:color w:val="auto"/>
              </w:rPr>
              <w:t>(8)(13)(17)</w:t>
            </w:r>
          </w:p>
        </w:tc>
        <w:tc>
          <w:tcPr>
            <w:tcW w:w="120" w:type="dxa"/>
            <w:vAlign w:val="bottom"/>
            <w:shd w:val="clear" w:color="auto" w:fill="CFF0FC"/>
          </w:tcPr>
          <w:p>
            <w:pPr>
              <w:spacing w:after="0"/>
              <w:rPr>
                <w:sz w:val="12"/>
                <w:szCs w:val="12"/>
                <w:color w:val="auto"/>
              </w:rPr>
            </w:pPr>
          </w:p>
        </w:tc>
        <w:tc>
          <w:tcPr>
            <w:tcW w:w="316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Asset Management Company</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12/11/2006</w:t>
            </w: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line="143" w:lineRule="exact"/>
              <w:rPr>
                <w:sz w:val="20"/>
                <w:szCs w:val="20"/>
                <w:color w:val="auto"/>
              </w:rPr>
            </w:pPr>
            <w:r>
              <w:rPr>
                <w:rFonts w:ascii="Arial" w:cs="Arial" w:eastAsia="Arial" w:hAnsi="Arial"/>
                <w:sz w:val="13"/>
                <w:szCs w:val="13"/>
                <w:color w:val="auto"/>
              </w:rPr>
              <w:t>100%</w:t>
            </w:r>
          </w:p>
        </w:tc>
        <w:tc>
          <w:tcPr>
            <w:tcW w:w="8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17,791,230</w:t>
            </w:r>
          </w:p>
        </w:tc>
        <w:tc>
          <w:tcPr>
            <w:tcW w:w="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4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Asset Manager Affiliates</w:t>
            </w:r>
          </w:p>
        </w:tc>
        <w:tc>
          <w:tcPr>
            <w:tcW w:w="120" w:type="dxa"/>
            <w:vAlign w:val="bottom"/>
            <w:shd w:val="clear" w:color="auto" w:fill="CFF0FC"/>
          </w:tcPr>
          <w:p>
            <w:pPr>
              <w:spacing w:after="0"/>
              <w:rPr>
                <w:sz w:val="11"/>
                <w:szCs w:val="11"/>
                <w:color w:val="auto"/>
              </w:rPr>
            </w:pPr>
          </w:p>
        </w:tc>
        <w:tc>
          <w:tcPr>
            <w:tcW w:w="3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40" w:type="dxa"/>
            <w:vAlign w:val="bottom"/>
            <w:shd w:val="clear" w:color="auto" w:fill="CFF0FC"/>
          </w:tcPr>
          <w:p>
            <w:pPr>
              <w:ind w:left="80"/>
              <w:spacing w:after="0"/>
              <w:rPr>
                <w:sz w:val="20"/>
                <w:szCs w:val="20"/>
                <w:color w:val="auto"/>
              </w:rPr>
            </w:pPr>
            <w:r>
              <w:rPr>
                <w:rFonts w:ascii="Arial" w:cs="Arial" w:eastAsia="Arial" w:hAnsi="Arial"/>
                <w:sz w:val="13"/>
                <w:szCs w:val="13"/>
                <w:b w:val="1"/>
                <w:bCs w:val="1"/>
                <w:color w:val="auto"/>
              </w:rPr>
              <w:t>(% of net asset value at fair value)</w:t>
            </w:r>
          </w:p>
        </w:tc>
        <w:tc>
          <w:tcPr>
            <w:tcW w:w="120" w:type="dxa"/>
            <w:vAlign w:val="bottom"/>
            <w:shd w:val="clear" w:color="auto" w:fill="CFF0FC"/>
          </w:tcPr>
          <w:p>
            <w:pPr>
              <w:spacing w:after="0"/>
              <w:rPr>
                <w:sz w:val="13"/>
                <w:szCs w:val="13"/>
                <w:color w:val="auto"/>
              </w:rPr>
            </w:pPr>
          </w:p>
        </w:tc>
        <w:tc>
          <w:tcPr>
            <w:tcW w:w="3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17,791,230</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26"/>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Joint Ventures</w:t>
            </w: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Initial</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40" w:type="dxa"/>
            <w:vAlign w:val="bottom"/>
          </w:tcPr>
          <w:p>
            <w:pPr>
              <w:jc w:val="right"/>
              <w:ind w:right="977"/>
              <w:spacing w:after="0" w:line="135" w:lineRule="exact"/>
              <w:rPr>
                <w:sz w:val="20"/>
                <w:szCs w:val="20"/>
                <w:color w:val="auto"/>
              </w:rPr>
            </w:pPr>
            <w:r>
              <w:rPr>
                <w:rFonts w:ascii="Arial" w:cs="Arial" w:eastAsia="Arial" w:hAnsi="Arial"/>
                <w:sz w:val="13"/>
                <w:szCs w:val="13"/>
                <w:b w:val="1"/>
                <w:bCs w:val="1"/>
                <w:color w:val="auto"/>
              </w:rPr>
              <w:t>Portfolio Company /</w:t>
            </w:r>
          </w:p>
        </w:tc>
        <w:tc>
          <w:tcPr>
            <w:tcW w:w="1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1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2"/>
              </w:rPr>
              <w:t>Percentage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40" w:type="dxa"/>
            <w:vAlign w:val="bottom"/>
          </w:tcPr>
          <w:p>
            <w:pPr>
              <w:jc w:val="right"/>
              <w:ind w:right="1017"/>
              <w:spacing w:after="0"/>
              <w:rPr>
                <w:sz w:val="20"/>
                <w:szCs w:val="20"/>
                <w:color w:val="auto"/>
              </w:rPr>
            </w:pPr>
            <w:r>
              <w:rPr>
                <w:rFonts w:ascii="Arial" w:cs="Arial" w:eastAsia="Arial" w:hAnsi="Arial"/>
                <w:sz w:val="13"/>
                <w:szCs w:val="13"/>
                <w:b w:val="1"/>
                <w:bCs w:val="1"/>
                <w:color w:val="auto"/>
              </w:rPr>
              <w:t>Principal Business</w:t>
            </w:r>
          </w:p>
        </w:tc>
        <w:tc>
          <w:tcPr>
            <w:tcW w:w="120" w:type="dxa"/>
            <w:vAlign w:val="bottom"/>
          </w:tcPr>
          <w:p>
            <w:pPr>
              <w:spacing w:after="0"/>
              <w:rPr>
                <w:sz w:val="13"/>
                <w:szCs w:val="13"/>
                <w:color w:val="auto"/>
              </w:rPr>
            </w:pPr>
          </w:p>
        </w:tc>
        <w:tc>
          <w:tcPr>
            <w:tcW w:w="3300" w:type="dxa"/>
            <w:vAlign w:val="bottom"/>
            <w:gridSpan w:val="2"/>
          </w:tcPr>
          <w:p>
            <w:pPr>
              <w:ind w:left="122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Date</w:t>
            </w: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Ownership</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2"/>
              </w:rPr>
              <w:t>Cost</w:t>
            </w:r>
          </w:p>
        </w:tc>
        <w:tc>
          <w:tcPr>
            <w:tcW w:w="12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Borders>
              <w:top w:val="single" w:sz="8" w:color="auto"/>
            </w:tcBorders>
            <w:shd w:val="clear" w:color="auto" w:fill="CFF0FC"/>
          </w:tcPr>
          <w:p>
            <w:pPr>
              <w:spacing w:after="0" w:line="143" w:lineRule="exact"/>
              <w:rPr>
                <w:sz w:val="20"/>
                <w:szCs w:val="20"/>
                <w:color w:val="auto"/>
              </w:rPr>
            </w:pPr>
            <w:r>
              <w:rPr>
                <w:rFonts w:ascii="Arial" w:cs="Arial" w:eastAsia="Arial" w:hAnsi="Arial"/>
                <w:sz w:val="13"/>
                <w:szCs w:val="13"/>
                <w:color w:val="auto"/>
              </w:rPr>
              <w:t>KCAP Freedom 3 LLC</w:t>
            </w:r>
            <w:r>
              <w:rPr>
                <w:rFonts w:ascii="Arial" w:cs="Arial" w:eastAsia="Arial" w:hAnsi="Arial"/>
                <w:sz w:val="10"/>
                <w:szCs w:val="10"/>
                <w:color w:val="auto"/>
              </w:rPr>
              <w:t>(9)(13)</w:t>
            </w:r>
          </w:p>
        </w:tc>
        <w:tc>
          <w:tcPr>
            <w:tcW w:w="120" w:type="dxa"/>
            <w:vAlign w:val="bottom"/>
            <w:tcBorders>
              <w:top w:val="single" w:sz="8" w:color="CFF0FC"/>
            </w:tcBorders>
            <w:shd w:val="clear" w:color="auto" w:fill="CFF0FC"/>
          </w:tcPr>
          <w:p>
            <w:pPr>
              <w:spacing w:after="0"/>
              <w:rPr>
                <w:sz w:val="12"/>
                <w:szCs w:val="12"/>
                <w:color w:val="auto"/>
              </w:rPr>
            </w:pPr>
          </w:p>
        </w:tc>
        <w:tc>
          <w:tcPr>
            <w:tcW w:w="3160" w:type="dxa"/>
            <w:vAlign w:val="bottom"/>
            <w:tcBorders>
              <w:top w:val="single" w:sz="8" w:color="auto"/>
            </w:tcBorders>
            <w:shd w:val="clear" w:color="auto" w:fill="CFF0FC"/>
          </w:tcPr>
          <w:p>
            <w:pPr>
              <w:spacing w:after="0" w:line="143" w:lineRule="exact"/>
              <w:rPr>
                <w:sz w:val="20"/>
                <w:szCs w:val="20"/>
                <w:color w:val="auto"/>
              </w:rPr>
            </w:pPr>
            <w:r>
              <w:rPr>
                <w:rFonts w:ascii="Arial" w:cs="Arial" w:eastAsia="Arial" w:hAnsi="Arial"/>
                <w:sz w:val="13"/>
                <w:szCs w:val="13"/>
                <w:color w:val="auto"/>
              </w:rPr>
              <w:t>Joint Venture</w:t>
            </w:r>
          </w:p>
        </w:tc>
        <w:tc>
          <w:tcPr>
            <w:tcW w:w="14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CFF0FC"/>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7/19/2017</w:t>
            </w:r>
          </w:p>
        </w:tc>
        <w:tc>
          <w:tcPr>
            <w:tcW w:w="140" w:type="dxa"/>
            <w:vAlign w:val="bottom"/>
            <w:tcBorders>
              <w:top w:val="single" w:sz="8" w:color="CFF0FC"/>
            </w:tcBorders>
            <w:shd w:val="clear" w:color="auto" w:fill="CFF0FC"/>
          </w:tcPr>
          <w:p>
            <w:pPr>
              <w:spacing w:after="0"/>
              <w:rPr>
                <w:sz w:val="12"/>
                <w:szCs w:val="12"/>
                <w:color w:val="auto"/>
              </w:rPr>
            </w:pPr>
          </w:p>
        </w:tc>
        <w:tc>
          <w:tcPr>
            <w:tcW w:w="1180" w:type="dxa"/>
            <w:vAlign w:val="bottom"/>
            <w:tcBorders>
              <w:top w:val="single" w:sz="8" w:color="CFF0FC"/>
            </w:tcBorders>
            <w:gridSpan w:val="2"/>
            <w:shd w:val="clear" w:color="auto" w:fill="CFF0FC"/>
          </w:tcPr>
          <w:p>
            <w:pPr>
              <w:jc w:val="right"/>
              <w:ind w:right="80"/>
              <w:spacing w:after="0" w:line="143" w:lineRule="exact"/>
              <w:rPr>
                <w:sz w:val="20"/>
                <w:szCs w:val="20"/>
                <w:color w:val="auto"/>
              </w:rPr>
            </w:pPr>
            <w:r>
              <w:rPr>
                <w:rFonts w:ascii="Arial" w:cs="Arial" w:eastAsia="Arial" w:hAnsi="Arial"/>
                <w:sz w:val="13"/>
                <w:szCs w:val="13"/>
                <w:color w:val="auto"/>
              </w:rPr>
              <w:t>60%</w:t>
            </w:r>
          </w:p>
        </w:tc>
        <w:tc>
          <w:tcPr>
            <w:tcW w:w="200" w:type="dxa"/>
            <w:vAlign w:val="bottom"/>
            <w:tcBorders>
              <w:top w:val="single" w:sz="8" w:color="CFF0FC"/>
            </w:tcBorders>
            <w:gridSpan w:val="2"/>
            <w:shd w:val="clear" w:color="auto" w:fill="CFF0FC"/>
          </w:tcPr>
          <w:p>
            <w:pPr>
              <w:jc w:val="right"/>
              <w:ind w:right="13"/>
              <w:spacing w:after="0" w:line="143" w:lineRule="exact"/>
              <w:rPr>
                <w:sz w:val="20"/>
                <w:szCs w:val="20"/>
                <w:color w:val="auto"/>
              </w:rPr>
            </w:pPr>
            <w:r>
              <w:rPr>
                <w:rFonts w:ascii="Arial" w:cs="Arial" w:eastAsia="Arial" w:hAnsi="Arial"/>
                <w:sz w:val="13"/>
                <w:szCs w:val="13"/>
                <w:color w:val="auto"/>
              </w:rPr>
              <w:t>$</w:t>
            </w:r>
          </w:p>
        </w:tc>
        <w:tc>
          <w:tcPr>
            <w:tcW w:w="860" w:type="dxa"/>
            <w:vAlign w:val="bottom"/>
            <w:tcBorders>
              <w:top w:val="single" w:sz="8" w:color="CFF0FC"/>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24,914,858</w:t>
            </w:r>
          </w:p>
        </w:tc>
        <w:tc>
          <w:tcPr>
            <w:tcW w:w="2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CFF0FC"/>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22,413,358</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40" w:type="dxa"/>
            <w:vAlign w:val="bottom"/>
          </w:tcPr>
          <w:p>
            <w:pPr>
              <w:spacing w:after="0" w:line="134" w:lineRule="exact"/>
              <w:rPr>
                <w:sz w:val="20"/>
                <w:szCs w:val="20"/>
                <w:color w:val="auto"/>
              </w:rPr>
            </w:pPr>
            <w:r>
              <w:rPr>
                <w:rFonts w:ascii="Arial" w:cs="Arial" w:eastAsia="Arial" w:hAnsi="Arial"/>
                <w:sz w:val="13"/>
                <w:szCs w:val="13"/>
                <w:color w:val="auto"/>
              </w:rPr>
              <w:t>BCP Great Lakes Holdings LP</w:t>
            </w:r>
            <w:r>
              <w:rPr>
                <w:rFonts w:ascii="Arial" w:cs="Arial" w:eastAsia="Arial" w:hAnsi="Arial"/>
                <w:sz w:val="10"/>
                <w:szCs w:val="10"/>
                <w:color w:val="auto"/>
              </w:rPr>
              <w:t>(9)(10)(17)(18)</w:t>
            </w:r>
          </w:p>
        </w:tc>
        <w:tc>
          <w:tcPr>
            <w:tcW w:w="1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Borders>
              <w:bottom w:val="single" w:sz="8" w:color="CFF0FC"/>
            </w:tcBorders>
          </w:tcPr>
          <w:p>
            <w:pPr>
              <w:ind w:left="80"/>
              <w:spacing w:after="0"/>
              <w:rPr>
                <w:sz w:val="20"/>
                <w:szCs w:val="20"/>
                <w:color w:val="auto"/>
              </w:rPr>
            </w:pPr>
            <w:r>
              <w:rPr>
                <w:rFonts w:ascii="Arial" w:cs="Arial" w:eastAsia="Arial" w:hAnsi="Arial"/>
                <w:sz w:val="13"/>
                <w:szCs w:val="13"/>
                <w:color w:val="auto"/>
              </w:rPr>
              <w:t>Limited Partnership</w:t>
            </w:r>
          </w:p>
        </w:tc>
        <w:tc>
          <w:tcPr>
            <w:tcW w:w="3420" w:type="dxa"/>
            <w:vAlign w:val="bottom"/>
            <w:tcBorders>
              <w:bottom w:val="single" w:sz="8" w:color="CFF0FC"/>
            </w:tcBorders>
            <w:gridSpan w:val="3"/>
          </w:tcPr>
          <w:p>
            <w:pPr>
              <w:ind w:left="120"/>
              <w:spacing w:after="0"/>
              <w:rPr>
                <w:sz w:val="20"/>
                <w:szCs w:val="20"/>
                <w:color w:val="auto"/>
              </w:rPr>
            </w:pPr>
            <w:r>
              <w:rPr>
                <w:rFonts w:ascii="Arial" w:cs="Arial" w:eastAsia="Arial" w:hAnsi="Arial"/>
                <w:sz w:val="13"/>
                <w:szCs w:val="13"/>
                <w:color w:val="auto"/>
              </w:rPr>
              <w:t>Joint Venture</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3"/>
                <w:szCs w:val="13"/>
                <w:color w:val="auto"/>
              </w:rPr>
              <w:t>12/11/2018</w:t>
            </w:r>
          </w:p>
        </w:tc>
        <w:tc>
          <w:tcPr>
            <w:tcW w:w="140" w:type="dxa"/>
            <w:vAlign w:val="bottom"/>
            <w:tcBorders>
              <w:bottom w:val="single" w:sz="8" w:color="CFF0FC"/>
            </w:tcBorders>
          </w:tcPr>
          <w:p>
            <w:pPr>
              <w:spacing w:after="0"/>
              <w:rPr>
                <w:sz w:val="12"/>
                <w:szCs w:val="12"/>
                <w:color w:val="auto"/>
              </w:rPr>
            </w:pPr>
          </w:p>
        </w:tc>
        <w:tc>
          <w:tcPr>
            <w:tcW w:w="11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3"/>
                <w:szCs w:val="13"/>
                <w:color w:val="auto"/>
              </w:rPr>
              <w:t>56%</w:t>
            </w:r>
          </w:p>
        </w:tc>
        <w:tc>
          <w:tcPr>
            <w:tcW w:w="8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17,696,667</w:t>
            </w:r>
          </w:p>
        </w:tc>
        <w:tc>
          <w:tcPr>
            <w:tcW w:w="2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17,675,899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40" w:type="dxa"/>
            <w:vAlign w:val="bottom"/>
          </w:tcPr>
          <w:p>
            <w:pPr>
              <w:spacing w:after="0" w:line="131" w:lineRule="exact"/>
              <w:rPr>
                <w:sz w:val="20"/>
                <w:szCs w:val="20"/>
                <w:color w:val="auto"/>
              </w:rPr>
            </w:pPr>
            <w:r>
              <w:rPr>
                <w:rFonts w:ascii="Arial" w:cs="Arial" w:eastAsia="Arial" w:hAnsi="Arial"/>
                <w:sz w:val="13"/>
                <w:szCs w:val="13"/>
                <w:b w:val="1"/>
                <w:bCs w:val="1"/>
                <w:color w:val="auto"/>
              </w:rPr>
              <w:t>Total Investment in Joint Ventures</w:t>
            </w:r>
          </w:p>
        </w:tc>
        <w:tc>
          <w:tcPr>
            <w:tcW w:w="1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40" w:type="dxa"/>
            <w:vAlign w:val="bottom"/>
          </w:tcPr>
          <w:p>
            <w:pPr>
              <w:jc w:val="right"/>
              <w:ind w:right="1037"/>
              <w:spacing w:after="0"/>
              <w:rPr>
                <w:sz w:val="20"/>
                <w:szCs w:val="20"/>
                <w:color w:val="auto"/>
              </w:rPr>
            </w:pPr>
            <w:r>
              <w:rPr>
                <w:rFonts w:ascii="Arial" w:cs="Arial" w:eastAsia="Arial" w:hAnsi="Arial"/>
                <w:sz w:val="13"/>
                <w:szCs w:val="13"/>
                <w:b w:val="1"/>
                <w:bCs w:val="1"/>
                <w:color w:val="auto"/>
                <w:w w:val="90"/>
              </w:rPr>
              <w:t>(29% of net asset value at fair value)</w:t>
            </w:r>
          </w:p>
        </w:tc>
        <w:tc>
          <w:tcPr>
            <w:tcW w:w="1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42,611,525</w:t>
            </w:r>
          </w:p>
        </w:tc>
        <w:tc>
          <w:tcPr>
            <w:tcW w:w="26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40,089,257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Short-term Investments</w:t>
            </w: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Initial</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9"/>
              </w:rPr>
              <w:t>/Amortized</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60" w:type="dxa"/>
            <w:vAlign w:val="bottom"/>
            <w:gridSpan w:val="2"/>
          </w:tcPr>
          <w:p>
            <w:pPr>
              <w:spacing w:after="0"/>
              <w:rPr>
                <w:sz w:val="20"/>
                <w:szCs w:val="20"/>
                <w:color w:val="auto"/>
              </w:rPr>
            </w:pPr>
            <w:r>
              <w:rPr>
                <w:rFonts w:ascii="Arial" w:cs="Arial" w:eastAsia="Arial" w:hAnsi="Arial"/>
                <w:sz w:val="13"/>
                <w:szCs w:val="13"/>
                <w:b w:val="1"/>
                <w:bCs w:val="1"/>
                <w:color w:val="auto"/>
              </w:rPr>
              <w:t>Short-term Investments</w:t>
            </w:r>
          </w:p>
        </w:tc>
        <w:tc>
          <w:tcPr>
            <w:tcW w:w="120" w:type="dxa"/>
            <w:vAlign w:val="bottom"/>
          </w:tcPr>
          <w:p>
            <w:pPr>
              <w:spacing w:after="0"/>
              <w:rPr>
                <w:sz w:val="13"/>
                <w:szCs w:val="13"/>
                <w:color w:val="auto"/>
              </w:rPr>
            </w:pPr>
          </w:p>
        </w:tc>
        <w:tc>
          <w:tcPr>
            <w:tcW w:w="3300" w:type="dxa"/>
            <w:vAlign w:val="bottom"/>
            <w:gridSpan w:val="2"/>
          </w:tcPr>
          <w:p>
            <w:pPr>
              <w:ind w:left="122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Date</w:t>
            </w: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Yield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2"/>
              </w:rPr>
              <w:t>Cost</w:t>
            </w:r>
          </w:p>
        </w:tc>
        <w:tc>
          <w:tcPr>
            <w:tcW w:w="12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Fair Value</w:t>
            </w:r>
            <w:r>
              <w:rPr>
                <w:rFonts w:ascii="Arial" w:cs="Arial" w:eastAsia="Arial" w:hAnsi="Arial"/>
                <w:sz w:val="10"/>
                <w:szCs w:val="10"/>
                <w:b w:val="1"/>
                <w:bCs w:val="1"/>
                <w:color w:val="auto"/>
                <w:w w:val="91"/>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US Bank Money Market Account</w:t>
            </w:r>
            <w:r>
              <w:rPr>
                <w:rFonts w:ascii="Arial" w:cs="Arial" w:eastAsia="Arial" w:hAnsi="Arial"/>
                <w:sz w:val="10"/>
                <w:szCs w:val="10"/>
                <w:color w:val="auto"/>
              </w:rPr>
              <w:t>(7)(8)</w:t>
            </w:r>
          </w:p>
        </w:tc>
        <w:tc>
          <w:tcPr>
            <w:tcW w:w="120" w:type="dxa"/>
            <w:vAlign w:val="bottom"/>
            <w:vMerge w:val="continue"/>
            <w:shd w:val="clear" w:color="auto" w:fill="CFF0FC"/>
          </w:tcPr>
          <w:p>
            <w:pPr>
              <w:spacing w:after="0"/>
              <w:rPr>
                <w:sz w:val="12"/>
                <w:szCs w:val="12"/>
                <w:color w:val="auto"/>
              </w:rPr>
            </w:pPr>
          </w:p>
        </w:tc>
        <w:tc>
          <w:tcPr>
            <w:tcW w:w="316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Money Market Account</w:t>
            </w:r>
          </w:p>
        </w:tc>
        <w:tc>
          <w:tcPr>
            <w:tcW w:w="140" w:type="dxa"/>
            <w:vAlign w:val="bottom"/>
            <w:vMerge w:val="continue"/>
            <w:shd w:val="clear" w:color="auto" w:fill="CFF0FC"/>
          </w:tcPr>
          <w:p>
            <w:pPr>
              <w:spacing w:after="0"/>
              <w:rPr>
                <w:sz w:val="12"/>
                <w:szCs w:val="12"/>
                <w:color w:val="auto"/>
              </w:rPr>
            </w:pPr>
          </w:p>
        </w:tc>
        <w:tc>
          <w:tcPr>
            <w:tcW w:w="11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N/A</w:t>
            </w:r>
          </w:p>
        </w:tc>
        <w:tc>
          <w:tcPr>
            <w:tcW w:w="140" w:type="dxa"/>
            <w:vAlign w:val="bottom"/>
            <w:vMerge w:val="continue"/>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line="143" w:lineRule="exact"/>
              <w:rPr>
                <w:sz w:val="20"/>
                <w:szCs w:val="20"/>
                <w:color w:val="auto"/>
              </w:rPr>
            </w:pPr>
            <w:r>
              <w:rPr>
                <w:rFonts w:ascii="Arial" w:cs="Arial" w:eastAsia="Arial" w:hAnsi="Arial"/>
                <w:sz w:val="13"/>
                <w:szCs w:val="13"/>
                <w:color w:val="auto"/>
              </w:rPr>
              <w:t>0.20%</w:t>
            </w:r>
          </w:p>
        </w:tc>
        <w:tc>
          <w:tcPr>
            <w:tcW w:w="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14,943,733</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14,943,733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40" w:type="dxa"/>
            <w:vAlign w:val="bottom"/>
          </w:tcPr>
          <w:p>
            <w:pPr>
              <w:spacing w:after="0"/>
              <w:rPr>
                <w:sz w:val="12"/>
                <w:szCs w:val="12"/>
                <w:color w:val="auto"/>
              </w:rPr>
            </w:pPr>
          </w:p>
        </w:tc>
        <w:tc>
          <w:tcPr>
            <w:tcW w:w="3420" w:type="dxa"/>
            <w:vAlign w:val="bottom"/>
            <w:gridSpan w:val="3"/>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3"/>
                <w:szCs w:val="13"/>
                <w:color w:val="auto"/>
              </w:rPr>
              <w:t>US Treasury Bill (Cusip:912796VJ5)</w:t>
            </w:r>
            <w:r>
              <w:rPr>
                <w:rFonts w:ascii="Arial" w:cs="Arial" w:eastAsia="Arial" w:hAnsi="Arial"/>
                <w:sz w:val="10"/>
                <w:szCs w:val="10"/>
                <w:color w:val="auto"/>
              </w:rPr>
              <w:t>(8)</w:t>
            </w:r>
          </w:p>
        </w:tc>
        <w:tc>
          <w:tcPr>
            <w:tcW w:w="342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U.S. Government Obligation</w:t>
            </w: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1.88%</w:t>
            </w:r>
          </w:p>
        </w:tc>
        <w:tc>
          <w:tcPr>
            <w:tcW w:w="8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12,499,358</w:t>
            </w:r>
          </w:p>
        </w:tc>
        <w:tc>
          <w:tcPr>
            <w:tcW w:w="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12,499,358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16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Total Short-term Investments</w:t>
            </w:r>
          </w:p>
        </w:tc>
        <w:tc>
          <w:tcPr>
            <w:tcW w:w="1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40" w:type="dxa"/>
            <w:vAlign w:val="bottom"/>
          </w:tcPr>
          <w:p>
            <w:pPr>
              <w:jc w:val="right"/>
              <w:ind w:right="1037"/>
              <w:spacing w:after="0"/>
              <w:rPr>
                <w:sz w:val="20"/>
                <w:szCs w:val="20"/>
                <w:color w:val="auto"/>
              </w:rPr>
            </w:pPr>
            <w:r>
              <w:rPr>
                <w:rFonts w:ascii="Arial" w:cs="Arial" w:eastAsia="Arial" w:hAnsi="Arial"/>
                <w:sz w:val="13"/>
                <w:szCs w:val="13"/>
                <w:b w:val="1"/>
                <w:bCs w:val="1"/>
                <w:color w:val="auto"/>
                <w:w w:val="90"/>
              </w:rPr>
              <w:t>(20% of net asset value at fair value)</w:t>
            </w:r>
          </w:p>
        </w:tc>
        <w:tc>
          <w:tcPr>
            <w:tcW w:w="1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27,443,091</w:t>
            </w:r>
          </w:p>
        </w:tc>
        <w:tc>
          <w:tcPr>
            <w:tcW w:w="26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27,443,091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3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tcPr>
          <w:p>
            <w:pPr>
              <w:spacing w:after="0"/>
              <w:rPr>
                <w:sz w:val="20"/>
                <w:szCs w:val="20"/>
                <w:color w:val="auto"/>
              </w:rPr>
            </w:pPr>
            <w:r>
              <w:rPr>
                <w:rFonts w:ascii="Arial" w:cs="Arial" w:eastAsia="Arial" w:hAnsi="Arial"/>
                <w:sz w:val="13"/>
                <w:szCs w:val="13"/>
                <w:b w:val="1"/>
                <w:bCs w:val="1"/>
                <w:color w:val="auto"/>
              </w:rPr>
              <w:t>Total Investments</w:t>
            </w:r>
            <w:r>
              <w:rPr>
                <w:rFonts w:ascii="Arial" w:cs="Arial" w:eastAsia="Arial" w:hAnsi="Arial"/>
                <w:sz w:val="10"/>
                <w:szCs w:val="10"/>
                <w:b w:val="1"/>
                <w:bCs w:val="1"/>
                <w:color w:val="auto"/>
              </w:rPr>
              <w:t>4</w:t>
            </w:r>
          </w:p>
        </w:tc>
        <w:tc>
          <w:tcPr>
            <w:tcW w:w="1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339,148,090</w:t>
            </w:r>
          </w:p>
        </w:tc>
        <w:tc>
          <w:tcPr>
            <w:tcW w:w="26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287,004,280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4"/>
          <w:szCs w:val="14"/>
          <w:color w:val="auto"/>
        </w:rPr>
      </w:pPr>
      <w:r>
        <w:rPr>
          <w:rFonts w:ascii="Arial" w:cs="Arial" w:eastAsia="Arial" w:hAnsi="Arial"/>
          <w:sz w:val="16"/>
          <w:szCs w:val="16"/>
          <w:color w:val="auto"/>
        </w:rPr>
        <w:t>A majority of the variable rate loans in the Company’s investment portfolio bear interest at a rate that may be determined by reference to either LIBOR</w:t>
      </w:r>
    </w:p>
    <w:p>
      <w:pPr>
        <w:spacing w:after="0" w:line="46" w:lineRule="exact"/>
        <w:rPr>
          <w:sz w:val="20"/>
          <w:szCs w:val="20"/>
          <w:color w:val="auto"/>
        </w:rPr>
      </w:pPr>
    </w:p>
    <w:p>
      <w:pPr>
        <w:ind w:left="440" w:right="40"/>
        <w:spacing w:after="0" w:line="250" w:lineRule="auto"/>
        <w:rPr>
          <w:sz w:val="20"/>
          <w:szCs w:val="20"/>
          <w:color w:val="auto"/>
        </w:rPr>
      </w:pPr>
      <w:r>
        <w:rPr>
          <w:rFonts w:ascii="Arial" w:cs="Arial" w:eastAsia="Arial" w:hAnsi="Arial"/>
          <w:sz w:val="18"/>
          <w:szCs w:val="18"/>
          <w:color w:val="auto"/>
        </w:rPr>
        <w:t>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June 30, 2019. As noted in the table above, 73% (based on par) of debt securities contain floors which range between 1.00% and 1.50%.</w:t>
      </w:r>
    </w:p>
    <w:p>
      <w:pPr>
        <w:spacing w:after="0" w:line="1"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5"/>
          <w:szCs w:val="15"/>
          <w:color w:val="auto"/>
        </w:rPr>
      </w:pPr>
      <w:r>
        <w:rPr>
          <w:rFonts w:ascii="Arial" w:cs="Arial" w:eastAsia="Arial" w:hAnsi="Arial"/>
          <w:sz w:val="18"/>
          <w:szCs w:val="18"/>
          <w:color w:val="auto"/>
        </w:rPr>
        <w:t>Reflects the fair market value of all investments as of June 30, 2019 as determined by the Company’s Board of Directors.</w:t>
      </w:r>
    </w:p>
    <w:p>
      <w:pPr>
        <w:spacing w:after="0" w:line="9"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5"/>
          <w:szCs w:val="15"/>
          <w:color w:val="auto"/>
        </w:rPr>
      </w:pPr>
      <w:r>
        <w:rPr>
          <w:rFonts w:ascii="Arial" w:cs="Arial" w:eastAsia="Arial" w:hAnsi="Arial"/>
          <w:sz w:val="18"/>
          <w:szCs w:val="18"/>
          <w:color w:val="auto"/>
        </w:rPr>
        <w:t>Non-U.S. company or principal place of business outside the U.S.</w:t>
      </w:r>
    </w:p>
    <w:p>
      <w:pPr>
        <w:spacing w:after="0" w:line="9" w:lineRule="exact"/>
        <w:rPr>
          <w:sz w:val="20"/>
          <w:szCs w:val="20"/>
          <w:color w:val="auto"/>
        </w:rPr>
      </w:pPr>
    </w:p>
    <w:p>
      <w:pPr>
        <w:ind w:left="440" w:right="540" w:hanging="432"/>
        <w:spacing w:after="0" w:line="250" w:lineRule="auto"/>
        <w:tabs>
          <w:tab w:leader="none" w:pos="440" w:val="left"/>
        </w:tabs>
        <w:numPr>
          <w:ilvl w:val="0"/>
          <w:numId w:val="9"/>
        </w:numPr>
        <w:rPr>
          <w:rFonts w:ascii="Arial" w:cs="Arial" w:eastAsia="Arial" w:hAnsi="Arial"/>
          <w:sz w:val="15"/>
          <w:szCs w:val="15"/>
          <w:color w:val="auto"/>
        </w:rPr>
      </w:pPr>
      <w:r>
        <w:rPr>
          <w:rFonts w:ascii="Arial" w:cs="Arial" w:eastAsia="Arial" w:hAnsi="Arial"/>
          <w:sz w:val="18"/>
          <w:szCs w:val="18"/>
          <w:color w:val="auto"/>
        </w:rPr>
        <w:t>The aggregate cost of investments for federal income tax purposes is approximately $339 million. The aggregate gross unrealized appreciation is approximately $0.1 million, the aggregate gross unrealized depreciation is approximately $52.1 million, and the net unrealized depreciation is approximately $52.2 million.</w:t>
      </w:r>
    </w:p>
    <w:p>
      <w:pPr>
        <w:spacing w:after="0" w:line="1"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5"/>
          <w:szCs w:val="15"/>
          <w:color w:val="auto"/>
        </w:rPr>
      </w:pPr>
      <w:r>
        <w:rPr>
          <w:rFonts w:ascii="Arial" w:cs="Arial" w:eastAsia="Arial" w:hAnsi="Arial"/>
          <w:sz w:val="18"/>
          <w:szCs w:val="18"/>
          <w:color w:val="auto"/>
        </w:rPr>
        <w:t>Loan or debt security is on non-accrual status and therefore is considered non-income producing.</w:t>
      </w:r>
    </w:p>
    <w:p>
      <w:pPr>
        <w:spacing w:after="0" w:line="9"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A CLO Fund managed by an affiliate of LibreMax.</w:t>
      </w:r>
    </w:p>
    <w:p>
      <w:pPr>
        <w:spacing w:after="0" w:line="9"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Money market account.</w:t>
      </w:r>
    </w:p>
    <w:p>
      <w:pPr>
        <w:spacing w:after="0" w:line="9" w:lineRule="exact"/>
        <w:rPr>
          <w:sz w:val="20"/>
          <w:szCs w:val="20"/>
          <w:color w:val="auto"/>
        </w:rPr>
      </w:pPr>
    </w:p>
    <w:p>
      <w:pPr>
        <w:ind w:left="440" w:right="600" w:hanging="432"/>
        <w:spacing w:after="0" w:line="250" w:lineRule="auto"/>
        <w:tabs>
          <w:tab w:leader="none" w:pos="440" w:val="left"/>
        </w:tabs>
        <w:numPr>
          <w:ilvl w:val="0"/>
          <w:numId w:val="13"/>
        </w:numPr>
        <w:rPr>
          <w:rFonts w:ascii="Arial" w:cs="Arial" w:eastAsia="Arial" w:hAnsi="Arial"/>
          <w:sz w:val="15"/>
          <w:szCs w:val="15"/>
          <w:color w:val="auto"/>
        </w:rPr>
      </w:pPr>
      <w:r>
        <w:rPr>
          <w:rFonts w:ascii="Arial" w:cs="Arial" w:eastAsia="Arial" w:hAnsi="Arial"/>
          <w:sz w:val="18"/>
          <w:szCs w:val="18"/>
          <w:color w:val="auto"/>
        </w:rPr>
        <w:t>Qualified asset for purposes of section 55(a) of the Investment Company Act of 1940, as amended (the “1940 Act”). Qualifying assets represent approximately 73.6% of the total assets at June 30, 2019.</w:t>
      </w:r>
    </w:p>
    <w:p>
      <w:pPr>
        <w:spacing w:after="0" w:line="1"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4"/>
          <w:szCs w:val="14"/>
          <w:color w:val="auto"/>
        </w:rPr>
      </w:pPr>
      <w:r>
        <w:rPr>
          <w:rFonts w:ascii="Arial" w:cs="Arial" w:eastAsia="Arial" w:hAnsi="Arial"/>
          <w:sz w:val="17"/>
          <w:szCs w:val="17"/>
          <w:color w:val="auto"/>
        </w:rPr>
        <w:t>As defined in the 1940 Act, the Company is deemed to be both an “Affiliated Person” and has “Control” of this portfolio company as the Company</w:t>
      </w:r>
    </w:p>
    <w:p>
      <w:pPr>
        <w:spacing w:after="0" w:line="22" w:lineRule="exact"/>
        <w:rPr>
          <w:sz w:val="20"/>
          <w:szCs w:val="20"/>
          <w:color w:val="auto"/>
        </w:rPr>
      </w:pPr>
    </w:p>
    <w:p>
      <w:pPr>
        <w:ind w:left="440" w:right="60"/>
        <w:spacing w:after="0" w:line="250" w:lineRule="auto"/>
        <w:rPr>
          <w:sz w:val="20"/>
          <w:szCs w:val="20"/>
          <w:color w:val="auto"/>
        </w:rPr>
      </w:pPr>
      <w:r>
        <w:rPr>
          <w:rFonts w:ascii="Arial" w:cs="Arial" w:eastAsia="Arial" w:hAnsi="Arial"/>
          <w:sz w:val="18"/>
          <w:szCs w:val="18"/>
          <w:color w:val="auto"/>
        </w:rPr>
        <w:t>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ind w:left="440" w:hanging="432"/>
        <w:spacing w:after="0"/>
        <w:tabs>
          <w:tab w:leader="none" w:pos="440" w:val="left"/>
        </w:tabs>
        <w:numPr>
          <w:ilvl w:val="0"/>
          <w:numId w:val="15"/>
        </w:numPr>
        <w:rPr>
          <w:rFonts w:ascii="Arial" w:cs="Arial" w:eastAsia="Arial" w:hAnsi="Arial"/>
          <w:sz w:val="15"/>
          <w:szCs w:val="15"/>
          <w:color w:val="auto"/>
        </w:rPr>
      </w:pPr>
      <w:r>
        <w:rPr>
          <w:rFonts w:ascii="Arial" w:cs="Arial" w:eastAsia="Arial" w:hAnsi="Arial"/>
          <w:sz w:val="18"/>
          <w:szCs w:val="18"/>
          <w:color w:val="auto"/>
        </w:rPr>
        <w:t>Non-voting.</w:t>
      </w:r>
    </w:p>
    <w:p>
      <w:pPr>
        <w:spacing w:after="0" w:line="10" w:lineRule="exact"/>
        <w:rPr>
          <w:rFonts w:ascii="Arial" w:cs="Arial" w:eastAsia="Arial" w:hAnsi="Arial"/>
          <w:sz w:val="15"/>
          <w:szCs w:val="15"/>
          <w:color w:val="auto"/>
        </w:rPr>
      </w:pPr>
    </w:p>
    <w:p>
      <w:pPr>
        <w:jc w:val="both"/>
        <w:ind w:left="440" w:right="80" w:hanging="432"/>
        <w:spacing w:after="0" w:line="250" w:lineRule="auto"/>
        <w:tabs>
          <w:tab w:leader="none" w:pos="440" w:val="left"/>
        </w:tabs>
        <w:numPr>
          <w:ilvl w:val="0"/>
          <w:numId w:val="15"/>
        </w:numPr>
        <w:rPr>
          <w:rFonts w:ascii="Arial" w:cs="Arial" w:eastAsia="Arial" w:hAnsi="Arial"/>
          <w:sz w:val="15"/>
          <w:szCs w:val="15"/>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15"/>
          <w:szCs w:val="15"/>
          <w:color w:val="auto"/>
        </w:rPr>
      </w:pPr>
    </w:p>
    <w:p>
      <w:pPr>
        <w:ind w:left="440" w:hanging="432"/>
        <w:spacing w:after="0"/>
        <w:tabs>
          <w:tab w:leader="none" w:pos="440" w:val="left"/>
        </w:tabs>
        <w:numPr>
          <w:ilvl w:val="0"/>
          <w:numId w:val="15"/>
        </w:numPr>
        <w:rPr>
          <w:rFonts w:ascii="Arial" w:cs="Arial" w:eastAsia="Arial" w:hAnsi="Arial"/>
          <w:sz w:val="15"/>
          <w:szCs w:val="15"/>
          <w:color w:val="auto"/>
        </w:rPr>
      </w:pPr>
      <w:r>
        <w:rPr>
          <w:rFonts w:ascii="Arial" w:cs="Arial" w:eastAsia="Arial" w:hAnsi="Arial"/>
          <w:sz w:val="18"/>
          <w:szCs w:val="18"/>
          <w:color w:val="auto"/>
        </w:rPr>
        <w:t>Notice of redemption has been received for this security.</w:t>
      </w:r>
    </w:p>
    <w:p>
      <w:pPr>
        <w:spacing w:after="0" w:line="9" w:lineRule="exact"/>
        <w:rPr>
          <w:rFonts w:ascii="Arial" w:cs="Arial" w:eastAsia="Arial" w:hAnsi="Arial"/>
          <w:sz w:val="15"/>
          <w:szCs w:val="15"/>
          <w:color w:val="auto"/>
        </w:rPr>
      </w:pPr>
    </w:p>
    <w:p>
      <w:pPr>
        <w:ind w:left="440" w:hanging="432"/>
        <w:spacing w:after="0"/>
        <w:tabs>
          <w:tab w:leader="none" w:pos="440" w:val="left"/>
        </w:tabs>
        <w:numPr>
          <w:ilvl w:val="0"/>
          <w:numId w:val="15"/>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w:t>
      </w:r>
    </w:p>
    <w:p>
      <w:pPr>
        <w:spacing w:after="0" w:line="9" w:lineRule="exact"/>
        <w:rPr>
          <w:rFonts w:ascii="Arial" w:cs="Arial" w:eastAsia="Arial" w:hAnsi="Arial"/>
          <w:sz w:val="15"/>
          <w:szCs w:val="15"/>
          <w:color w:val="auto"/>
        </w:rPr>
      </w:pPr>
    </w:p>
    <w:p>
      <w:pPr>
        <w:ind w:left="440" w:right="140" w:hanging="432"/>
        <w:spacing w:after="0" w:line="261" w:lineRule="auto"/>
        <w:tabs>
          <w:tab w:leader="none" w:pos="440" w:val="left"/>
        </w:tabs>
        <w:numPr>
          <w:ilvl w:val="0"/>
          <w:numId w:val="15"/>
        </w:numPr>
        <w:rPr>
          <w:rFonts w:ascii="Arial" w:cs="Arial" w:eastAsia="Arial" w:hAnsi="Arial"/>
          <w:sz w:val="15"/>
          <w:szCs w:val="15"/>
          <w:color w:val="auto"/>
        </w:rPr>
      </w:pPr>
      <w:r>
        <w:rPr>
          <w:rFonts w:ascii="Arial" w:cs="Arial" w:eastAsia="Arial" w:hAnsi="Arial"/>
          <w:sz w:val="18"/>
          <w:szCs w:val="18"/>
          <w:color w:val="auto"/>
        </w:rPr>
        <w:t>As of June 30, 2019, this investment is owned by Great Lakes KCAP Funding I, LLC and was pledged to secure Great Lakes KCAP Funding I, LLC’s debt obligation pursuant to its senior secured revolving credit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5" w:name="page16"/>
    <w:bookmarkEnd w:id="15"/>
    <w:p>
      <w:pPr>
        <w:ind w:left="432" w:right="620"/>
        <w:spacing w:after="0" w:line="258" w:lineRule="auto"/>
        <w:rPr>
          <w:sz w:val="20"/>
          <w:szCs w:val="20"/>
          <w:color w:val="auto"/>
        </w:rPr>
      </w:pPr>
      <w:r>
        <w:rPr>
          <w:rFonts w:ascii="Arial" w:cs="Arial" w:eastAsia="Arial" w:hAnsi="Arial"/>
          <w:sz w:val="18"/>
          <w:szCs w:val="18"/>
          <w:color w:val="auto"/>
        </w:rPr>
        <w:t>facility (the “Revolving Credit Facility”) with the Company, as the servicer, certain institutional lenders, State Bank and Trust Company, as the administrative agent, lead arranger and bookrunner, and CIBC Bank USA, as documentation agent.</w:t>
      </w:r>
    </w:p>
    <w:p>
      <w:pPr>
        <w:jc w:val="both"/>
        <w:ind w:left="432" w:right="80" w:hanging="432"/>
        <w:spacing w:after="0" w:line="251" w:lineRule="auto"/>
        <w:tabs>
          <w:tab w:leader="none" w:pos="432" w:val="left"/>
        </w:tabs>
        <w:numPr>
          <w:ilvl w:val="0"/>
          <w:numId w:val="16"/>
        </w:numPr>
        <w:rPr>
          <w:rFonts w:ascii="Arial" w:cs="Arial" w:eastAsia="Arial" w:hAnsi="Arial"/>
          <w:sz w:val="15"/>
          <w:szCs w:val="15"/>
          <w:color w:val="auto"/>
        </w:rPr>
      </w:pPr>
      <w:r>
        <w:rPr>
          <w:rFonts w:ascii="Arial" w:cs="Arial" w:eastAsia="Arial" w:hAnsi="Arial"/>
          <w:sz w:val="18"/>
          <w:szCs w:val="18"/>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ind w:left="432" w:right="140" w:hanging="432"/>
        <w:spacing w:after="0" w:line="250" w:lineRule="auto"/>
        <w:tabs>
          <w:tab w:leader="none" w:pos="432" w:val="left"/>
        </w:tabs>
        <w:numPr>
          <w:ilvl w:val="0"/>
          <w:numId w:val="16"/>
        </w:numPr>
        <w:rPr>
          <w:rFonts w:ascii="Arial" w:cs="Arial" w:eastAsia="Arial" w:hAnsi="Arial"/>
          <w:sz w:val="15"/>
          <w:szCs w:val="15"/>
          <w:color w:val="auto"/>
        </w:rPr>
      </w:pPr>
      <w:r>
        <w:rPr>
          <w:rFonts w:ascii="Arial" w:cs="Arial" w:eastAsia="Arial" w:hAnsi="Arial"/>
          <w:sz w:val="18"/>
          <w:szCs w:val="18"/>
          <w:color w:val="auto"/>
        </w:rPr>
        <w:t>The remaining collateral in this CLO Fund portfolio is illiquid and not producing meaningful cash flows, and thus, the Company’s investment in the CLO Subordinated securities are not currently receiving periodic cash distributions. Accordingly, the Company is no longer recording any investment income from these investments, and has thus noted the effective interest as not meaningful, or N/M. The fair value of the investment reflects the Company’s estimated share of the fair value of the underlying collateral.</w:t>
      </w:r>
    </w:p>
    <w:p>
      <w:pPr>
        <w:spacing w:after="0" w:line="1" w:lineRule="exact"/>
        <w:rPr>
          <w:rFonts w:ascii="Arial" w:cs="Arial" w:eastAsia="Arial" w:hAnsi="Arial"/>
          <w:sz w:val="15"/>
          <w:szCs w:val="15"/>
          <w:color w:val="auto"/>
        </w:rPr>
      </w:pPr>
    </w:p>
    <w:p>
      <w:pPr>
        <w:ind w:left="432" w:hanging="432"/>
        <w:spacing w:after="0" w:line="250" w:lineRule="auto"/>
        <w:tabs>
          <w:tab w:leader="none" w:pos="4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1" w:lineRule="exact"/>
        <w:rPr>
          <w:rFonts w:ascii="Arial" w:cs="Arial" w:eastAsia="Arial" w:hAnsi="Arial"/>
          <w:sz w:val="18"/>
          <w:szCs w:val="18"/>
          <w:color w:val="auto"/>
        </w:rPr>
      </w:pPr>
    </w:p>
    <w:p>
      <w:pPr>
        <w:ind w:left="432" w:hanging="432"/>
        <w:spacing w:after="0"/>
        <w:tabs>
          <w:tab w:leader="none" w:pos="432" w:val="left"/>
        </w:tabs>
        <w:numPr>
          <w:ilvl w:val="0"/>
          <w:numId w:val="16"/>
        </w:numPr>
        <w:rPr>
          <w:rFonts w:ascii="Arial" w:cs="Arial" w:eastAsia="Arial" w:hAnsi="Arial"/>
          <w:sz w:val="15"/>
          <w:szCs w:val="15"/>
          <w:color w:val="auto"/>
        </w:rPr>
      </w:pPr>
      <w:r>
        <w:rPr>
          <w:rFonts w:ascii="Arial" w:cs="Arial" w:eastAsia="Arial" w:hAnsi="Arial"/>
          <w:sz w:val="18"/>
          <w:szCs w:val="18"/>
          <w:color w:val="auto"/>
        </w:rPr>
        <w:t>Ownership of LP interest held through the holding company BCP Great Lakes Fund, L.P.</w:t>
      </w:r>
    </w:p>
    <w:p>
      <w:pPr>
        <w:spacing w:after="0" w:line="9" w:lineRule="exact"/>
        <w:rPr>
          <w:rFonts w:ascii="Arial" w:cs="Arial" w:eastAsia="Arial" w:hAnsi="Arial"/>
          <w:sz w:val="15"/>
          <w:szCs w:val="15"/>
          <w:color w:val="auto"/>
        </w:rPr>
      </w:pPr>
    </w:p>
    <w:p>
      <w:pPr>
        <w:ind w:left="432" w:right="80" w:hanging="432"/>
        <w:spacing w:after="0" w:line="233" w:lineRule="auto"/>
        <w:tabs>
          <w:tab w:leader="none" w:pos="432"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 of the 1940 Act, the Company does not believe it has control over this portfolio company.</w:t>
      </w:r>
    </w:p>
    <w:p>
      <w:pPr>
        <w:ind w:left="432" w:hanging="432"/>
        <w:spacing w:after="0" w:line="180" w:lineRule="auto"/>
        <w:tabs>
          <w:tab w:leader="none" w:pos="432"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Non-income producing.</w:t>
      </w:r>
    </w:p>
    <w:p>
      <w:pPr>
        <w:spacing w:after="0" w:line="16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52"/>
          </w:cols>
          <w:pgMar w:left="248" w:top="125" w:right="29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9"/>
              </w:rPr>
              <w:t>Initial</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3980" w:type="dxa"/>
            <w:vAlign w:val="bottom"/>
            <w:gridSpan w:val="2"/>
          </w:tcPr>
          <w:p>
            <w:pPr>
              <w:ind w:left="1620"/>
              <w:spacing w:after="0" w:line="135" w:lineRule="exact"/>
              <w:rPr>
                <w:sz w:val="20"/>
                <w:szCs w:val="20"/>
                <w:color w:val="auto"/>
              </w:rPr>
            </w:pPr>
            <w:r>
              <w:rPr>
                <w:rFonts w:ascii="Arial" w:cs="Arial" w:eastAsia="Arial" w:hAnsi="Arial"/>
                <w:sz w:val="13"/>
                <w:szCs w:val="13"/>
                <w:b w:val="1"/>
                <w:bCs w:val="1"/>
                <w:color w:val="auto"/>
              </w:rPr>
              <w:t>Investment</w:t>
            </w:r>
          </w:p>
        </w:tc>
        <w:tc>
          <w:tcPr>
            <w:tcW w:w="120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1"/>
              </w:rPr>
              <w:t>Amortized</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4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3980" w:type="dxa"/>
            <w:vAlign w:val="bottom"/>
            <w:gridSpan w:val="2"/>
          </w:tcPr>
          <w:p>
            <w:pPr>
              <w:ind w:left="12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2"/>
              </w:rPr>
              <w:t>Date</w:t>
            </w: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3"/>
                <w:szCs w:val="13"/>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Cost</w:t>
            </w:r>
          </w:p>
        </w:tc>
        <w:tc>
          <w:tcPr>
            <w:tcW w:w="10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Advanced Lighting Technologies,</w:t>
            </w:r>
          </w:p>
        </w:tc>
        <w:tc>
          <w:tcPr>
            <w:tcW w:w="120" w:type="dxa"/>
            <w:vAlign w:val="bottom"/>
            <w:tcBorders>
              <w:top w:val="single" w:sz="8" w:color="CFF0FC"/>
            </w:tcBorders>
            <w:shd w:val="clear" w:color="auto" w:fill="CFF0FC"/>
          </w:tcPr>
          <w:p>
            <w:pPr>
              <w:spacing w:after="0"/>
              <w:rPr>
                <w:sz w:val="11"/>
                <w:szCs w:val="11"/>
                <w:color w:val="auto"/>
              </w:rPr>
            </w:pPr>
          </w:p>
        </w:tc>
        <w:tc>
          <w:tcPr>
            <w:tcW w:w="38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Second Lien Notes 9.8%</w:t>
            </w:r>
          </w:p>
        </w:tc>
        <w:tc>
          <w:tcPr>
            <w:tcW w:w="120" w:type="dxa"/>
            <w:vAlign w:val="bottom"/>
            <w:tcBorders>
              <w:top w:val="single" w:sz="8" w:color="CFF0FC"/>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Inc.</w:t>
            </w:r>
            <w:r>
              <w:rPr>
                <w:rFonts w:ascii="Arial" w:cs="Arial" w:eastAsia="Arial" w:hAnsi="Arial"/>
                <w:sz w:val="10"/>
                <w:szCs w:val="10"/>
                <w:color w:val="auto"/>
              </w:rPr>
              <w:t>(5)(8)(13)</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10.0% PIK, 3 month LIBOR(2.80%)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Consumer goods: Durable</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7.00%; LIBOR Floor 1.00% , Due 10/23</w:t>
            </w:r>
          </w:p>
        </w:tc>
        <w:tc>
          <w:tcPr>
            <w:tcW w:w="120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6/13/2012  $</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1,007,062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958,499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362,240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AlixPartners, LLP</w:t>
            </w:r>
            <w:r>
              <w:rPr>
                <w:rFonts w:ascii="Arial" w:cs="Arial" w:eastAsia="Arial" w:hAnsi="Arial"/>
                <w:sz w:val="10"/>
                <w:szCs w:val="10"/>
                <w:color w:val="auto"/>
              </w:rPr>
              <w:t>(8)(13)</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2017 Refinancing Term</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60"/>
              <w:spacing w:after="0" w:line="135" w:lineRule="exact"/>
              <w:rPr>
                <w:sz w:val="20"/>
                <w:szCs w:val="20"/>
                <w:color w:val="auto"/>
              </w:rPr>
            </w:pPr>
            <w:r>
              <w:rPr>
                <w:rFonts w:ascii="Arial" w:cs="Arial" w:eastAsia="Arial" w:hAnsi="Arial"/>
                <w:sz w:val="13"/>
                <w:szCs w:val="13"/>
                <w:color w:val="auto"/>
              </w:rPr>
              <w:t>Services: Business</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Loan 5.3% Cash, 1 month LIBOR(2.52%)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2.75%; LIBOR Floor 1.00% , Due 4/24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12/28/2018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997,462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957,563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957,563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Asurion, LLC (fka Asurion</w:t>
            </w:r>
          </w:p>
        </w:tc>
        <w:tc>
          <w:tcPr>
            <w:tcW w:w="3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Corporation)</w:t>
            </w:r>
            <w:r>
              <w:rPr>
                <w:rFonts w:ascii="Arial" w:cs="Arial" w:eastAsia="Arial" w:hAnsi="Arial"/>
                <w:sz w:val="10"/>
                <w:szCs w:val="10"/>
                <w:color w:val="auto"/>
              </w:rPr>
              <w:t>(8)(13)</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Senior Secured Loan — Amendment No. 14</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60"/>
              <w:spacing w:after="0" w:line="135" w:lineRule="exact"/>
              <w:rPr>
                <w:sz w:val="20"/>
                <w:szCs w:val="20"/>
                <w:color w:val="auto"/>
              </w:rPr>
            </w:pPr>
            <w:r>
              <w:rPr>
                <w:rFonts w:ascii="Arial" w:cs="Arial" w:eastAsia="Arial" w:hAnsi="Arial"/>
                <w:sz w:val="13"/>
                <w:szCs w:val="13"/>
                <w:color w:val="auto"/>
              </w:rPr>
              <w:t>Banking, Finance, Insurance &amp;</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Replacement B-4 Term Loan 5.5% Cash, 1 month</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Real Estate</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LIBOR(2.52%)+ 3.00%; LIBOR Floor 1.00% , Due 8/22</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12/28/2018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1,520,851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1,463,819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1,460,001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BMC Acquisition, Inc. (aka</w:t>
            </w:r>
          </w:p>
        </w:tc>
        <w:tc>
          <w:tcPr>
            <w:tcW w:w="3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BenefitMall)</w:t>
            </w:r>
            <w:r>
              <w:rPr>
                <w:rFonts w:ascii="Arial" w:cs="Arial" w:eastAsia="Arial" w:hAnsi="Arial"/>
                <w:sz w:val="10"/>
                <w:szCs w:val="10"/>
                <w:color w:val="auto"/>
              </w:rPr>
              <w:t>(8)(13)(14)</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Senior Secured Loan — Initial Term Loan 7.8%</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60"/>
              <w:spacing w:after="0" w:line="135" w:lineRule="exact"/>
              <w:rPr>
                <w:sz w:val="20"/>
                <w:szCs w:val="20"/>
                <w:color w:val="auto"/>
              </w:rPr>
            </w:pPr>
            <w:r>
              <w:rPr>
                <w:rFonts w:ascii="Arial" w:cs="Arial" w:eastAsia="Arial" w:hAnsi="Arial"/>
                <w:sz w:val="13"/>
                <w:szCs w:val="13"/>
                <w:color w:val="auto"/>
              </w:rPr>
              <w:t>Banking, Finance, Insurance &amp;</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6 month LIBOR(2.59%) + 5.25%;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Real Estate</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12/24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2,970,000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2,968,502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2,942,082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BW NHHC Holdco Inc.</w:t>
            </w:r>
            <w:r>
              <w:rPr>
                <w:rFonts w:ascii="Arial" w:cs="Arial" w:eastAsia="Arial" w:hAnsi="Arial"/>
                <w:sz w:val="10"/>
                <w:szCs w:val="10"/>
                <w:color w:val="auto"/>
              </w:rPr>
              <w:t>(8)(13)(14)</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 (First</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Healthcare &amp; Pharmaceuticals</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 7.5% Cash, 1 month LIBOR(2.47%)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5.00% , Due 5/25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1,990,000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1,962,751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1,950,200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Carestream Health, Inc.</w:t>
            </w:r>
            <w:r>
              <w:rPr>
                <w:rFonts w:ascii="Arial" w:cs="Arial" w:eastAsia="Arial" w:hAnsi="Arial"/>
                <w:sz w:val="10"/>
                <w:szCs w:val="10"/>
                <w:color w:val="auto"/>
              </w:rPr>
              <w:t>(8)(13)</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Extended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Healthcare &amp; Pharmaceuticals</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(Second Lien) 12.0% Cash, 1 month</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LIBOR(2.52%) + 9.50%; LIBOR Floor 1.00%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6/21</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10/7/2014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1,510,955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1,496,079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1,480,736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Child Development Schools,</w:t>
            </w:r>
          </w:p>
        </w:tc>
        <w:tc>
          <w:tcPr>
            <w:tcW w:w="3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Inc.</w:t>
            </w:r>
            <w:r>
              <w:rPr>
                <w:rFonts w:ascii="Arial" w:cs="Arial" w:eastAsia="Arial" w:hAnsi="Arial"/>
                <w:sz w:val="10"/>
                <w:szCs w:val="10"/>
                <w:color w:val="auto"/>
              </w:rPr>
              <w:t>(8)(13)(14)</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Senior Secured Loan — Term Loan 6.7% Cash,</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Services: Business</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3 month LIBOR(2.50%) + 4.25% , Due 5/23</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4,794,521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4,783,918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4,782,534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Community Care Health Network,</w:t>
            </w:r>
          </w:p>
        </w:tc>
        <w:tc>
          <w:tcPr>
            <w:tcW w:w="3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Inc. (aka Matrix Medical Network)</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Senior Secured Loan — Closing Date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shd w:val="clear" w:color="auto" w:fill="CFF0FC"/>
          </w:tcPr>
          <w:p>
            <w:pPr>
              <w:ind w:left="80"/>
              <w:spacing w:after="0"/>
              <w:rPr>
                <w:sz w:val="20"/>
                <w:szCs w:val="20"/>
                <w:color w:val="auto"/>
              </w:rPr>
            </w:pPr>
            <w:r>
              <w:rPr>
                <w:rFonts w:ascii="Arial" w:cs="Arial" w:eastAsia="Arial" w:hAnsi="Arial"/>
                <w:sz w:val="11"/>
                <w:szCs w:val="11"/>
                <w:color w:val="auto"/>
              </w:rPr>
              <w:t>(8)(14)</w:t>
            </w:r>
          </w:p>
        </w:tc>
        <w:tc>
          <w:tcPr>
            <w:tcW w:w="120" w:type="dxa"/>
            <w:vAlign w:val="bottom"/>
            <w:shd w:val="clear" w:color="auto" w:fill="CFF0FC"/>
          </w:tcPr>
          <w:p>
            <w:pPr>
              <w:spacing w:after="0"/>
              <w:rPr>
                <w:sz w:val="11"/>
                <w:szCs w:val="11"/>
                <w:color w:val="auto"/>
              </w:rPr>
            </w:pP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7.3% Cash, 1 month LIBOR(2.52%) + 4.75%;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Healthcare &amp; Pharmaceuticals</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2/25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1,990,000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1,985,635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1,873,784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Corsair Gaming, Inc.</w:t>
            </w:r>
            <w:r>
              <w:rPr>
                <w:rFonts w:ascii="Arial" w:cs="Arial" w:eastAsia="Arial" w:hAnsi="Arial"/>
                <w:sz w:val="10"/>
                <w:szCs w:val="10"/>
                <w:color w:val="auto"/>
              </w:rPr>
              <w:t>(8)</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High Tech Industries</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11.3% Cash, 3 month LIBOR(2.80%) + 8.50%;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8/25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9/29/2017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4,936,538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4,929,000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Corsair Gaming, Inc.</w:t>
            </w:r>
            <w:r>
              <w:rPr>
                <w:rFonts w:ascii="Arial" w:cs="Arial" w:eastAsia="Arial" w:hAnsi="Arial"/>
                <w:sz w:val="10"/>
                <w:szCs w:val="10"/>
                <w:color w:val="auto"/>
              </w:rPr>
              <w:t>(8)(14)</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 (First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High Tech Industries</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7.1% Cash, 3 month LIBOR(2.80%) + 4.25%;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8/24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9/29/2017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1,989,954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1,985,554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1,968,678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3980" w:type="dxa"/>
            <w:vAlign w:val="bottom"/>
            <w:gridSpan w:val="2"/>
          </w:tcPr>
          <w:p>
            <w:pPr>
              <w:ind w:left="1620"/>
              <w:spacing w:after="0" w:line="135" w:lineRule="exact"/>
              <w:rPr>
                <w:sz w:val="20"/>
                <w:szCs w:val="20"/>
                <w:color w:val="auto"/>
              </w:rPr>
            </w:pPr>
            <w:r>
              <w:rPr>
                <w:rFonts w:ascii="Arial" w:cs="Arial" w:eastAsia="Arial" w:hAnsi="Arial"/>
                <w:sz w:val="13"/>
                <w:szCs w:val="13"/>
                <w:b w:val="1"/>
                <w:bCs w:val="1"/>
                <w:color w:val="auto"/>
              </w:rPr>
              <w:t>Investment</w:t>
            </w: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Amortized</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4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3980" w:type="dxa"/>
            <w:vAlign w:val="bottom"/>
            <w:gridSpan w:val="2"/>
          </w:tcPr>
          <w:p>
            <w:pPr>
              <w:ind w:left="12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060" w:type="dxa"/>
            <w:vAlign w:val="bottom"/>
            <w:gridSpan w:val="2"/>
          </w:tcPr>
          <w:p>
            <w:pPr>
              <w:ind w:left="160"/>
              <w:spacing w:after="0"/>
              <w:rPr>
                <w:sz w:val="20"/>
                <w:szCs w:val="20"/>
                <w:color w:val="auto"/>
              </w:rPr>
            </w:pPr>
            <w:r>
              <w:rPr>
                <w:rFonts w:ascii="Arial" w:cs="Arial" w:eastAsia="Arial" w:hAnsi="Arial"/>
                <w:sz w:val="13"/>
                <w:szCs w:val="13"/>
                <w:b w:val="1"/>
                <w:bCs w:val="1"/>
                <w:color w:val="auto"/>
              </w:rPr>
              <w:t>Principal</w:t>
            </w: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98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CSM Bakery Solutions Limited (fka</w:t>
            </w:r>
          </w:p>
        </w:tc>
        <w:tc>
          <w:tcPr>
            <w:tcW w:w="120" w:type="dxa"/>
            <w:vAlign w:val="bottom"/>
            <w:tcBorders>
              <w:top w:val="single" w:sz="8" w:color="CFF0FC"/>
            </w:tcBorders>
            <w:shd w:val="clear" w:color="auto" w:fill="CFF0FC"/>
          </w:tcPr>
          <w:p>
            <w:pPr>
              <w:spacing w:after="0"/>
              <w:rPr>
                <w:sz w:val="11"/>
                <w:szCs w:val="11"/>
                <w:color w:val="auto"/>
              </w:rPr>
            </w:pPr>
          </w:p>
        </w:tc>
        <w:tc>
          <w:tcPr>
            <w:tcW w:w="38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Term Loan (Second</w:t>
            </w:r>
          </w:p>
        </w:tc>
        <w:tc>
          <w:tcPr>
            <w:tcW w:w="120" w:type="dxa"/>
            <w:vAlign w:val="bottom"/>
            <w:tcBorders>
              <w:top w:val="single" w:sz="8" w:color="CFF0FC"/>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CSM Bakery Supplies Limited)</w:t>
            </w:r>
            <w:r>
              <w:rPr>
                <w:rFonts w:ascii="Arial" w:cs="Arial" w:eastAsia="Arial" w:hAnsi="Arial"/>
                <w:sz w:val="10"/>
                <w:szCs w:val="10"/>
                <w:color w:val="auto"/>
              </w:rPr>
              <w:t>(8)</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Lien)10.2% Cash, 3 month LIBOR(2.41%)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Beverage, Food and Tobacco</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7.75%; LIBOR Floor 1.00% , Due 7/21</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5/23/2013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3,006,304</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2,841,300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CT Technologies Intermediate</w:t>
            </w:r>
          </w:p>
        </w:tc>
        <w:tc>
          <w:tcPr>
            <w:tcW w:w="3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Holdings, Inc. (Smart Holdings</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Senior Secured Loan — New Term Loan Facility</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Corp.) (aka HealthPort)</w:t>
            </w:r>
            <w:r>
              <w:rPr>
                <w:rFonts w:ascii="Arial" w:cs="Arial" w:eastAsia="Arial" w:hAnsi="Arial"/>
                <w:sz w:val="10"/>
                <w:szCs w:val="10"/>
                <w:color w:val="auto"/>
              </w:rPr>
              <w:t>(8)(14)</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6.8% Cash, 1 month LIBOR(2.52%) + 4.25%;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Healthcare &amp; Pharmaceuticals</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12/21</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11/19/2014</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3,964,063</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3,958,001</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3,306,683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Decolin Inc.</w:t>
            </w:r>
            <w:r>
              <w:rPr>
                <w:rFonts w:ascii="Arial" w:cs="Arial" w:eastAsia="Arial" w:hAnsi="Arial"/>
                <w:sz w:val="10"/>
                <w:szCs w:val="10"/>
                <w:color w:val="auto"/>
              </w:rPr>
              <w:t>(3)(13)(14)</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Textiles and Leather</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7.0% Cash, 1 month LIBOR(2.51%) + 4.50%;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12/23</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2,190,363</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2,181,096</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2,092,454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Dell International L.L.C. (EMC</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Refinancing Term B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Corporation)</w:t>
            </w:r>
            <w:r>
              <w:rPr>
                <w:rFonts w:ascii="Arial" w:cs="Arial" w:eastAsia="Arial" w:hAnsi="Arial"/>
                <w:sz w:val="10"/>
                <w:szCs w:val="10"/>
                <w:color w:val="auto"/>
              </w:rPr>
              <w:t>(8)(13)</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4.5% Cash, 1 month LIBOR(2.53%) + 2.00%;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High Tech Industries</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0.75% , Due 9/23</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12/28/2018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1,930,000</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Digitran Innovations B.V. (Pomeroy</w:t>
            </w:r>
          </w:p>
        </w:tc>
        <w:tc>
          <w:tcPr>
            <w:tcW w:w="3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Solutions Holding Company,</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Senior Secured Loan —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Inc.)</w:t>
            </w:r>
            <w:r>
              <w:rPr>
                <w:rFonts w:ascii="Arial" w:cs="Arial" w:eastAsia="Arial" w:hAnsi="Arial"/>
                <w:sz w:val="10"/>
                <w:szCs w:val="10"/>
                <w:color w:val="auto"/>
              </w:rPr>
              <w:t>(8)(13)(14)</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10.3% Cash, 3 month LIBOR(2.81%) + 7.50%;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High Tech Industries</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1.50% , Due 7/24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12/10/2018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4,987,469</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4,938,132</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4,937,594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Drew Marine Group Inc.</w:t>
            </w:r>
            <w:r>
              <w:rPr>
                <w:rFonts w:ascii="Arial" w:cs="Arial" w:eastAsia="Arial" w:hAnsi="Arial"/>
                <w:sz w:val="10"/>
                <w:szCs w:val="10"/>
                <w:color w:val="auto"/>
              </w:rPr>
              <w:t>(8)(13)(14)</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Transportation: Cargo</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9.5% Cash, 1 month LIBOR(2.52%) + 7.00%;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5/21</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11/19/2013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4,000,634</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4,000,400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Evergreen North America Acquisition,</w:t>
            </w:r>
          </w:p>
        </w:tc>
        <w:tc>
          <w:tcPr>
            <w:tcW w:w="3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LLC (f/k/a Industrial Services</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Senior Secured Loan —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Acquisition, LLC)</w:t>
            </w:r>
            <w:r>
              <w:rPr>
                <w:rFonts w:ascii="Arial" w:cs="Arial" w:eastAsia="Arial" w:hAnsi="Arial"/>
                <w:sz w:val="10"/>
                <w:szCs w:val="10"/>
                <w:color w:val="auto"/>
              </w:rPr>
              <w:t>(8)(13)(14)</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7.8% Cash, 3 month LIBOR(2.81%) + 5.00%;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Environmental Industries</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6/22</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6/21/2016</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1,103,728</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1,107,755</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1,103,728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First American Payment Systems,</w:t>
            </w:r>
          </w:p>
        </w:tc>
        <w:tc>
          <w:tcPr>
            <w:tcW w:w="3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L.P.</w:t>
            </w:r>
            <w:r>
              <w:rPr>
                <w:rFonts w:ascii="Arial" w:cs="Arial" w:eastAsia="Arial" w:hAnsi="Arial"/>
                <w:sz w:val="10"/>
                <w:szCs w:val="10"/>
                <w:color w:val="auto"/>
              </w:rPr>
              <w:t>(8)(13)(14)</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Junior Secured Loan — Term Loan (Second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Banking, Finance, Insurance &amp;</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13.0% Cash, 3 month LIBOR(2.54%) + 10.50%;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Real Estate</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7/24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1,466,870</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1,399,200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Flexera Software LLC (fka Flexera</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Software, Inc.)</w:t>
            </w:r>
            <w:r>
              <w:rPr>
                <w:rFonts w:ascii="Arial" w:cs="Arial" w:eastAsia="Arial" w:hAnsi="Arial"/>
                <w:sz w:val="10"/>
                <w:szCs w:val="10"/>
                <w:color w:val="auto"/>
              </w:rPr>
              <w:t>(8)</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 9.8% Cash, 1 month LIBOR(2.53%)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High Tech Industries</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7.25%; LIBOR Floor 1.00% , Due 2/26</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1,099,654</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1,111,477</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1,090,032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GI Advo Opco, LLC(5)</w:t>
            </w:r>
            <w:r>
              <w:rPr>
                <w:rFonts w:ascii="Arial" w:cs="Arial" w:eastAsia="Arial" w:hAnsi="Arial"/>
                <w:sz w:val="10"/>
                <w:szCs w:val="10"/>
                <w:color w:val="auto"/>
              </w:rPr>
              <w:t>(8)(13)(14)</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Healthcare &amp; Pharmaceuticals</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9.5% Cash, Due 11/21</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11/19/2015</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180,304</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179,431</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117,919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15"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3980" w:type="dxa"/>
            <w:vAlign w:val="bottom"/>
            <w:gridSpan w:val="2"/>
          </w:tcPr>
          <w:p>
            <w:pPr>
              <w:ind w:left="1620"/>
              <w:spacing w:after="0" w:line="135" w:lineRule="exact"/>
              <w:rPr>
                <w:sz w:val="20"/>
                <w:szCs w:val="20"/>
                <w:color w:val="auto"/>
              </w:rPr>
            </w:pPr>
            <w:r>
              <w:rPr>
                <w:rFonts w:ascii="Arial" w:cs="Arial" w:eastAsia="Arial" w:hAnsi="Arial"/>
                <w:sz w:val="13"/>
                <w:szCs w:val="13"/>
                <w:b w:val="1"/>
                <w:bCs w:val="1"/>
                <w:color w:val="auto"/>
              </w:rPr>
              <w:t>Investment</w:t>
            </w: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Amortized</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4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3980" w:type="dxa"/>
            <w:vAlign w:val="bottom"/>
            <w:gridSpan w:val="2"/>
          </w:tcPr>
          <w:p>
            <w:pPr>
              <w:ind w:left="12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060" w:type="dxa"/>
            <w:vAlign w:val="bottom"/>
            <w:gridSpan w:val="2"/>
          </w:tcPr>
          <w:p>
            <w:pPr>
              <w:ind w:left="160"/>
              <w:spacing w:after="0"/>
              <w:rPr>
                <w:sz w:val="20"/>
                <w:szCs w:val="20"/>
                <w:color w:val="auto"/>
              </w:rPr>
            </w:pPr>
            <w:r>
              <w:rPr>
                <w:rFonts w:ascii="Arial" w:cs="Arial" w:eastAsia="Arial" w:hAnsi="Arial"/>
                <w:sz w:val="13"/>
                <w:szCs w:val="13"/>
                <w:b w:val="1"/>
                <w:bCs w:val="1"/>
                <w:color w:val="auto"/>
              </w:rPr>
              <w:t>Principal</w:t>
            </w: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98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GK Holdings, Inc. (aka Global</w:t>
            </w:r>
          </w:p>
        </w:tc>
        <w:tc>
          <w:tcPr>
            <w:tcW w:w="120" w:type="dxa"/>
            <w:vAlign w:val="bottom"/>
            <w:tcBorders>
              <w:top w:val="single" w:sz="8" w:color="CFF0FC"/>
            </w:tcBorders>
            <w:shd w:val="clear" w:color="auto" w:fill="CFF0FC"/>
          </w:tcPr>
          <w:p>
            <w:pPr>
              <w:spacing w:after="0"/>
              <w:rPr>
                <w:sz w:val="11"/>
                <w:szCs w:val="11"/>
                <w:color w:val="auto"/>
              </w:rPr>
            </w:pPr>
          </w:p>
        </w:tc>
        <w:tc>
          <w:tcPr>
            <w:tcW w:w="38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Initial Term Loan (Second Lien)</w:t>
            </w:r>
          </w:p>
        </w:tc>
        <w:tc>
          <w:tcPr>
            <w:tcW w:w="120" w:type="dxa"/>
            <w:vAlign w:val="bottom"/>
            <w:tcBorders>
              <w:top w:val="single" w:sz="8" w:color="CFF0FC"/>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Knowledge)</w:t>
            </w:r>
            <w:r>
              <w:rPr>
                <w:rFonts w:ascii="Arial" w:cs="Arial" w:eastAsia="Arial" w:hAnsi="Arial"/>
                <w:sz w:val="10"/>
                <w:szCs w:val="10"/>
                <w:color w:val="auto"/>
              </w:rPr>
              <w:t>(8)(13)</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13.1% Cash, 3 month LIBOR(2.80%) + 10.25%;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Services: Business</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1/22</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1/30/2015</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1,486,831</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1,376,250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Global Tel*Link Corporation</w:t>
            </w:r>
            <w:r>
              <w:rPr>
                <w:rFonts w:ascii="Arial" w:cs="Arial" w:eastAsia="Arial" w:hAnsi="Arial"/>
                <w:sz w:val="10"/>
                <w:szCs w:val="10"/>
                <w:color w:val="auto"/>
              </w:rPr>
              <w:t>(8)(13)</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Loan (Second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Telecommunications</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11.0% Cash, 3 month LIBOR(2.71%) + 8.25%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11/26</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5/21/2013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4,915,960</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4,912,500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Global Tel*Link Corporation</w:t>
            </w:r>
            <w:r>
              <w:rPr>
                <w:rFonts w:ascii="Arial" w:cs="Arial" w:eastAsia="Arial" w:hAnsi="Arial"/>
                <w:sz w:val="10"/>
                <w:szCs w:val="10"/>
                <w:color w:val="auto"/>
              </w:rPr>
              <w:t>(8)(13)(14)</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Loan (Second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Telecommunications</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11.0% Cash, 3 month LIBOR(2.71%) + 8.25%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11/26</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5/21/2013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1,965,349</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1,965,000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Global Tel*Link Corporation</w:t>
            </w:r>
            <w:r>
              <w:rPr>
                <w:rFonts w:ascii="Arial" w:cs="Arial" w:eastAsia="Arial" w:hAnsi="Arial"/>
                <w:sz w:val="10"/>
                <w:szCs w:val="10"/>
                <w:color w:val="auto"/>
              </w:rPr>
              <w:t>(8)(13)(14)</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 (First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Telecommunications</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7.0% Cash, 3 month LIBOR(2.71%) + 4.25%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11/25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1,473,788</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1,470,466</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1,466,419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Grupo HIMA San Pablo, Inc.</w:t>
            </w:r>
            <w:r>
              <w:rPr>
                <w:rFonts w:ascii="Arial" w:cs="Arial" w:eastAsia="Arial" w:hAnsi="Arial"/>
                <w:sz w:val="10"/>
                <w:szCs w:val="10"/>
                <w:color w:val="auto"/>
              </w:rPr>
              <w:t>(8)(13)</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B Loan (First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Healthcare &amp; Pharmaceuticals</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9.5% Cash, 3 month LIBOR(2.52%) + 7.00%;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1.50% , Due 1/18</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1/30/2013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2,813,058</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2,813,058</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2,728,666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Grupo HIMA San Pablo, Inc.</w:t>
            </w:r>
            <w:r>
              <w:rPr>
                <w:rFonts w:ascii="Arial" w:cs="Arial" w:eastAsia="Arial" w:hAnsi="Arial"/>
                <w:sz w:val="10"/>
                <w:szCs w:val="10"/>
                <w:color w:val="auto"/>
              </w:rPr>
              <w:t>(5)(13)(14)</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Healthcare &amp; Pharmaceuticals</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13.8% Cash, Due 7/18</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1/30/2013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7,191,667</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7,169,109</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4,789,650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Harland Clarke Holdings Corp. (fka Clarke</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American Corp.)</w:t>
            </w:r>
            <w:r>
              <w:rPr>
                <w:rFonts w:ascii="Arial" w:cs="Arial" w:eastAsia="Arial" w:hAnsi="Arial"/>
                <w:sz w:val="10"/>
                <w:szCs w:val="10"/>
                <w:color w:val="auto"/>
              </w:rPr>
              <w:t>(8)(13)(14)</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7.6% Cash, 3 month LIBOR(2.80%) + 4.75%;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Media: Advertising, Printing &amp; Publishing</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11/23</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6/18/2013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2,817,177</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2,836,587</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2,564,688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Hoffmaster Group, Inc.</w:t>
            </w:r>
            <w:r>
              <w:rPr>
                <w:rFonts w:ascii="Arial" w:cs="Arial" w:eastAsia="Arial" w:hAnsi="Arial"/>
                <w:sz w:val="10"/>
                <w:szCs w:val="10"/>
                <w:color w:val="auto"/>
              </w:rPr>
              <w:t>(8)(13)(14)</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Forest Products &amp; Paper</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12.0% Cash, 1 month LIBOR(2.52%) + 9.50%;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11/24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5/6/2014</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1,600,000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1,564,583</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1,553,920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Infobase Holdings, Inc.</w:t>
            </w:r>
            <w:r>
              <w:rPr>
                <w:rFonts w:ascii="Arial" w:cs="Arial" w:eastAsia="Arial" w:hAnsi="Arial"/>
                <w:sz w:val="10"/>
                <w:szCs w:val="10"/>
                <w:color w:val="auto"/>
              </w:rPr>
              <w:t>(8)(13)(14)</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High Tech Industries</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7.1% Cash, 3 month LIBOR(2.63%) + 4.50%;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12/22</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12/13/2017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4,017,393</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3,981,675</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3,977,219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Ion Media Networks, Inc.</w:t>
            </w:r>
            <w:r>
              <w:rPr>
                <w:rFonts w:ascii="Arial" w:cs="Arial" w:eastAsia="Arial" w:hAnsi="Arial"/>
                <w:sz w:val="10"/>
                <w:szCs w:val="10"/>
                <w:color w:val="auto"/>
              </w:rPr>
              <w:t>(8)(13)</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B-3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Media: Advertising, Printing &amp; Publishing</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5.3% Cash, 1 month LIBOR(2.53%) + 2.75%;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12/20</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12/28/2018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2,917,500</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2,917,500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Ivanti Software, Inc. (fka LANDesk</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Loan (Second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Group, Inc.)</w:t>
            </w:r>
            <w:r>
              <w:rPr>
                <w:rFonts w:ascii="Arial" w:cs="Arial" w:eastAsia="Arial" w:hAnsi="Arial"/>
                <w:sz w:val="10"/>
                <w:szCs w:val="10"/>
                <w:color w:val="auto"/>
              </w:rPr>
              <w:t>(8)(13)</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11.4% Cash, 1 month LIBOR(2.35%) + 9.00%;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High Tech Industries</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3,228,619</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3,228,619</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3,071,062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15"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3980" w:type="dxa"/>
            <w:vAlign w:val="bottom"/>
            <w:gridSpan w:val="2"/>
          </w:tcPr>
          <w:p>
            <w:pPr>
              <w:ind w:left="1620"/>
              <w:spacing w:after="0" w:line="135" w:lineRule="exact"/>
              <w:rPr>
                <w:sz w:val="20"/>
                <w:szCs w:val="20"/>
                <w:color w:val="auto"/>
              </w:rPr>
            </w:pPr>
            <w:r>
              <w:rPr>
                <w:rFonts w:ascii="Arial" w:cs="Arial" w:eastAsia="Arial" w:hAnsi="Arial"/>
                <w:sz w:val="13"/>
                <w:szCs w:val="13"/>
                <w:b w:val="1"/>
                <w:bCs w:val="1"/>
                <w:color w:val="auto"/>
              </w:rPr>
              <w:t>Investment</w:t>
            </w: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Amortized</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4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3980" w:type="dxa"/>
            <w:vAlign w:val="bottom"/>
            <w:gridSpan w:val="2"/>
          </w:tcPr>
          <w:p>
            <w:pPr>
              <w:ind w:left="12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060" w:type="dxa"/>
            <w:vAlign w:val="bottom"/>
            <w:gridSpan w:val="2"/>
          </w:tcPr>
          <w:p>
            <w:pPr>
              <w:ind w:left="160"/>
              <w:spacing w:after="0"/>
              <w:rPr>
                <w:sz w:val="20"/>
                <w:szCs w:val="20"/>
                <w:color w:val="auto"/>
              </w:rPr>
            </w:pPr>
            <w:r>
              <w:rPr>
                <w:rFonts w:ascii="Arial" w:cs="Arial" w:eastAsia="Arial" w:hAnsi="Arial"/>
                <w:sz w:val="13"/>
                <w:szCs w:val="13"/>
                <w:b w:val="1"/>
                <w:bCs w:val="1"/>
                <w:color w:val="auto"/>
              </w:rPr>
              <w:t>Principal</w:t>
            </w: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98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Jane Street Group, LLC</w:t>
            </w:r>
            <w:r>
              <w:rPr>
                <w:rFonts w:ascii="Arial" w:cs="Arial" w:eastAsia="Arial" w:hAnsi="Arial"/>
                <w:sz w:val="10"/>
                <w:szCs w:val="10"/>
                <w:color w:val="auto"/>
              </w:rPr>
              <w:t>(8)(13)</w:t>
            </w:r>
          </w:p>
        </w:tc>
        <w:tc>
          <w:tcPr>
            <w:tcW w:w="120" w:type="dxa"/>
            <w:vAlign w:val="bottom"/>
            <w:tcBorders>
              <w:top w:val="single" w:sz="8" w:color="CFF0FC"/>
            </w:tcBorders>
            <w:shd w:val="clear" w:color="auto" w:fill="CFF0FC"/>
          </w:tcPr>
          <w:p>
            <w:pPr>
              <w:spacing w:after="0"/>
              <w:rPr>
                <w:sz w:val="11"/>
                <w:szCs w:val="11"/>
                <w:color w:val="auto"/>
              </w:rPr>
            </w:pPr>
          </w:p>
        </w:tc>
        <w:tc>
          <w:tcPr>
            <w:tcW w:w="38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Dollar Term Loan (2018)</w:t>
            </w:r>
          </w:p>
        </w:tc>
        <w:tc>
          <w:tcPr>
            <w:tcW w:w="120" w:type="dxa"/>
            <w:vAlign w:val="bottom"/>
            <w:tcBorders>
              <w:top w:val="single" w:sz="8" w:color="CFF0FC"/>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Banking, Finance, Insurance &amp;</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5.5% Cash, 1 month LIBOR(2.50%) + 3.00%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Real Estate</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8/22</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12/28/2018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2,992,500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2,932,650</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2,932,650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Kellermeyer Bergensons Services, LLC</w:t>
            </w:r>
            <w:r>
              <w:rPr>
                <w:rFonts w:ascii="Arial" w:cs="Arial" w:eastAsia="Arial" w:hAnsi="Arial"/>
                <w:sz w:val="10"/>
                <w:szCs w:val="10"/>
                <w:color w:val="auto"/>
              </w:rPr>
              <w:t>(8)</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2018 Replacement Term</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Services: Business</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Loan (First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7.5% Cash, 3 month LIBOR(2.71%) + 4.75%;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10/21</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10/31/2014</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2,093,452</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2,090,784</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2,096,069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MB Aerospace Holdings II Corp.</w:t>
            </w:r>
            <w:r>
              <w:rPr>
                <w:rFonts w:ascii="Arial" w:cs="Arial" w:eastAsia="Arial" w:hAnsi="Arial"/>
                <w:sz w:val="10"/>
                <w:szCs w:val="10"/>
                <w:color w:val="auto"/>
              </w:rPr>
              <w:t>(8)(13)(14)</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 (First</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Aerospace and Defense</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 6.0% Cash, 1 month LIBOR(2.52%) + 3.50%;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5/10/2013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1,237,500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1,232,118</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1,149,390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Navex Topco, Inc.</w:t>
            </w:r>
            <w:r>
              <w:rPr>
                <w:rFonts w:ascii="Arial" w:cs="Arial" w:eastAsia="Arial" w:hAnsi="Arial"/>
                <w:sz w:val="10"/>
                <w:szCs w:val="10"/>
                <w:color w:val="auto"/>
              </w:rPr>
              <w:t>(8)(13)(14)</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Electronics</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 9.5% Cash, 1 month LIBOR(2.53%) + 7.00%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9/26</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3,007,500</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3,007,500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Playpower, Inc.</w:t>
            </w:r>
            <w:r>
              <w:rPr>
                <w:rFonts w:ascii="Arial" w:cs="Arial" w:eastAsia="Arial" w:hAnsi="Arial"/>
                <w:sz w:val="10"/>
                <w:szCs w:val="10"/>
                <w:color w:val="auto"/>
              </w:rPr>
              <w:t>(8)(13)(14)</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 (First</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Construction &amp; Building</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 7.6% Cash, 3 month LIBOR(2.80%) + 4.75%;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6/21</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6/23/2015</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1,393,745</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1,400,223</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1,394,163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PSC Industrial Holdings Corp.</w:t>
            </w:r>
            <w:r>
              <w:rPr>
                <w:rFonts w:ascii="Arial" w:cs="Arial" w:eastAsia="Arial" w:hAnsi="Arial"/>
                <w:sz w:val="10"/>
                <w:szCs w:val="10"/>
                <w:color w:val="auto"/>
              </w:rPr>
              <w:t>(8)(13)</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Environmental Industries</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 10.96% Cash, 1 month LIBOR(2.46%) + 8.50%;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10/25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2,949,039</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2,940,300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PVHC Holding Corp</w:t>
            </w:r>
            <w:r>
              <w:rPr>
                <w:rFonts w:ascii="Arial" w:cs="Arial" w:eastAsia="Arial" w:hAnsi="Arial"/>
                <w:sz w:val="10"/>
                <w:szCs w:val="10"/>
                <w:color w:val="auto"/>
              </w:rPr>
              <w:t>(8)(13)(14)</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Chemicals, Plastics and Rubber</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7.57% Cash, 3 month LIBOR(2.82%) + 4.75%;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8/24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8/10/2018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2,872,800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2,859,340</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2,859,872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Q Holding Company (fka Lexington</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B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Precision Corporation)</w:t>
            </w:r>
            <w:r>
              <w:rPr>
                <w:rFonts w:ascii="Arial" w:cs="Arial" w:eastAsia="Arial" w:hAnsi="Arial"/>
                <w:sz w:val="10"/>
                <w:szCs w:val="10"/>
                <w:color w:val="auto"/>
              </w:rPr>
              <w:t>(8)(13)(14)</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7.5% Cash, 1 month LIBOR(2.52%) + 5.00%;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Chemicals, Plastics and Rubber</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12/21</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12/16/2016</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1,979,381</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2,002,724</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1,941,773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Ravn Air Group, Inc.</w:t>
            </w:r>
            <w:r>
              <w:rPr>
                <w:rFonts w:ascii="Arial" w:cs="Arial" w:eastAsia="Arial" w:hAnsi="Arial"/>
                <w:sz w:val="10"/>
                <w:szCs w:val="10"/>
                <w:color w:val="auto"/>
              </w:rPr>
              <w:t>(8)(13)(14)</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Aerospace and Defense</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7.8% Cash, 3 month LIBOR(2.81%) + 5.00%;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7/21</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7/29/2015</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1,894,549</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1,894,549</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1,894,549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Robertshaw US Holding Corp. (fka Fox</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 xml:space="preserve">US Bidco Corp.) </w:t>
            </w:r>
            <w:r>
              <w:rPr>
                <w:rFonts w:ascii="Arial" w:cs="Arial" w:eastAsia="Arial" w:hAnsi="Arial"/>
                <w:sz w:val="10"/>
                <w:szCs w:val="10"/>
                <w:color w:val="auto"/>
              </w:rPr>
              <w:t>(8)(13</w:t>
            </w:r>
            <w:r>
              <w:rPr>
                <w:rFonts w:ascii="Arial" w:cs="Arial" w:eastAsia="Arial" w:hAnsi="Arial"/>
                <w:sz w:val="13"/>
                <w:szCs w:val="13"/>
                <w:color w:val="auto"/>
              </w:rPr>
              <w:t>)</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 10.6% Cash, 1 month LIBOR(2.56%) + 8.00%;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Capital Equipment</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2/26</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2,973,097</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2,775,000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Roscoe Medical, Inc.</w:t>
            </w:r>
            <w:r>
              <w:rPr>
                <w:rFonts w:ascii="Arial" w:cs="Arial" w:eastAsia="Arial" w:hAnsi="Arial"/>
                <w:sz w:val="10"/>
                <w:szCs w:val="10"/>
                <w:color w:val="auto"/>
              </w:rPr>
              <w:t>(8)(13)</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Healthcare &amp; Pharmaceuticals</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11.3% Cash, Due 9/19</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1,700,000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1,697,733</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1,525,750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15"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3980" w:type="dxa"/>
            <w:vAlign w:val="bottom"/>
            <w:gridSpan w:val="2"/>
          </w:tcPr>
          <w:p>
            <w:pPr>
              <w:ind w:left="1620"/>
              <w:spacing w:after="0" w:line="135" w:lineRule="exact"/>
              <w:rPr>
                <w:sz w:val="20"/>
                <w:szCs w:val="20"/>
                <w:color w:val="auto"/>
              </w:rPr>
            </w:pPr>
            <w:r>
              <w:rPr>
                <w:rFonts w:ascii="Arial" w:cs="Arial" w:eastAsia="Arial" w:hAnsi="Arial"/>
                <w:sz w:val="13"/>
                <w:szCs w:val="13"/>
                <w:b w:val="1"/>
                <w:bCs w:val="1"/>
                <w:color w:val="auto"/>
              </w:rPr>
              <w:t>Investment</w:t>
            </w: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Amortized</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4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3980" w:type="dxa"/>
            <w:vAlign w:val="bottom"/>
            <w:gridSpan w:val="2"/>
          </w:tcPr>
          <w:p>
            <w:pPr>
              <w:ind w:left="12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060" w:type="dxa"/>
            <w:vAlign w:val="bottom"/>
            <w:gridSpan w:val="2"/>
          </w:tcPr>
          <w:p>
            <w:pPr>
              <w:ind w:left="160"/>
              <w:spacing w:after="0"/>
              <w:rPr>
                <w:sz w:val="20"/>
                <w:szCs w:val="20"/>
                <w:color w:val="auto"/>
              </w:rPr>
            </w:pPr>
            <w:r>
              <w:rPr>
                <w:rFonts w:ascii="Arial" w:cs="Arial" w:eastAsia="Arial" w:hAnsi="Arial"/>
                <w:sz w:val="13"/>
                <w:szCs w:val="13"/>
                <w:b w:val="1"/>
                <w:bCs w:val="1"/>
                <w:color w:val="auto"/>
              </w:rPr>
              <w:t>Principal</w:t>
            </w: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98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Roscoe Medical, Inc.</w:t>
            </w:r>
            <w:r>
              <w:rPr>
                <w:rFonts w:ascii="Arial" w:cs="Arial" w:eastAsia="Arial" w:hAnsi="Arial"/>
                <w:sz w:val="10"/>
                <w:szCs w:val="10"/>
                <w:color w:val="auto"/>
              </w:rPr>
              <w:t>(8)(13)(14)</w:t>
            </w:r>
          </w:p>
        </w:tc>
        <w:tc>
          <w:tcPr>
            <w:tcW w:w="120" w:type="dxa"/>
            <w:vAlign w:val="bottom"/>
            <w:tcBorders>
              <w:top w:val="single" w:sz="8" w:color="CFF0FC"/>
            </w:tcBorders>
            <w:shd w:val="clear" w:color="auto" w:fill="CFF0FC"/>
          </w:tcPr>
          <w:p>
            <w:pPr>
              <w:spacing w:after="0"/>
              <w:rPr>
                <w:sz w:val="11"/>
                <w:szCs w:val="11"/>
                <w:color w:val="auto"/>
              </w:rPr>
            </w:pPr>
          </w:p>
        </w:tc>
        <w:tc>
          <w:tcPr>
            <w:tcW w:w="38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Term Loan (Second Lien)</w:t>
            </w:r>
          </w:p>
        </w:tc>
        <w:tc>
          <w:tcPr>
            <w:tcW w:w="120" w:type="dxa"/>
            <w:vAlign w:val="bottom"/>
            <w:tcBorders>
              <w:top w:val="single" w:sz="8" w:color="CFF0FC"/>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Healthcare &amp; Pharmaceuticals</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11.3% Cash, Due 9/19</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4,993,345</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4,487,500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Salient CRGT Inc.</w:t>
            </w:r>
            <w:r>
              <w:rPr>
                <w:rFonts w:ascii="Arial" w:cs="Arial" w:eastAsia="Arial" w:hAnsi="Arial"/>
                <w:sz w:val="10"/>
                <w:szCs w:val="10"/>
                <w:color w:val="auto"/>
              </w:rPr>
              <w:t>(8)(13)(14)</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HighTech Industries</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8.3% Cash, 1 month LIBOR(2.52%) + 5.75%;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2/22</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1,841,753</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1,859,440</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1,758,874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SCSG EA Acquisition Company, Inc.</w:t>
            </w:r>
            <w:r>
              <w:rPr>
                <w:rFonts w:ascii="Arial" w:cs="Arial" w:eastAsia="Arial" w:hAnsi="Arial"/>
                <w:sz w:val="10"/>
                <w:szCs w:val="10"/>
                <w:color w:val="auto"/>
              </w:rPr>
              <w:t>(8)</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Healthcare &amp; Pharmaceuticals</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 10.6% Cash, 3 month LIBOR(2.40%) + 8.25%;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9/24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991,195</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990,400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SCSG EA Acquisition Company, Inc.</w:t>
            </w:r>
            <w:r>
              <w:rPr>
                <w:rFonts w:ascii="Arial" w:cs="Arial" w:eastAsia="Arial" w:hAnsi="Arial"/>
                <w:sz w:val="10"/>
                <w:szCs w:val="10"/>
                <w:color w:val="auto"/>
              </w:rPr>
              <w:t>(8)(14)</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Healthcare &amp; Pharmaceuticals</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 10.6% Cash, 3 month LIBOR(2.40%) + 8.25%;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9/24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4,959,445</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4,952,000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Sierra Enterprises, LLC (aka Lyons</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Tranche B-1 Term Loan (First</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Magnus)</w:t>
            </w:r>
            <w:r>
              <w:rPr>
                <w:rFonts w:ascii="Arial" w:cs="Arial" w:eastAsia="Arial" w:hAnsi="Arial"/>
                <w:sz w:val="10"/>
                <w:szCs w:val="10"/>
                <w:color w:val="auto"/>
              </w:rPr>
              <w:t>(8)(13)(14)</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 6.0% Cash, 1 month LIBOR(2.52%) + 3.50%;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Beverage, Food and Tobacco</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11/24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2,970,056</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2,957,029</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2,955,206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Stafford Logistics, Inc.(dba Custom</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Restructured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Ecology, Inc.)</w:t>
            </w:r>
            <w:r>
              <w:rPr>
                <w:rFonts w:ascii="Arial" w:cs="Arial" w:eastAsia="Arial" w:hAnsi="Arial"/>
                <w:sz w:val="10"/>
                <w:szCs w:val="10"/>
                <w:color w:val="auto"/>
              </w:rPr>
              <w:t>(5)(8)(13)</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1.0% Cash, 8.3% PIK, 3 month LIBOR (2.80%)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Environmental Industries</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5.50% , Due 10/22</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6/25/2013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2,035,770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1,941,220</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560,855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Stafford Logistics, Inc.(dba Custom</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Ecology, Inc.)</w:t>
            </w:r>
            <w:r>
              <w:rPr>
                <w:rFonts w:ascii="Arial" w:cs="Arial" w:eastAsia="Arial" w:hAnsi="Arial"/>
                <w:sz w:val="10"/>
                <w:szCs w:val="10"/>
                <w:color w:val="auto"/>
              </w:rPr>
              <w:t>(8)(13)(14)</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14.8% Cash, 3 month LIBOR(2.82%) + 12.00%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Environmental Industries</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10/22</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6/25/2013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339,788</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339,788</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339,788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Tank Partners Holdings, LLC</w:t>
            </w:r>
            <w:r>
              <w:rPr>
                <w:rFonts w:ascii="Arial" w:cs="Arial" w:eastAsia="Arial" w:hAnsi="Arial"/>
                <w:sz w:val="10"/>
                <w:szCs w:val="10"/>
                <w:color w:val="auto"/>
              </w:rPr>
              <w:t>(5)(8)(13)</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Energy: Oil &amp; Gas</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3.0% Cash, 12.5% PIK, 1 month PRIME</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(5.00%)+7.5%; PRIME Floor 3.00% , Due 8/19</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8/28/2014</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15,295,083</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14,149,836</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7,398,223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Tex-Tech Industries, Inc.</w:t>
            </w:r>
            <w:r>
              <w:rPr>
                <w:rFonts w:ascii="Arial" w:cs="Arial" w:eastAsia="Arial" w:hAnsi="Arial"/>
                <w:sz w:val="10"/>
                <w:szCs w:val="10"/>
                <w:color w:val="auto"/>
              </w:rPr>
              <w:t>(8)(13)</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Textiles and Leather</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11.5% Cash, 1 month LIBOR (2.52%) + 9.00%;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8/24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8/24/2017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8,008,000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7,959,567</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7,847,840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Time Manufacturing Acquisition,</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LLC</w:t>
            </w:r>
            <w:r>
              <w:rPr>
                <w:rFonts w:ascii="Arial" w:cs="Arial" w:eastAsia="Arial" w:hAnsi="Arial"/>
                <w:sz w:val="10"/>
                <w:szCs w:val="10"/>
                <w:color w:val="auto"/>
              </w:rPr>
              <w:t>(8)(13)(14)</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7.6% Cash, 6 month LIBOR(2.63%) + 5.00%;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Capital Equipment</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2/23</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2/3/2017</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3,446,143</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3,447,715</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3,430,291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TronAir Parent Inc.</w:t>
            </w:r>
            <w:r>
              <w:rPr>
                <w:rFonts w:ascii="Arial" w:cs="Arial" w:eastAsia="Arial" w:hAnsi="Arial"/>
                <w:sz w:val="10"/>
                <w:szCs w:val="10"/>
                <w:color w:val="auto"/>
              </w:rPr>
              <w:t>(8)(13)(14)</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 (First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Aerospace and Defense</w:t>
            </w:r>
          </w:p>
        </w:tc>
        <w:tc>
          <w:tcPr>
            <w:tcW w:w="39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7.6% Cash, 6 month LIBOR(2.82%) + 4.75%;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9/23</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9/30/2016</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987,374</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985,337</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954,001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TRSO I, Inc.</w:t>
            </w:r>
            <w:r>
              <w:rPr>
                <w:rFonts w:ascii="Arial" w:cs="Arial" w:eastAsia="Arial" w:hAnsi="Arial"/>
                <w:sz w:val="10"/>
                <w:szCs w:val="10"/>
                <w:color w:val="auto"/>
              </w:rPr>
              <w:t>(8)(13)</w:t>
            </w:r>
          </w:p>
        </w:tc>
        <w:tc>
          <w:tcPr>
            <w:tcW w:w="39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Energy: Oil &amp; Gas</w:t>
            </w:r>
          </w:p>
        </w:tc>
        <w:tc>
          <w:tcPr>
            <w:tcW w:w="3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14.0% Cash, Due 12/19</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997,207</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99"/>
              </w:rPr>
              <w:t>Initial</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60" w:type="dxa"/>
            <w:vAlign w:val="bottom"/>
            <w:gridSpan w:val="2"/>
          </w:tcPr>
          <w:p>
            <w:pPr>
              <w:ind w:left="760"/>
              <w:spacing w:after="0" w:line="135" w:lineRule="exact"/>
              <w:rPr>
                <w:sz w:val="20"/>
                <w:szCs w:val="20"/>
                <w:color w:val="auto"/>
              </w:rPr>
            </w:pPr>
            <w:r>
              <w:rPr>
                <w:rFonts w:ascii="Arial" w:cs="Arial" w:eastAsia="Arial" w:hAnsi="Arial"/>
                <w:sz w:val="13"/>
                <w:szCs w:val="13"/>
                <w:b w:val="1"/>
                <w:bCs w:val="1"/>
                <w:color w:val="auto"/>
              </w:rPr>
              <w:t>Investment</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4"/>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Amortized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4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ind w:left="34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92"/>
              </w:rPr>
              <w:t>Date</w:t>
            </w:r>
          </w:p>
        </w:tc>
        <w:tc>
          <w:tcPr>
            <w:tcW w:w="720" w:type="dxa"/>
            <w:vAlign w:val="bottom"/>
            <w:gridSpan w:val="3"/>
          </w:tcPr>
          <w:p>
            <w:pPr>
              <w:jc w:val="right"/>
              <w:ind w:right="117"/>
              <w:spacing w:after="0"/>
              <w:rPr>
                <w:sz w:val="20"/>
                <w:szCs w:val="20"/>
                <w:color w:val="auto"/>
              </w:rPr>
            </w:pPr>
            <w:r>
              <w:rPr>
                <w:rFonts w:ascii="Arial" w:cs="Arial" w:eastAsia="Arial" w:hAnsi="Arial"/>
                <w:sz w:val="13"/>
                <w:szCs w:val="13"/>
                <w:b w:val="1"/>
                <w:bCs w:val="1"/>
                <w:color w:val="auto"/>
                <w:w w:val="94"/>
              </w:rPr>
              <w:t>Principal</w:t>
            </w:r>
          </w:p>
        </w:tc>
        <w:tc>
          <w:tcPr>
            <w:tcW w:w="220" w:type="dxa"/>
            <w:vAlign w:val="bottom"/>
          </w:tcPr>
          <w:p>
            <w:pPr>
              <w:spacing w:after="0"/>
              <w:rPr>
                <w:sz w:val="13"/>
                <w:szCs w:val="13"/>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Verdesian Life Sciences, LLC</w:t>
            </w:r>
            <w:r>
              <w:rPr>
                <w:rFonts w:ascii="Arial" w:cs="Arial" w:eastAsia="Arial" w:hAnsi="Arial"/>
                <w:sz w:val="10"/>
                <w:szCs w:val="10"/>
                <w:color w:val="auto"/>
              </w:rPr>
              <w:t>(8)(13)(14)</w:t>
            </w:r>
          </w:p>
        </w:tc>
        <w:tc>
          <w:tcPr>
            <w:tcW w:w="120" w:type="dxa"/>
            <w:vAlign w:val="bottom"/>
            <w:tcBorders>
              <w:top w:val="single" w:sz="8" w:color="CFF0FC"/>
            </w:tcBorders>
            <w:shd w:val="clear" w:color="auto" w:fill="CFF0FC"/>
          </w:tcPr>
          <w:p>
            <w:pPr>
              <w:spacing w:after="0"/>
              <w:rPr>
                <w:sz w:val="11"/>
                <w:szCs w:val="11"/>
                <w:color w:val="auto"/>
              </w:rPr>
            </w:pPr>
          </w:p>
        </w:tc>
        <w:tc>
          <w:tcPr>
            <w:tcW w:w="2820" w:type="dxa"/>
            <w:vAlign w:val="bottom"/>
            <w:tcBorders>
              <w:top w:val="single" w:sz="8" w:color="auto"/>
            </w:tcBorders>
            <w:gridSpan w:val="4"/>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Initial Term Loan</w:t>
            </w:r>
          </w:p>
        </w:tc>
        <w:tc>
          <w:tcPr>
            <w:tcW w:w="10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Environmental Industries</w:t>
            </w:r>
          </w:p>
        </w:tc>
        <w:tc>
          <w:tcPr>
            <w:tcW w:w="2820" w:type="dxa"/>
            <w:vAlign w:val="bottom"/>
            <w:gridSpan w:val="4"/>
            <w:shd w:val="clear" w:color="auto" w:fill="CFF0FC"/>
          </w:tcPr>
          <w:p>
            <w:pPr>
              <w:spacing w:after="0" w:line="135" w:lineRule="exact"/>
              <w:rPr>
                <w:sz w:val="20"/>
                <w:szCs w:val="20"/>
                <w:color w:val="auto"/>
              </w:rPr>
            </w:pPr>
            <w:r>
              <w:rPr>
                <w:rFonts w:ascii="Arial" w:cs="Arial" w:eastAsia="Arial" w:hAnsi="Arial"/>
                <w:sz w:val="13"/>
                <w:szCs w:val="13"/>
                <w:color w:val="auto"/>
              </w:rPr>
              <w:t>7.5% Cash, 1 month LIBOR(2.53%) + 5.00%;</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20" w:type="dxa"/>
            <w:vAlign w:val="bottom"/>
            <w:gridSpan w:val="4"/>
            <w:shd w:val="clear" w:color="auto" w:fill="CFF0FC"/>
          </w:tcPr>
          <w:p>
            <w:pPr>
              <w:spacing w:after="0"/>
              <w:rPr>
                <w:sz w:val="20"/>
                <w:szCs w:val="20"/>
                <w:color w:val="auto"/>
              </w:rPr>
            </w:pPr>
            <w:r>
              <w:rPr>
                <w:rFonts w:ascii="Arial" w:cs="Arial" w:eastAsia="Arial" w:hAnsi="Arial"/>
                <w:sz w:val="13"/>
                <w:szCs w:val="13"/>
                <w:color w:val="auto"/>
              </w:rPr>
              <w:t>LIBOR Floor 1.00% , Due 7/20</w:t>
            </w: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6/25/2014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2,075,305</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2,033,378</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1,993,123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Weiman Products, LLC</w:t>
            </w:r>
            <w:r>
              <w:rPr>
                <w:rFonts w:ascii="Arial" w:cs="Arial" w:eastAsia="Arial" w:hAnsi="Arial"/>
                <w:sz w:val="10"/>
                <w:szCs w:val="10"/>
                <w:color w:val="auto"/>
              </w:rPr>
              <w:t>(8)(13)(14)</w:t>
            </w:r>
          </w:p>
        </w:tc>
        <w:tc>
          <w:tcPr>
            <w:tcW w:w="2820" w:type="dxa"/>
            <w:vAlign w:val="bottom"/>
            <w:gridSpan w:val="4"/>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Consumer goods: Non-durable</w:t>
            </w:r>
          </w:p>
        </w:tc>
        <w:tc>
          <w:tcPr>
            <w:tcW w:w="2820" w:type="dxa"/>
            <w:vAlign w:val="bottom"/>
            <w:gridSpan w:val="4"/>
            <w:shd w:val="clear" w:color="auto" w:fill="CFF0FC"/>
          </w:tcPr>
          <w:p>
            <w:pPr>
              <w:spacing w:after="0" w:line="135" w:lineRule="exact"/>
              <w:rPr>
                <w:sz w:val="20"/>
                <w:szCs w:val="20"/>
                <w:color w:val="auto"/>
              </w:rPr>
            </w:pPr>
            <w:r>
              <w:rPr>
                <w:rFonts w:ascii="Arial" w:cs="Arial" w:eastAsia="Arial" w:hAnsi="Arial"/>
                <w:sz w:val="13"/>
                <w:szCs w:val="13"/>
                <w:color w:val="auto"/>
              </w:rPr>
              <w:t>7.3% Cash, 3 month LIBOR(2.80%) + 4.50%;</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20" w:type="dxa"/>
            <w:vAlign w:val="bottom"/>
            <w:gridSpan w:val="4"/>
            <w:shd w:val="clear" w:color="auto" w:fill="CFF0FC"/>
          </w:tcPr>
          <w:p>
            <w:pPr>
              <w:spacing w:after="0"/>
              <w:rPr>
                <w:sz w:val="20"/>
                <w:szCs w:val="20"/>
                <w:color w:val="auto"/>
              </w:rPr>
            </w:pPr>
            <w:r>
              <w:rPr>
                <w:rFonts w:ascii="Arial" w:cs="Arial" w:eastAsia="Arial" w:hAnsi="Arial"/>
                <w:sz w:val="13"/>
                <w:szCs w:val="13"/>
                <w:color w:val="auto"/>
              </w:rPr>
              <w:t>LIBOR Floor 1.00% , Due 11/21</w:t>
            </w: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11/22/2013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1,440,525</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1,434,568</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1,440,525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WireCo WorldGroup Inc. </w:t>
            </w:r>
            <w:r>
              <w:rPr>
                <w:rFonts w:ascii="Arial" w:cs="Arial" w:eastAsia="Arial" w:hAnsi="Arial"/>
                <w:sz w:val="10"/>
                <w:szCs w:val="10"/>
                <w:color w:val="auto"/>
              </w:rPr>
              <w:t>(8)(13)</w:t>
            </w:r>
          </w:p>
        </w:tc>
        <w:tc>
          <w:tcPr>
            <w:tcW w:w="2820" w:type="dxa"/>
            <w:vAlign w:val="bottom"/>
            <w:gridSpan w:val="4"/>
            <w:shd w:val="clear" w:color="auto" w:fill="CFF0FC"/>
          </w:tcPr>
          <w:p>
            <w:pPr>
              <w:spacing w:after="0" w:line="134" w:lineRule="exact"/>
              <w:rPr>
                <w:sz w:val="20"/>
                <w:szCs w:val="20"/>
                <w:color w:val="auto"/>
              </w:rPr>
            </w:pPr>
            <w:r>
              <w:rPr>
                <w:rFonts w:ascii="Arial" w:cs="Arial" w:eastAsia="Arial" w:hAnsi="Arial"/>
                <w:sz w:val="13"/>
                <w:szCs w:val="13"/>
                <w:color w:val="auto"/>
                <w:w w:val="96"/>
              </w:rPr>
              <w:t>Junior Secured Loan — Initial Term Loan (Second</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Capital Equipment</w:t>
            </w:r>
          </w:p>
        </w:tc>
        <w:tc>
          <w:tcPr>
            <w:tcW w:w="2820" w:type="dxa"/>
            <w:vAlign w:val="bottom"/>
            <w:gridSpan w:val="4"/>
            <w:shd w:val="clear" w:color="auto" w:fill="CFF0FC"/>
          </w:tcPr>
          <w:p>
            <w:pPr>
              <w:spacing w:after="0" w:line="135" w:lineRule="exact"/>
              <w:rPr>
                <w:sz w:val="20"/>
                <w:szCs w:val="20"/>
                <w:color w:val="auto"/>
              </w:rPr>
            </w:pPr>
            <w:r>
              <w:rPr>
                <w:rFonts w:ascii="Arial" w:cs="Arial" w:eastAsia="Arial" w:hAnsi="Arial"/>
                <w:sz w:val="13"/>
                <w:szCs w:val="13"/>
                <w:color w:val="auto"/>
                <w:w w:val="93"/>
              </w:rPr>
              <w:t>Lien) 11.5% Cash, 1 month LIBOR(2.52%) + 9.00%;</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20" w:type="dxa"/>
            <w:vAlign w:val="bottom"/>
            <w:gridSpan w:val="4"/>
            <w:shd w:val="clear" w:color="auto" w:fill="CFF0FC"/>
          </w:tcPr>
          <w:p>
            <w:pPr>
              <w:spacing w:after="0"/>
              <w:rPr>
                <w:sz w:val="20"/>
                <w:szCs w:val="20"/>
                <w:color w:val="auto"/>
              </w:rPr>
            </w:pPr>
            <w:r>
              <w:rPr>
                <w:rFonts w:ascii="Arial" w:cs="Arial" w:eastAsia="Arial" w:hAnsi="Arial"/>
                <w:sz w:val="13"/>
                <w:szCs w:val="13"/>
                <w:color w:val="auto"/>
              </w:rPr>
              <w:t>LIBOR Floor 1.00% , Due 9/24</w:t>
            </w: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8/9/2016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2,967,619</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2,957,100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Zest Acquisition Corp.</w:t>
            </w:r>
            <w:r>
              <w:rPr>
                <w:rFonts w:ascii="Arial" w:cs="Arial" w:eastAsia="Arial" w:hAnsi="Arial"/>
                <w:sz w:val="10"/>
                <w:szCs w:val="10"/>
                <w:color w:val="auto"/>
              </w:rPr>
              <w:t>(8)(13)</w:t>
            </w:r>
          </w:p>
        </w:tc>
        <w:tc>
          <w:tcPr>
            <w:tcW w:w="2820" w:type="dxa"/>
            <w:vAlign w:val="bottom"/>
            <w:gridSpan w:val="4"/>
            <w:shd w:val="clear" w:color="auto" w:fill="CFF0FC"/>
          </w:tcPr>
          <w:p>
            <w:pPr>
              <w:spacing w:after="0" w:line="134" w:lineRule="exact"/>
              <w:rPr>
                <w:sz w:val="20"/>
                <w:szCs w:val="20"/>
                <w:color w:val="auto"/>
              </w:rPr>
            </w:pPr>
            <w:r>
              <w:rPr>
                <w:rFonts w:ascii="Arial" w:cs="Arial" w:eastAsia="Arial" w:hAnsi="Arial"/>
                <w:sz w:val="13"/>
                <w:szCs w:val="13"/>
                <w:color w:val="auto"/>
                <w:w w:val="96"/>
              </w:rPr>
              <w:t>Junior Secured Loan — Initial Term Loan (Second</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Healthcare &amp; Pharmaceuticals</w:t>
            </w:r>
          </w:p>
        </w:tc>
        <w:tc>
          <w:tcPr>
            <w:tcW w:w="2820" w:type="dxa"/>
            <w:vAlign w:val="bottom"/>
            <w:gridSpan w:val="4"/>
            <w:shd w:val="clear" w:color="auto" w:fill="CFF0FC"/>
          </w:tcPr>
          <w:p>
            <w:pPr>
              <w:spacing w:after="0" w:line="135" w:lineRule="exact"/>
              <w:rPr>
                <w:sz w:val="20"/>
                <w:szCs w:val="20"/>
                <w:color w:val="auto"/>
              </w:rPr>
            </w:pPr>
            <w:r>
              <w:rPr>
                <w:rFonts w:ascii="Arial" w:cs="Arial" w:eastAsia="Arial" w:hAnsi="Arial"/>
                <w:sz w:val="13"/>
                <w:szCs w:val="13"/>
                <w:color w:val="auto"/>
                <w:w w:val="93"/>
              </w:rPr>
              <w:t>Lien) 10.0% Cash, 1 month LIBOR(2.45%) + 7.50%;</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20" w:type="dxa"/>
            <w:vAlign w:val="bottom"/>
            <w:gridSpan w:val="4"/>
            <w:shd w:val="clear" w:color="auto" w:fill="CFF0FC"/>
          </w:tcPr>
          <w:p>
            <w:pPr>
              <w:spacing w:after="0"/>
              <w:rPr>
                <w:sz w:val="20"/>
                <w:szCs w:val="20"/>
                <w:color w:val="auto"/>
              </w:rPr>
            </w:pPr>
            <w:r>
              <w:rPr>
                <w:rFonts w:ascii="Arial" w:cs="Arial" w:eastAsia="Arial" w:hAnsi="Arial"/>
                <w:sz w:val="13"/>
                <w:szCs w:val="13"/>
                <w:color w:val="auto"/>
              </w:rPr>
              <w:t>LIBOR Floor 1.00% , Due 3/26</w:t>
            </w: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3/8/2018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3,500,000</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3,479,741</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3,430,000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(94% of net asset value at fair value)</w:t>
            </w: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5"/>
            <w:shd w:val="clear" w:color="auto" w:fill="CFF0FC"/>
          </w:tcPr>
          <w:p>
            <w:pPr>
              <w:ind w:left="1080"/>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3"/>
                <w:szCs w:val="13"/>
                <w:b w:val="1"/>
                <w:bCs w:val="1"/>
                <w:color w:val="auto"/>
                <w:w w:val="94"/>
              </w:rPr>
              <w:t>164,541,812</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3"/>
                <w:szCs w:val="13"/>
                <w:b w:val="1"/>
                <w:bCs w:val="1"/>
                <w:color w:val="auto"/>
              </w:rPr>
              <w:t>$  162,264,482</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   147,861,744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Equity Securities Portfolio</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Initial</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2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4"/>
              </w:rPr>
              <w:t>Acquisition</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tcPr>
          <w:p>
            <w:pPr>
              <w:jc w:val="center"/>
              <w:ind w:left="37"/>
              <w:spacing w:after="0" w:line="135" w:lineRule="exact"/>
              <w:rPr>
                <w:sz w:val="20"/>
                <w:szCs w:val="20"/>
                <w:color w:val="auto"/>
              </w:rPr>
            </w:pPr>
            <w:r>
              <w:rPr>
                <w:rFonts w:ascii="Arial" w:cs="Arial" w:eastAsia="Arial" w:hAnsi="Arial"/>
                <w:sz w:val="13"/>
                <w:szCs w:val="13"/>
                <w:b w:val="1"/>
                <w:bCs w:val="1"/>
                <w:color w:val="auto"/>
                <w:w w:val="85"/>
              </w:rPr>
              <w:t>Percentage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4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ind w:left="54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Date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87"/>
              </w:rPr>
              <w:t>Ownership/Shares</w:t>
            </w:r>
          </w:p>
        </w:tc>
        <w:tc>
          <w:tcPr>
            <w:tcW w:w="320" w:type="dxa"/>
            <w:vAlign w:val="bottom"/>
          </w:tcPr>
          <w:p>
            <w:pPr>
              <w:spacing w:after="0"/>
              <w:rPr>
                <w:sz w:val="13"/>
                <w:szCs w:val="13"/>
                <w:color w:val="auto"/>
              </w:rPr>
            </w:pPr>
          </w:p>
        </w:tc>
        <w:tc>
          <w:tcPr>
            <w:tcW w:w="1060" w:type="dxa"/>
            <w:vAlign w:val="bottom"/>
            <w:gridSpan w:val="3"/>
          </w:tcPr>
          <w:p>
            <w:pPr>
              <w:jc w:val="right"/>
              <w:ind w:right="70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22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w:t>
            </w:r>
          </w:p>
        </w:tc>
        <w:tc>
          <w:tcPr>
            <w:tcW w:w="7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8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Consumer goods: Durable</w:t>
            </w: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Warrants</w:t>
            </w:r>
          </w:p>
        </w:tc>
        <w:tc>
          <w:tcPr>
            <w:tcW w:w="1040" w:type="dxa"/>
            <w:vAlign w:val="bottom"/>
            <w:shd w:val="clear" w:color="auto" w:fill="CFF0FC"/>
          </w:tcPr>
          <w:p>
            <w:pPr>
              <w:jc w:val="center"/>
              <w:ind w:left="97"/>
              <w:spacing w:after="0"/>
              <w:rPr>
                <w:sz w:val="20"/>
                <w:szCs w:val="20"/>
                <w:color w:val="auto"/>
              </w:rPr>
            </w:pPr>
            <w:r>
              <w:rPr>
                <w:rFonts w:ascii="Arial" w:cs="Arial" w:eastAsia="Arial" w:hAnsi="Arial"/>
                <w:sz w:val="13"/>
                <w:szCs w:val="13"/>
                <w:color w:val="auto"/>
                <w:w w:val="89"/>
              </w:rPr>
              <w:t>6/13/2012</w:t>
            </w:r>
          </w:p>
        </w:tc>
        <w:tc>
          <w:tcPr>
            <w:tcW w:w="120" w:type="dxa"/>
            <w:vAlign w:val="bottom"/>
            <w:shd w:val="clear" w:color="auto" w:fill="CFF0FC"/>
          </w:tcPr>
          <w:p>
            <w:pPr>
              <w:spacing w:after="0"/>
              <w:rPr>
                <w:sz w:val="12"/>
                <w:szCs w:val="12"/>
                <w:color w:val="auto"/>
              </w:rPr>
            </w:pPr>
          </w:p>
        </w:tc>
        <w:tc>
          <w:tcPr>
            <w:tcW w:w="1600" w:type="dxa"/>
            <w:vAlign w:val="bottom"/>
            <w:gridSpan w:val="7"/>
            <w:shd w:val="clear" w:color="auto" w:fill="CFF0FC"/>
          </w:tcPr>
          <w:p>
            <w:pPr>
              <w:ind w:left="1080"/>
              <w:spacing w:after="0"/>
              <w:rPr>
                <w:sz w:val="20"/>
                <w:szCs w:val="20"/>
                <w:color w:val="auto"/>
              </w:rPr>
            </w:pPr>
            <w:r>
              <w:rPr>
                <w:rFonts w:ascii="Arial" w:cs="Arial" w:eastAsia="Arial" w:hAnsi="Arial"/>
                <w:sz w:val="13"/>
                <w:szCs w:val="13"/>
                <w:color w:val="auto"/>
              </w:rPr>
              <w:t>1.90%</w:t>
            </w:r>
          </w:p>
        </w:tc>
        <w:tc>
          <w:tcPr>
            <w:tcW w:w="32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FF0FC"/>
          </w:tcPr>
          <w:p>
            <w:pPr>
              <w:jc w:val="right"/>
              <w:ind w:right="100"/>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w:t>
            </w: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Consumer goods: Durable</w:t>
            </w: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Membership Interests</w:t>
            </w:r>
          </w:p>
        </w:tc>
        <w:tc>
          <w:tcPr>
            <w:tcW w:w="1040" w:type="dxa"/>
            <w:vAlign w:val="bottom"/>
            <w:shd w:val="clear" w:color="auto" w:fill="CFF0FC"/>
          </w:tcPr>
          <w:p>
            <w:pPr>
              <w:jc w:val="center"/>
              <w:ind w:left="97"/>
              <w:spacing w:after="0"/>
              <w:rPr>
                <w:sz w:val="20"/>
                <w:szCs w:val="20"/>
                <w:color w:val="auto"/>
              </w:rPr>
            </w:pPr>
            <w:r>
              <w:rPr>
                <w:rFonts w:ascii="Arial" w:cs="Arial" w:eastAsia="Arial" w:hAnsi="Arial"/>
                <w:sz w:val="13"/>
                <w:szCs w:val="13"/>
                <w:color w:val="auto"/>
                <w:w w:val="89"/>
              </w:rPr>
              <w:t>6/13/2012</w:t>
            </w:r>
          </w:p>
        </w:tc>
        <w:tc>
          <w:tcPr>
            <w:tcW w:w="120" w:type="dxa"/>
            <w:vAlign w:val="bottom"/>
            <w:shd w:val="clear" w:color="auto" w:fill="CFF0FC"/>
          </w:tcPr>
          <w:p>
            <w:pPr>
              <w:spacing w:after="0"/>
              <w:rPr>
                <w:sz w:val="12"/>
                <w:szCs w:val="12"/>
                <w:color w:val="auto"/>
              </w:rPr>
            </w:pPr>
          </w:p>
        </w:tc>
        <w:tc>
          <w:tcPr>
            <w:tcW w:w="1600" w:type="dxa"/>
            <w:vAlign w:val="bottom"/>
            <w:gridSpan w:val="7"/>
            <w:shd w:val="clear" w:color="auto" w:fill="CFF0FC"/>
          </w:tcPr>
          <w:p>
            <w:pPr>
              <w:ind w:left="1080"/>
              <w:spacing w:after="0"/>
              <w:rPr>
                <w:sz w:val="20"/>
                <w:szCs w:val="20"/>
                <w:color w:val="auto"/>
              </w:rPr>
            </w:pPr>
            <w:r>
              <w:rPr>
                <w:rFonts w:ascii="Arial" w:cs="Arial" w:eastAsia="Arial" w:hAnsi="Arial"/>
                <w:sz w:val="13"/>
                <w:szCs w:val="13"/>
                <w:color w:val="auto"/>
              </w:rPr>
              <w:t>0.40%</w:t>
            </w:r>
          </w:p>
        </w:tc>
        <w:tc>
          <w:tcPr>
            <w:tcW w:w="3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181,999</w:t>
            </w: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Aerostructures Holdings L.P.</w:t>
            </w:r>
            <w:r>
              <w:rPr>
                <w:rFonts w:ascii="Arial" w:cs="Arial" w:eastAsia="Arial" w:hAnsi="Arial"/>
                <w:sz w:val="10"/>
                <w:szCs w:val="10"/>
                <w:color w:val="auto"/>
              </w:rPr>
              <w:t>(8)(13)</w:t>
            </w: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Aerospace and Defense</w:t>
            </w: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Partnership Interests</w:t>
            </w:r>
          </w:p>
        </w:tc>
        <w:tc>
          <w:tcPr>
            <w:tcW w:w="1040" w:type="dxa"/>
            <w:vAlign w:val="bottom"/>
            <w:shd w:val="clear" w:color="auto" w:fill="CFF0FC"/>
          </w:tcPr>
          <w:p>
            <w:pPr>
              <w:jc w:val="center"/>
              <w:ind w:left="97"/>
              <w:spacing w:after="0"/>
              <w:rPr>
                <w:sz w:val="20"/>
                <w:szCs w:val="20"/>
                <w:color w:val="auto"/>
              </w:rPr>
            </w:pPr>
            <w:r>
              <w:rPr>
                <w:rFonts w:ascii="Arial" w:cs="Arial" w:eastAsia="Arial" w:hAnsi="Arial"/>
                <w:sz w:val="13"/>
                <w:szCs w:val="13"/>
                <w:color w:val="auto"/>
                <w:w w:val="89"/>
              </w:rPr>
              <w:t>2/28/2007</w:t>
            </w:r>
          </w:p>
        </w:tc>
        <w:tc>
          <w:tcPr>
            <w:tcW w:w="120" w:type="dxa"/>
            <w:vAlign w:val="bottom"/>
            <w:shd w:val="clear" w:color="auto" w:fill="CFF0FC"/>
          </w:tcPr>
          <w:p>
            <w:pPr>
              <w:spacing w:after="0"/>
              <w:rPr>
                <w:sz w:val="12"/>
                <w:szCs w:val="12"/>
                <w:color w:val="auto"/>
              </w:rPr>
            </w:pPr>
          </w:p>
        </w:tc>
        <w:tc>
          <w:tcPr>
            <w:tcW w:w="1600" w:type="dxa"/>
            <w:vAlign w:val="bottom"/>
            <w:gridSpan w:val="7"/>
            <w:shd w:val="clear" w:color="auto" w:fill="CFF0FC"/>
          </w:tcPr>
          <w:p>
            <w:pPr>
              <w:ind w:left="1080"/>
              <w:spacing w:after="0"/>
              <w:rPr>
                <w:sz w:val="20"/>
                <w:szCs w:val="20"/>
                <w:color w:val="auto"/>
              </w:rPr>
            </w:pPr>
            <w:r>
              <w:rPr>
                <w:rFonts w:ascii="Arial" w:cs="Arial" w:eastAsia="Arial" w:hAnsi="Arial"/>
                <w:sz w:val="13"/>
                <w:szCs w:val="13"/>
                <w:color w:val="auto"/>
              </w:rPr>
              <w:t>1.16%</w:t>
            </w:r>
          </w:p>
        </w:tc>
        <w:tc>
          <w:tcPr>
            <w:tcW w:w="3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157,717</w:t>
            </w: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Caribe Media Inc. (fka Caribe Information Investments</w:t>
            </w: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Incorporated)</w:t>
            </w:r>
            <w:r>
              <w:rPr>
                <w:rFonts w:ascii="Arial" w:cs="Arial" w:eastAsia="Arial" w:hAnsi="Arial"/>
                <w:sz w:val="10"/>
                <w:szCs w:val="10"/>
                <w:color w:val="auto"/>
              </w:rPr>
              <w:t>(8)(13)</w:t>
            </w: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Media: Advertising, Printing &amp; Publishing</w:t>
            </w: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Common</w:t>
            </w:r>
          </w:p>
        </w:tc>
        <w:tc>
          <w:tcPr>
            <w:tcW w:w="1040" w:type="dxa"/>
            <w:vAlign w:val="bottom"/>
            <w:shd w:val="clear" w:color="auto" w:fill="CFF0FC"/>
          </w:tcPr>
          <w:p>
            <w:pPr>
              <w:jc w:val="center"/>
              <w:ind w:left="97"/>
              <w:spacing w:after="0"/>
              <w:rPr>
                <w:sz w:val="20"/>
                <w:szCs w:val="20"/>
                <w:color w:val="auto"/>
              </w:rPr>
            </w:pPr>
            <w:r>
              <w:rPr>
                <w:rFonts w:ascii="Arial" w:cs="Arial" w:eastAsia="Arial" w:hAnsi="Arial"/>
                <w:sz w:val="13"/>
                <w:szCs w:val="13"/>
                <w:color w:val="auto"/>
                <w:w w:val="86"/>
              </w:rPr>
              <w:t>12/18/2006</w:t>
            </w:r>
          </w:p>
        </w:tc>
        <w:tc>
          <w:tcPr>
            <w:tcW w:w="120" w:type="dxa"/>
            <w:vAlign w:val="bottom"/>
            <w:shd w:val="clear" w:color="auto" w:fill="CFF0FC"/>
          </w:tcPr>
          <w:p>
            <w:pPr>
              <w:spacing w:after="0"/>
              <w:rPr>
                <w:sz w:val="12"/>
                <w:szCs w:val="12"/>
                <w:color w:val="auto"/>
              </w:rPr>
            </w:pPr>
          </w:p>
        </w:tc>
        <w:tc>
          <w:tcPr>
            <w:tcW w:w="1600" w:type="dxa"/>
            <w:vAlign w:val="bottom"/>
            <w:gridSpan w:val="7"/>
            <w:shd w:val="clear" w:color="auto" w:fill="CFF0FC"/>
          </w:tcPr>
          <w:p>
            <w:pPr>
              <w:ind w:left="1080"/>
              <w:spacing w:after="0"/>
              <w:rPr>
                <w:sz w:val="20"/>
                <w:szCs w:val="20"/>
                <w:color w:val="auto"/>
              </w:rPr>
            </w:pPr>
            <w:r>
              <w:rPr>
                <w:rFonts w:ascii="Arial" w:cs="Arial" w:eastAsia="Arial" w:hAnsi="Arial"/>
                <w:sz w:val="13"/>
                <w:szCs w:val="13"/>
                <w:color w:val="auto"/>
              </w:rPr>
              <w:t>1.17%</w:t>
            </w:r>
          </w:p>
        </w:tc>
        <w:tc>
          <w:tcPr>
            <w:tcW w:w="3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359,765</w:t>
            </w: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108,675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eInstruction Acquisition, LLC</w:t>
            </w:r>
            <w:r>
              <w:rPr>
                <w:rFonts w:ascii="Arial" w:cs="Arial" w:eastAsia="Arial" w:hAnsi="Arial"/>
                <w:sz w:val="10"/>
                <w:szCs w:val="10"/>
                <w:color w:val="auto"/>
              </w:rPr>
              <w:t>(3)(13)</w:t>
            </w: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Services: Business</w:t>
            </w: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Membership Units</w:t>
            </w:r>
          </w:p>
        </w:tc>
        <w:tc>
          <w:tcPr>
            <w:tcW w:w="1040" w:type="dxa"/>
            <w:vAlign w:val="bottom"/>
            <w:shd w:val="clear" w:color="auto" w:fill="CFF0FC"/>
          </w:tcPr>
          <w:p>
            <w:pPr>
              <w:jc w:val="center"/>
              <w:ind w:left="97"/>
              <w:spacing w:after="0"/>
              <w:rPr>
                <w:sz w:val="20"/>
                <w:szCs w:val="20"/>
                <w:color w:val="auto"/>
              </w:rPr>
            </w:pPr>
            <w:r>
              <w:rPr>
                <w:rFonts w:ascii="Arial" w:cs="Arial" w:eastAsia="Arial" w:hAnsi="Arial"/>
                <w:sz w:val="13"/>
                <w:szCs w:val="13"/>
                <w:color w:val="auto"/>
                <w:w w:val="86"/>
              </w:rPr>
              <w:t>7/2/2007</w:t>
            </w:r>
          </w:p>
        </w:tc>
        <w:tc>
          <w:tcPr>
            <w:tcW w:w="120" w:type="dxa"/>
            <w:vAlign w:val="bottom"/>
            <w:shd w:val="clear" w:color="auto" w:fill="CFF0FC"/>
          </w:tcPr>
          <w:p>
            <w:pPr>
              <w:spacing w:after="0"/>
              <w:rPr>
                <w:sz w:val="12"/>
                <w:szCs w:val="12"/>
                <w:color w:val="auto"/>
              </w:rPr>
            </w:pPr>
          </w:p>
        </w:tc>
        <w:tc>
          <w:tcPr>
            <w:tcW w:w="1600" w:type="dxa"/>
            <w:vAlign w:val="bottom"/>
            <w:gridSpan w:val="7"/>
            <w:shd w:val="clear" w:color="auto" w:fill="CFF0FC"/>
          </w:tcPr>
          <w:p>
            <w:pPr>
              <w:ind w:left="1080"/>
              <w:spacing w:after="0"/>
              <w:rPr>
                <w:sz w:val="20"/>
                <w:szCs w:val="20"/>
                <w:color w:val="auto"/>
              </w:rPr>
            </w:pPr>
            <w:r>
              <w:rPr>
                <w:rFonts w:ascii="Arial" w:cs="Arial" w:eastAsia="Arial" w:hAnsi="Arial"/>
                <w:sz w:val="13"/>
                <w:szCs w:val="13"/>
                <w:color w:val="auto"/>
              </w:rPr>
              <w:t>1.10%</w:t>
            </w:r>
          </w:p>
        </w:tc>
        <w:tc>
          <w:tcPr>
            <w:tcW w:w="3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1,079,617</w:t>
            </w: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FP WRCA Coinvestment Fund VII, Ltd.</w:t>
            </w:r>
            <w:r>
              <w:rPr>
                <w:rFonts w:ascii="Arial" w:cs="Arial" w:eastAsia="Arial" w:hAnsi="Arial"/>
                <w:sz w:val="10"/>
                <w:szCs w:val="10"/>
                <w:color w:val="auto"/>
              </w:rPr>
              <w:t>(13)</w:t>
            </w: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Capital Equipment</w:t>
            </w: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Class A Shares</w:t>
            </w:r>
          </w:p>
        </w:tc>
        <w:tc>
          <w:tcPr>
            <w:tcW w:w="1040" w:type="dxa"/>
            <w:vAlign w:val="bottom"/>
            <w:shd w:val="clear" w:color="auto" w:fill="CFF0FC"/>
          </w:tcPr>
          <w:p>
            <w:pPr>
              <w:jc w:val="center"/>
              <w:ind w:left="97"/>
              <w:spacing w:after="0"/>
              <w:rPr>
                <w:sz w:val="20"/>
                <w:szCs w:val="20"/>
                <w:color w:val="auto"/>
              </w:rPr>
            </w:pPr>
            <w:r>
              <w:rPr>
                <w:rFonts w:ascii="Arial" w:cs="Arial" w:eastAsia="Arial" w:hAnsi="Arial"/>
                <w:sz w:val="13"/>
                <w:szCs w:val="13"/>
                <w:color w:val="auto"/>
                <w:w w:val="86"/>
              </w:rPr>
              <w:t>2/2/2007</w:t>
            </w:r>
          </w:p>
        </w:tc>
        <w:tc>
          <w:tcPr>
            <w:tcW w:w="120" w:type="dxa"/>
            <w:vAlign w:val="bottom"/>
            <w:shd w:val="clear" w:color="auto" w:fill="CFF0FC"/>
          </w:tcPr>
          <w:p>
            <w:pPr>
              <w:spacing w:after="0"/>
              <w:rPr>
                <w:sz w:val="12"/>
                <w:szCs w:val="12"/>
                <w:color w:val="auto"/>
              </w:rPr>
            </w:pPr>
          </w:p>
        </w:tc>
        <w:tc>
          <w:tcPr>
            <w:tcW w:w="1600" w:type="dxa"/>
            <w:vAlign w:val="bottom"/>
            <w:gridSpan w:val="7"/>
            <w:shd w:val="clear" w:color="auto" w:fill="CFF0FC"/>
          </w:tcPr>
          <w:p>
            <w:pPr>
              <w:ind w:left="1080"/>
              <w:spacing w:after="0"/>
              <w:rPr>
                <w:sz w:val="20"/>
                <w:szCs w:val="20"/>
                <w:color w:val="auto"/>
              </w:rPr>
            </w:pPr>
            <w:r>
              <w:rPr>
                <w:rFonts w:ascii="Arial" w:cs="Arial" w:eastAsia="Arial" w:hAnsi="Arial"/>
                <w:sz w:val="13"/>
                <w:szCs w:val="13"/>
                <w:color w:val="auto"/>
              </w:rPr>
              <w:t>0.41%</w:t>
            </w:r>
          </w:p>
        </w:tc>
        <w:tc>
          <w:tcPr>
            <w:tcW w:w="3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669,000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New Millennium Holdco, Inc. (Millennium Health,</w:t>
            </w: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LLC)</w:t>
            </w:r>
            <w:r>
              <w:rPr>
                <w:rFonts w:ascii="Arial" w:cs="Arial" w:eastAsia="Arial" w:hAnsi="Arial"/>
                <w:sz w:val="10"/>
                <w:szCs w:val="10"/>
                <w:color w:val="auto"/>
              </w:rPr>
              <w:t>(13)</w:t>
            </w: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Healthcare &amp; Pharmaceuticals</w:t>
            </w: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Common</w:t>
            </w:r>
          </w:p>
        </w:tc>
        <w:tc>
          <w:tcPr>
            <w:tcW w:w="1040" w:type="dxa"/>
            <w:vAlign w:val="bottom"/>
            <w:shd w:val="clear" w:color="auto" w:fill="CFF0FC"/>
          </w:tcPr>
          <w:p>
            <w:pPr>
              <w:jc w:val="center"/>
              <w:ind w:left="97"/>
              <w:spacing w:after="0"/>
              <w:rPr>
                <w:sz w:val="20"/>
                <w:szCs w:val="20"/>
                <w:color w:val="auto"/>
              </w:rPr>
            </w:pPr>
            <w:r>
              <w:rPr>
                <w:rFonts w:ascii="Arial" w:cs="Arial" w:eastAsia="Arial" w:hAnsi="Arial"/>
                <w:sz w:val="13"/>
                <w:szCs w:val="13"/>
                <w:color w:val="auto"/>
                <w:w w:val="89"/>
              </w:rPr>
              <w:t>10/7/2014</w:t>
            </w:r>
          </w:p>
        </w:tc>
        <w:tc>
          <w:tcPr>
            <w:tcW w:w="120" w:type="dxa"/>
            <w:vAlign w:val="bottom"/>
            <w:shd w:val="clear" w:color="auto" w:fill="CFF0FC"/>
          </w:tcPr>
          <w:p>
            <w:pPr>
              <w:spacing w:after="0"/>
              <w:rPr>
                <w:sz w:val="12"/>
                <w:szCs w:val="12"/>
                <w:color w:val="auto"/>
              </w:rPr>
            </w:pPr>
          </w:p>
        </w:tc>
        <w:tc>
          <w:tcPr>
            <w:tcW w:w="1600" w:type="dxa"/>
            <w:vAlign w:val="bottom"/>
            <w:gridSpan w:val="7"/>
            <w:shd w:val="clear" w:color="auto" w:fill="CFF0FC"/>
          </w:tcPr>
          <w:p>
            <w:pPr>
              <w:ind w:left="1080"/>
              <w:spacing w:after="0"/>
              <w:rPr>
                <w:sz w:val="20"/>
                <w:szCs w:val="20"/>
                <w:color w:val="auto"/>
              </w:rPr>
            </w:pPr>
            <w:r>
              <w:rPr>
                <w:rFonts w:ascii="Arial" w:cs="Arial" w:eastAsia="Arial" w:hAnsi="Arial"/>
                <w:sz w:val="13"/>
                <w:szCs w:val="13"/>
                <w:color w:val="auto"/>
              </w:rPr>
              <w:t>0.20%</w:t>
            </w:r>
          </w:p>
        </w:tc>
        <w:tc>
          <w:tcPr>
            <w:tcW w:w="3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1,953,299</w:t>
            </w: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Perseus Holding Corp.</w:t>
            </w:r>
            <w:r>
              <w:rPr>
                <w:rFonts w:ascii="Arial" w:cs="Arial" w:eastAsia="Arial" w:hAnsi="Arial"/>
                <w:sz w:val="10"/>
                <w:szCs w:val="10"/>
                <w:color w:val="auto"/>
              </w:rPr>
              <w:t>(8)(13)</w:t>
            </w: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Hotel, Gaming &amp; Leisure</w:t>
            </w: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Common</w:t>
            </w:r>
          </w:p>
        </w:tc>
        <w:tc>
          <w:tcPr>
            <w:tcW w:w="1040" w:type="dxa"/>
            <w:vAlign w:val="bottom"/>
            <w:shd w:val="clear" w:color="auto" w:fill="CFF0FC"/>
          </w:tcPr>
          <w:p>
            <w:pPr>
              <w:jc w:val="center"/>
              <w:ind w:left="97"/>
              <w:spacing w:after="0"/>
              <w:rPr>
                <w:sz w:val="20"/>
                <w:szCs w:val="20"/>
                <w:color w:val="auto"/>
              </w:rPr>
            </w:pPr>
            <w:r>
              <w:rPr>
                <w:rFonts w:ascii="Arial" w:cs="Arial" w:eastAsia="Arial" w:hAnsi="Arial"/>
                <w:sz w:val="13"/>
                <w:szCs w:val="13"/>
                <w:color w:val="auto"/>
                <w:w w:val="86"/>
              </w:rPr>
              <w:t>4/5/2007</w:t>
            </w:r>
          </w:p>
        </w:tc>
        <w:tc>
          <w:tcPr>
            <w:tcW w:w="120" w:type="dxa"/>
            <w:vAlign w:val="bottom"/>
            <w:shd w:val="clear" w:color="auto" w:fill="CFF0FC"/>
          </w:tcPr>
          <w:p>
            <w:pPr>
              <w:spacing w:after="0"/>
              <w:rPr>
                <w:sz w:val="12"/>
                <w:szCs w:val="12"/>
                <w:color w:val="auto"/>
              </w:rPr>
            </w:pPr>
          </w:p>
        </w:tc>
        <w:tc>
          <w:tcPr>
            <w:tcW w:w="1600" w:type="dxa"/>
            <w:vAlign w:val="bottom"/>
            <w:gridSpan w:val="7"/>
            <w:shd w:val="clear" w:color="auto" w:fill="CFF0FC"/>
          </w:tcPr>
          <w:p>
            <w:pPr>
              <w:ind w:left="1080"/>
              <w:spacing w:after="0"/>
              <w:rPr>
                <w:sz w:val="20"/>
                <w:szCs w:val="20"/>
                <w:color w:val="auto"/>
              </w:rPr>
            </w:pPr>
            <w:r>
              <w:rPr>
                <w:rFonts w:ascii="Arial" w:cs="Arial" w:eastAsia="Arial" w:hAnsi="Arial"/>
                <w:sz w:val="13"/>
                <w:szCs w:val="13"/>
                <w:color w:val="auto"/>
              </w:rPr>
              <w:t>0.19%</w:t>
            </w:r>
          </w:p>
        </w:tc>
        <w:tc>
          <w:tcPr>
            <w:tcW w:w="3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400,000</w:t>
            </w: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Roscoe Investors, LLC</w:t>
            </w:r>
            <w:r>
              <w:rPr>
                <w:rFonts w:ascii="Arial" w:cs="Arial" w:eastAsia="Arial" w:hAnsi="Arial"/>
                <w:sz w:val="10"/>
                <w:szCs w:val="10"/>
                <w:color w:val="auto"/>
              </w:rPr>
              <w:t>(8)(13)</w:t>
            </w:r>
            <w:r>
              <w:rPr>
                <w:rFonts w:ascii="Arial" w:cs="Arial" w:eastAsia="Arial" w:hAnsi="Arial"/>
                <w:sz w:val="13"/>
                <w:szCs w:val="13"/>
                <w:color w:val="auto"/>
              </w:rPr>
              <w:t xml:space="preserve"> Healthcare &amp;</w:t>
            </w: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Pharmaceuticals</w:t>
            </w: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Class A Units</w:t>
            </w:r>
          </w:p>
        </w:tc>
        <w:tc>
          <w:tcPr>
            <w:tcW w:w="1040" w:type="dxa"/>
            <w:vAlign w:val="bottom"/>
            <w:shd w:val="clear" w:color="auto" w:fill="CFF0FC"/>
          </w:tcPr>
          <w:p>
            <w:pPr>
              <w:jc w:val="center"/>
              <w:ind w:left="97"/>
              <w:spacing w:after="0"/>
              <w:rPr>
                <w:sz w:val="20"/>
                <w:szCs w:val="20"/>
                <w:color w:val="auto"/>
              </w:rPr>
            </w:pPr>
            <w:r>
              <w:rPr>
                <w:rFonts w:ascii="Arial" w:cs="Arial" w:eastAsia="Arial" w:hAnsi="Arial"/>
                <w:sz w:val="13"/>
                <w:szCs w:val="13"/>
                <w:color w:val="auto"/>
                <w:w w:val="89"/>
              </w:rPr>
              <w:t>3/26/2014</w:t>
            </w:r>
          </w:p>
        </w:tc>
        <w:tc>
          <w:tcPr>
            <w:tcW w:w="120" w:type="dxa"/>
            <w:vAlign w:val="bottom"/>
            <w:shd w:val="clear" w:color="auto" w:fill="CFF0FC"/>
          </w:tcPr>
          <w:p>
            <w:pPr>
              <w:spacing w:after="0"/>
              <w:rPr>
                <w:sz w:val="12"/>
                <w:szCs w:val="12"/>
                <w:color w:val="auto"/>
              </w:rPr>
            </w:pPr>
          </w:p>
        </w:tc>
        <w:tc>
          <w:tcPr>
            <w:tcW w:w="1600" w:type="dxa"/>
            <w:vAlign w:val="bottom"/>
            <w:gridSpan w:val="7"/>
            <w:shd w:val="clear" w:color="auto" w:fill="CFF0FC"/>
          </w:tcPr>
          <w:p>
            <w:pPr>
              <w:ind w:left="1080"/>
              <w:spacing w:after="0"/>
              <w:rPr>
                <w:sz w:val="20"/>
                <w:szCs w:val="20"/>
                <w:color w:val="auto"/>
              </w:rPr>
            </w:pPr>
            <w:r>
              <w:rPr>
                <w:rFonts w:ascii="Arial" w:cs="Arial" w:eastAsia="Arial" w:hAnsi="Arial"/>
                <w:sz w:val="13"/>
                <w:szCs w:val="13"/>
                <w:color w:val="auto"/>
              </w:rPr>
              <w:t>1.56%</w:t>
            </w:r>
          </w:p>
        </w:tc>
        <w:tc>
          <w:tcPr>
            <w:tcW w:w="3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653,000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Stafford Logistics, Inc.(dba Custom Ecology, Inc.)</w:t>
            </w:r>
            <w:r>
              <w:rPr>
                <w:rFonts w:ascii="Arial" w:cs="Arial" w:eastAsia="Arial" w:hAnsi="Arial"/>
                <w:sz w:val="10"/>
                <w:szCs w:val="10"/>
                <w:color w:val="auto"/>
              </w:rPr>
              <w:t>(8)(13)</w:t>
            </w: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Environmental Industries</w:t>
            </w: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Class B Units</w:t>
            </w:r>
          </w:p>
        </w:tc>
        <w:tc>
          <w:tcPr>
            <w:tcW w:w="1040" w:type="dxa"/>
            <w:vAlign w:val="bottom"/>
            <w:shd w:val="clear" w:color="auto" w:fill="CFF0FC"/>
          </w:tcPr>
          <w:p>
            <w:pPr>
              <w:jc w:val="center"/>
              <w:ind w:left="97"/>
              <w:spacing w:after="0"/>
              <w:rPr>
                <w:sz w:val="20"/>
                <w:szCs w:val="20"/>
                <w:color w:val="auto"/>
              </w:rPr>
            </w:pPr>
            <w:r>
              <w:rPr>
                <w:rFonts w:ascii="Arial" w:cs="Arial" w:eastAsia="Arial" w:hAnsi="Arial"/>
                <w:sz w:val="13"/>
                <w:szCs w:val="13"/>
                <w:color w:val="auto"/>
                <w:w w:val="89"/>
              </w:rPr>
              <w:t>6/25/2013</w:t>
            </w:r>
          </w:p>
        </w:tc>
        <w:tc>
          <w:tcPr>
            <w:tcW w:w="120" w:type="dxa"/>
            <w:vAlign w:val="bottom"/>
            <w:shd w:val="clear" w:color="auto" w:fill="CFF0FC"/>
          </w:tcPr>
          <w:p>
            <w:pPr>
              <w:spacing w:after="0"/>
              <w:rPr>
                <w:sz w:val="12"/>
                <w:szCs w:val="12"/>
                <w:color w:val="auto"/>
              </w:rPr>
            </w:pPr>
          </w:p>
        </w:tc>
        <w:tc>
          <w:tcPr>
            <w:tcW w:w="1600" w:type="dxa"/>
            <w:vAlign w:val="bottom"/>
            <w:gridSpan w:val="7"/>
            <w:shd w:val="clear" w:color="auto" w:fill="CFF0FC"/>
          </w:tcPr>
          <w:p>
            <w:pPr>
              <w:ind w:left="1080"/>
              <w:spacing w:after="0"/>
              <w:rPr>
                <w:sz w:val="20"/>
                <w:szCs w:val="20"/>
                <w:color w:val="auto"/>
              </w:rPr>
            </w:pPr>
            <w:r>
              <w:rPr>
                <w:rFonts w:ascii="Arial" w:cs="Arial" w:eastAsia="Arial" w:hAnsi="Arial"/>
                <w:sz w:val="13"/>
                <w:szCs w:val="13"/>
                <w:color w:val="auto"/>
              </w:rPr>
              <w:t>1.56%</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Stafford Logistics, Inc.(dba Custom</w:t>
            </w: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color w:val="auto"/>
              </w:rPr>
              <w:t>Ecology, Inc.)</w:t>
            </w:r>
            <w:r>
              <w:rPr>
                <w:rFonts w:ascii="Arial" w:cs="Arial" w:eastAsia="Arial" w:hAnsi="Arial"/>
                <w:sz w:val="10"/>
                <w:szCs w:val="10"/>
                <w:color w:val="auto"/>
              </w:rPr>
              <w:t>(8)(10)(13)</w:t>
            </w: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Environmental Industries</w:t>
            </w: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Class B Equity</w:t>
            </w:r>
          </w:p>
        </w:tc>
        <w:tc>
          <w:tcPr>
            <w:tcW w:w="1040" w:type="dxa"/>
            <w:vAlign w:val="bottom"/>
            <w:shd w:val="clear" w:color="auto" w:fill="CFF0FC"/>
          </w:tcPr>
          <w:p>
            <w:pPr>
              <w:jc w:val="center"/>
              <w:ind w:left="97"/>
              <w:spacing w:after="0"/>
              <w:rPr>
                <w:sz w:val="20"/>
                <w:szCs w:val="20"/>
                <w:color w:val="auto"/>
              </w:rPr>
            </w:pPr>
            <w:r>
              <w:rPr>
                <w:rFonts w:ascii="Arial" w:cs="Arial" w:eastAsia="Arial" w:hAnsi="Arial"/>
                <w:sz w:val="13"/>
                <w:szCs w:val="13"/>
                <w:color w:val="auto"/>
                <w:w w:val="89"/>
              </w:rPr>
              <w:t>6/25/2013</w:t>
            </w:r>
          </w:p>
        </w:tc>
        <w:tc>
          <w:tcPr>
            <w:tcW w:w="120" w:type="dxa"/>
            <w:vAlign w:val="bottom"/>
            <w:shd w:val="clear" w:color="auto" w:fill="CFF0FC"/>
          </w:tcPr>
          <w:p>
            <w:pPr>
              <w:spacing w:after="0"/>
              <w:rPr>
                <w:sz w:val="12"/>
                <w:szCs w:val="12"/>
                <w:color w:val="auto"/>
              </w:rPr>
            </w:pPr>
          </w:p>
        </w:tc>
        <w:tc>
          <w:tcPr>
            <w:tcW w:w="1600" w:type="dxa"/>
            <w:vAlign w:val="bottom"/>
            <w:gridSpan w:val="7"/>
            <w:shd w:val="clear" w:color="auto" w:fill="CFF0FC"/>
          </w:tcPr>
          <w:p>
            <w:pPr>
              <w:ind w:left="1080"/>
              <w:spacing w:after="0"/>
              <w:rPr>
                <w:sz w:val="20"/>
                <w:szCs w:val="20"/>
                <w:color w:val="auto"/>
              </w:rPr>
            </w:pPr>
            <w:r>
              <w:rPr>
                <w:rFonts w:ascii="Arial" w:cs="Arial" w:eastAsia="Arial" w:hAnsi="Arial"/>
                <w:sz w:val="13"/>
                <w:szCs w:val="13"/>
                <w:color w:val="auto"/>
              </w:rPr>
              <w:t>1.56%</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Tank Partners Holdings, LLC</w:t>
            </w:r>
            <w:r>
              <w:rPr>
                <w:rFonts w:ascii="Arial" w:cs="Arial" w:eastAsia="Arial" w:hAnsi="Arial"/>
                <w:sz w:val="10"/>
                <w:szCs w:val="10"/>
                <w:color w:val="auto"/>
              </w:rPr>
              <w:t>(8)(13)</w:t>
            </w: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Aerospace and Defense</w:t>
            </w: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Unit</w:t>
            </w:r>
          </w:p>
        </w:tc>
        <w:tc>
          <w:tcPr>
            <w:tcW w:w="1040" w:type="dxa"/>
            <w:vAlign w:val="bottom"/>
            <w:shd w:val="clear" w:color="auto" w:fill="CFF0FC"/>
          </w:tcPr>
          <w:p>
            <w:pPr>
              <w:jc w:val="center"/>
              <w:ind w:left="97"/>
              <w:spacing w:after="0"/>
              <w:rPr>
                <w:sz w:val="20"/>
                <w:szCs w:val="20"/>
                <w:color w:val="auto"/>
              </w:rPr>
            </w:pPr>
            <w:r>
              <w:rPr>
                <w:rFonts w:ascii="Arial" w:cs="Arial" w:eastAsia="Arial" w:hAnsi="Arial"/>
                <w:sz w:val="13"/>
                <w:szCs w:val="13"/>
                <w:color w:val="auto"/>
                <w:w w:val="89"/>
              </w:rPr>
              <w:t>8/28/2014</w:t>
            </w:r>
          </w:p>
        </w:tc>
        <w:tc>
          <w:tcPr>
            <w:tcW w:w="120" w:type="dxa"/>
            <w:vAlign w:val="bottom"/>
            <w:shd w:val="clear" w:color="auto" w:fill="CFF0FC"/>
          </w:tcPr>
          <w:p>
            <w:pPr>
              <w:spacing w:after="0"/>
              <w:rPr>
                <w:sz w:val="12"/>
                <w:szCs w:val="12"/>
                <w:color w:val="auto"/>
              </w:rPr>
            </w:pPr>
          </w:p>
        </w:tc>
        <w:tc>
          <w:tcPr>
            <w:tcW w:w="1600" w:type="dxa"/>
            <w:vAlign w:val="bottom"/>
            <w:gridSpan w:val="7"/>
            <w:shd w:val="clear" w:color="auto" w:fill="CFF0FC"/>
          </w:tcPr>
          <w:p>
            <w:pPr>
              <w:ind w:left="1080"/>
              <w:spacing w:after="0"/>
              <w:rPr>
                <w:sz w:val="20"/>
                <w:szCs w:val="20"/>
                <w:color w:val="auto"/>
              </w:rPr>
            </w:pPr>
            <w:r>
              <w:rPr>
                <w:rFonts w:ascii="Arial" w:cs="Arial" w:eastAsia="Arial" w:hAnsi="Arial"/>
                <w:sz w:val="13"/>
                <w:szCs w:val="13"/>
                <w:color w:val="auto"/>
              </w:rPr>
              <w:t>15.5%</w:t>
            </w:r>
          </w:p>
        </w:tc>
        <w:tc>
          <w:tcPr>
            <w:tcW w:w="3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980,000</w:t>
            </w: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Tank Partners Holdings, LLC</w:t>
            </w:r>
            <w:r>
              <w:rPr>
                <w:rFonts w:ascii="Arial" w:cs="Arial" w:eastAsia="Arial" w:hAnsi="Arial"/>
                <w:sz w:val="10"/>
                <w:szCs w:val="10"/>
                <w:color w:val="auto"/>
              </w:rPr>
              <w:t>(8)(13)</w:t>
            </w: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Aerospace and Defense</w:t>
            </w: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Warrants</w:t>
            </w:r>
          </w:p>
        </w:tc>
        <w:tc>
          <w:tcPr>
            <w:tcW w:w="1040" w:type="dxa"/>
            <w:vAlign w:val="bottom"/>
            <w:shd w:val="clear" w:color="auto" w:fill="CFF0FC"/>
          </w:tcPr>
          <w:p>
            <w:pPr>
              <w:jc w:val="center"/>
              <w:ind w:left="97"/>
              <w:spacing w:after="0"/>
              <w:rPr>
                <w:sz w:val="20"/>
                <w:szCs w:val="20"/>
                <w:color w:val="auto"/>
              </w:rPr>
            </w:pPr>
            <w:r>
              <w:rPr>
                <w:rFonts w:ascii="Arial" w:cs="Arial" w:eastAsia="Arial" w:hAnsi="Arial"/>
                <w:sz w:val="13"/>
                <w:szCs w:val="13"/>
                <w:color w:val="auto"/>
                <w:w w:val="89"/>
              </w:rPr>
              <w:t>8/28/2014</w:t>
            </w:r>
          </w:p>
        </w:tc>
        <w:tc>
          <w:tcPr>
            <w:tcW w:w="120" w:type="dxa"/>
            <w:vAlign w:val="bottom"/>
            <w:shd w:val="clear" w:color="auto" w:fill="CFF0FC"/>
          </w:tcPr>
          <w:p>
            <w:pPr>
              <w:spacing w:after="0"/>
              <w:rPr>
                <w:sz w:val="12"/>
                <w:szCs w:val="12"/>
                <w:color w:val="auto"/>
              </w:rPr>
            </w:pPr>
          </w:p>
        </w:tc>
        <w:tc>
          <w:tcPr>
            <w:tcW w:w="1600" w:type="dxa"/>
            <w:vAlign w:val="bottom"/>
            <w:gridSpan w:val="7"/>
            <w:shd w:val="clear" w:color="auto" w:fill="CFF0FC"/>
          </w:tcPr>
          <w:p>
            <w:pPr>
              <w:ind w:left="1080"/>
              <w:spacing w:after="0"/>
              <w:rPr>
                <w:sz w:val="20"/>
                <w:szCs w:val="20"/>
                <w:color w:val="auto"/>
              </w:rPr>
            </w:pPr>
            <w:r>
              <w:rPr>
                <w:rFonts w:ascii="Arial" w:cs="Arial" w:eastAsia="Arial" w:hAnsi="Arial"/>
                <w:sz w:val="13"/>
                <w:szCs w:val="13"/>
                <w:color w:val="auto"/>
              </w:rPr>
              <w:t>1.04%</w:t>
            </w:r>
          </w:p>
        </w:tc>
        <w:tc>
          <w:tcPr>
            <w:tcW w:w="3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185,205</w:t>
            </w: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TRSO II, Inc.</w:t>
            </w:r>
            <w:r>
              <w:rPr>
                <w:rFonts w:ascii="Arial" w:cs="Arial" w:eastAsia="Arial" w:hAnsi="Arial"/>
                <w:sz w:val="10"/>
                <w:szCs w:val="10"/>
                <w:color w:val="auto"/>
              </w:rPr>
              <w:t>(8)(13)</w:t>
            </w: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Energy: Oil &amp; Gas</w:t>
            </w: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Common Stock</w:t>
            </w:r>
          </w:p>
        </w:tc>
        <w:tc>
          <w:tcPr>
            <w:tcW w:w="1040" w:type="dxa"/>
            <w:vAlign w:val="bottom"/>
            <w:shd w:val="clear" w:color="auto" w:fill="CFF0FC"/>
          </w:tcPr>
          <w:p>
            <w:pPr>
              <w:jc w:val="center"/>
              <w:ind w:left="97"/>
              <w:spacing w:after="0"/>
              <w:rPr>
                <w:sz w:val="20"/>
                <w:szCs w:val="20"/>
                <w:color w:val="auto"/>
              </w:rPr>
            </w:pPr>
            <w:r>
              <w:rPr>
                <w:rFonts w:ascii="Arial" w:cs="Arial" w:eastAsia="Arial" w:hAnsi="Arial"/>
                <w:sz w:val="13"/>
                <w:szCs w:val="13"/>
                <w:color w:val="auto"/>
                <w:w w:val="86"/>
              </w:rPr>
              <w:t>12/24/2012</w:t>
            </w:r>
          </w:p>
        </w:tc>
        <w:tc>
          <w:tcPr>
            <w:tcW w:w="120" w:type="dxa"/>
            <w:vAlign w:val="bottom"/>
            <w:shd w:val="clear" w:color="auto" w:fill="CFF0FC"/>
          </w:tcPr>
          <w:p>
            <w:pPr>
              <w:spacing w:after="0"/>
              <w:rPr>
                <w:sz w:val="12"/>
                <w:szCs w:val="12"/>
                <w:color w:val="auto"/>
              </w:rPr>
            </w:pPr>
          </w:p>
        </w:tc>
        <w:tc>
          <w:tcPr>
            <w:tcW w:w="1600" w:type="dxa"/>
            <w:vAlign w:val="bottom"/>
            <w:gridSpan w:val="7"/>
            <w:shd w:val="clear" w:color="auto" w:fill="CFF0FC"/>
          </w:tcPr>
          <w:p>
            <w:pPr>
              <w:ind w:left="1080"/>
              <w:spacing w:after="0"/>
              <w:rPr>
                <w:sz w:val="20"/>
                <w:szCs w:val="20"/>
                <w:color w:val="auto"/>
              </w:rPr>
            </w:pPr>
            <w:r>
              <w:rPr>
                <w:rFonts w:ascii="Arial" w:cs="Arial" w:eastAsia="Arial" w:hAnsi="Arial"/>
                <w:sz w:val="13"/>
                <w:szCs w:val="13"/>
                <w:color w:val="auto"/>
              </w:rPr>
              <w:t>5.40%</w:t>
            </w:r>
          </w:p>
        </w:tc>
        <w:tc>
          <w:tcPr>
            <w:tcW w:w="32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1,680,161</w:t>
            </w:r>
          </w:p>
        </w:tc>
        <w:tc>
          <w:tcPr>
            <w:tcW w:w="260" w:type="dxa"/>
            <w:vAlign w:val="bottom"/>
            <w:shd w:val="clear" w:color="auto" w:fill="CFF0FC"/>
          </w:tcPr>
          <w:p>
            <w:pPr>
              <w:spacing w:after="0"/>
              <w:rPr>
                <w:sz w:val="12"/>
                <w:szCs w:val="12"/>
                <w:color w:val="auto"/>
              </w:rPr>
            </w:pPr>
          </w:p>
        </w:tc>
        <w:tc>
          <w:tcPr>
            <w:tcW w:w="2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548,345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220" w:type="dxa"/>
            <w:vAlign w:val="bottom"/>
            <w:gridSpan w:val="2"/>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Equity Securities (1% of</w:t>
            </w: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20" w:type="dxa"/>
            <w:vAlign w:val="bottom"/>
            <w:gridSpan w:val="2"/>
            <w:shd w:val="clear" w:color="auto" w:fill="CFF0FC"/>
          </w:tcPr>
          <w:p>
            <w:pPr>
              <w:ind w:left="80"/>
              <w:spacing w:after="0"/>
              <w:rPr>
                <w:sz w:val="20"/>
                <w:szCs w:val="20"/>
                <w:color w:val="auto"/>
              </w:rPr>
            </w:pPr>
            <w:r>
              <w:rPr>
                <w:rFonts w:ascii="Arial" w:cs="Arial" w:eastAsia="Arial" w:hAnsi="Arial"/>
                <w:sz w:val="13"/>
                <w:szCs w:val="13"/>
                <w:b w:val="1"/>
                <w:bCs w:val="1"/>
                <w:color w:val="auto"/>
              </w:rPr>
              <w:t>net asset value at fair value)</w:t>
            </w: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ind w:right="177"/>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9,477,763</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9"/>
                <w:szCs w:val="9"/>
                <w:b w:val="1"/>
                <w:bCs w:val="1"/>
                <w:color w:val="auto"/>
                <w:w w:val="78"/>
              </w:rPr>
              <w:t>$</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2,038,020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1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CLO Fund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Subordinated Investments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4"/>
              </w:rPr>
              <w:t>Initial</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4"/>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40" w:type="dxa"/>
            <w:vAlign w:val="bottom"/>
          </w:tcPr>
          <w:p>
            <w:pPr>
              <w:spacing w:after="0"/>
              <w:rPr>
                <w:sz w:val="11"/>
                <w:szCs w:val="11"/>
                <w:color w:val="auto"/>
              </w:rPr>
            </w:pPr>
          </w:p>
        </w:tc>
        <w:tc>
          <w:tcPr>
            <w:tcW w:w="1040" w:type="dxa"/>
            <w:vAlign w:val="bottom"/>
            <w:gridSpan w:val="6"/>
          </w:tcPr>
          <w:p>
            <w:pPr>
              <w:ind w:left="200"/>
              <w:spacing w:after="0" w:line="135" w:lineRule="exact"/>
              <w:rPr>
                <w:sz w:val="20"/>
                <w:szCs w:val="20"/>
                <w:color w:val="auto"/>
              </w:rPr>
            </w:pPr>
            <w:r>
              <w:rPr>
                <w:rFonts w:ascii="Arial" w:cs="Arial" w:eastAsia="Arial" w:hAnsi="Arial"/>
                <w:sz w:val="13"/>
                <w:szCs w:val="13"/>
                <w:b w:val="1"/>
                <w:bCs w:val="1"/>
                <w:color w:val="auto"/>
              </w:rPr>
              <w:t>Percentage</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00" w:type="dxa"/>
            <w:vAlign w:val="bottom"/>
          </w:tcPr>
          <w:p>
            <w:pPr>
              <w:ind w:left="820"/>
              <w:spacing w:after="0"/>
              <w:rPr>
                <w:sz w:val="20"/>
                <w:szCs w:val="20"/>
                <w:color w:val="auto"/>
              </w:rPr>
            </w:pPr>
            <w:r>
              <w:rPr>
                <w:rFonts w:ascii="Arial" w:cs="Arial" w:eastAsia="Arial" w:hAnsi="Arial"/>
                <w:sz w:val="13"/>
                <w:szCs w:val="13"/>
                <w:b w:val="1"/>
                <w:bCs w:val="1"/>
                <w:color w:val="auto"/>
              </w:rPr>
              <w:t>Portfolio Company</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2"/>
          </w:tcPr>
          <w:p>
            <w:pPr>
              <w:ind w:left="114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15,11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Pr>
          <w:p>
            <w:pPr>
              <w:spacing w:after="0"/>
              <w:rPr>
                <w:sz w:val="13"/>
                <w:szCs w:val="13"/>
                <w:color w:val="auto"/>
              </w:rPr>
            </w:pPr>
          </w:p>
        </w:tc>
        <w:tc>
          <w:tcPr>
            <w:tcW w:w="1040" w:type="dxa"/>
            <w:vAlign w:val="bottom"/>
            <w:gridSpan w:val="6"/>
          </w:tcPr>
          <w:p>
            <w:pPr>
              <w:ind w:left="180"/>
              <w:spacing w:after="0"/>
              <w:rPr>
                <w:sz w:val="20"/>
                <w:szCs w:val="20"/>
                <w:color w:val="auto"/>
              </w:rPr>
            </w:pPr>
            <w:r>
              <w:rPr>
                <w:rFonts w:ascii="Arial" w:cs="Arial" w:eastAsia="Arial" w:hAnsi="Arial"/>
                <w:sz w:val="13"/>
                <w:szCs w:val="13"/>
                <w:b w:val="1"/>
                <w:bCs w:val="1"/>
                <w:color w:val="auto"/>
              </w:rPr>
              <w:t>Ownership</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5"/>
              </w:rPr>
              <w:t>Amortized Cost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Katonah III, Ltd.</w:t>
            </w:r>
            <w:r>
              <w:rPr>
                <w:rFonts w:ascii="Arial" w:cs="Arial" w:eastAsia="Arial" w:hAnsi="Arial"/>
                <w:sz w:val="10"/>
                <w:szCs w:val="10"/>
                <w:color w:val="auto"/>
              </w:rPr>
              <w:t>(3)(12)(13)</w:t>
            </w: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960" w:type="dxa"/>
            <w:vAlign w:val="bottom"/>
            <w:tcBorders>
              <w:top w:val="single" w:sz="8" w:color="auto"/>
            </w:tcBorders>
            <w:gridSpan w:val="4"/>
            <w:shd w:val="clear" w:color="auto" w:fill="CFF0FC"/>
          </w:tcPr>
          <w:p>
            <w:pPr>
              <w:spacing w:after="0" w:line="128" w:lineRule="exact"/>
              <w:rPr>
                <w:sz w:val="20"/>
                <w:szCs w:val="20"/>
                <w:color w:val="auto"/>
              </w:rPr>
            </w:pPr>
            <w:r>
              <w:rPr>
                <w:rFonts w:ascii="Arial" w:cs="Arial" w:eastAsia="Arial" w:hAnsi="Arial"/>
                <w:sz w:val="13"/>
                <w:szCs w:val="13"/>
                <w:color w:val="auto"/>
              </w:rPr>
              <w:t>Subordinated Securities, effective interest N/M,</w:t>
            </w:r>
          </w:p>
        </w:tc>
        <w:tc>
          <w:tcPr>
            <w:tcW w:w="2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right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right w:val="single" w:sz="8" w:color="CFF0FC"/>
            </w:tcBorders>
            <w:shd w:val="clear" w:color="auto" w:fill="CFF0FC"/>
          </w:tcPr>
          <w:p>
            <w:pPr>
              <w:spacing w:after="0"/>
              <w:rPr>
                <w:sz w:val="11"/>
                <w:szCs w:val="11"/>
                <w:color w:val="auto"/>
              </w:rPr>
            </w:pPr>
          </w:p>
        </w:tc>
        <w:tc>
          <w:tcPr>
            <w:tcW w:w="200" w:type="dxa"/>
            <w:vAlign w:val="bottom"/>
            <w:tcBorders>
              <w:top w:val="single" w:sz="8" w:color="CFF0FC"/>
              <w:left w:val="single" w:sz="8" w:color="CFF0FC"/>
              <w:right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right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40" w:type="dxa"/>
            <w:vAlign w:val="bottom"/>
            <w:gridSpan w:val="5"/>
            <w:shd w:val="clear" w:color="auto" w:fill="CFF0FC"/>
          </w:tcPr>
          <w:p>
            <w:pPr>
              <w:ind w:left="80"/>
              <w:spacing w:after="0"/>
              <w:rPr>
                <w:sz w:val="20"/>
                <w:szCs w:val="20"/>
                <w:color w:val="auto"/>
              </w:rPr>
            </w:pPr>
            <w:r>
              <w:rPr>
                <w:rFonts w:ascii="Arial" w:cs="Arial" w:eastAsia="Arial" w:hAnsi="Arial"/>
                <w:sz w:val="13"/>
                <w:szCs w:val="13"/>
                <w:color w:val="auto"/>
              </w:rPr>
              <w:t>5/15 maturity</w:t>
            </w:r>
            <w:r>
              <w:rPr>
                <w:rFonts w:ascii="Arial" w:cs="Arial" w:eastAsia="Arial" w:hAnsi="Arial"/>
                <w:sz w:val="10"/>
                <w:szCs w:val="10"/>
                <w:color w:val="auto"/>
              </w:rPr>
              <w:t>16</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00" w:type="dxa"/>
            <w:vAlign w:val="bottom"/>
            <w:gridSpan w:val="4"/>
            <w:shd w:val="clear" w:color="auto" w:fill="CFF0FC"/>
          </w:tcPr>
          <w:p>
            <w:pPr>
              <w:jc w:val="center"/>
              <w:ind w:left="37"/>
              <w:spacing w:after="0"/>
              <w:rPr>
                <w:sz w:val="20"/>
                <w:szCs w:val="20"/>
                <w:color w:val="auto"/>
              </w:rPr>
            </w:pPr>
            <w:r>
              <w:rPr>
                <w:rFonts w:ascii="Arial" w:cs="Arial" w:eastAsia="Arial" w:hAnsi="Arial"/>
                <w:sz w:val="13"/>
                <w:szCs w:val="13"/>
                <w:color w:val="auto"/>
                <w:w w:val="86"/>
              </w:rPr>
              <w:t>12/11/2006</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gridSpan w:val="6"/>
            <w:shd w:val="clear" w:color="auto" w:fill="CFF0FC"/>
          </w:tcPr>
          <w:p>
            <w:pPr>
              <w:jc w:val="right"/>
              <w:spacing w:after="0"/>
              <w:rPr>
                <w:sz w:val="20"/>
                <w:szCs w:val="20"/>
                <w:color w:val="auto"/>
              </w:rPr>
            </w:pPr>
            <w:r>
              <w:rPr>
                <w:rFonts w:ascii="Arial" w:cs="Arial" w:eastAsia="Arial" w:hAnsi="Arial"/>
                <w:sz w:val="13"/>
                <w:szCs w:val="13"/>
                <w:color w:val="auto"/>
              </w:rPr>
              <w:t>23.1%   $</w:t>
            </w:r>
          </w:p>
        </w:tc>
        <w:tc>
          <w:tcPr>
            <w:tcW w:w="8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1,287,155</w:t>
            </w:r>
          </w:p>
        </w:tc>
        <w:tc>
          <w:tcPr>
            <w:tcW w:w="200" w:type="dxa"/>
            <w:vAlign w:val="bottom"/>
            <w:tcBorders>
              <w:left w:val="single" w:sz="8" w:color="CFF0FC"/>
              <w:right w:val="single" w:sz="8" w:color="CFF0FC"/>
            </w:tcBorders>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369,280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00" w:type="dxa"/>
            <w:vAlign w:val="bottom"/>
          </w:tcPr>
          <w:p>
            <w:pPr>
              <w:spacing w:after="0" w:line="134" w:lineRule="exact"/>
              <w:rPr>
                <w:sz w:val="20"/>
                <w:szCs w:val="20"/>
                <w:color w:val="auto"/>
              </w:rPr>
            </w:pPr>
            <w:r>
              <w:rPr>
                <w:rFonts w:ascii="Arial" w:cs="Arial" w:eastAsia="Arial" w:hAnsi="Arial"/>
                <w:sz w:val="13"/>
                <w:szCs w:val="13"/>
                <w:color w:val="auto"/>
              </w:rPr>
              <w:t>Catamaran CLO 2013- 1 Ltd.</w:t>
            </w:r>
            <w:r>
              <w:rPr>
                <w:rFonts w:ascii="Arial" w:cs="Arial" w:eastAsia="Arial" w:hAnsi="Arial"/>
                <w:sz w:val="10"/>
                <w:szCs w:val="10"/>
                <w:color w:val="auto"/>
              </w:rPr>
              <w:t>(3)(13)</w:t>
            </w:r>
          </w:p>
        </w:tc>
        <w:tc>
          <w:tcPr>
            <w:tcW w:w="60" w:type="dxa"/>
            <w:vAlign w:val="bottom"/>
          </w:tcPr>
          <w:p>
            <w:pPr>
              <w:spacing w:after="0"/>
              <w:rPr>
                <w:sz w:val="11"/>
                <w:szCs w:val="11"/>
                <w:color w:val="auto"/>
              </w:rPr>
            </w:pPr>
          </w:p>
        </w:tc>
        <w:tc>
          <w:tcPr>
            <w:tcW w:w="3040" w:type="dxa"/>
            <w:vAlign w:val="bottom"/>
            <w:gridSpan w:val="5"/>
          </w:tcPr>
          <w:p>
            <w:pPr>
              <w:ind w:left="80"/>
              <w:spacing w:after="0" w:line="134" w:lineRule="exact"/>
              <w:rPr>
                <w:sz w:val="20"/>
                <w:szCs w:val="20"/>
                <w:color w:val="auto"/>
              </w:rPr>
            </w:pPr>
            <w:r>
              <w:rPr>
                <w:rFonts w:ascii="Arial" w:cs="Arial" w:eastAsia="Arial" w:hAnsi="Arial"/>
                <w:sz w:val="13"/>
                <w:szCs w:val="13"/>
                <w:color w:val="auto"/>
              </w:rPr>
              <w:t>Subordinated Securities, effective interest 21.9%,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1/28 maturity</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tcPr>
          <w:p>
            <w:pPr>
              <w:jc w:val="center"/>
              <w:ind w:left="197"/>
              <w:spacing w:after="0"/>
              <w:rPr>
                <w:sz w:val="20"/>
                <w:szCs w:val="20"/>
                <w:color w:val="auto"/>
              </w:rPr>
            </w:pPr>
            <w:r>
              <w:rPr>
                <w:rFonts w:ascii="Arial" w:cs="Arial" w:eastAsia="Arial" w:hAnsi="Arial"/>
                <w:sz w:val="13"/>
                <w:szCs w:val="13"/>
                <w:color w:val="auto"/>
                <w:w w:val="86"/>
              </w:rPr>
              <w:t>6/4/2013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5"/>
          </w:tcPr>
          <w:p>
            <w:pPr>
              <w:jc w:val="right"/>
              <w:ind w:right="97"/>
              <w:spacing w:after="0"/>
              <w:rPr>
                <w:sz w:val="20"/>
                <w:szCs w:val="20"/>
                <w:color w:val="auto"/>
              </w:rPr>
            </w:pPr>
            <w:r>
              <w:rPr>
                <w:rFonts w:ascii="Arial" w:cs="Arial" w:eastAsia="Arial" w:hAnsi="Arial"/>
                <w:sz w:val="13"/>
                <w:szCs w:val="13"/>
                <w:color w:val="auto"/>
              </w:rPr>
              <w:t>23.3%</w:t>
            </w:r>
          </w:p>
        </w:tc>
        <w:tc>
          <w:tcPr>
            <w:tcW w:w="6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6,378,611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7,016,733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2014-1 Ltd.</w:t>
            </w:r>
            <w:r>
              <w:rPr>
                <w:rFonts w:ascii="Arial" w:cs="Arial" w:eastAsia="Arial" w:hAnsi="Arial"/>
                <w:sz w:val="10"/>
                <w:szCs w:val="10"/>
                <w:color w:val="auto"/>
              </w:rPr>
              <w:t>(3)(13)</w:t>
            </w:r>
          </w:p>
        </w:tc>
        <w:tc>
          <w:tcPr>
            <w:tcW w:w="60" w:type="dxa"/>
            <w:vAlign w:val="bottom"/>
            <w:shd w:val="clear" w:color="auto" w:fill="CFF0FC"/>
          </w:tcPr>
          <w:p>
            <w:pPr>
              <w:spacing w:after="0"/>
              <w:rPr>
                <w:sz w:val="11"/>
                <w:szCs w:val="11"/>
                <w:color w:val="auto"/>
              </w:rPr>
            </w:pPr>
          </w:p>
        </w:tc>
        <w:tc>
          <w:tcPr>
            <w:tcW w:w="3040" w:type="dxa"/>
            <w:vAlign w:val="bottom"/>
            <w:gridSpan w:val="5"/>
            <w:shd w:val="clear" w:color="auto" w:fill="CFF0FC"/>
          </w:tcPr>
          <w:p>
            <w:pPr>
              <w:ind w:left="80"/>
              <w:spacing w:after="0" w:line="134" w:lineRule="exact"/>
              <w:rPr>
                <w:sz w:val="20"/>
                <w:szCs w:val="20"/>
                <w:color w:val="auto"/>
              </w:rPr>
            </w:pPr>
            <w:r>
              <w:rPr>
                <w:rFonts w:ascii="Arial" w:cs="Arial" w:eastAsia="Arial" w:hAnsi="Arial"/>
                <w:sz w:val="13"/>
                <w:szCs w:val="13"/>
                <w:color w:val="auto"/>
              </w:rPr>
              <w:t>Subordinated Securities, effective interest 13.6%,</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200" w:type="dxa"/>
            <w:vAlign w:val="bottom"/>
            <w:tcBorders>
              <w:left w:val="single" w:sz="8" w:color="CFF0FC"/>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40" w:type="dxa"/>
            <w:vAlign w:val="bottom"/>
            <w:gridSpan w:val="5"/>
            <w:shd w:val="clear" w:color="auto" w:fill="CFF0FC"/>
          </w:tcPr>
          <w:p>
            <w:pPr>
              <w:ind w:left="80"/>
              <w:spacing w:after="0"/>
              <w:rPr>
                <w:sz w:val="20"/>
                <w:szCs w:val="20"/>
                <w:color w:val="auto"/>
              </w:rPr>
            </w:pPr>
            <w:r>
              <w:rPr>
                <w:rFonts w:ascii="Arial" w:cs="Arial" w:eastAsia="Arial" w:hAnsi="Arial"/>
                <w:sz w:val="13"/>
                <w:szCs w:val="13"/>
                <w:color w:val="auto"/>
              </w:rPr>
              <w:t>4/30 maturity</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center"/>
              <w:ind w:left="197"/>
              <w:spacing w:after="0"/>
              <w:rPr>
                <w:sz w:val="20"/>
                <w:szCs w:val="20"/>
                <w:color w:val="auto"/>
              </w:rPr>
            </w:pPr>
            <w:r>
              <w:rPr>
                <w:rFonts w:ascii="Arial" w:cs="Arial" w:eastAsia="Arial" w:hAnsi="Arial"/>
                <w:sz w:val="13"/>
                <w:szCs w:val="13"/>
                <w:color w:val="auto"/>
                <w:w w:val="86"/>
              </w:rPr>
              <w:t>5/6/2014</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gridSpan w:val="5"/>
            <w:shd w:val="clear" w:color="auto" w:fill="CFF0FC"/>
          </w:tcPr>
          <w:p>
            <w:pPr>
              <w:jc w:val="right"/>
              <w:ind w:right="97"/>
              <w:spacing w:after="0"/>
              <w:rPr>
                <w:sz w:val="20"/>
                <w:szCs w:val="20"/>
                <w:color w:val="auto"/>
              </w:rPr>
            </w:pPr>
            <w:r>
              <w:rPr>
                <w:rFonts w:ascii="Arial" w:cs="Arial" w:eastAsia="Arial" w:hAnsi="Arial"/>
                <w:sz w:val="13"/>
                <w:szCs w:val="13"/>
                <w:color w:val="auto"/>
              </w:rPr>
              <w:t>25.1%</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11,740,622</w:t>
            </w:r>
          </w:p>
        </w:tc>
        <w:tc>
          <w:tcPr>
            <w:tcW w:w="20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9,777,251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00" w:type="dxa"/>
            <w:vAlign w:val="bottom"/>
          </w:tcPr>
          <w:p>
            <w:pPr>
              <w:spacing w:after="0" w:line="134" w:lineRule="exact"/>
              <w:rPr>
                <w:sz w:val="20"/>
                <w:szCs w:val="20"/>
                <w:color w:val="auto"/>
              </w:rPr>
            </w:pPr>
            <w:r>
              <w:rPr>
                <w:rFonts w:ascii="Arial" w:cs="Arial" w:eastAsia="Arial" w:hAnsi="Arial"/>
                <w:sz w:val="13"/>
                <w:szCs w:val="13"/>
                <w:color w:val="auto"/>
              </w:rPr>
              <w:t>Dryden 30 Senior Loan Fund</w:t>
            </w:r>
            <w:r>
              <w:rPr>
                <w:rFonts w:ascii="Arial" w:cs="Arial" w:eastAsia="Arial" w:hAnsi="Arial"/>
                <w:sz w:val="10"/>
                <w:szCs w:val="10"/>
                <w:color w:val="auto"/>
              </w:rPr>
              <w:t>(3)(13)</w:t>
            </w:r>
          </w:p>
        </w:tc>
        <w:tc>
          <w:tcPr>
            <w:tcW w:w="60" w:type="dxa"/>
            <w:vAlign w:val="bottom"/>
          </w:tcPr>
          <w:p>
            <w:pPr>
              <w:spacing w:after="0"/>
              <w:rPr>
                <w:sz w:val="11"/>
                <w:szCs w:val="11"/>
                <w:color w:val="auto"/>
              </w:rPr>
            </w:pPr>
          </w:p>
        </w:tc>
        <w:tc>
          <w:tcPr>
            <w:tcW w:w="3040" w:type="dxa"/>
            <w:vAlign w:val="bottom"/>
            <w:gridSpan w:val="5"/>
          </w:tcPr>
          <w:p>
            <w:pPr>
              <w:ind w:left="80"/>
              <w:spacing w:after="0" w:line="134" w:lineRule="exact"/>
              <w:rPr>
                <w:sz w:val="20"/>
                <w:szCs w:val="20"/>
                <w:color w:val="auto"/>
              </w:rPr>
            </w:pPr>
            <w:r>
              <w:rPr>
                <w:rFonts w:ascii="Arial" w:cs="Arial" w:eastAsia="Arial" w:hAnsi="Arial"/>
                <w:sz w:val="13"/>
                <w:szCs w:val="13"/>
                <w:color w:val="auto"/>
              </w:rPr>
              <w:t>Subordinated Securities, effective interest 27.0%,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12/29 maturity</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4"/>
          </w:tcPr>
          <w:p>
            <w:pPr>
              <w:jc w:val="center"/>
              <w:ind w:left="37"/>
              <w:spacing w:after="0"/>
              <w:rPr>
                <w:sz w:val="20"/>
                <w:szCs w:val="20"/>
                <w:color w:val="auto"/>
              </w:rPr>
            </w:pPr>
            <w:r>
              <w:rPr>
                <w:rFonts w:ascii="Arial" w:cs="Arial" w:eastAsia="Arial" w:hAnsi="Arial"/>
                <w:sz w:val="13"/>
                <w:szCs w:val="13"/>
                <w:color w:val="auto"/>
                <w:w w:val="86"/>
              </w:rPr>
              <w:t>10/10/2013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5"/>
          </w:tcPr>
          <w:p>
            <w:pPr>
              <w:jc w:val="right"/>
              <w:ind w:right="97"/>
              <w:spacing w:after="0"/>
              <w:rPr>
                <w:sz w:val="20"/>
                <w:szCs w:val="20"/>
                <w:color w:val="auto"/>
              </w:rPr>
            </w:pPr>
            <w:r>
              <w:rPr>
                <w:rFonts w:ascii="Arial" w:cs="Arial" w:eastAsia="Arial" w:hAnsi="Arial"/>
                <w:sz w:val="13"/>
                <w:szCs w:val="13"/>
                <w:color w:val="auto"/>
              </w:rPr>
              <w:t>6.8%</w:t>
            </w:r>
          </w:p>
        </w:tc>
        <w:tc>
          <w:tcPr>
            <w:tcW w:w="6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1,438,701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1,913,925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2014-2 Ltd.</w:t>
            </w:r>
            <w:r>
              <w:rPr>
                <w:rFonts w:ascii="Arial" w:cs="Arial" w:eastAsia="Arial" w:hAnsi="Arial"/>
                <w:sz w:val="10"/>
                <w:szCs w:val="10"/>
                <w:color w:val="auto"/>
              </w:rPr>
              <w:t>(3)(13)</w:t>
            </w:r>
          </w:p>
        </w:tc>
        <w:tc>
          <w:tcPr>
            <w:tcW w:w="60" w:type="dxa"/>
            <w:vAlign w:val="bottom"/>
            <w:shd w:val="clear" w:color="auto" w:fill="CFF0FC"/>
          </w:tcPr>
          <w:p>
            <w:pPr>
              <w:spacing w:after="0"/>
              <w:rPr>
                <w:sz w:val="11"/>
                <w:szCs w:val="11"/>
                <w:color w:val="auto"/>
              </w:rPr>
            </w:pPr>
          </w:p>
        </w:tc>
        <w:tc>
          <w:tcPr>
            <w:tcW w:w="3040" w:type="dxa"/>
            <w:vAlign w:val="bottom"/>
            <w:gridSpan w:val="5"/>
            <w:shd w:val="clear" w:color="auto" w:fill="CFF0FC"/>
          </w:tcPr>
          <w:p>
            <w:pPr>
              <w:ind w:left="80"/>
              <w:spacing w:after="0" w:line="134" w:lineRule="exact"/>
              <w:rPr>
                <w:sz w:val="20"/>
                <w:szCs w:val="20"/>
                <w:color w:val="auto"/>
              </w:rPr>
            </w:pPr>
            <w:r>
              <w:rPr>
                <w:rFonts w:ascii="Arial" w:cs="Arial" w:eastAsia="Arial" w:hAnsi="Arial"/>
                <w:sz w:val="13"/>
                <w:szCs w:val="13"/>
                <w:color w:val="auto"/>
              </w:rPr>
              <w:t>Subordinated Securities, effective interest 10.4%,</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200" w:type="dxa"/>
            <w:vAlign w:val="bottom"/>
            <w:tcBorders>
              <w:left w:val="single" w:sz="8" w:color="CFF0FC"/>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40" w:type="dxa"/>
            <w:vAlign w:val="bottom"/>
            <w:gridSpan w:val="5"/>
            <w:shd w:val="clear" w:color="auto" w:fill="CFF0FC"/>
          </w:tcPr>
          <w:p>
            <w:pPr>
              <w:ind w:left="80"/>
              <w:spacing w:after="0"/>
              <w:rPr>
                <w:sz w:val="20"/>
                <w:szCs w:val="20"/>
                <w:color w:val="auto"/>
              </w:rPr>
            </w:pPr>
            <w:r>
              <w:rPr>
                <w:rFonts w:ascii="Arial" w:cs="Arial" w:eastAsia="Arial" w:hAnsi="Arial"/>
                <w:sz w:val="13"/>
                <w:szCs w:val="13"/>
                <w:color w:val="auto"/>
              </w:rPr>
              <w:t>11/25 maturity</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00" w:type="dxa"/>
            <w:vAlign w:val="bottom"/>
            <w:gridSpan w:val="4"/>
            <w:shd w:val="clear" w:color="auto" w:fill="CFF0FC"/>
          </w:tcPr>
          <w:p>
            <w:pPr>
              <w:jc w:val="center"/>
              <w:ind w:left="37"/>
              <w:spacing w:after="0"/>
              <w:rPr>
                <w:sz w:val="20"/>
                <w:szCs w:val="20"/>
                <w:color w:val="auto"/>
              </w:rPr>
            </w:pPr>
            <w:r>
              <w:rPr>
                <w:rFonts w:ascii="Arial" w:cs="Arial" w:eastAsia="Arial" w:hAnsi="Arial"/>
                <w:sz w:val="13"/>
                <w:szCs w:val="13"/>
                <w:color w:val="auto"/>
                <w:w w:val="89"/>
              </w:rPr>
              <w:t>8/15/2014</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gridSpan w:val="5"/>
            <w:shd w:val="clear" w:color="auto" w:fill="CFF0FC"/>
          </w:tcPr>
          <w:p>
            <w:pPr>
              <w:jc w:val="right"/>
              <w:ind w:right="97"/>
              <w:spacing w:after="0"/>
              <w:rPr>
                <w:sz w:val="20"/>
                <w:szCs w:val="20"/>
                <w:color w:val="auto"/>
              </w:rPr>
            </w:pPr>
            <w:r>
              <w:rPr>
                <w:rFonts w:ascii="Arial" w:cs="Arial" w:eastAsia="Arial" w:hAnsi="Arial"/>
                <w:sz w:val="13"/>
                <w:szCs w:val="13"/>
                <w:color w:val="auto"/>
              </w:rPr>
              <w:t>24.9%</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6,314,484</w:t>
            </w:r>
          </w:p>
        </w:tc>
        <w:tc>
          <w:tcPr>
            <w:tcW w:w="20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2,158,200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00" w:type="dxa"/>
            <w:vAlign w:val="bottom"/>
          </w:tcPr>
          <w:p>
            <w:pPr>
              <w:spacing w:after="0" w:line="134" w:lineRule="exact"/>
              <w:rPr>
                <w:sz w:val="20"/>
                <w:szCs w:val="20"/>
                <w:color w:val="auto"/>
              </w:rPr>
            </w:pPr>
            <w:r>
              <w:rPr>
                <w:rFonts w:ascii="Arial" w:cs="Arial" w:eastAsia="Arial" w:hAnsi="Arial"/>
                <w:sz w:val="13"/>
                <w:szCs w:val="13"/>
                <w:color w:val="auto"/>
              </w:rPr>
              <w:t>Catamaran CLO 2015-1 Ltd.</w:t>
            </w:r>
            <w:r>
              <w:rPr>
                <w:rFonts w:ascii="Arial" w:cs="Arial" w:eastAsia="Arial" w:hAnsi="Arial"/>
                <w:sz w:val="10"/>
                <w:szCs w:val="10"/>
                <w:color w:val="auto"/>
              </w:rPr>
              <w:t>(3)(13)</w:t>
            </w:r>
          </w:p>
        </w:tc>
        <w:tc>
          <w:tcPr>
            <w:tcW w:w="60" w:type="dxa"/>
            <w:vAlign w:val="bottom"/>
          </w:tcPr>
          <w:p>
            <w:pPr>
              <w:spacing w:after="0"/>
              <w:rPr>
                <w:sz w:val="11"/>
                <w:szCs w:val="11"/>
                <w:color w:val="auto"/>
              </w:rPr>
            </w:pPr>
          </w:p>
        </w:tc>
        <w:tc>
          <w:tcPr>
            <w:tcW w:w="3040" w:type="dxa"/>
            <w:vAlign w:val="bottom"/>
            <w:gridSpan w:val="5"/>
          </w:tcPr>
          <w:p>
            <w:pPr>
              <w:ind w:left="80"/>
              <w:spacing w:after="0" w:line="134" w:lineRule="exact"/>
              <w:rPr>
                <w:sz w:val="20"/>
                <w:szCs w:val="20"/>
                <w:color w:val="auto"/>
              </w:rPr>
            </w:pPr>
            <w:r>
              <w:rPr>
                <w:rFonts w:ascii="Arial" w:cs="Arial" w:eastAsia="Arial" w:hAnsi="Arial"/>
                <w:sz w:val="13"/>
                <w:szCs w:val="13"/>
                <w:color w:val="auto"/>
              </w:rPr>
              <w:t>Subordinated Securities, effective interest 11.4%,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10/26 maturity</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tcPr>
          <w:p>
            <w:pPr>
              <w:jc w:val="center"/>
              <w:ind w:left="197"/>
              <w:spacing w:after="0"/>
              <w:rPr>
                <w:sz w:val="20"/>
                <w:szCs w:val="20"/>
                <w:color w:val="auto"/>
              </w:rPr>
            </w:pPr>
            <w:r>
              <w:rPr>
                <w:rFonts w:ascii="Arial" w:cs="Arial" w:eastAsia="Arial" w:hAnsi="Arial"/>
                <w:sz w:val="13"/>
                <w:szCs w:val="13"/>
                <w:color w:val="auto"/>
                <w:w w:val="86"/>
              </w:rPr>
              <w:t>5/5/2015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5"/>
          </w:tcPr>
          <w:p>
            <w:pPr>
              <w:jc w:val="right"/>
              <w:ind w:right="97"/>
              <w:spacing w:after="0"/>
              <w:rPr>
                <w:sz w:val="20"/>
                <w:szCs w:val="20"/>
                <w:color w:val="auto"/>
              </w:rPr>
            </w:pPr>
            <w:r>
              <w:rPr>
                <w:rFonts w:ascii="Arial" w:cs="Arial" w:eastAsia="Arial" w:hAnsi="Arial"/>
                <w:sz w:val="13"/>
                <w:szCs w:val="13"/>
                <w:color w:val="auto"/>
              </w:rPr>
              <w:t>9.9%</w:t>
            </w:r>
          </w:p>
        </w:tc>
        <w:tc>
          <w:tcPr>
            <w:tcW w:w="6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4,353,347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3,048,698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2016-1 Ltd.</w:t>
            </w:r>
            <w:r>
              <w:rPr>
                <w:rFonts w:ascii="Arial" w:cs="Arial" w:eastAsia="Arial" w:hAnsi="Arial"/>
                <w:sz w:val="10"/>
                <w:szCs w:val="10"/>
                <w:color w:val="auto"/>
              </w:rPr>
              <w:t>(3)(13)</w:t>
            </w:r>
          </w:p>
        </w:tc>
        <w:tc>
          <w:tcPr>
            <w:tcW w:w="60" w:type="dxa"/>
            <w:vAlign w:val="bottom"/>
            <w:shd w:val="clear" w:color="auto" w:fill="CFF0FC"/>
          </w:tcPr>
          <w:p>
            <w:pPr>
              <w:spacing w:after="0"/>
              <w:rPr>
                <w:sz w:val="11"/>
                <w:szCs w:val="11"/>
                <w:color w:val="auto"/>
              </w:rPr>
            </w:pPr>
          </w:p>
        </w:tc>
        <w:tc>
          <w:tcPr>
            <w:tcW w:w="3040" w:type="dxa"/>
            <w:vAlign w:val="bottom"/>
            <w:gridSpan w:val="5"/>
            <w:shd w:val="clear" w:color="auto" w:fill="CFF0FC"/>
          </w:tcPr>
          <w:p>
            <w:pPr>
              <w:ind w:left="80"/>
              <w:spacing w:after="0" w:line="134" w:lineRule="exact"/>
              <w:rPr>
                <w:sz w:val="20"/>
                <w:szCs w:val="20"/>
                <w:color w:val="auto"/>
              </w:rPr>
            </w:pPr>
            <w:r>
              <w:rPr>
                <w:rFonts w:ascii="Arial" w:cs="Arial" w:eastAsia="Arial" w:hAnsi="Arial"/>
                <w:sz w:val="13"/>
                <w:szCs w:val="13"/>
                <w:color w:val="auto"/>
              </w:rPr>
              <w:t>Subordinated Securities, effective interest 9.1%,</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200" w:type="dxa"/>
            <w:vAlign w:val="bottom"/>
            <w:tcBorders>
              <w:left w:val="single" w:sz="8" w:color="CFF0FC"/>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040" w:type="dxa"/>
            <w:vAlign w:val="bottom"/>
            <w:gridSpan w:val="5"/>
            <w:shd w:val="clear" w:color="auto" w:fill="CFF0FC"/>
          </w:tcPr>
          <w:p>
            <w:pPr>
              <w:ind w:left="80"/>
              <w:spacing w:after="0"/>
              <w:rPr>
                <w:sz w:val="20"/>
                <w:szCs w:val="20"/>
                <w:color w:val="auto"/>
              </w:rPr>
            </w:pPr>
            <w:r>
              <w:rPr>
                <w:rFonts w:ascii="Arial" w:cs="Arial" w:eastAsia="Arial" w:hAnsi="Arial"/>
                <w:sz w:val="13"/>
                <w:szCs w:val="13"/>
                <w:color w:val="auto"/>
              </w:rPr>
              <w:t>4/27 maturity</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00" w:type="dxa"/>
            <w:vAlign w:val="bottom"/>
            <w:gridSpan w:val="4"/>
            <w:shd w:val="clear" w:color="auto" w:fill="CFF0FC"/>
          </w:tcPr>
          <w:p>
            <w:pPr>
              <w:jc w:val="center"/>
              <w:ind w:left="37"/>
              <w:spacing w:after="0"/>
              <w:rPr>
                <w:sz w:val="20"/>
                <w:szCs w:val="20"/>
                <w:color w:val="auto"/>
              </w:rPr>
            </w:pPr>
            <w:r>
              <w:rPr>
                <w:rFonts w:ascii="Arial" w:cs="Arial" w:eastAsia="Arial" w:hAnsi="Arial"/>
                <w:sz w:val="13"/>
                <w:szCs w:val="13"/>
                <w:color w:val="auto"/>
                <w:w w:val="86"/>
              </w:rPr>
              <w:t>12/21/2016</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gridSpan w:val="5"/>
            <w:shd w:val="clear" w:color="auto" w:fill="CFF0FC"/>
          </w:tcPr>
          <w:p>
            <w:pPr>
              <w:jc w:val="right"/>
              <w:ind w:right="97"/>
              <w:spacing w:after="0"/>
              <w:rPr>
                <w:sz w:val="20"/>
                <w:szCs w:val="20"/>
                <w:color w:val="auto"/>
              </w:rPr>
            </w:pPr>
            <w:r>
              <w:rPr>
                <w:rFonts w:ascii="Arial" w:cs="Arial" w:eastAsia="Arial" w:hAnsi="Arial"/>
                <w:sz w:val="13"/>
                <w:szCs w:val="13"/>
                <w:color w:val="auto"/>
              </w:rPr>
              <w:t>24.9%</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9,717,150</w:t>
            </w:r>
          </w:p>
        </w:tc>
        <w:tc>
          <w:tcPr>
            <w:tcW w:w="20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7,067,073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00" w:type="dxa"/>
            <w:vAlign w:val="bottom"/>
          </w:tcPr>
          <w:p>
            <w:pPr>
              <w:spacing w:after="0" w:line="134" w:lineRule="exact"/>
              <w:rPr>
                <w:sz w:val="20"/>
                <w:szCs w:val="20"/>
                <w:color w:val="auto"/>
              </w:rPr>
            </w:pPr>
            <w:r>
              <w:rPr>
                <w:rFonts w:ascii="Arial" w:cs="Arial" w:eastAsia="Arial" w:hAnsi="Arial"/>
                <w:sz w:val="13"/>
                <w:szCs w:val="13"/>
                <w:color w:val="auto"/>
              </w:rPr>
              <w:t>Catamaran CLO 2018-1 Ltd</w:t>
            </w:r>
            <w:r>
              <w:rPr>
                <w:rFonts w:ascii="Arial" w:cs="Arial" w:eastAsia="Arial" w:hAnsi="Arial"/>
                <w:sz w:val="10"/>
                <w:szCs w:val="10"/>
                <w:color w:val="auto"/>
              </w:rPr>
              <w:t>(3)(13)</w:t>
            </w:r>
          </w:p>
        </w:tc>
        <w:tc>
          <w:tcPr>
            <w:tcW w:w="60" w:type="dxa"/>
            <w:vAlign w:val="bottom"/>
          </w:tcPr>
          <w:p>
            <w:pPr>
              <w:spacing w:after="0"/>
              <w:rPr>
                <w:sz w:val="11"/>
                <w:szCs w:val="11"/>
                <w:color w:val="auto"/>
              </w:rPr>
            </w:pPr>
          </w:p>
        </w:tc>
        <w:tc>
          <w:tcPr>
            <w:tcW w:w="3040" w:type="dxa"/>
            <w:vAlign w:val="bottom"/>
            <w:gridSpan w:val="5"/>
          </w:tcPr>
          <w:p>
            <w:pPr>
              <w:ind w:left="80"/>
              <w:spacing w:after="0" w:line="134" w:lineRule="exact"/>
              <w:rPr>
                <w:sz w:val="20"/>
                <w:szCs w:val="20"/>
                <w:color w:val="auto"/>
              </w:rPr>
            </w:pPr>
            <w:r>
              <w:rPr>
                <w:rFonts w:ascii="Arial" w:cs="Arial" w:eastAsia="Arial" w:hAnsi="Arial"/>
                <w:sz w:val="13"/>
                <w:szCs w:val="13"/>
                <w:color w:val="auto"/>
              </w:rPr>
              <w:t>Subordinated Securities, effective interest 14.5%,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3040" w:type="dxa"/>
            <w:vAlign w:val="bottom"/>
            <w:tcBorders>
              <w:bottom w:val="single" w:sz="8" w:color="CFF0FC"/>
            </w:tcBorders>
            <w:gridSpan w:val="5"/>
          </w:tcPr>
          <w:p>
            <w:pPr>
              <w:ind w:left="80"/>
              <w:spacing w:after="0"/>
              <w:rPr>
                <w:sz w:val="20"/>
                <w:szCs w:val="20"/>
                <w:color w:val="auto"/>
              </w:rPr>
            </w:pPr>
            <w:r>
              <w:rPr>
                <w:rFonts w:ascii="Arial" w:cs="Arial" w:eastAsia="Arial" w:hAnsi="Arial"/>
                <w:sz w:val="13"/>
                <w:szCs w:val="13"/>
                <w:color w:val="auto"/>
              </w:rPr>
              <w:t>10/31 maturity</w:t>
            </w:r>
          </w:p>
        </w:tc>
        <w:tc>
          <w:tcPr>
            <w:tcW w:w="2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900" w:type="dxa"/>
            <w:vAlign w:val="bottom"/>
            <w:tcBorders>
              <w:bottom w:val="single" w:sz="8" w:color="CFF0FC"/>
            </w:tcBorders>
            <w:gridSpan w:val="4"/>
          </w:tcPr>
          <w:p>
            <w:pPr>
              <w:jc w:val="center"/>
              <w:ind w:left="37"/>
              <w:spacing w:after="0"/>
              <w:rPr>
                <w:sz w:val="20"/>
                <w:szCs w:val="20"/>
                <w:color w:val="auto"/>
              </w:rPr>
            </w:pPr>
            <w:r>
              <w:rPr>
                <w:rFonts w:ascii="Arial" w:cs="Arial" w:eastAsia="Arial" w:hAnsi="Arial"/>
                <w:sz w:val="13"/>
                <w:szCs w:val="13"/>
                <w:color w:val="auto"/>
                <w:w w:val="89"/>
              </w:rPr>
              <w:t>9/27/2018</w:t>
            </w:r>
          </w:p>
        </w:tc>
        <w:tc>
          <w:tcPr>
            <w:tcW w:w="16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8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720" w:type="dxa"/>
            <w:vAlign w:val="bottom"/>
            <w:tcBorders>
              <w:bottom w:val="single" w:sz="8" w:color="CFF0FC"/>
            </w:tcBorders>
            <w:gridSpan w:val="5"/>
          </w:tcPr>
          <w:p>
            <w:pPr>
              <w:jc w:val="right"/>
              <w:ind w:right="97"/>
              <w:spacing w:after="0"/>
              <w:rPr>
                <w:sz w:val="20"/>
                <w:szCs w:val="20"/>
                <w:color w:val="auto"/>
              </w:rPr>
            </w:pPr>
            <w:r>
              <w:rPr>
                <w:rFonts w:ascii="Arial" w:cs="Arial" w:eastAsia="Arial" w:hAnsi="Arial"/>
                <w:sz w:val="13"/>
                <w:szCs w:val="13"/>
                <w:color w:val="auto"/>
              </w:rPr>
              <w:t>24.8%</w:t>
            </w: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9,843,450</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8,500,000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700" w:type="dxa"/>
            <w:vAlign w:val="bottom"/>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Total Investment in CLO</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6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left w:val="single" w:sz="8" w:color="CFF0FC"/>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00" w:type="dxa"/>
            <w:vAlign w:val="bottom"/>
            <w:shd w:val="clear" w:color="auto" w:fill="CFF0FC"/>
          </w:tcPr>
          <w:p>
            <w:pPr>
              <w:ind w:left="80"/>
              <w:spacing w:after="0"/>
              <w:rPr>
                <w:sz w:val="20"/>
                <w:szCs w:val="20"/>
                <w:color w:val="auto"/>
              </w:rPr>
            </w:pPr>
            <w:r>
              <w:rPr>
                <w:rFonts w:ascii="Arial" w:cs="Arial" w:eastAsia="Arial" w:hAnsi="Arial"/>
                <w:sz w:val="13"/>
                <w:szCs w:val="13"/>
                <w:b w:val="1"/>
                <w:bCs w:val="1"/>
                <w:color w:val="auto"/>
              </w:rPr>
              <w:t>Subordinated Securities</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51,073,520</w:t>
            </w:r>
          </w:p>
        </w:tc>
        <w:tc>
          <w:tcPr>
            <w:tcW w:w="200" w:type="dxa"/>
            <w:vAlign w:val="bottom"/>
            <w:tcBorders>
              <w:left w:val="single" w:sz="8" w:color="CFF0FC"/>
              <w:right w:val="single" w:sz="8" w:color="CFF0FC"/>
            </w:tcBorders>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39,851,160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CLO Rated-Note Investment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4"/>
              </w:rPr>
              <w:t>Initial</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5"/>
          </w:tcPr>
          <w:p>
            <w:pPr>
              <w:jc w:val="center"/>
              <w:ind w:left="77"/>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6"/>
          </w:tcPr>
          <w:p>
            <w:pPr>
              <w:ind w:left="340"/>
              <w:spacing w:after="0" w:line="135" w:lineRule="exact"/>
              <w:rPr>
                <w:sz w:val="20"/>
                <w:szCs w:val="20"/>
                <w:color w:val="auto"/>
              </w:rPr>
            </w:pPr>
            <w:r>
              <w:rPr>
                <w:rFonts w:ascii="Arial" w:cs="Arial" w:eastAsia="Arial" w:hAnsi="Arial"/>
                <w:sz w:val="13"/>
                <w:szCs w:val="13"/>
                <w:b w:val="1"/>
                <w:bCs w:val="1"/>
                <w:color w:val="auto"/>
              </w:rPr>
              <w:t>Percentage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00" w:type="dxa"/>
            <w:vAlign w:val="bottom"/>
          </w:tcPr>
          <w:p>
            <w:pPr>
              <w:ind w:left="840"/>
              <w:spacing w:after="0"/>
              <w:rPr>
                <w:sz w:val="20"/>
                <w:szCs w:val="20"/>
                <w:color w:val="auto"/>
              </w:rPr>
            </w:pPr>
            <w:r>
              <w:rPr>
                <w:rFonts w:ascii="Arial" w:cs="Arial" w:eastAsia="Arial" w:hAnsi="Arial"/>
                <w:sz w:val="13"/>
                <w:szCs w:val="13"/>
                <w:b w:val="1"/>
                <w:bCs w:val="1"/>
                <w:color w:val="auto"/>
              </w:rPr>
              <w:t>Portfolio Company</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2"/>
          </w:tcPr>
          <w:p>
            <w:pPr>
              <w:ind w:left="86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gridSpan w:val="3"/>
          </w:tcPr>
          <w:p>
            <w:pPr>
              <w:jc w:val="center"/>
              <w:ind w:right="137"/>
              <w:spacing w:after="0"/>
              <w:rPr>
                <w:sz w:val="20"/>
                <w:szCs w:val="20"/>
                <w:color w:val="auto"/>
              </w:rPr>
            </w:pPr>
            <w:r>
              <w:rPr>
                <w:rFonts w:ascii="Arial" w:cs="Arial" w:eastAsia="Arial" w:hAnsi="Arial"/>
                <w:sz w:val="13"/>
                <w:szCs w:val="13"/>
                <w:b w:val="1"/>
                <w:bCs w:val="1"/>
                <w:color w:val="auto"/>
                <w:w w:val="92"/>
              </w:rPr>
              <w:t>Date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6"/>
          </w:tcPr>
          <w:p>
            <w:pPr>
              <w:ind w:left="340"/>
              <w:spacing w:after="0"/>
              <w:rPr>
                <w:sz w:val="20"/>
                <w:szCs w:val="20"/>
                <w:color w:val="auto"/>
              </w:rPr>
            </w:pPr>
            <w:r>
              <w:rPr>
                <w:rFonts w:ascii="Arial" w:cs="Arial" w:eastAsia="Arial" w:hAnsi="Arial"/>
                <w:sz w:val="13"/>
                <w:szCs w:val="13"/>
                <w:b w:val="1"/>
                <w:bCs w:val="1"/>
                <w:color w:val="auto"/>
              </w:rPr>
              <w:t>Ownership</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6"/>
          </w:tcPr>
          <w:p>
            <w:pPr>
              <w:jc w:val="right"/>
              <w:ind w:right="480"/>
              <w:spacing w:after="0"/>
              <w:rPr>
                <w:sz w:val="20"/>
                <w:szCs w:val="20"/>
                <w:color w:val="auto"/>
              </w:rPr>
            </w:pPr>
            <w:r>
              <w:rPr>
                <w:rFonts w:ascii="Arial" w:cs="Arial" w:eastAsia="Arial" w:hAnsi="Arial"/>
                <w:sz w:val="13"/>
                <w:szCs w:val="13"/>
                <w:b w:val="1"/>
                <w:bCs w:val="1"/>
                <w:color w:val="auto"/>
                <w:w w:val="95"/>
              </w:rPr>
              <w:t>Amortized Cost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KCAP 2017-1A</w:t>
            </w:r>
            <w:r>
              <w:rPr>
                <w:rFonts w:ascii="Arial" w:cs="Arial" w:eastAsia="Arial" w:hAnsi="Arial"/>
                <w:sz w:val="10"/>
                <w:szCs w:val="10"/>
                <w:color w:val="auto"/>
              </w:rPr>
              <w:t>(6)(13)</w:t>
            </w:r>
          </w:p>
        </w:tc>
        <w:tc>
          <w:tcPr>
            <w:tcW w:w="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right w:val="single" w:sz="8" w:color="CFF0FC"/>
            </w:tcBorders>
            <w:shd w:val="clear" w:color="auto" w:fill="CFF0FC"/>
          </w:tcPr>
          <w:p>
            <w:pPr>
              <w:spacing w:after="0"/>
              <w:rPr>
                <w:sz w:val="11"/>
                <w:szCs w:val="11"/>
                <w:color w:val="auto"/>
              </w:rPr>
            </w:pPr>
          </w:p>
        </w:tc>
        <w:tc>
          <w:tcPr>
            <w:tcW w:w="274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rPr>
              <w:t>Class E Notes, 10.29% Cash, 3 month</w:t>
            </w:r>
          </w:p>
        </w:tc>
        <w:tc>
          <w:tcPr>
            <w:tcW w:w="1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right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right w:val="single" w:sz="8" w:color="CFF0FC"/>
            </w:tcBorders>
            <w:shd w:val="clear" w:color="auto" w:fill="CFF0FC"/>
          </w:tcPr>
          <w:p>
            <w:pPr>
              <w:spacing w:after="0"/>
              <w:rPr>
                <w:sz w:val="11"/>
                <w:szCs w:val="11"/>
                <w:color w:val="auto"/>
              </w:rPr>
            </w:pPr>
          </w:p>
        </w:tc>
        <w:tc>
          <w:tcPr>
            <w:tcW w:w="200" w:type="dxa"/>
            <w:vAlign w:val="bottom"/>
            <w:tcBorders>
              <w:top w:val="single" w:sz="8" w:color="auto"/>
              <w:left w:val="single" w:sz="8" w:color="CFF0FC"/>
              <w:right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right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288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LIBOR (2.79%) + 7.50%, Due 12/29</w:t>
            </w:r>
          </w:p>
        </w:tc>
        <w:tc>
          <w:tcPr>
            <w:tcW w:w="800" w:type="dxa"/>
            <w:vAlign w:val="bottom"/>
            <w:gridSpan w:val="5"/>
            <w:shd w:val="clear" w:color="auto" w:fill="CFF0FC"/>
          </w:tcPr>
          <w:p>
            <w:pPr>
              <w:jc w:val="center"/>
              <w:ind w:left="77"/>
              <w:spacing w:after="0"/>
              <w:rPr>
                <w:sz w:val="20"/>
                <w:szCs w:val="20"/>
                <w:color w:val="auto"/>
              </w:rPr>
            </w:pPr>
            <w:r>
              <w:rPr>
                <w:rFonts w:ascii="Arial" w:cs="Arial" w:eastAsia="Arial" w:hAnsi="Arial"/>
                <w:sz w:val="13"/>
                <w:szCs w:val="13"/>
                <w:color w:val="auto"/>
                <w:w w:val="89"/>
              </w:rPr>
              <w:t>10/24/2017</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gridSpan w:val="3"/>
            <w:shd w:val="clear" w:color="auto" w:fill="CFF0FC"/>
          </w:tcPr>
          <w:p>
            <w:pPr>
              <w:ind w:left="300"/>
              <w:spacing w:after="0"/>
              <w:rPr>
                <w:sz w:val="20"/>
                <w:szCs w:val="20"/>
                <w:color w:val="auto"/>
              </w:rPr>
            </w:pPr>
            <w:r>
              <w:rPr>
                <w:rFonts w:ascii="Arial" w:cs="Arial" w:eastAsia="Arial" w:hAnsi="Arial"/>
                <w:sz w:val="13"/>
                <w:szCs w:val="13"/>
                <w:color w:val="auto"/>
                <w:w w:val="97"/>
              </w:rPr>
              <w:t>27.4%</w:t>
            </w:r>
          </w:p>
        </w:tc>
        <w:tc>
          <w:tcPr>
            <w:tcW w:w="24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4,407,106</w:t>
            </w:r>
          </w:p>
        </w:tc>
        <w:tc>
          <w:tcPr>
            <w:tcW w:w="26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left w:val="single" w:sz="8" w:color="CFF0FC"/>
              <w:right w:val="single" w:sz="8" w:color="CFF0FC"/>
            </w:tcBorders>
            <w:shd w:val="clear" w:color="auto" w:fill="CFF0FC"/>
          </w:tcPr>
          <w:p>
            <w:pPr>
              <w:jc w:val="right"/>
              <w:ind w:right="93"/>
              <w:spacing w:after="0"/>
              <w:rPr>
                <w:sz w:val="20"/>
                <w:szCs w:val="20"/>
                <w:color w:val="auto"/>
              </w:rPr>
            </w:pPr>
            <w:r>
              <w:rPr>
                <w:rFonts w:ascii="Arial" w:cs="Arial" w:eastAsia="Arial" w:hAnsi="Arial"/>
                <w:sz w:val="9"/>
                <w:szCs w:val="9"/>
                <w:color w:val="auto"/>
                <w:w w:val="78"/>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4,473,840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Total Investment in CLO Rated-Note</w:t>
            </w: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6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40" w:type="dxa"/>
            <w:vAlign w:val="bottom"/>
            <w:tcBorders>
              <w:top w:val="single" w:sz="8" w:color="auto"/>
              <w:bottom w:val="single" w:sz="8" w:color="auto"/>
              <w:right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4,407,106</w:t>
            </w:r>
          </w:p>
        </w:tc>
        <w:tc>
          <w:tcPr>
            <w:tcW w:w="260" w:type="dxa"/>
            <w:vAlign w:val="bottom"/>
            <w:tcBorders>
              <w:top w:val="single" w:sz="8" w:color="CFF0FC"/>
              <w:right w:val="single" w:sz="8" w:color="CFF0FC"/>
            </w:tcBorders>
            <w:shd w:val="clear" w:color="auto" w:fill="CFF0FC"/>
          </w:tcPr>
          <w:p>
            <w:pPr>
              <w:spacing w:after="0"/>
              <w:rPr>
                <w:sz w:val="12"/>
                <w:szCs w:val="12"/>
                <w:color w:val="auto"/>
              </w:rPr>
            </w:pPr>
          </w:p>
        </w:tc>
        <w:tc>
          <w:tcPr>
            <w:tcW w:w="200" w:type="dxa"/>
            <w:vAlign w:val="bottom"/>
            <w:tcBorders>
              <w:top w:val="single" w:sz="8" w:color="auto"/>
              <w:left w:val="single" w:sz="8" w:color="CFF0FC"/>
              <w:bottom w:val="single" w:sz="8" w:color="auto"/>
              <w:right w:val="single" w:sz="8" w:color="CFF0FC"/>
            </w:tcBorders>
            <w:shd w:val="clear" w:color="auto" w:fill="CFF0FC"/>
          </w:tcPr>
          <w:p>
            <w:pPr>
              <w:jc w:val="right"/>
              <w:ind w:right="93"/>
              <w:spacing w:after="0"/>
              <w:rPr>
                <w:sz w:val="20"/>
                <w:szCs w:val="20"/>
                <w:color w:val="auto"/>
              </w:rPr>
            </w:pPr>
            <w:r>
              <w:rPr>
                <w:rFonts w:ascii="Arial" w:cs="Arial" w:eastAsia="Arial" w:hAnsi="Arial"/>
                <w:sz w:val="9"/>
                <w:szCs w:val="9"/>
                <w:color w:val="auto"/>
                <w:w w:val="78"/>
              </w:rPr>
              <w:t>$</w:t>
            </w: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right w:val="single" w:sz="8" w:color="CFF0FC"/>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4,473,840</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0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200" w:type="dxa"/>
            <w:vAlign w:val="bottom"/>
            <w:tcBorders>
              <w:left w:val="single" w:sz="8" w:color="CFF0FC"/>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b w:val="1"/>
                <w:bCs w:val="1"/>
                <w:color w:val="auto"/>
              </w:rPr>
              <w:t>Securities (28% of net asset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200" w:type="dxa"/>
            <w:vAlign w:val="bottom"/>
            <w:tcBorders>
              <w:left w:val="single" w:sz="8" w:color="CFF0FC"/>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00" w:type="dxa"/>
            <w:vAlign w:val="bottom"/>
            <w:shd w:val="clear" w:color="auto" w:fill="CFF0FC"/>
          </w:tcPr>
          <w:p>
            <w:pPr>
              <w:ind w:left="80"/>
              <w:spacing w:after="0"/>
              <w:rPr>
                <w:sz w:val="20"/>
                <w:szCs w:val="20"/>
                <w:color w:val="auto"/>
              </w:rPr>
            </w:pPr>
            <w:r>
              <w:rPr>
                <w:rFonts w:ascii="Arial" w:cs="Arial" w:eastAsia="Arial" w:hAnsi="Arial"/>
                <w:sz w:val="13"/>
                <w:szCs w:val="13"/>
                <w:b w:val="1"/>
                <w:bCs w:val="1"/>
                <w:color w:val="auto"/>
              </w:rPr>
              <w:t>value at fair value)</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9"/>
              </w:rPr>
              <w:t>55,480,626</w:t>
            </w:r>
          </w:p>
        </w:tc>
        <w:tc>
          <w:tcPr>
            <w:tcW w:w="260" w:type="dxa"/>
            <w:vAlign w:val="bottom"/>
            <w:tcBorders>
              <w:right w:val="single" w:sz="8" w:color="CFF0FC"/>
            </w:tcBorders>
            <w:shd w:val="clear" w:color="auto" w:fill="CFF0FC"/>
          </w:tcPr>
          <w:p>
            <w:pPr>
              <w:spacing w:after="0"/>
              <w:rPr>
                <w:sz w:val="13"/>
                <w:szCs w:val="13"/>
                <w:color w:val="auto"/>
              </w:rPr>
            </w:pPr>
          </w:p>
        </w:tc>
        <w:tc>
          <w:tcPr>
            <w:tcW w:w="200" w:type="dxa"/>
            <w:vAlign w:val="bottom"/>
            <w:tcBorders>
              <w:left w:val="single" w:sz="8" w:color="CFF0FC"/>
              <w:right w:val="single" w:sz="8" w:color="CFF0FC"/>
            </w:tcBorders>
            <w:shd w:val="clear" w:color="auto" w:fill="CFF0FC"/>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44,325,000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Asset Manager Affiliates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6"/>
          </w:tcPr>
          <w:p>
            <w:pPr>
              <w:jc w:val="center"/>
              <w:ind w:right="740"/>
              <w:spacing w:after="0"/>
              <w:rPr>
                <w:sz w:val="20"/>
                <w:szCs w:val="20"/>
                <w:color w:val="auto"/>
              </w:rPr>
            </w:pPr>
            <w:r>
              <w:rPr>
                <w:rFonts w:ascii="Arial" w:cs="Arial" w:eastAsia="Arial" w:hAnsi="Arial"/>
                <w:sz w:val="13"/>
                <w:szCs w:val="13"/>
                <w:b w:val="1"/>
                <w:bCs w:val="1"/>
                <w:color w:val="auto"/>
                <w:w w:val="94"/>
              </w:rPr>
              <w:t>Initial</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7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7"/>
          </w:tcPr>
          <w:p>
            <w:pPr>
              <w:jc w:val="center"/>
              <w:ind w:right="60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68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w w:val="82"/>
              </w:rPr>
              <w:t>Percentage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2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2"/>
          </w:tcPr>
          <w:p>
            <w:pPr>
              <w:ind w:left="112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5"/>
          </w:tcPr>
          <w:p>
            <w:pPr>
              <w:jc w:val="center"/>
              <w:ind w:right="780"/>
              <w:spacing w:after="0"/>
              <w:rPr>
                <w:sz w:val="20"/>
                <w:szCs w:val="20"/>
                <w:color w:val="auto"/>
              </w:rPr>
            </w:pPr>
            <w:r>
              <w:rPr>
                <w:rFonts w:ascii="Arial" w:cs="Arial" w:eastAsia="Arial" w:hAnsi="Arial"/>
                <w:sz w:val="13"/>
                <w:szCs w:val="13"/>
                <w:b w:val="1"/>
                <w:bCs w:val="1"/>
                <w:color w:val="auto"/>
                <w:w w:val="85"/>
              </w:rPr>
              <w:t>Date</w:t>
            </w:r>
          </w:p>
        </w:tc>
        <w:tc>
          <w:tcPr>
            <w:tcW w:w="680" w:type="dxa"/>
            <w:vAlign w:val="bottom"/>
            <w:gridSpan w:val="3"/>
          </w:tcPr>
          <w:p>
            <w:pPr>
              <w:ind w:left="80"/>
              <w:spacing w:after="0"/>
              <w:rPr>
                <w:sz w:val="20"/>
                <w:szCs w:val="20"/>
                <w:color w:val="auto"/>
              </w:rPr>
            </w:pPr>
            <w:r>
              <w:rPr>
                <w:rFonts w:ascii="Arial" w:cs="Arial" w:eastAsia="Arial" w:hAnsi="Arial"/>
                <w:sz w:val="13"/>
                <w:szCs w:val="13"/>
                <w:b w:val="1"/>
                <w:bCs w:val="1"/>
                <w:color w:val="auto"/>
                <w:w w:val="86"/>
              </w:rPr>
              <w:t>Ownership</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Fair Value2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27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200" w:type="dxa"/>
            <w:vAlign w:val="bottom"/>
            <w:gridSpan w:val="6"/>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gridSpan w:val="2"/>
            <w:shd w:val="clear" w:color="auto" w:fill="000000"/>
          </w:tcPr>
          <w:p>
            <w:pPr>
              <w:spacing w:after="0" w:line="20" w:lineRule="exact"/>
              <w:rPr>
                <w:sz w:val="1"/>
                <w:szCs w:val="1"/>
                <w:color w:val="auto"/>
              </w:rPr>
            </w:pPr>
          </w:p>
        </w:tc>
        <w:tc>
          <w:tcPr>
            <w:tcW w:w="20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10"/>
                <w:szCs w:val="10"/>
                <w:color w:val="auto"/>
              </w:rPr>
              <w:t>(8)(13)(17)</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140" w:type="dxa"/>
            <w:vAlign w:val="bottom"/>
            <w:vMerge w:val="continue"/>
            <w:shd w:val="clear" w:color="auto" w:fill="CFF0FC"/>
          </w:tcPr>
          <w:p>
            <w:pPr>
              <w:spacing w:after="0"/>
              <w:rPr>
                <w:sz w:val="12"/>
                <w:szCs w:val="12"/>
                <w:color w:val="auto"/>
              </w:rPr>
            </w:pPr>
          </w:p>
        </w:tc>
        <w:tc>
          <w:tcPr>
            <w:tcW w:w="274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rPr>
              <w:t>Asset Management Company</w:t>
            </w:r>
          </w:p>
        </w:tc>
        <w:tc>
          <w:tcPr>
            <w:tcW w:w="200" w:type="dxa"/>
            <w:vAlign w:val="bottom"/>
            <w:shd w:val="clear" w:color="auto" w:fill="CFF0FC"/>
          </w:tcPr>
          <w:p>
            <w:pPr>
              <w:spacing w:after="0"/>
              <w:rPr>
                <w:sz w:val="12"/>
                <w:szCs w:val="12"/>
                <w:color w:val="auto"/>
              </w:rPr>
            </w:pPr>
          </w:p>
        </w:tc>
        <w:tc>
          <w:tcPr>
            <w:tcW w:w="140" w:type="dxa"/>
            <w:vAlign w:val="bottom"/>
            <w:vMerge w:val="continue"/>
            <w:shd w:val="clear" w:color="auto" w:fill="CFF0FC"/>
          </w:tcPr>
          <w:p>
            <w:pPr>
              <w:spacing w:after="0"/>
              <w:rPr>
                <w:sz w:val="12"/>
                <w:szCs w:val="12"/>
                <w:color w:val="auto"/>
              </w:rPr>
            </w:pPr>
          </w:p>
        </w:tc>
        <w:tc>
          <w:tcPr>
            <w:tcW w:w="1200" w:type="dxa"/>
            <w:vAlign w:val="bottom"/>
            <w:gridSpan w:val="6"/>
            <w:shd w:val="clear" w:color="auto" w:fill="CFF0FC"/>
          </w:tcPr>
          <w:p>
            <w:pPr>
              <w:jc w:val="center"/>
              <w:spacing w:after="0" w:line="143" w:lineRule="exact"/>
              <w:rPr>
                <w:sz w:val="20"/>
                <w:szCs w:val="20"/>
                <w:color w:val="auto"/>
              </w:rPr>
            </w:pPr>
            <w:r>
              <w:rPr>
                <w:rFonts w:ascii="Arial" w:cs="Arial" w:eastAsia="Arial" w:hAnsi="Arial"/>
                <w:sz w:val="13"/>
                <w:szCs w:val="13"/>
                <w:color w:val="auto"/>
                <w:w w:val="86"/>
              </w:rPr>
              <w:t>12/11/2006</w:t>
            </w:r>
          </w:p>
        </w:tc>
        <w:tc>
          <w:tcPr>
            <w:tcW w:w="16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gridSpan w:val="3"/>
            <w:shd w:val="clear" w:color="auto" w:fill="CFF0FC"/>
          </w:tcPr>
          <w:p>
            <w:pPr>
              <w:jc w:val="right"/>
              <w:spacing w:after="0" w:line="143" w:lineRule="exact"/>
              <w:rPr>
                <w:sz w:val="20"/>
                <w:szCs w:val="20"/>
                <w:color w:val="auto"/>
              </w:rPr>
            </w:pPr>
            <w:r>
              <w:rPr>
                <w:rFonts w:ascii="Arial" w:cs="Arial" w:eastAsia="Arial" w:hAnsi="Arial"/>
                <w:sz w:val="13"/>
                <w:szCs w:val="13"/>
                <w:color w:val="auto"/>
                <w:w w:val="96"/>
              </w:rPr>
              <w:t>100%</w:t>
            </w:r>
          </w:p>
        </w:tc>
        <w:tc>
          <w:tcPr>
            <w:tcW w:w="140" w:type="dxa"/>
            <w:vAlign w:val="bottom"/>
            <w:tcBorders>
              <w:right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77"/>
              <w:spacing w:after="0" w:line="143" w:lineRule="exact"/>
              <w:rPr>
                <w:sz w:val="20"/>
                <w:szCs w:val="20"/>
                <w:color w:val="auto"/>
              </w:rPr>
            </w:pPr>
            <w:r>
              <w:rPr>
                <w:rFonts w:ascii="Arial" w:cs="Arial" w:eastAsia="Arial" w:hAnsi="Arial"/>
                <w:sz w:val="13"/>
                <w:szCs w:val="13"/>
                <w:color w:val="auto"/>
                <w:w w:val="82"/>
              </w:rPr>
              <w:t>$</w:t>
            </w:r>
          </w:p>
        </w:tc>
        <w:tc>
          <w:tcPr>
            <w:tcW w:w="6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right w:val="single" w:sz="8" w:color="CFF0FC"/>
            </w:tcBorders>
            <w:gridSpan w:val="2"/>
            <w:shd w:val="clear" w:color="auto" w:fill="CFF0FC"/>
          </w:tcPr>
          <w:p>
            <w:pPr>
              <w:jc w:val="right"/>
              <w:ind w:right="80"/>
              <w:spacing w:after="0" w:line="143" w:lineRule="exact"/>
              <w:rPr>
                <w:sz w:val="20"/>
                <w:szCs w:val="20"/>
                <w:color w:val="auto"/>
              </w:rPr>
            </w:pPr>
            <w:r>
              <w:rPr>
                <w:rFonts w:ascii="Arial" w:cs="Arial" w:eastAsia="Arial" w:hAnsi="Arial"/>
                <w:sz w:val="13"/>
                <w:szCs w:val="13"/>
                <w:color w:val="auto"/>
              </w:rPr>
              <w:t>17,791,230</w:t>
            </w:r>
          </w:p>
        </w:tc>
        <w:tc>
          <w:tcPr>
            <w:tcW w:w="20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5"/>
                <w:szCs w:val="5"/>
                <w:color w:val="auto"/>
                <w:w w:val="70"/>
              </w:rPr>
              <w:t>$</w:t>
            </w:r>
          </w:p>
        </w:tc>
        <w:tc>
          <w:tcPr>
            <w:tcW w:w="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right w:val="single" w:sz="8" w:color="CFF0FC"/>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3,470,000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0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Asset Manager</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200" w:type="dxa"/>
            <w:vAlign w:val="bottom"/>
            <w:tcBorders>
              <w:left w:val="single" w:sz="8" w:color="CFF0FC"/>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shd w:val="clear" w:color="auto" w:fill="CFF0FC"/>
          </w:tcPr>
          <w:p>
            <w:pPr>
              <w:ind w:left="80"/>
              <w:spacing w:after="0" w:line="135" w:lineRule="exact"/>
              <w:rPr>
                <w:sz w:val="20"/>
                <w:szCs w:val="20"/>
                <w:color w:val="auto"/>
              </w:rPr>
            </w:pPr>
            <w:r>
              <w:rPr>
                <w:rFonts w:ascii="Arial" w:cs="Arial" w:eastAsia="Arial" w:hAnsi="Arial"/>
                <w:sz w:val="13"/>
                <w:szCs w:val="13"/>
                <w:b w:val="1"/>
                <w:bCs w:val="1"/>
                <w:color w:val="auto"/>
              </w:rPr>
              <w:t>Affiliates (2% of net asset value</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200" w:type="dxa"/>
            <w:vAlign w:val="bottom"/>
            <w:tcBorders>
              <w:left w:val="single" w:sz="8" w:color="CFF0FC"/>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00" w:type="dxa"/>
            <w:vAlign w:val="bottom"/>
            <w:shd w:val="clear" w:color="auto" w:fill="CFF0FC"/>
          </w:tcPr>
          <w:p>
            <w:pPr>
              <w:ind w:left="80"/>
              <w:spacing w:after="0"/>
              <w:rPr>
                <w:sz w:val="20"/>
                <w:szCs w:val="20"/>
                <w:color w:val="auto"/>
              </w:rPr>
            </w:pPr>
            <w:r>
              <w:rPr>
                <w:rFonts w:ascii="Arial" w:cs="Arial" w:eastAsia="Arial" w:hAnsi="Arial"/>
                <w:sz w:val="13"/>
                <w:szCs w:val="13"/>
                <w:b w:val="1"/>
                <w:bCs w:val="1"/>
                <w:color w:val="auto"/>
              </w:rPr>
              <w:t>at fair value)</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60" w:type="dxa"/>
            <w:vAlign w:val="bottom"/>
            <w:shd w:val="clear" w:color="auto" w:fill="CFF0FC"/>
          </w:tcPr>
          <w:p>
            <w:pPr>
              <w:spacing w:after="0"/>
              <w:rPr>
                <w:sz w:val="13"/>
                <w:szCs w:val="13"/>
                <w:color w:val="auto"/>
              </w:rPr>
            </w:pPr>
          </w:p>
        </w:tc>
        <w:tc>
          <w:tcPr>
            <w:tcW w:w="88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17,791,230</w:t>
            </w:r>
          </w:p>
        </w:tc>
        <w:tc>
          <w:tcPr>
            <w:tcW w:w="200" w:type="dxa"/>
            <w:vAlign w:val="bottom"/>
            <w:tcBorders>
              <w:left w:val="single" w:sz="8" w:color="CFF0FC"/>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jc w:val="right"/>
              <w:ind w:right="21"/>
              <w:spacing w:after="0"/>
              <w:rPr>
                <w:sz w:val="20"/>
                <w:szCs w:val="20"/>
                <w:color w:val="auto"/>
              </w:rPr>
            </w:pPr>
            <w:r>
              <w:rPr>
                <w:rFonts w:ascii="Arial" w:cs="Arial" w:eastAsia="Arial" w:hAnsi="Arial"/>
                <w:sz w:val="5"/>
                <w:szCs w:val="5"/>
                <w:b w:val="1"/>
                <w:bCs w:val="1"/>
                <w:color w:val="auto"/>
                <w:w w:val="70"/>
              </w:rPr>
              <w:t>$</w:t>
            </w:r>
          </w:p>
        </w:tc>
        <w:tc>
          <w:tcPr>
            <w:tcW w:w="60" w:type="dxa"/>
            <w:vAlign w:val="bottom"/>
            <w:shd w:val="clear" w:color="auto" w:fill="CFF0FC"/>
          </w:tcPr>
          <w:p>
            <w:pPr>
              <w:spacing w:after="0"/>
              <w:rPr>
                <w:sz w:val="13"/>
                <w:szCs w:val="13"/>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3,470,000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Joint Ventures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6"/>
          </w:tcPr>
          <w:p>
            <w:pPr>
              <w:jc w:val="center"/>
              <w:ind w:right="740"/>
              <w:spacing w:after="0"/>
              <w:rPr>
                <w:sz w:val="20"/>
                <w:szCs w:val="20"/>
                <w:color w:val="auto"/>
              </w:rPr>
            </w:pPr>
            <w:r>
              <w:rPr>
                <w:rFonts w:ascii="Arial" w:cs="Arial" w:eastAsia="Arial" w:hAnsi="Arial"/>
                <w:sz w:val="13"/>
                <w:szCs w:val="13"/>
                <w:b w:val="1"/>
                <w:bCs w:val="1"/>
                <w:color w:val="auto"/>
                <w:w w:val="94"/>
              </w:rPr>
              <w:t>Initial</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7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7"/>
          </w:tcPr>
          <w:p>
            <w:pPr>
              <w:jc w:val="center"/>
              <w:ind w:right="60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68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w w:val="82"/>
              </w:rPr>
              <w:t>Percentage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2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2"/>
          </w:tcPr>
          <w:p>
            <w:pPr>
              <w:ind w:left="112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5"/>
          </w:tcPr>
          <w:p>
            <w:pPr>
              <w:jc w:val="center"/>
              <w:ind w:right="780"/>
              <w:spacing w:after="0"/>
              <w:rPr>
                <w:sz w:val="20"/>
                <w:szCs w:val="20"/>
                <w:color w:val="auto"/>
              </w:rPr>
            </w:pPr>
            <w:r>
              <w:rPr>
                <w:rFonts w:ascii="Arial" w:cs="Arial" w:eastAsia="Arial" w:hAnsi="Arial"/>
                <w:sz w:val="13"/>
                <w:szCs w:val="13"/>
                <w:b w:val="1"/>
                <w:bCs w:val="1"/>
                <w:color w:val="auto"/>
                <w:w w:val="85"/>
              </w:rPr>
              <w:t>Date</w:t>
            </w:r>
          </w:p>
        </w:tc>
        <w:tc>
          <w:tcPr>
            <w:tcW w:w="680" w:type="dxa"/>
            <w:vAlign w:val="bottom"/>
            <w:gridSpan w:val="3"/>
          </w:tcPr>
          <w:p>
            <w:pPr>
              <w:ind w:left="80"/>
              <w:spacing w:after="0"/>
              <w:rPr>
                <w:sz w:val="20"/>
                <w:szCs w:val="20"/>
                <w:color w:val="auto"/>
              </w:rPr>
            </w:pPr>
            <w:r>
              <w:rPr>
                <w:rFonts w:ascii="Arial" w:cs="Arial" w:eastAsia="Arial" w:hAnsi="Arial"/>
                <w:sz w:val="13"/>
                <w:szCs w:val="13"/>
                <w:b w:val="1"/>
                <w:bCs w:val="1"/>
                <w:color w:val="auto"/>
                <w:w w:val="86"/>
              </w:rPr>
              <w:t>Ownership</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27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gridSpan w:val="2"/>
            <w:shd w:val="clear" w:color="auto" w:fill="000000"/>
          </w:tcPr>
          <w:p>
            <w:pPr>
              <w:spacing w:after="0" w:line="20" w:lineRule="exact"/>
              <w:rPr>
                <w:sz w:val="1"/>
                <w:szCs w:val="1"/>
                <w:color w:val="auto"/>
              </w:rPr>
            </w:pPr>
          </w:p>
        </w:tc>
        <w:tc>
          <w:tcPr>
            <w:tcW w:w="20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KCAP Freedom 3 LLC(9)(13)</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140" w:type="dxa"/>
            <w:vAlign w:val="bottom"/>
            <w:vMerge w:val="continue"/>
            <w:shd w:val="clear" w:color="auto" w:fill="CFF0FC"/>
          </w:tcPr>
          <w:p>
            <w:pPr>
              <w:spacing w:after="0"/>
              <w:rPr>
                <w:sz w:val="12"/>
                <w:szCs w:val="12"/>
                <w:color w:val="auto"/>
              </w:rPr>
            </w:pPr>
          </w:p>
        </w:tc>
        <w:tc>
          <w:tcPr>
            <w:tcW w:w="274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rPr>
              <w:t>Joint Venture</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line="143" w:lineRule="exact"/>
              <w:rPr>
                <w:sz w:val="20"/>
                <w:szCs w:val="20"/>
                <w:color w:val="auto"/>
              </w:rPr>
            </w:pPr>
            <w:r>
              <w:rPr>
                <w:rFonts w:ascii="Arial" w:cs="Arial" w:eastAsia="Arial" w:hAnsi="Arial"/>
                <w:sz w:val="13"/>
                <w:szCs w:val="13"/>
                <w:color w:val="auto"/>
              </w:rPr>
              <w:t>7/19/2017</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gridSpan w:val="3"/>
            <w:shd w:val="clear" w:color="auto" w:fill="CFF0FC"/>
          </w:tcPr>
          <w:p>
            <w:pPr>
              <w:jc w:val="right"/>
              <w:spacing w:after="0" w:line="143" w:lineRule="exact"/>
              <w:rPr>
                <w:sz w:val="20"/>
                <w:szCs w:val="20"/>
                <w:color w:val="auto"/>
              </w:rPr>
            </w:pPr>
            <w:r>
              <w:rPr>
                <w:rFonts w:ascii="Arial" w:cs="Arial" w:eastAsia="Arial" w:hAnsi="Arial"/>
                <w:sz w:val="13"/>
                <w:szCs w:val="13"/>
                <w:color w:val="auto"/>
              </w:rPr>
              <w:t>60%</w:t>
            </w:r>
          </w:p>
        </w:tc>
        <w:tc>
          <w:tcPr>
            <w:tcW w:w="14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jc w:val="right"/>
              <w:ind w:right="77"/>
              <w:spacing w:after="0" w:line="143" w:lineRule="exact"/>
              <w:rPr>
                <w:sz w:val="20"/>
                <w:szCs w:val="20"/>
                <w:color w:val="auto"/>
              </w:rPr>
            </w:pPr>
            <w:r>
              <w:rPr>
                <w:rFonts w:ascii="Arial" w:cs="Arial" w:eastAsia="Arial" w:hAnsi="Arial"/>
                <w:sz w:val="13"/>
                <w:szCs w:val="13"/>
                <w:color w:val="auto"/>
                <w:w w:val="82"/>
              </w:rPr>
              <w:t>$</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80"/>
              <w:spacing w:after="0" w:line="143" w:lineRule="exact"/>
              <w:rPr>
                <w:sz w:val="20"/>
                <w:szCs w:val="20"/>
                <w:color w:val="auto"/>
              </w:rPr>
            </w:pPr>
            <w:r>
              <w:rPr>
                <w:rFonts w:ascii="Arial" w:cs="Arial" w:eastAsia="Arial" w:hAnsi="Arial"/>
                <w:sz w:val="13"/>
                <w:szCs w:val="13"/>
                <w:color w:val="auto"/>
              </w:rPr>
              <w:t>24,914,858</w:t>
            </w:r>
          </w:p>
        </w:tc>
        <w:tc>
          <w:tcPr>
            <w:tcW w:w="20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ind w:right="21"/>
              <w:spacing w:after="0"/>
              <w:rPr>
                <w:sz w:val="20"/>
                <w:szCs w:val="20"/>
                <w:color w:val="auto"/>
              </w:rPr>
            </w:pPr>
            <w:r>
              <w:rPr>
                <w:rFonts w:ascii="Arial" w:cs="Arial" w:eastAsia="Arial" w:hAnsi="Arial"/>
                <w:sz w:val="5"/>
                <w:szCs w:val="5"/>
                <w:color w:val="auto"/>
                <w:w w:val="70"/>
              </w:rPr>
              <w:t>$</w:t>
            </w:r>
          </w:p>
        </w:tc>
        <w:tc>
          <w:tcPr>
            <w:tcW w:w="60" w:type="dxa"/>
            <w:vAlign w:val="bottom"/>
            <w:shd w:val="clear" w:color="auto" w:fill="CFF0FC"/>
          </w:tcPr>
          <w:p>
            <w:pPr>
              <w:spacing w:after="0"/>
              <w:rPr>
                <w:sz w:val="12"/>
                <w:szCs w:val="12"/>
                <w:color w:val="auto"/>
              </w:rPr>
            </w:pPr>
          </w:p>
        </w:tc>
        <w:tc>
          <w:tcPr>
            <w:tcW w:w="940" w:type="dxa"/>
            <w:vAlign w:val="bottom"/>
            <w:tcBorders>
              <w:right w:val="single" w:sz="8" w:color="CFF0FC"/>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18,390,440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7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BCP Great Lakes Holdings LP</w:t>
            </w:r>
            <w:r>
              <w:rPr>
                <w:rFonts w:ascii="Arial" w:cs="Arial" w:eastAsia="Arial" w:hAnsi="Arial"/>
                <w:sz w:val="10"/>
                <w:szCs w:val="10"/>
                <w:color w:val="auto"/>
              </w:rPr>
              <w:t>(17)</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200" w:type="dxa"/>
            <w:vAlign w:val="bottom"/>
            <w:tcBorders>
              <w:left w:val="single" w:sz="8" w:color="CFF0FC"/>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FF0FC"/>
          </w:tcPr>
          <w:p>
            <w:pPr>
              <w:ind w:left="80"/>
              <w:spacing w:after="0"/>
              <w:rPr>
                <w:sz w:val="20"/>
                <w:szCs w:val="20"/>
                <w:color w:val="auto"/>
              </w:rPr>
            </w:pPr>
            <w:r>
              <w:rPr>
                <w:rFonts w:ascii="Arial" w:cs="Arial" w:eastAsia="Arial" w:hAnsi="Arial"/>
                <w:sz w:val="13"/>
                <w:szCs w:val="13"/>
                <w:color w:val="auto"/>
              </w:rPr>
              <w:t>Limited Partnership</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288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Joint Venture</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12/11/2018</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w w:val="86"/>
              </w:rPr>
              <w:t>55.6%</w:t>
            </w:r>
          </w:p>
        </w:tc>
        <w:tc>
          <w:tcPr>
            <w:tcW w:w="14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12,466,667</w:t>
            </w:r>
          </w:p>
        </w:tc>
        <w:tc>
          <w:tcPr>
            <w:tcW w:w="20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12,466,667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700" w:type="dxa"/>
            <w:vAlign w:val="bottom"/>
            <w:tcBorders>
              <w:top w:val="single" w:sz="8" w:color="auto"/>
            </w:tcBorders>
          </w:tcPr>
          <w:p>
            <w:pPr>
              <w:spacing w:after="0" w:line="124" w:lineRule="exact"/>
              <w:rPr>
                <w:sz w:val="20"/>
                <w:szCs w:val="20"/>
                <w:color w:val="auto"/>
              </w:rPr>
            </w:pPr>
            <w:r>
              <w:rPr>
                <w:rFonts w:ascii="Arial" w:cs="Arial" w:eastAsia="Arial" w:hAnsi="Arial"/>
                <w:sz w:val="13"/>
                <w:szCs w:val="13"/>
                <w:b w:val="1"/>
                <w:bCs w:val="1"/>
                <w:color w:val="auto"/>
              </w:rPr>
              <w:t>Total Investment in Joint Ventures</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00" w:type="dxa"/>
            <w:vAlign w:val="bottom"/>
          </w:tcPr>
          <w:p>
            <w:pPr>
              <w:ind w:left="80"/>
              <w:spacing w:after="0"/>
              <w:rPr>
                <w:sz w:val="20"/>
                <w:szCs w:val="20"/>
                <w:color w:val="auto"/>
              </w:rPr>
            </w:pPr>
            <w:r>
              <w:rPr>
                <w:rFonts w:ascii="Arial" w:cs="Arial" w:eastAsia="Arial" w:hAnsi="Arial"/>
                <w:sz w:val="13"/>
                <w:szCs w:val="13"/>
                <w:b w:val="1"/>
                <w:bCs w:val="1"/>
                <w:color w:val="auto"/>
              </w:rPr>
              <w:t>(20% of net asset value at fair value)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37,381,525</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ind w:right="21"/>
              <w:spacing w:after="0"/>
              <w:rPr>
                <w:sz w:val="20"/>
                <w:szCs w:val="20"/>
                <w:color w:val="auto"/>
              </w:rPr>
            </w:pPr>
            <w:r>
              <w:rPr>
                <w:rFonts w:ascii="Arial" w:cs="Arial" w:eastAsia="Arial" w:hAnsi="Arial"/>
                <w:sz w:val="5"/>
                <w:szCs w:val="5"/>
                <w:b w:val="1"/>
                <w:bCs w:val="1"/>
                <w:color w:val="auto"/>
                <w:w w:val="70"/>
              </w:rPr>
              <w:t>$</w:t>
            </w: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30,857,107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Short-term Investments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Initial</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Par</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9"/>
              </w:rPr>
              <w:t>/Amortized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spacing w:after="0"/>
              <w:rPr>
                <w:sz w:val="20"/>
                <w:szCs w:val="20"/>
                <w:color w:val="auto"/>
              </w:rPr>
            </w:pPr>
            <w:r>
              <w:rPr>
                <w:rFonts w:ascii="Arial" w:cs="Arial" w:eastAsia="Arial" w:hAnsi="Arial"/>
                <w:sz w:val="13"/>
                <w:szCs w:val="13"/>
                <w:b w:val="1"/>
                <w:bCs w:val="1"/>
                <w:color w:val="auto"/>
              </w:rPr>
              <w:t>Short-term Investments</w:t>
            </w:r>
          </w:p>
        </w:tc>
        <w:tc>
          <w:tcPr>
            <w:tcW w:w="140" w:type="dxa"/>
            <w:vAlign w:val="bottom"/>
          </w:tcPr>
          <w:p>
            <w:pPr>
              <w:spacing w:after="0"/>
              <w:rPr>
                <w:sz w:val="13"/>
                <w:szCs w:val="13"/>
                <w:color w:val="auto"/>
              </w:rPr>
            </w:pPr>
          </w:p>
        </w:tc>
        <w:tc>
          <w:tcPr>
            <w:tcW w:w="2940" w:type="dxa"/>
            <w:vAlign w:val="bottom"/>
          </w:tcPr>
          <w:p>
            <w:pPr>
              <w:ind w:left="112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40" w:type="dxa"/>
            <w:vAlign w:val="bottom"/>
          </w:tcPr>
          <w:p>
            <w:pPr>
              <w:spacing w:after="0"/>
              <w:rPr>
                <w:sz w:val="13"/>
                <w:szCs w:val="13"/>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Date</w:t>
            </w:r>
          </w:p>
        </w:tc>
        <w:tc>
          <w:tcPr>
            <w:tcW w:w="126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Yield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97"/>
              <w:spacing w:after="0"/>
              <w:rPr>
                <w:sz w:val="20"/>
                <w:szCs w:val="20"/>
                <w:color w:val="auto"/>
              </w:rPr>
            </w:pPr>
            <w:r>
              <w:rPr>
                <w:rFonts w:ascii="Arial" w:cs="Arial" w:eastAsia="Arial" w:hAnsi="Arial"/>
                <w:sz w:val="13"/>
                <w:szCs w:val="13"/>
                <w:b w:val="1"/>
                <w:bCs w:val="1"/>
                <w:color w:val="auto"/>
                <w:w w:val="82"/>
              </w:rPr>
              <w:t>Cost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US Bank Money Market Account(7)(8)</w:t>
            </w:r>
          </w:p>
        </w:tc>
        <w:tc>
          <w:tcPr>
            <w:tcW w:w="140" w:type="dxa"/>
            <w:vAlign w:val="bottom"/>
            <w:vMerge w:val="continue"/>
            <w:shd w:val="clear" w:color="auto" w:fill="CFF0FC"/>
          </w:tcPr>
          <w:p>
            <w:pPr>
              <w:spacing w:after="0"/>
              <w:rPr>
                <w:sz w:val="12"/>
                <w:szCs w:val="12"/>
                <w:color w:val="auto"/>
              </w:rPr>
            </w:pPr>
          </w:p>
        </w:tc>
        <w:tc>
          <w:tcPr>
            <w:tcW w:w="29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Money Market Account</w:t>
            </w:r>
          </w:p>
        </w:tc>
        <w:tc>
          <w:tcPr>
            <w:tcW w:w="140" w:type="dxa"/>
            <w:vAlign w:val="bottom"/>
            <w:vMerge w:val="continue"/>
            <w:shd w:val="clear" w:color="auto" w:fill="CFF0FC"/>
          </w:tcPr>
          <w:p>
            <w:pPr>
              <w:spacing w:after="0"/>
              <w:rPr>
                <w:sz w:val="12"/>
                <w:szCs w:val="12"/>
                <w:color w:val="auto"/>
              </w:rPr>
            </w:pPr>
          </w:p>
        </w:tc>
        <w:tc>
          <w:tcPr>
            <w:tcW w:w="120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N/A</w:t>
            </w:r>
          </w:p>
        </w:tc>
        <w:tc>
          <w:tcPr>
            <w:tcW w:w="160" w:type="dxa"/>
            <w:vAlign w:val="bottom"/>
            <w:vMerge w:val="continue"/>
            <w:shd w:val="clear" w:color="auto" w:fill="CFF0FC"/>
          </w:tcPr>
          <w:p>
            <w:pPr>
              <w:spacing w:after="0"/>
              <w:rPr>
                <w:sz w:val="12"/>
                <w:szCs w:val="12"/>
                <w:color w:val="auto"/>
              </w:rPr>
            </w:pPr>
          </w:p>
        </w:tc>
        <w:tc>
          <w:tcPr>
            <w:tcW w:w="1260" w:type="dxa"/>
            <w:vAlign w:val="bottom"/>
            <w:gridSpan w:val="2"/>
            <w:shd w:val="clear" w:color="auto" w:fill="CFF0FC"/>
          </w:tcPr>
          <w:p>
            <w:pPr>
              <w:jc w:val="right"/>
              <w:ind w:right="80"/>
              <w:spacing w:after="0" w:line="143" w:lineRule="exact"/>
              <w:rPr>
                <w:sz w:val="20"/>
                <w:szCs w:val="20"/>
                <w:color w:val="auto"/>
              </w:rPr>
            </w:pPr>
            <w:r>
              <w:rPr>
                <w:rFonts w:ascii="Arial" w:cs="Arial" w:eastAsia="Arial" w:hAnsi="Arial"/>
                <w:sz w:val="13"/>
                <w:szCs w:val="13"/>
                <w:color w:val="auto"/>
              </w:rPr>
              <w:t>0.20%</w:t>
            </w:r>
          </w:p>
        </w:tc>
        <w:tc>
          <w:tcPr>
            <w:tcW w:w="8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34,757,129</w:t>
            </w:r>
          </w:p>
        </w:tc>
        <w:tc>
          <w:tcPr>
            <w:tcW w:w="26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jc w:val="right"/>
              <w:ind w:right="33"/>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34,757,129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3"/>
                <w:szCs w:val="13"/>
                <w:color w:val="auto"/>
              </w:rPr>
              <w:t>US Treasury Bill (Cusip:912796UH0)(8)</w:t>
            </w:r>
          </w:p>
        </w:tc>
        <w:tc>
          <w:tcPr>
            <w:tcW w:w="308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U.S. Government Obligation</w:t>
            </w: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1.04%</w:t>
            </w:r>
          </w:p>
        </w:tc>
        <w:tc>
          <w:tcPr>
            <w:tcW w:w="8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9,999,349</w:t>
            </w:r>
          </w:p>
        </w:tc>
        <w:tc>
          <w:tcPr>
            <w:tcW w:w="26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9,999,349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94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Total Short-term Investments</w:t>
            </w:r>
          </w:p>
        </w:tc>
        <w:tc>
          <w:tcPr>
            <w:tcW w:w="14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20" w:type="dxa"/>
            <w:vAlign w:val="bottom"/>
          </w:tcPr>
          <w:p>
            <w:pPr>
              <w:ind w:left="80"/>
              <w:spacing w:after="0"/>
              <w:rPr>
                <w:sz w:val="20"/>
                <w:szCs w:val="20"/>
                <w:color w:val="auto"/>
              </w:rPr>
            </w:pPr>
            <w:r>
              <w:rPr>
                <w:rFonts w:ascii="Arial" w:cs="Arial" w:eastAsia="Arial" w:hAnsi="Arial"/>
                <w:sz w:val="13"/>
                <w:szCs w:val="13"/>
                <w:b w:val="1"/>
                <w:bCs w:val="1"/>
                <w:color w:val="auto"/>
              </w:rPr>
              <w:t>(28% of net asset value at fair value)</w:t>
            </w:r>
          </w:p>
        </w:tc>
        <w:tc>
          <w:tcPr>
            <w:tcW w:w="1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44,756,478</w:t>
            </w:r>
          </w:p>
        </w:tc>
        <w:tc>
          <w:tcPr>
            <w:tcW w:w="40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44,756,478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top w:val="single" w:sz="8" w:color="CFF0FC"/>
              <w:bottom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Total Investments4</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294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20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8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327,152,104</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9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273,308,349</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40" w:right="40" w:hanging="432"/>
        <w:spacing w:after="0" w:line="288" w:lineRule="auto"/>
        <w:tabs>
          <w:tab w:leader="none" w:pos="440" w:val="left"/>
        </w:tabs>
        <w:numPr>
          <w:ilvl w:val="0"/>
          <w:numId w:val="17"/>
        </w:numPr>
        <w:rPr>
          <w:rFonts w:ascii="Arial" w:cs="Arial" w:eastAsia="Arial" w:hAnsi="Arial"/>
          <w:sz w:val="14"/>
          <w:szCs w:val="14"/>
          <w:color w:val="auto"/>
        </w:rPr>
      </w:pPr>
      <w:r>
        <w:rPr>
          <w:rFonts w:ascii="Arial" w:cs="Arial" w:eastAsia="Arial" w:hAnsi="Arial"/>
          <w:sz w:val="16"/>
          <w:szCs w:val="16"/>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w:t>
      </w:r>
    </w:p>
    <w:p>
      <w:pPr>
        <w:ind w:left="440" w:right="480"/>
        <w:spacing w:after="0" w:line="249" w:lineRule="auto"/>
        <w:rPr>
          <w:sz w:val="20"/>
          <w:szCs w:val="20"/>
          <w:color w:val="auto"/>
        </w:rPr>
      </w:pPr>
      <w:r>
        <w:rPr>
          <w:rFonts w:ascii="Arial" w:cs="Arial" w:eastAsia="Arial" w:hAnsi="Arial"/>
          <w:sz w:val="18"/>
          <w:szCs w:val="18"/>
          <w:color w:val="auto"/>
        </w:rPr>
        <w:t>the weighted average annual stated interest rate in effect at December 31, 2018. As noted in the table above, 81% (based on par) of debt securities contain floors which range between 0.75% and 3.00%.</w:t>
      </w:r>
    </w:p>
    <w:p>
      <w:pPr>
        <w:spacing w:after="0" w:line="1"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15"/>
          <w:szCs w:val="15"/>
          <w:color w:val="auto"/>
        </w:rPr>
      </w:pPr>
      <w:r>
        <w:rPr>
          <w:rFonts w:ascii="Arial" w:cs="Arial" w:eastAsia="Arial" w:hAnsi="Arial"/>
          <w:sz w:val="18"/>
          <w:szCs w:val="18"/>
          <w:color w:val="auto"/>
        </w:rPr>
        <w:t>Reflects the fair market value of all investments as of December 31, 2018, as determined by the Company’s Board of Directors.</w:t>
      </w:r>
    </w:p>
    <w:p>
      <w:pPr>
        <w:spacing w:after="0" w:line="9" w:lineRule="exact"/>
        <w:rPr>
          <w:sz w:val="20"/>
          <w:szCs w:val="20"/>
          <w:color w:val="auto"/>
        </w:rPr>
      </w:pPr>
    </w:p>
    <w:p>
      <w:pPr>
        <w:ind w:left="440" w:hanging="432"/>
        <w:spacing w:after="0"/>
        <w:tabs>
          <w:tab w:leader="none" w:pos="440" w:val="left"/>
        </w:tabs>
        <w:numPr>
          <w:ilvl w:val="0"/>
          <w:numId w:val="19"/>
        </w:numPr>
        <w:rPr>
          <w:rFonts w:ascii="Arial" w:cs="Arial" w:eastAsia="Arial" w:hAnsi="Arial"/>
          <w:sz w:val="15"/>
          <w:szCs w:val="15"/>
          <w:color w:val="auto"/>
        </w:rPr>
      </w:pPr>
      <w:r>
        <w:rPr>
          <w:rFonts w:ascii="Arial" w:cs="Arial" w:eastAsia="Arial" w:hAnsi="Arial"/>
          <w:sz w:val="18"/>
          <w:szCs w:val="18"/>
          <w:color w:val="auto"/>
        </w:rPr>
        <w:t>Non-U.S. company or principal place of business outside the U.S.</w:t>
      </w:r>
    </w:p>
    <w:p>
      <w:pPr>
        <w:spacing w:after="0" w:line="9" w:lineRule="exact"/>
        <w:rPr>
          <w:sz w:val="20"/>
          <w:szCs w:val="20"/>
          <w:color w:val="auto"/>
        </w:rPr>
      </w:pPr>
    </w:p>
    <w:p>
      <w:pPr>
        <w:ind w:left="440" w:right="540" w:hanging="432"/>
        <w:spacing w:after="0" w:line="282" w:lineRule="auto"/>
        <w:tabs>
          <w:tab w:leader="none" w:pos="440" w:val="left"/>
        </w:tabs>
        <w:numPr>
          <w:ilvl w:val="0"/>
          <w:numId w:val="20"/>
        </w:numPr>
        <w:rPr>
          <w:rFonts w:ascii="Arial" w:cs="Arial" w:eastAsia="Arial" w:hAnsi="Arial"/>
          <w:sz w:val="14"/>
          <w:szCs w:val="14"/>
          <w:color w:val="auto"/>
        </w:rPr>
      </w:pPr>
      <w:r>
        <w:rPr>
          <w:rFonts w:ascii="Arial" w:cs="Arial" w:eastAsia="Arial" w:hAnsi="Arial"/>
          <w:sz w:val="16"/>
          <w:szCs w:val="16"/>
          <w:color w:val="auto"/>
        </w:rPr>
        <w:t>The aggregate cost of investments for federal income tax purposes is approximately $327 million. The aggregate gross unrealized appreciation is approximately $0 million, the aggregate gross unrealized depreciation is approximately $53.8 million, and the net unrealized depreciation is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approximately $53.8 million.</w:t>
      </w:r>
    </w:p>
    <w:p>
      <w:pPr>
        <w:spacing w:after="0" w:line="8"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15"/>
          <w:szCs w:val="15"/>
          <w:color w:val="auto"/>
        </w:rPr>
      </w:pPr>
      <w:r>
        <w:rPr>
          <w:rFonts w:ascii="Arial" w:cs="Arial" w:eastAsia="Arial" w:hAnsi="Arial"/>
          <w:sz w:val="18"/>
          <w:szCs w:val="18"/>
          <w:color w:val="auto"/>
        </w:rPr>
        <w:t>Loan or debt security is on non-accrual status and therefore is considered non-income producing.</w:t>
      </w:r>
    </w:p>
    <w:p>
      <w:pPr>
        <w:spacing w:after="0" w:line="9"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14"/>
          <w:szCs w:val="14"/>
          <w:color w:val="auto"/>
        </w:rPr>
      </w:pPr>
      <w:r>
        <w:rPr>
          <w:rFonts w:ascii="Arial" w:cs="Arial" w:eastAsia="Arial" w:hAnsi="Arial"/>
          <w:sz w:val="17"/>
          <w:szCs w:val="17"/>
          <w:color w:val="auto"/>
        </w:rPr>
        <w:t>An affiliate CLO Fund managed by an Asset Manager Affiliate (as such term is defined in the notes to the consolidated financial statements).</w:t>
      </w:r>
    </w:p>
    <w:p>
      <w:pPr>
        <w:spacing w:after="0" w:line="21"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5"/>
          <w:szCs w:val="15"/>
          <w:color w:val="auto"/>
        </w:rPr>
      </w:pPr>
      <w:r>
        <w:rPr>
          <w:rFonts w:ascii="Arial" w:cs="Arial" w:eastAsia="Arial" w:hAnsi="Arial"/>
          <w:sz w:val="18"/>
          <w:szCs w:val="18"/>
          <w:color w:val="auto"/>
        </w:rPr>
        <w:t>Money market account.</w:t>
      </w:r>
    </w:p>
    <w:p>
      <w:pPr>
        <w:spacing w:after="0" w:line="9" w:lineRule="exact"/>
        <w:rPr>
          <w:sz w:val="20"/>
          <w:szCs w:val="20"/>
          <w:color w:val="auto"/>
        </w:rPr>
      </w:pPr>
    </w:p>
    <w:p>
      <w:pPr>
        <w:ind w:left="440" w:right="600" w:hanging="432"/>
        <w:spacing w:after="0" w:line="250" w:lineRule="auto"/>
        <w:tabs>
          <w:tab w:leader="none" w:pos="440" w:val="left"/>
        </w:tabs>
        <w:numPr>
          <w:ilvl w:val="0"/>
          <w:numId w:val="24"/>
        </w:numPr>
        <w:rPr>
          <w:rFonts w:ascii="Arial" w:cs="Arial" w:eastAsia="Arial" w:hAnsi="Arial"/>
          <w:sz w:val="15"/>
          <w:szCs w:val="15"/>
          <w:color w:val="auto"/>
        </w:rPr>
      </w:pPr>
      <w:r>
        <w:rPr>
          <w:rFonts w:ascii="Arial" w:cs="Arial" w:eastAsia="Arial" w:hAnsi="Arial"/>
          <w:sz w:val="18"/>
          <w:szCs w:val="18"/>
          <w:color w:val="auto"/>
        </w:rPr>
        <w:t>Qualified asset for purposes of section 55(a) of the Investment Company Act of 1940, as amended (the “1940 Act”). Qualifying assets represent approximately 72.0% of the total assets at December 31, 2018.</w:t>
      </w:r>
    </w:p>
    <w:p>
      <w:pPr>
        <w:spacing w:after="0" w:line="1"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14"/>
          <w:szCs w:val="14"/>
          <w:color w:val="auto"/>
        </w:rPr>
      </w:pPr>
      <w:r>
        <w:rPr>
          <w:rFonts w:ascii="Arial" w:cs="Arial" w:eastAsia="Arial" w:hAnsi="Arial"/>
          <w:sz w:val="17"/>
          <w:szCs w:val="17"/>
          <w:color w:val="auto"/>
        </w:rPr>
        <w:t>As defined in the 1940 Act, the Company is deemed to be both an “Affiliated Person” and has “Control” of this portfolio company as the Company</w:t>
      </w:r>
    </w:p>
    <w:p>
      <w:pPr>
        <w:spacing w:after="0" w:line="22" w:lineRule="exact"/>
        <w:rPr>
          <w:sz w:val="20"/>
          <w:szCs w:val="20"/>
          <w:color w:val="auto"/>
        </w:rPr>
      </w:pPr>
    </w:p>
    <w:p>
      <w:pPr>
        <w:ind w:left="440" w:right="60"/>
        <w:spacing w:after="0" w:line="250" w:lineRule="auto"/>
        <w:rPr>
          <w:sz w:val="20"/>
          <w:szCs w:val="20"/>
          <w:color w:val="auto"/>
        </w:rPr>
      </w:pPr>
      <w:r>
        <w:rPr>
          <w:rFonts w:ascii="Arial" w:cs="Arial" w:eastAsia="Arial" w:hAnsi="Arial"/>
          <w:sz w:val="18"/>
          <w:szCs w:val="18"/>
          <w:color w:val="auto"/>
        </w:rPr>
        <w:t>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ind w:left="440" w:hanging="432"/>
        <w:spacing w:after="0"/>
        <w:tabs>
          <w:tab w:leader="none" w:pos="440" w:val="left"/>
        </w:tabs>
        <w:numPr>
          <w:ilvl w:val="0"/>
          <w:numId w:val="26"/>
        </w:numPr>
        <w:rPr>
          <w:rFonts w:ascii="Arial" w:cs="Arial" w:eastAsia="Arial" w:hAnsi="Arial"/>
          <w:sz w:val="15"/>
          <w:szCs w:val="15"/>
          <w:color w:val="auto"/>
        </w:rPr>
      </w:pPr>
      <w:r>
        <w:rPr>
          <w:rFonts w:ascii="Arial" w:cs="Arial" w:eastAsia="Arial" w:hAnsi="Arial"/>
          <w:sz w:val="18"/>
          <w:szCs w:val="18"/>
          <w:color w:val="auto"/>
        </w:rPr>
        <w:t>Non-voting.</w:t>
      </w:r>
    </w:p>
    <w:p>
      <w:pPr>
        <w:spacing w:after="0" w:line="10" w:lineRule="exact"/>
        <w:rPr>
          <w:rFonts w:ascii="Arial" w:cs="Arial" w:eastAsia="Arial" w:hAnsi="Arial"/>
          <w:sz w:val="15"/>
          <w:szCs w:val="15"/>
          <w:color w:val="auto"/>
        </w:rPr>
      </w:pPr>
    </w:p>
    <w:p>
      <w:pPr>
        <w:jc w:val="both"/>
        <w:ind w:left="440" w:right="80" w:hanging="432"/>
        <w:spacing w:after="0" w:line="250" w:lineRule="auto"/>
        <w:tabs>
          <w:tab w:leader="none" w:pos="440" w:val="left"/>
        </w:tabs>
        <w:numPr>
          <w:ilvl w:val="0"/>
          <w:numId w:val="26"/>
        </w:numPr>
        <w:rPr>
          <w:rFonts w:ascii="Arial" w:cs="Arial" w:eastAsia="Arial" w:hAnsi="Arial"/>
          <w:sz w:val="15"/>
          <w:szCs w:val="15"/>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15"/>
          <w:szCs w:val="15"/>
          <w:color w:val="auto"/>
        </w:rPr>
      </w:pPr>
    </w:p>
    <w:p>
      <w:pPr>
        <w:ind w:left="440" w:hanging="432"/>
        <w:spacing w:after="0"/>
        <w:tabs>
          <w:tab w:leader="none" w:pos="440" w:val="left"/>
        </w:tabs>
        <w:numPr>
          <w:ilvl w:val="0"/>
          <w:numId w:val="26"/>
        </w:numPr>
        <w:rPr>
          <w:rFonts w:ascii="Arial" w:cs="Arial" w:eastAsia="Arial" w:hAnsi="Arial"/>
          <w:sz w:val="15"/>
          <w:szCs w:val="15"/>
          <w:color w:val="auto"/>
        </w:rPr>
      </w:pPr>
      <w:r>
        <w:rPr>
          <w:rFonts w:ascii="Arial" w:cs="Arial" w:eastAsia="Arial" w:hAnsi="Arial"/>
          <w:sz w:val="18"/>
          <w:szCs w:val="18"/>
          <w:color w:val="auto"/>
        </w:rPr>
        <w:t>Notice of redemption has been received for this security.</w:t>
      </w:r>
    </w:p>
    <w:p>
      <w:pPr>
        <w:spacing w:after="0" w:line="9" w:lineRule="exact"/>
        <w:rPr>
          <w:rFonts w:ascii="Arial" w:cs="Arial" w:eastAsia="Arial" w:hAnsi="Arial"/>
          <w:sz w:val="15"/>
          <w:szCs w:val="15"/>
          <w:color w:val="auto"/>
        </w:rPr>
      </w:pPr>
    </w:p>
    <w:p>
      <w:pPr>
        <w:ind w:left="440" w:hanging="432"/>
        <w:spacing w:after="0"/>
        <w:tabs>
          <w:tab w:leader="none" w:pos="440" w:val="left"/>
        </w:tabs>
        <w:numPr>
          <w:ilvl w:val="0"/>
          <w:numId w:val="26"/>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w:t>
      </w:r>
    </w:p>
    <w:p>
      <w:pPr>
        <w:spacing w:after="0" w:line="9" w:lineRule="exact"/>
        <w:rPr>
          <w:rFonts w:ascii="Arial" w:cs="Arial" w:eastAsia="Arial" w:hAnsi="Arial"/>
          <w:sz w:val="15"/>
          <w:szCs w:val="15"/>
          <w:color w:val="auto"/>
        </w:rPr>
      </w:pPr>
    </w:p>
    <w:p>
      <w:pPr>
        <w:ind w:left="440" w:right="140" w:hanging="432"/>
        <w:spacing w:after="0" w:line="281" w:lineRule="auto"/>
        <w:tabs>
          <w:tab w:leader="none" w:pos="440" w:val="left"/>
        </w:tabs>
        <w:numPr>
          <w:ilvl w:val="0"/>
          <w:numId w:val="26"/>
        </w:numPr>
        <w:rPr>
          <w:rFonts w:ascii="Arial" w:cs="Arial" w:eastAsia="Arial" w:hAnsi="Arial"/>
          <w:sz w:val="14"/>
          <w:szCs w:val="14"/>
          <w:color w:val="auto"/>
        </w:rPr>
      </w:pPr>
      <w:r>
        <w:rPr>
          <w:rFonts w:ascii="Arial" w:cs="Arial" w:eastAsia="Arial" w:hAnsi="Arial"/>
          <w:sz w:val="16"/>
          <w:szCs w:val="16"/>
          <w:color w:val="auto"/>
        </w:rPr>
        <w:t>As of December 31, 2018, this investment is owned by KCAP Funding I, LLC and was pledged to secure KCAP Funding I, LLC’s debt obligation pursuant to its senior secured revolving credit facility (the “Revolving Credit Facility”) with the Company, as the servicer, certain institutional lenders, State Bank and Trust Company, as the administrative agent, lead arranger and bookrunner, and CIBC Bank USA, as documentation agent.</w:t>
      </w:r>
    </w:p>
    <w:p>
      <w:pPr>
        <w:spacing w:after="0" w:line="2" w:lineRule="exact"/>
        <w:rPr>
          <w:rFonts w:ascii="Arial" w:cs="Arial" w:eastAsia="Arial" w:hAnsi="Arial"/>
          <w:sz w:val="14"/>
          <w:szCs w:val="14"/>
          <w:color w:val="auto"/>
        </w:rPr>
      </w:pPr>
    </w:p>
    <w:p>
      <w:pPr>
        <w:jc w:val="both"/>
        <w:ind w:left="440" w:right="140" w:hanging="432"/>
        <w:spacing w:after="0" w:line="250" w:lineRule="auto"/>
        <w:tabs>
          <w:tab w:leader="none" w:pos="440" w:val="left"/>
        </w:tabs>
        <w:numPr>
          <w:ilvl w:val="0"/>
          <w:numId w:val="26"/>
        </w:numPr>
        <w:rPr>
          <w:rFonts w:ascii="Arial" w:cs="Arial" w:eastAsia="Arial" w:hAnsi="Arial"/>
          <w:sz w:val="15"/>
          <w:szCs w:val="15"/>
          <w:color w:val="auto"/>
        </w:rPr>
      </w:pPr>
      <w:r>
        <w:rPr>
          <w:rFonts w:ascii="Arial" w:cs="Arial" w:eastAsia="Arial" w:hAnsi="Arial"/>
          <w:sz w:val="18"/>
          <w:szCs w:val="18"/>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spacing w:after="0" w:line="1" w:lineRule="exact"/>
        <w:rPr>
          <w:rFonts w:ascii="Arial" w:cs="Arial" w:eastAsia="Arial" w:hAnsi="Arial"/>
          <w:sz w:val="15"/>
          <w:szCs w:val="15"/>
          <w:color w:val="auto"/>
        </w:rPr>
      </w:pPr>
    </w:p>
    <w:p>
      <w:pPr>
        <w:ind w:left="440" w:right="40" w:hanging="432"/>
        <w:spacing w:after="0" w:line="250" w:lineRule="auto"/>
        <w:tabs>
          <w:tab w:leader="none" w:pos="440" w:val="left"/>
        </w:tabs>
        <w:numPr>
          <w:ilvl w:val="0"/>
          <w:numId w:val="26"/>
        </w:numPr>
        <w:rPr>
          <w:rFonts w:ascii="Arial" w:cs="Arial" w:eastAsia="Arial" w:hAnsi="Arial"/>
          <w:sz w:val="15"/>
          <w:szCs w:val="15"/>
          <w:color w:val="auto"/>
        </w:rPr>
      </w:pPr>
      <w:r>
        <w:rPr>
          <w:rFonts w:ascii="Arial" w:cs="Arial" w:eastAsia="Arial" w:hAnsi="Arial"/>
          <w:sz w:val="18"/>
          <w:szCs w:val="18"/>
          <w:color w:val="auto"/>
        </w:rPr>
        <w:t>The remaining collateral in these CLO Fund portfolios are illiquid and not producing meaningful cash flows, and thus, the Company’s investment in the CLO Subordinated securities are not currently receiving periodic cash distributions. Accordingly, the Company is no longer recording any investment income from these investments, and has thus noted the effective interest as not meaningful, or N/M. The fair value of the investment reflects the Company’s estimated share of the fair value of the underlying collateral.</w:t>
      </w:r>
    </w:p>
    <w:p>
      <w:pPr>
        <w:spacing w:after="0" w:line="1" w:lineRule="exact"/>
        <w:rPr>
          <w:rFonts w:ascii="Arial" w:cs="Arial" w:eastAsia="Arial" w:hAnsi="Arial"/>
          <w:sz w:val="15"/>
          <w:szCs w:val="15"/>
          <w:color w:val="auto"/>
        </w:rPr>
      </w:pPr>
    </w:p>
    <w:p>
      <w:pPr>
        <w:ind w:left="440" w:right="60" w:hanging="432"/>
        <w:spacing w:after="0" w:line="255" w:lineRule="auto"/>
        <w:tabs>
          <w:tab w:leader="none" w:pos="440" w:val="left"/>
        </w:tabs>
        <w:numPr>
          <w:ilvl w:val="0"/>
          <w:numId w:val="26"/>
        </w:numPr>
        <w:rPr>
          <w:rFonts w:ascii="Arial" w:cs="Arial" w:eastAsia="Arial" w:hAnsi="Arial"/>
          <w:sz w:val="15"/>
          <w:szCs w:val="15"/>
          <w:color w:val="auto"/>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jc w:val="center"/>
        <w:ind w:left="752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75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5715</wp:posOffset>
            </wp:positionV>
            <wp:extent cx="22466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r>
              <w:rPr>
                <w:rFonts w:ascii="Arial" w:cs="Arial" w:eastAsia="Arial" w:hAnsi="Arial"/>
                <w:sz w:val="15"/>
                <w:szCs w:val="15"/>
                <w:b w:val="1"/>
                <w:bCs w:val="1"/>
                <w:color w:val="auto"/>
              </w:rPr>
              <w:t>4</w:t>
            </w:r>
          </w:p>
        </w:tc>
        <w:tc>
          <w:tcPr>
            <w:tcW w:w="4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r>
              <w:rPr>
                <w:rFonts w:ascii="Arial" w:cs="Arial" w:eastAsia="Arial" w:hAnsi="Arial"/>
                <w:sz w:val="15"/>
                <w:szCs w:val="15"/>
                <w:b w:val="1"/>
                <w:bCs w:val="1"/>
                <w:color w:val="auto"/>
              </w:rPr>
              <w:t>4</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4.23</w:t>
            </w:r>
          </w:p>
        </w:tc>
        <w:tc>
          <w:tcPr>
            <w:tcW w:w="40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investment (loss) income</w:t>
            </w:r>
            <w:r>
              <w:rPr>
                <w:rFonts w:ascii="Arial" w:cs="Arial" w:eastAsia="Arial" w:hAnsi="Arial"/>
                <w:sz w:val="15"/>
                <w:szCs w:val="15"/>
                <w:color w:val="auto"/>
              </w:rPr>
              <w:t>1</w:t>
            </w: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(0.04)</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Net realized (losses) gains from investments</w:t>
            </w:r>
            <w:r>
              <w:rPr>
                <w:rFonts w:ascii="Arial" w:cs="Arial" w:eastAsia="Arial" w:hAnsi="Arial"/>
                <w:sz w:val="15"/>
                <w:szCs w:val="15"/>
                <w:color w:val="auto"/>
              </w:rPr>
              <w:t>1</w:t>
            </w: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(0.42)</w:t>
            </w:r>
          </w:p>
        </w:tc>
        <w:tc>
          <w:tcPr>
            <w:tcW w:w="3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change in unrealized appreciation (depreciation) on investments</w:t>
            </w:r>
            <w:r>
              <w:rPr>
                <w:rFonts w:ascii="Arial" w:cs="Arial" w:eastAsia="Arial" w:hAnsi="Arial"/>
                <w:sz w:val="15"/>
                <w:szCs w:val="15"/>
                <w:color w:val="auto"/>
              </w:rPr>
              <w:t>1</w:t>
            </w: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3"/>
        </w:trPr>
        <w:tc>
          <w:tcPr>
            <w:tcW w:w="6480" w:type="dxa"/>
            <w:vAlign w:val="bottom"/>
          </w:tcPr>
          <w:p>
            <w:pPr>
              <w:ind w:left="500"/>
              <w:spacing w:after="0"/>
              <w:rPr>
                <w:sz w:val="20"/>
                <w:szCs w:val="20"/>
                <w:color w:val="auto"/>
              </w:rPr>
            </w:pPr>
            <w:r>
              <w:rPr>
                <w:rFonts w:ascii="Arial" w:cs="Arial" w:eastAsia="Arial" w:hAnsi="Arial"/>
                <w:sz w:val="18"/>
                <w:szCs w:val="18"/>
                <w:color w:val="auto"/>
              </w:rPr>
              <w:t>Net (decrease) increase in net assets resulting from operations</w:t>
            </w:r>
          </w:p>
        </w:tc>
        <w:tc>
          <w:tcPr>
            <w:tcW w:w="1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4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net assets resulting from distributions</w:t>
            </w: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(0.20)</w:t>
            </w: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increase in net assets relating to stock-based transactions</w:t>
            </w:r>
          </w:p>
        </w:tc>
        <w:tc>
          <w:tcPr>
            <w:tcW w:w="1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 value, end of period</w:t>
            </w:r>
          </w:p>
        </w:tc>
        <w:tc>
          <w:tcPr>
            <w:tcW w:w="1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4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Total net asset value return</w:t>
            </w:r>
            <w:r>
              <w:rPr>
                <w:rFonts w:ascii="Arial" w:cs="Arial" w:eastAsia="Arial" w:hAnsi="Arial"/>
                <w:sz w:val="15"/>
                <w:szCs w:val="15"/>
                <w:color w:val="auto"/>
              </w:rPr>
              <w:t>2</w:t>
            </w:r>
          </w:p>
        </w:tc>
        <w:tc>
          <w:tcPr>
            <w:tcW w:w="1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Ratio/Supplemental Data:</w:t>
            </w: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Per share market value at beginning of period</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3.46</w:t>
            </w:r>
          </w:p>
        </w:tc>
        <w:tc>
          <w:tcPr>
            <w:tcW w:w="40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Per share market value at end of period</w:t>
            </w:r>
          </w:p>
        </w:tc>
        <w:tc>
          <w:tcPr>
            <w:tcW w:w="15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Total market return</w:t>
            </w:r>
            <w:r>
              <w:rPr>
                <w:rFonts w:ascii="Arial" w:cs="Arial" w:eastAsia="Arial" w:hAnsi="Arial"/>
                <w:sz w:val="15"/>
                <w:szCs w:val="15"/>
                <w:color w:val="auto"/>
              </w:rPr>
              <w:t>3</w:t>
            </w: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(29.2)%</w:t>
            </w:r>
          </w:p>
        </w:tc>
        <w:tc>
          <w:tcPr>
            <w:tcW w:w="32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Shares outstanding at end of period</w:t>
            </w: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37,356,061</w:t>
            </w: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37,341,924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139,177,591</w:t>
            </w:r>
          </w:p>
        </w:tc>
        <w:tc>
          <w:tcPr>
            <w:tcW w:w="40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176,145,264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Portfolio turnover rate</w:t>
            </w:r>
            <w:r>
              <w:rPr>
                <w:rFonts w:ascii="Arial" w:cs="Arial" w:eastAsia="Arial" w:hAnsi="Arial"/>
                <w:sz w:val="15"/>
                <w:szCs w:val="15"/>
                <w:color w:val="auto"/>
              </w:rPr>
              <w:t>6</w:t>
            </w: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21.1%</w:t>
            </w: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Asset coverage ratio</w:t>
            </w: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Ratio of net investment (loss) income to average net assets</w:t>
            </w:r>
            <w:r>
              <w:rPr>
                <w:rFonts w:ascii="Arial" w:cs="Arial" w:eastAsia="Arial" w:hAnsi="Arial"/>
                <w:sz w:val="15"/>
                <w:szCs w:val="15"/>
                <w:color w:val="auto"/>
              </w:rPr>
              <w:t>5</w:t>
            </w: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15"/>
                <w:szCs w:val="15"/>
                <w:color w:val="auto"/>
              </w:rPr>
              <w:t>5</w:t>
            </w: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Ratio of interest expense to average net assets</w:t>
            </w:r>
            <w:r>
              <w:rPr>
                <w:rFonts w:ascii="Arial" w:cs="Arial" w:eastAsia="Arial" w:hAnsi="Arial"/>
                <w:sz w:val="15"/>
                <w:szCs w:val="15"/>
                <w:color w:val="auto"/>
              </w:rPr>
              <w:t>5</w:t>
            </w: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Ratio of non-interest expenses to average net assets</w:t>
            </w:r>
            <w:r>
              <w:rPr>
                <w:rFonts w:ascii="Arial" w:cs="Arial" w:eastAsia="Arial" w:hAnsi="Arial"/>
                <w:sz w:val="15"/>
                <w:szCs w:val="15"/>
                <w:color w:val="auto"/>
              </w:rPr>
              <w:t>5</w:t>
            </w: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40" w:hanging="432"/>
        <w:spacing w:after="0"/>
        <w:tabs>
          <w:tab w:leader="none" w:pos="440" w:val="left"/>
        </w:tabs>
        <w:numPr>
          <w:ilvl w:val="0"/>
          <w:numId w:val="27"/>
        </w:numPr>
        <w:rPr>
          <w:rFonts w:ascii="Arial" w:cs="Arial" w:eastAsia="Arial" w:hAnsi="Arial"/>
          <w:sz w:val="15"/>
          <w:szCs w:val="15"/>
          <w:color w:val="auto"/>
        </w:rPr>
      </w:pPr>
      <w:r>
        <w:rPr>
          <w:rFonts w:ascii="Arial" w:cs="Arial" w:eastAsia="Arial" w:hAnsi="Arial"/>
          <w:sz w:val="18"/>
          <w:szCs w:val="18"/>
          <w:color w:val="auto"/>
        </w:rPr>
        <w:t>Based on weighted average number of common shares outstanding-basic for the period.</w:t>
      </w:r>
    </w:p>
    <w:p>
      <w:pPr>
        <w:spacing w:after="0" w:line="22" w:lineRule="exact"/>
        <w:rPr>
          <w:sz w:val="20"/>
          <w:szCs w:val="20"/>
          <w:color w:val="auto"/>
        </w:rPr>
      </w:pPr>
    </w:p>
    <w:p>
      <w:pPr>
        <w:ind w:left="440" w:right="20" w:hanging="432"/>
        <w:spacing w:after="0" w:line="250" w:lineRule="auto"/>
        <w:tabs>
          <w:tab w:leader="none" w:pos="440" w:val="left"/>
        </w:tabs>
        <w:numPr>
          <w:ilvl w:val="0"/>
          <w:numId w:val="28"/>
        </w:numPr>
        <w:rPr>
          <w:rFonts w:ascii="Arial" w:cs="Arial" w:eastAsia="Arial" w:hAnsi="Arial"/>
          <w:sz w:val="15"/>
          <w:szCs w:val="15"/>
          <w:color w:val="auto"/>
        </w:rPr>
      </w:pPr>
      <w:r>
        <w:rPr>
          <w:rFonts w:ascii="Arial" w:cs="Arial" w:eastAsia="Arial" w:hAnsi="Arial"/>
          <w:sz w:val="18"/>
          <w:szCs w:val="18"/>
          <w:color w:val="auto"/>
        </w:rPr>
        <w:t>Total net asset value return (not annualized) equals the change in the net asset value per share over the beginning of period net asset value per share plus distributions, divided by the beginning net asset value per share.</w:t>
      </w:r>
    </w:p>
    <w:p>
      <w:pPr>
        <w:spacing w:after="0" w:line="1" w:lineRule="exact"/>
        <w:rPr>
          <w:sz w:val="20"/>
          <w:szCs w:val="20"/>
          <w:color w:val="auto"/>
        </w:rPr>
      </w:pPr>
    </w:p>
    <w:p>
      <w:pPr>
        <w:ind w:left="440" w:right="540" w:hanging="432"/>
        <w:spacing w:after="0" w:line="250" w:lineRule="auto"/>
        <w:tabs>
          <w:tab w:leader="none" w:pos="440" w:val="left"/>
        </w:tabs>
        <w:numPr>
          <w:ilvl w:val="0"/>
          <w:numId w:val="29"/>
        </w:numPr>
        <w:rPr>
          <w:rFonts w:ascii="Arial" w:cs="Arial" w:eastAsia="Arial" w:hAnsi="Arial"/>
          <w:sz w:val="15"/>
          <w:szCs w:val="15"/>
          <w:color w:val="auto"/>
        </w:rPr>
      </w:pPr>
      <w:r>
        <w:rPr>
          <w:rFonts w:ascii="Arial" w:cs="Arial" w:eastAsia="Arial" w:hAnsi="Arial"/>
          <w:sz w:val="18"/>
          <w:szCs w:val="18"/>
          <w:color w:val="auto"/>
        </w:rPr>
        <w:t>Total market return (not annualized) equals the change in the ending market price, over the beginning of period price per share plus distributions, divided by the beginning market price.</w:t>
      </w:r>
    </w:p>
    <w:p>
      <w:pPr>
        <w:spacing w:after="0" w:line="1" w:lineRule="exact"/>
        <w:rPr>
          <w:sz w:val="20"/>
          <w:szCs w:val="20"/>
          <w:color w:val="auto"/>
        </w:rPr>
      </w:pPr>
    </w:p>
    <w:p>
      <w:pPr>
        <w:ind w:left="440" w:hanging="432"/>
        <w:spacing w:after="0"/>
        <w:tabs>
          <w:tab w:leader="none" w:pos="440" w:val="left"/>
        </w:tabs>
        <w:numPr>
          <w:ilvl w:val="0"/>
          <w:numId w:val="30"/>
        </w:numPr>
        <w:rPr>
          <w:rFonts w:ascii="Arial" w:cs="Arial" w:eastAsia="Arial" w:hAnsi="Arial"/>
          <w:sz w:val="15"/>
          <w:szCs w:val="15"/>
          <w:color w:val="auto"/>
        </w:rPr>
      </w:pPr>
      <w:r>
        <w:rPr>
          <w:rFonts w:ascii="Arial" w:cs="Arial" w:eastAsia="Arial" w:hAnsi="Arial"/>
          <w:sz w:val="18"/>
          <w:szCs w:val="18"/>
          <w:color w:val="auto"/>
        </w:rPr>
        <w:t>Totals may not sum due to rounding.</w:t>
      </w:r>
    </w:p>
    <w:p>
      <w:pPr>
        <w:spacing w:after="0" w:line="9" w:lineRule="exact"/>
        <w:rPr>
          <w:sz w:val="20"/>
          <w:szCs w:val="20"/>
          <w:color w:val="auto"/>
        </w:rPr>
      </w:pPr>
    </w:p>
    <w:p>
      <w:pPr>
        <w:ind w:left="440" w:hanging="432"/>
        <w:spacing w:after="0"/>
        <w:tabs>
          <w:tab w:leader="none" w:pos="440" w:val="left"/>
        </w:tabs>
        <w:numPr>
          <w:ilvl w:val="0"/>
          <w:numId w:val="31"/>
        </w:numPr>
        <w:rPr>
          <w:rFonts w:ascii="Arial" w:cs="Arial" w:eastAsia="Arial" w:hAnsi="Arial"/>
          <w:sz w:val="15"/>
          <w:szCs w:val="15"/>
          <w:color w:val="auto"/>
        </w:rPr>
      </w:pPr>
      <w:r>
        <w:rPr>
          <w:rFonts w:ascii="Arial" w:cs="Arial" w:eastAsia="Arial" w:hAnsi="Arial"/>
          <w:sz w:val="18"/>
          <w:szCs w:val="18"/>
          <w:color w:val="auto"/>
        </w:rPr>
        <w:t>Annualized.</w:t>
      </w:r>
    </w:p>
    <w:p>
      <w:pPr>
        <w:spacing w:after="0" w:line="9" w:lineRule="exact"/>
        <w:rPr>
          <w:sz w:val="20"/>
          <w:szCs w:val="20"/>
          <w:color w:val="auto"/>
        </w:rPr>
      </w:pPr>
    </w:p>
    <w:p>
      <w:pPr>
        <w:ind w:left="3500" w:right="2460" w:hanging="3492"/>
        <w:spacing w:after="0" w:line="497" w:lineRule="auto"/>
        <w:tabs>
          <w:tab w:leader="none" w:pos="448" w:val="left"/>
        </w:tabs>
        <w:numPr>
          <w:ilvl w:val="0"/>
          <w:numId w:val="32"/>
        </w:numPr>
        <w:rPr>
          <w:rFonts w:ascii="Arial" w:cs="Arial" w:eastAsia="Arial" w:hAnsi="Arial"/>
          <w:sz w:val="14"/>
          <w:szCs w:val="14"/>
          <w:color w:val="auto"/>
        </w:rPr>
      </w:pPr>
      <w:r>
        <w:rPr>
          <w:rFonts w:ascii="Arial" w:cs="Arial" w:eastAsia="Arial" w:hAnsi="Arial"/>
          <w:sz w:val="17"/>
          <w:szCs w:val="17"/>
          <w:color w:val="auto"/>
        </w:rPr>
        <w:t>Portfolio turnover rate equals the year-to-date sales and paydowns over the average of the invested assets at fair value. See accompanying 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ind w:left="440" w:hanging="432"/>
        <w:spacing w:after="0"/>
        <w:tabs>
          <w:tab w:leader="none" w:pos="4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89" w:lineRule="exact"/>
        <w:rPr>
          <w:sz w:val="20"/>
          <w:szCs w:val="20"/>
          <w:color w:val="auto"/>
        </w:rPr>
      </w:pPr>
    </w:p>
    <w:p>
      <w:pPr>
        <w:ind w:right="20" w:firstLine="439"/>
        <w:spacing w:after="0" w:line="302" w:lineRule="auto"/>
        <w:rPr>
          <w:sz w:val="20"/>
          <w:szCs w:val="20"/>
          <w:color w:val="auto"/>
        </w:rPr>
      </w:pPr>
      <w:r>
        <w:rPr>
          <w:rFonts w:ascii="Arial" w:cs="Arial" w:eastAsia="Arial" w:hAnsi="Arial"/>
          <w:sz w:val="16"/>
          <w:szCs w:val="16"/>
          <w:color w:val="auto"/>
        </w:rPr>
        <w:t>Portman Ridge Finance Corporation (“Portman Ridge” or the “Company”), formerly known as KCAP Financial, Inc., is an externally managed, non-diversified closed-end investment company that has elected to be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w:t>
      </w:r>
    </w:p>
    <w:p>
      <w:pPr>
        <w:spacing w:after="0" w:line="127" w:lineRule="exact"/>
        <w:rPr>
          <w:sz w:val="20"/>
          <w:szCs w:val="20"/>
          <w:color w:val="auto"/>
        </w:rPr>
      </w:pPr>
    </w:p>
    <w:p>
      <w:pPr>
        <w:ind w:right="100" w:firstLine="439"/>
        <w:spacing w:after="0" w:line="276" w:lineRule="auto"/>
        <w:rPr>
          <w:sz w:val="20"/>
          <w:szCs w:val="20"/>
          <w:color w:val="auto"/>
        </w:rPr>
      </w:pPr>
      <w:r>
        <w:rPr>
          <w:rFonts w:ascii="Arial" w:cs="Arial" w:eastAsia="Arial" w:hAnsi="Arial"/>
          <w:sz w:val="17"/>
          <w:szCs w:val="17"/>
          <w:color w:val="auto"/>
        </w:rPr>
        <w:t>The Company originates, structures, and invests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The Company also invests in joint ventures and debt and subordinated securities issued by collateralized loan obligation funds (“CLO Fund Securities”). In addition, from time to time the Company may invest in the equity securities of privately held middle market companies and may also receive warrants or options to purchase common stock in connection with its debt investments.</w:t>
      </w:r>
    </w:p>
    <w:p>
      <w:pPr>
        <w:spacing w:after="0" w:line="132"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color w:val="auto"/>
        </w:rPr>
        <w:t>The Company has elected to be treated and intends to continue to qualify as a regulated investment company (“RIC”) under Subchapter M of the Internal Revenue Code of 1986, as amended (the “Code”). To qualify as a RIC, the Company must, among other things, meet certain source-of-income, asset diversification and annual distribution requirements. As a RIC, the Company generally will not have to pay corporate-level U.S. federal income taxes on any income that it distributes in a timely manner to its stockholders.</w:t>
      </w:r>
    </w:p>
    <w:p>
      <w:pPr>
        <w:spacing w:after="0" w:line="146" w:lineRule="exact"/>
        <w:rPr>
          <w:sz w:val="20"/>
          <w:szCs w:val="20"/>
          <w:color w:val="auto"/>
        </w:rPr>
      </w:pPr>
    </w:p>
    <w:p>
      <w:pPr>
        <w:jc w:val="both"/>
        <w:ind w:right="140" w:firstLine="439"/>
        <w:spacing w:after="0" w:line="286" w:lineRule="auto"/>
        <w:rPr>
          <w:sz w:val="20"/>
          <w:szCs w:val="20"/>
          <w:color w:val="auto"/>
        </w:rPr>
      </w:pPr>
      <w:r>
        <w:rPr>
          <w:rFonts w:ascii="Arial" w:cs="Arial" w:eastAsia="Arial" w:hAnsi="Arial"/>
          <w:sz w:val="16"/>
          <w:szCs w:val="16"/>
          <w:color w:val="auto"/>
        </w:rPr>
        <w:t>On March 29, 2018, the Company’s Board of Directors (the “Board”), including a “required majority” (as such term is defined in Section 57(o) of the 1940 Act) of the Board, approved the modified asset coverage requirements set forth in Section 61(a)(2) of the 1940 Act, as amended by the Small Business Credit Availability Act (“SBCA”). As a result, the Company’s asset coverage requirement for senior securities changed from 200% to 150%, effective as of March 29, 2019. However, despite the SBCA, the Company will continue to be prohibited by the indenture governing the Company’s 6.125% Notes Due</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2022 (as defined and discussed in Note 6 - “Borrowings” below) from making distributions on our common stock if the Company’s asset coverage, as defined in the 1940 Act, falls below 200%. In any such event, the Company would be prohibited from making distributions required in order to maintain its status as a RIC.</w:t>
      </w:r>
    </w:p>
    <w:p>
      <w:pPr>
        <w:spacing w:after="0" w:line="163" w:lineRule="exact"/>
        <w:rPr>
          <w:sz w:val="20"/>
          <w:szCs w:val="20"/>
          <w:color w:val="auto"/>
        </w:rPr>
      </w:pPr>
    </w:p>
    <w:p>
      <w:pPr>
        <w:ind w:firstLine="439"/>
        <w:spacing w:after="0" w:line="272" w:lineRule="auto"/>
        <w:rPr>
          <w:sz w:val="20"/>
          <w:szCs w:val="20"/>
          <w:color w:val="auto"/>
        </w:rPr>
      </w:pPr>
      <w:r>
        <w:rPr>
          <w:rFonts w:ascii="Arial" w:cs="Arial" w:eastAsia="Arial" w:hAnsi="Arial"/>
          <w:sz w:val="17"/>
          <w:szCs w:val="17"/>
          <w:color w:val="auto"/>
        </w:rPr>
        <w:t>During the third quarter of 2017, the Company formed a joint venture with Freedom 3 Opportunities LLC (“Freedom 3 Opportunities”), an affiliate of Freedom 3 Capital LLC, to create KCAP Freedom 3 LLC (the “Joint Venture”). The Company and Freedom 3 Opportunities contributed approximately $37 million and $25 million, respectively, in assets to the Joint Venture, which in turn used the assets to capitalize a new fund (KCAP FC3 Senior Funding, L.L.C. or the “Fund”) managed by KCAP Management, LLC, one of the Company's indirectly wholly-owned Asset Manager Affiliate (as defined below) subsidiaries. In addition, the Fund used cash on hand and borrowings under a credit facility to purchase approximately $184 million of loans from the Company and the Company used the proceeds from such sale to redeem approximately $147 million in debt issued by KCAP Senior Funding I, LLC (“KCAP Senior Funding”). The Joint Venture may originate loans from time to time and sell them to the Fund.</w:t>
      </w:r>
    </w:p>
    <w:p>
      <w:pPr>
        <w:spacing w:after="0" w:line="137" w:lineRule="exact"/>
        <w:rPr>
          <w:sz w:val="20"/>
          <w:szCs w:val="20"/>
          <w:color w:val="auto"/>
        </w:rPr>
      </w:pPr>
    </w:p>
    <w:p>
      <w:pPr>
        <w:ind w:right="40" w:firstLine="439"/>
        <w:spacing w:after="0" w:line="264"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Company received a cash distribution of $12.6 million, $11.8 million of which was a return of capital.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LibreMax Transaction</w:t>
      </w:r>
    </w:p>
    <w:p>
      <w:pPr>
        <w:spacing w:after="0" w:line="202" w:lineRule="exact"/>
        <w:rPr>
          <w:sz w:val="20"/>
          <w:szCs w:val="20"/>
          <w:color w:val="auto"/>
        </w:rPr>
      </w:pPr>
    </w:p>
    <w:p>
      <w:pPr>
        <w:ind w:right="160" w:firstLine="439"/>
        <w:spacing w:after="0" w:line="290" w:lineRule="auto"/>
        <w:rPr>
          <w:sz w:val="20"/>
          <w:szCs w:val="20"/>
          <w:color w:val="auto"/>
        </w:rPr>
      </w:pPr>
      <w:r>
        <w:rPr>
          <w:rFonts w:ascii="Arial" w:cs="Arial" w:eastAsia="Arial" w:hAnsi="Arial"/>
          <w:sz w:val="16"/>
          <w:szCs w:val="16"/>
          <w:color w:val="auto"/>
        </w:rPr>
        <w:t>On November 8, 2018, the Company entered into an agreement with LibreMax Intermediate Holdings, LP (“LibreMax”) under which Commodore Holdings, LLC (“Commodore”), a wholly-owned subsidiary of the Company, sold the Company’s wholly-owned asset manager subsidiaries Katonah Debt Advisors, LLC (“Katonah Debt Advisors”), Trimaran Advisors, L.L.C. (“Trimaran Advisors”), and Trimaran Advisors Management, L.L.C. (“Trimaran Advisors Management” and, together with Katonah Debt Advisors and Trimaran Advisors, the “Disposed Manager Affiliates”), for a cash purchase price of approximately $37.9 million (the “LibreMax Transaction”). The LibreMax Transaction closed on December 31, 2018. As of June 30, 2019, the Company’s remaining wholly-owned asset management subsidiaries (the “Asset Manager Affiliates”) were comprised of Commodore, Katonah Management Holdings, LLC, Katonah X Management LLC, Katonah 2007-1 Management, LLC and KCAP Management, LLC. Prior to their sale in the LibreMax Transaction, the Disposed Manager Affiliates represented substantially all of the Company’s investment in the Asset Manager Affiliates.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Externalization Agreement</w:t>
      </w:r>
    </w:p>
    <w:p>
      <w:pPr>
        <w:spacing w:after="0" w:line="189" w:lineRule="exact"/>
        <w:rPr>
          <w:sz w:val="20"/>
          <w:szCs w:val="20"/>
          <w:color w:val="auto"/>
        </w:rPr>
      </w:pPr>
    </w:p>
    <w:p>
      <w:pPr>
        <w:ind w:right="60" w:firstLine="439"/>
        <w:spacing w:after="0" w:line="273" w:lineRule="auto"/>
        <w:rPr>
          <w:sz w:val="20"/>
          <w:szCs w:val="20"/>
          <w:color w:val="auto"/>
        </w:rPr>
      </w:pPr>
      <w:r>
        <w:rPr>
          <w:rFonts w:ascii="Arial" w:cs="Arial" w:eastAsia="Arial" w:hAnsi="Arial"/>
          <w:sz w:val="17"/>
          <w:szCs w:val="17"/>
          <w:color w:val="auto"/>
        </w:rPr>
        <w:t>On December 14, 2018, the Company entered into a stock purchase and transaction agreement (the “Externalization Agreement”) with BC Partners Advisors L.P. (“BCP”), an affiliate of BC Partners LLP, (“BC Partners”), through which Sierra Crest Investment Management LLC (the “Adviser”), an affiliate of BC Partners, became the Company’s investment adviser pursuant to an investment advisory Agreement (the “Advisory Agreement”) with the Company. At a special meeting of the Company’s stockholders (the “Special Meeting”) held on February 19, 2019, the Company’s stockholders approved the Advisory Agreement. The transactions contemplated by the Externalization Agreement closed on April 1, 2019 (the “Closing”), and the Company commenced operations as an externally managed BDC managed by the Adviser on that date.</w:t>
      </w:r>
    </w:p>
    <w:p>
      <w:pPr>
        <w:spacing w:after="0" w:line="151"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Pursuant to the Externalization Agreement with BCP, the Adviser became the Company’s investment adviser in exchange for a cash payment from BCP, or its affiliate, of $25 million, or $0.669672 per share of the Company’s common stock, directly to the Company’s stockholders. In addition, the Adviser (or its affiliate) will use up to $10 million of the incentive fee actually paid to the Adviser prior to the second anniversary of the Closing to buy newly issued shares of the Company’s common stock at the most recently determined net asset value per share of the Company’s common stock at the time of such purchase. For the period of one year from the first day of the first quarter following the quarter in which the Closing occurred, the Adviser will permanently forego up to the full amount of the incentive fees earned by the Adviser without recourse against or reimbursement by the Company, to the extent necessary in order to achieve aggregate net investment income per common share of the Company for such one-year period to be at least equal to $0.40 per share, subject to certain adjustments.</w:t>
      </w:r>
    </w:p>
    <w:p>
      <w:pPr>
        <w:spacing w:after="0" w:line="152" w:lineRule="exact"/>
        <w:rPr>
          <w:sz w:val="20"/>
          <w:szCs w:val="20"/>
          <w:color w:val="auto"/>
        </w:rPr>
      </w:pPr>
    </w:p>
    <w:p>
      <w:pPr>
        <w:ind w:right="300" w:firstLine="439"/>
        <w:spacing w:after="0" w:line="277" w:lineRule="auto"/>
        <w:rPr>
          <w:sz w:val="20"/>
          <w:szCs w:val="20"/>
          <w:color w:val="auto"/>
        </w:rPr>
      </w:pPr>
      <w:r>
        <w:rPr>
          <w:rFonts w:ascii="Arial" w:cs="Arial" w:eastAsia="Arial" w:hAnsi="Arial"/>
          <w:sz w:val="18"/>
          <w:szCs w:val="18"/>
          <w:color w:val="auto"/>
        </w:rPr>
        <w:t>On the date of the Closing, the Company changed its name from KCAP Financial, Inc. to Portman Ridge Finance Corporation and on April 2, 2019, began trading on the NASDAQ Global Select Market under the symbol “PTMN.”</w:t>
      </w:r>
    </w:p>
    <w:p>
      <w:pPr>
        <w:spacing w:after="0" w:line="130" w:lineRule="exact"/>
        <w:rPr>
          <w:sz w:val="20"/>
          <w:szCs w:val="20"/>
          <w:color w:val="auto"/>
        </w:rPr>
      </w:pPr>
    </w:p>
    <w:p>
      <w:pPr>
        <w:ind w:right="20" w:firstLine="439"/>
        <w:spacing w:after="0" w:line="272" w:lineRule="auto"/>
        <w:rPr>
          <w:sz w:val="20"/>
          <w:szCs w:val="20"/>
          <w:color w:val="auto"/>
        </w:rPr>
      </w:pPr>
      <w:r>
        <w:rPr>
          <w:rFonts w:ascii="Arial" w:cs="Arial" w:eastAsia="Arial" w:hAnsi="Arial"/>
          <w:sz w:val="17"/>
          <w:szCs w:val="17"/>
          <w:color w:val="auto"/>
        </w:rPr>
        <w:t>On April 1, 2019, in connection with the Closing, all of the Company’s then-current directors resigned from their positions on the Board, with the exceptions of Dean Kehler and Christopher Lacovara. Prior to their resignations, the Board approved an increase in the size of the Board from seven members to eight members and appointed the following new individuals to serve on the Board: Graeme Dell; Alexander Duka; Ted Goldthorpe; George Grunebaum; David Moffitt; and Robert Warshauer. Additionally, in connection with the Closing all of the Company’s then-current officers resigned from their positions with the exceptions of Edward Gilpin and Daniel Gilligan. Effective as of the Closing, Ted Goldthorpe was appointed as President and Chief Executive Officer and Patrick Schafer was appointed as Chief Investment Officer of the Company. In May 2019, Mr. Gilligan resigned as Chief Compliance Officer and Andrew Devine was appointed Chief Compliance Officer.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Adviser</w:t>
      </w:r>
    </w:p>
    <w:p>
      <w:pPr>
        <w:spacing w:after="0" w:line="189"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The Adviser is an affiliate of BC Partners. LibreMax owns a minority stake in the Adviser. Subject to the overall supervision of the Board, the Adviser is responsible for managing the Company’s business and activities, including sourcing investment opportunities, conducting research, performing diligence on potential investments, structuring the Company’s investments, and monitoring the Company’s portfolio companies on an ongoing basis through a team of investment professionals.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27" w:name="page28"/>
    <w:bookmarkEnd w:id="27"/>
    <w:p>
      <w:pPr>
        <w:ind w:right="20" w:firstLine="439"/>
        <w:spacing w:after="0" w:line="293" w:lineRule="auto"/>
        <w:rPr>
          <w:sz w:val="20"/>
          <w:szCs w:val="20"/>
          <w:color w:val="auto"/>
        </w:rPr>
      </w:pPr>
      <w:r>
        <w:rPr>
          <w:rFonts w:ascii="Arial" w:cs="Arial" w:eastAsia="Arial" w:hAnsi="Arial"/>
          <w:sz w:val="16"/>
          <w:szCs w:val="16"/>
          <w:color w:val="auto"/>
        </w:rPr>
        <w:t>The Adviser seeks to invest on behalf of the Company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134" w:lineRule="exact"/>
        <w:rPr>
          <w:sz w:val="20"/>
          <w:szCs w:val="20"/>
          <w:color w:val="auto"/>
        </w:rPr>
      </w:pPr>
    </w:p>
    <w:p>
      <w:pPr>
        <w:ind w:left="440" w:right="7580" w:hanging="432"/>
        <w:spacing w:after="0" w:line="456" w:lineRule="auto"/>
        <w:tabs>
          <w:tab w:leader="none" w:pos="433"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firstLine="439"/>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on the accrual basis of accounting in conformity with U.S. generally accepted accounting principles (“GAAP”) for interim financial information. Accordingly, they do not include all of the information and footnotes required for annual consolidated financial statements. The unaudited interim consolidated financial statements and notes thereto should be read in conjunction with the financial statements and notes thereto in the Company’s Form 10-K for the year ended December 31, 2018, as filed with the U.S. Securities and Exchange Commission (the “Commission” or the “SEC”).</w:t>
      </w:r>
    </w:p>
    <w:p>
      <w:pPr>
        <w:spacing w:after="0" w:line="148" w:lineRule="exact"/>
        <w:rPr>
          <w:sz w:val="20"/>
          <w:szCs w:val="20"/>
          <w:color w:val="auto"/>
        </w:rPr>
      </w:pPr>
    </w:p>
    <w:p>
      <w:pPr>
        <w:ind w:right="40" w:firstLine="439"/>
        <w:spacing w:after="0" w:line="255"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 presentation.</w:t>
      </w:r>
    </w:p>
    <w:p>
      <w:pPr>
        <w:spacing w:after="0" w:line="166" w:lineRule="exact"/>
        <w:rPr>
          <w:sz w:val="20"/>
          <w:szCs w:val="20"/>
          <w:color w:val="auto"/>
        </w:rPr>
      </w:pPr>
    </w:p>
    <w:p>
      <w:pPr>
        <w:ind w:right="140" w:firstLine="439"/>
        <w:spacing w:after="0" w:line="297" w:lineRule="auto"/>
        <w:rPr>
          <w:sz w:val="20"/>
          <w:szCs w:val="20"/>
          <w:color w:val="auto"/>
        </w:rPr>
      </w:pPr>
      <w:r>
        <w:rPr>
          <w:rFonts w:ascii="Arial" w:cs="Arial" w:eastAsia="Arial" w:hAnsi="Arial"/>
          <w:sz w:val="16"/>
          <w:szCs w:val="16"/>
          <w:color w:val="auto"/>
        </w:rPr>
        <w:t>The Company consolidates the financial statements of its wholly-owned special purpose financing subsidiaries Great Lakes KCAP Funding I LLC, Kohlberg Capital Funding I LLC, KCAP Senior Funding I, LLC and KCAP Funding I Holdings, LLC in its consolidated financial statements as they are operated solely for investment activities of the Company. The creditors of Great Lakes KCAP Senior Funding I, LLC received security interests in the assets which are owned by Great Lakes KCAP Funding I, LLC and such assets are not intended to be available to the creditors of Portman Ridge Finance Corporation., or any other affiliate. All of the borrowings of Kohlberg Capital Funding LLC I, and KCAP Senior Funding I, LLC have been fully repaid.</w:t>
      </w:r>
    </w:p>
    <w:p>
      <w:pPr>
        <w:spacing w:after="0" w:line="118" w:lineRule="exact"/>
        <w:rPr>
          <w:sz w:val="20"/>
          <w:szCs w:val="20"/>
          <w:color w:val="auto"/>
        </w:rPr>
      </w:pPr>
    </w:p>
    <w:p>
      <w:pPr>
        <w:ind w:right="20" w:firstLine="439"/>
        <w:spacing w:after="0" w:line="264"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qualifies for consolidation.</w:t>
      </w:r>
    </w:p>
    <w:p>
      <w:pPr>
        <w:spacing w:after="0" w:line="141"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color w:val="auto"/>
        </w:rPr>
        <w:t>The Asset Manager Affiliates previously qualified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 Summarized financial information regarding the Asset Manager Affiliates is set forth in Note 5 to these financial statements.</w:t>
      </w:r>
    </w:p>
    <w:p>
      <w:pPr>
        <w:spacing w:after="0" w:line="160" w:lineRule="exact"/>
        <w:rPr>
          <w:sz w:val="20"/>
          <w:szCs w:val="20"/>
          <w:color w:val="auto"/>
        </w:rPr>
      </w:pPr>
    </w:p>
    <w:p>
      <w:pPr>
        <w:ind w:right="400" w:firstLine="439"/>
        <w:spacing w:after="0" w:line="264" w:lineRule="auto"/>
        <w:rPr>
          <w:sz w:val="20"/>
          <w:szCs w:val="20"/>
          <w:color w:val="auto"/>
        </w:rPr>
      </w:pPr>
      <w:r>
        <w:rPr>
          <w:rFonts w:ascii="Arial" w:cs="Arial" w:eastAsia="Arial" w:hAnsi="Arial"/>
          <w:sz w:val="18"/>
          <w:szCs w:val="18"/>
          <w:color w:val="auto"/>
        </w:rPr>
        <w:t>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8" w:name="page29"/>
    <w:bookmarkEnd w:id="28"/>
    <w:p>
      <w:pPr>
        <w:ind w:right="120" w:firstLine="439"/>
        <w:spacing w:after="0" w:line="271" w:lineRule="auto"/>
        <w:rPr>
          <w:sz w:val="20"/>
          <w:szCs w:val="20"/>
          <w:color w:val="auto"/>
        </w:rPr>
      </w:pPr>
      <w:r>
        <w:rPr>
          <w:rFonts w:ascii="Arial" w:cs="Arial" w:eastAsia="Arial" w:hAnsi="Arial"/>
          <w:sz w:val="17"/>
          <w:szCs w:val="17"/>
          <w:color w:val="auto"/>
        </w:rPr>
        <w:t>It is the Company’s primary investment objective to generate current income and capital appreciation by lending directly to privately-held middle market companies. During the quarter ended June 30, 2019, the Company provided approximately $59.9 million to portfolio companies to support their growth objectives. Approximately $33.2 million of this support was contractually obligated. See also Note 8 – Commitments and Contingencies. As of June 30, 2019, the Company held loans it has made to 50 investee companies with aggregate principal amounts of approximately $186.8 million. The details of such loans have been disclosed on the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among other things, leading a syndicate of lenders to provide the investee companies with financing. During the six months ended June 30, 2019, the Company did not engage in any such or similar activities.</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85" w:lineRule="exact"/>
        <w:rPr>
          <w:sz w:val="20"/>
          <w:szCs w:val="20"/>
          <w:color w:val="auto"/>
        </w:rPr>
      </w:pPr>
    </w:p>
    <w:p>
      <w:pPr>
        <w:ind w:right="80" w:firstLine="439"/>
        <w:spacing w:after="0" w:line="255" w:lineRule="auto"/>
        <w:rPr>
          <w:sz w:val="20"/>
          <w:szCs w:val="20"/>
          <w:color w:val="auto"/>
        </w:rPr>
      </w:pPr>
      <w:r>
        <w:rPr>
          <w:rFonts w:ascii="Arial" w:cs="Arial" w:eastAsia="Arial" w:hAnsi="Arial"/>
          <w:sz w:val="18"/>
          <w:szCs w:val="18"/>
          <w:color w:val="auto"/>
        </w:rPr>
        <w:t>In March 2017, the Financial Accounting Standards Board (“FASB”) issued an Accounting Standards Update, ASU 2017-08, Receivables — Nonrefundable Fees and Other Costs (Subtopic 310-20), Premium Amortization on Purchased Callable Debt Securities (“ASU 2017-08”) which amends the amortization period for certain purchased callable debt securities held at a premium, shortening such period to the earliest call date. ASU 2017-08 does not require any accounting change for debt securities held at a discount; the discount continues to be amortized to maturity. ASU 2017-08 is effective for fiscal years, and interim periods within those fiscal years, beginning after December 15, 2018. The adoption of ASU 2017-08 did not have a material impact on the financial position or results of operations of the Company.</w:t>
      </w:r>
    </w:p>
    <w:p>
      <w:pPr>
        <w:spacing w:after="0" w:line="153" w:lineRule="exact"/>
        <w:rPr>
          <w:sz w:val="20"/>
          <w:szCs w:val="20"/>
          <w:color w:val="auto"/>
        </w:rPr>
      </w:pPr>
    </w:p>
    <w:p>
      <w:pPr>
        <w:ind w:firstLine="439"/>
        <w:spacing w:after="0" w:line="272" w:lineRule="auto"/>
        <w:rPr>
          <w:sz w:val="20"/>
          <w:szCs w:val="20"/>
          <w:color w:val="auto"/>
        </w:rPr>
      </w:pPr>
      <w:r>
        <w:rPr>
          <w:rFonts w:ascii="Arial" w:cs="Arial" w:eastAsia="Arial" w:hAnsi="Arial"/>
          <w:sz w:val="17"/>
          <w:szCs w:val="17"/>
          <w:color w:val="auto"/>
        </w:rPr>
        <w:t>In February 2016, the FASB issued ASU 2016-02, Leases, and several amendments (collectively, “ASU 2016-02”), which requires lessees to recognize assets and liabilities arising from most operating leases on the consolidated statements of financial condition. For operating leases, a lessee is required to do the following: (a) recognize a right-of-use asset and a lease liability, initially measured at the present value of the lease payments, in the statement of financial condition; (b) recognize a single lease cost, calculated so that the cost of the lease is allocated over the lease term on a generally straight-line basis and (c) classify all cash payments within operating activities in the statement of cash flows. The guidance is effective for fiscal periods beginning after December 15, 2018. Effective January 1, 2019 the Company recorded a right of use asset (net of previously deferred rent expense) of approximately $3.3 million and a lease liability of approximately $3.7 million upon adoption of this standard.</w:t>
      </w:r>
    </w:p>
    <w:p>
      <w:pPr>
        <w:spacing w:after="0" w:line="151" w:lineRule="exact"/>
        <w:rPr>
          <w:sz w:val="20"/>
          <w:szCs w:val="20"/>
          <w:color w:val="auto"/>
        </w:rPr>
      </w:pPr>
    </w:p>
    <w:p>
      <w:pPr>
        <w:ind w:right="80" w:firstLine="439"/>
        <w:spacing w:after="0" w:line="279" w:lineRule="auto"/>
        <w:rPr>
          <w:sz w:val="20"/>
          <w:szCs w:val="20"/>
          <w:color w:val="auto"/>
        </w:rPr>
      </w:pPr>
      <w:r>
        <w:rPr>
          <w:rFonts w:ascii="Arial" w:cs="Arial" w:eastAsia="Arial" w:hAnsi="Arial"/>
          <w:sz w:val="17"/>
          <w:szCs w:val="17"/>
          <w:color w:val="auto"/>
        </w:rPr>
        <w:t>During the second quarter of 2019, the Company recognized an impairment of approximately $1.4 million to reduce the right of use asset related to the Company’s legacy office lease to its estimated fair market value. The impairment charge which was recognized in the Company’s consolidated statement of operations during the second quarter of 2019. The remaining right of use asset will be amortized to expense in future periods as a component of “Other general and administrative expenses.” There was no impact to the lease liability as a result of this impairment.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Accounting Pronouncements</w:t>
      </w:r>
    </w:p>
    <w:p>
      <w:pPr>
        <w:spacing w:after="0" w:line="185" w:lineRule="exact"/>
        <w:rPr>
          <w:sz w:val="20"/>
          <w:szCs w:val="20"/>
          <w:color w:val="auto"/>
        </w:rPr>
      </w:pPr>
    </w:p>
    <w:p>
      <w:pPr>
        <w:ind w:right="60" w:firstLine="439"/>
        <w:spacing w:after="0" w:line="273" w:lineRule="auto"/>
        <w:rPr>
          <w:sz w:val="20"/>
          <w:szCs w:val="20"/>
          <w:color w:val="auto"/>
        </w:rPr>
      </w:pPr>
      <w:r>
        <w:rPr>
          <w:rFonts w:ascii="Arial" w:cs="Arial" w:eastAsia="Arial" w:hAnsi="Arial"/>
          <w:sz w:val="17"/>
          <w:szCs w:val="17"/>
          <w:color w:val="auto"/>
        </w:rPr>
        <w:t>In August 2018, the FASB issued Accounting Standards Update 2018-13, Fair Value Measurement (Topic 820): Disclosure Framework—Changes to the Disclosure Requirements for Fair Value Measurement (“ASU 2018-13”)</w:t>
      </w:r>
      <w:r>
        <w:rPr>
          <w:rFonts w:ascii="Arial" w:cs="Arial" w:eastAsia="Arial" w:hAnsi="Arial"/>
          <w:sz w:val="17"/>
          <w:szCs w:val="17"/>
          <w:i w:val="1"/>
          <w:iCs w:val="1"/>
          <w:color w:val="auto"/>
        </w:rPr>
        <w:t>.</w:t>
      </w:r>
      <w:r>
        <w:rPr>
          <w:rFonts w:ascii="Arial" w:cs="Arial" w:eastAsia="Arial" w:hAnsi="Arial"/>
          <w:sz w:val="17"/>
          <w:szCs w:val="17"/>
          <w:color w:val="auto"/>
        </w:rPr>
        <w:t xml:space="preserve"> The standard will modify the disclosure requirements for fair value measurements by removing, modifying, or adding certain disclosures. ASU 2018-13 is effective for annual reporting periods beginning after December 15, 2019, including interim periods within that reporting period. Early adoption is permitted upon issuance of this ASU 2018-13. We are permitted to early adopt any removed or modified disclosures upon issuance of ASU 2018-13 and delay adoption of the additional disclosures until their effective date. We are currently evaluating the impact of adopting ASU 2018-13 on our consolidated financial statements.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208" w:lineRule="exact"/>
        <w:rPr>
          <w:sz w:val="20"/>
          <w:szCs w:val="20"/>
          <w:color w:val="auto"/>
        </w:rPr>
      </w:pPr>
    </w:p>
    <w:p>
      <w:pPr>
        <w:ind w:right="40" w:firstLine="439"/>
        <w:spacing w:after="0" w:line="271" w:lineRule="auto"/>
        <w:rPr>
          <w:sz w:val="20"/>
          <w:szCs w:val="20"/>
          <w:color w:val="auto"/>
        </w:rPr>
      </w:pPr>
      <w:r>
        <w:rPr>
          <w:rFonts w:ascii="Arial" w:cs="Arial" w:eastAsia="Arial" w:hAnsi="Arial"/>
          <w:sz w:val="17"/>
          <w:szCs w:val="17"/>
          <w:i w:val="1"/>
          <w:iCs w:val="1"/>
          <w:color w:val="auto"/>
        </w:rPr>
        <w:t>Valuation of Portfolio Investments</w:t>
      </w:r>
      <w:r>
        <w:rPr>
          <w:rFonts w:ascii="Arial" w:cs="Arial" w:eastAsia="Arial" w:hAnsi="Arial"/>
          <w:sz w:val="17"/>
          <w:szCs w:val="17"/>
          <w:color w:val="auto"/>
        </w:rPr>
        <w:t>. The Board is ultimately and solely responsible for making a good faith determination of the fair value of portfolio</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w:t>
      </w:r>
    </w:p>
    <w:p>
      <w:pPr>
        <w:spacing w:after="0" w:line="138" w:lineRule="exact"/>
        <w:rPr>
          <w:sz w:val="20"/>
          <w:szCs w:val="20"/>
          <w:color w:val="auto"/>
        </w:rPr>
      </w:pPr>
    </w:p>
    <w:p>
      <w:pPr>
        <w:ind w:right="120" w:firstLine="439"/>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61" w:lineRule="exact"/>
        <w:rPr>
          <w:sz w:val="20"/>
          <w:szCs w:val="20"/>
          <w:color w:val="auto"/>
        </w:rPr>
      </w:pPr>
    </w:p>
    <w:p>
      <w:pPr>
        <w:ind w:right="40" w:firstLine="439"/>
        <w:spacing w:after="0" w:line="255" w:lineRule="auto"/>
        <w:rPr>
          <w:sz w:val="20"/>
          <w:szCs w:val="20"/>
          <w:color w:val="auto"/>
        </w:rPr>
      </w:pPr>
      <w:r>
        <w:rPr>
          <w:rFonts w:ascii="Arial" w:cs="Arial" w:eastAsia="Arial" w:hAnsi="Arial"/>
          <w:sz w:val="18"/>
          <w:szCs w:val="18"/>
          <w:color w:val="auto"/>
        </w:rPr>
        <w:t>The Board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53" w:lineRule="exact"/>
        <w:rPr>
          <w:sz w:val="20"/>
          <w:szCs w:val="20"/>
          <w:color w:val="auto"/>
        </w:rPr>
      </w:pPr>
    </w:p>
    <w:p>
      <w:pPr>
        <w:ind w:right="340" w:firstLine="439"/>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48" w:lineRule="exact"/>
        <w:rPr>
          <w:sz w:val="20"/>
          <w:szCs w:val="20"/>
          <w:color w:val="auto"/>
        </w:rPr>
      </w:pPr>
    </w:p>
    <w:p>
      <w:pPr>
        <w:ind w:firstLine="439"/>
        <w:spacing w:after="0" w:line="272" w:lineRule="auto"/>
        <w:rPr>
          <w:sz w:val="20"/>
          <w:szCs w:val="20"/>
          <w:color w:val="auto"/>
        </w:rPr>
      </w:pPr>
      <w:r>
        <w:rPr>
          <w:rFonts w:ascii="Arial" w:cs="Arial" w:eastAsia="Arial" w:hAnsi="Arial"/>
          <w:sz w:val="17"/>
          <w:szCs w:val="17"/>
          <w:i w:val="1"/>
          <w:iCs w:val="1"/>
          <w:color w:val="auto"/>
        </w:rPr>
        <w:t xml:space="preserve">Debt Securities. </w:t>
      </w:r>
      <w:r>
        <w:rPr>
          <w:rFonts w:ascii="Arial" w:cs="Arial" w:eastAsia="Arial" w:hAnsi="Arial"/>
          <w:sz w:val="17"/>
          <w:szCs w:val="17"/>
          <w:color w:val="auto"/>
        </w:rPr>
        <w:t>To the extent that the Company’s investments are exchange traded and are priced or have sufficient price indications from normal</w:t>
      </w:r>
      <w:r>
        <w:rPr>
          <w:rFonts w:ascii="Arial" w:cs="Arial" w:eastAsia="Arial" w:hAnsi="Arial"/>
          <w:sz w:val="17"/>
          <w:szCs w:val="17"/>
          <w:i w:val="1"/>
          <w:iCs w:val="1"/>
          <w:color w:val="auto"/>
        </w:rPr>
        <w:t xml:space="preserve"> </w:t>
      </w:r>
      <w:r>
        <w:rPr>
          <w:rFonts w:ascii="Arial" w:cs="Arial" w:eastAsia="Arial" w:hAnsi="Arial"/>
          <w:sz w:val="17"/>
          <w:szCs w:val="17"/>
          <w:color w:val="auto"/>
        </w:rPr>
        <w:t>course 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30" w:name="page31"/>
    <w:bookmarkEnd w:id="30"/>
    <w:p>
      <w:pPr>
        <w:ind w:firstLine="439"/>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leveraged loan and high-yield bond indices, at the valuation date. The Company has identified these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Consolidated Schedules of Investments included herein.</w:t>
      </w:r>
    </w:p>
    <w:p>
      <w:pPr>
        <w:spacing w:after="0" w:line="148"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149" w:lineRule="exact"/>
        <w:rPr>
          <w:sz w:val="20"/>
          <w:szCs w:val="20"/>
          <w:color w:val="auto"/>
        </w:rPr>
      </w:pPr>
    </w:p>
    <w:p>
      <w:pPr>
        <w:ind w:firstLine="439"/>
        <w:spacing w:after="0" w:line="273" w:lineRule="auto"/>
        <w:rPr>
          <w:sz w:val="20"/>
          <w:szCs w:val="20"/>
          <w:color w:val="auto"/>
        </w:rPr>
      </w:pPr>
      <w:r>
        <w:rPr>
          <w:rFonts w:ascii="Arial" w:cs="Arial" w:eastAsia="Arial" w:hAnsi="Arial"/>
          <w:sz w:val="17"/>
          <w:szCs w:val="17"/>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38" w:lineRule="exact"/>
        <w:rPr>
          <w:sz w:val="20"/>
          <w:szCs w:val="20"/>
          <w:color w:val="auto"/>
        </w:rPr>
      </w:pPr>
    </w:p>
    <w:p>
      <w:pPr>
        <w:ind w:right="120" w:firstLine="439"/>
        <w:spacing w:after="0" w:line="293" w:lineRule="auto"/>
        <w:rPr>
          <w:sz w:val="20"/>
          <w:szCs w:val="20"/>
          <w:color w:val="auto"/>
        </w:rPr>
      </w:pPr>
      <w:r>
        <w:rPr>
          <w:rFonts w:ascii="Arial" w:cs="Arial" w:eastAsia="Arial" w:hAnsi="Arial"/>
          <w:sz w:val="16"/>
          <w:szCs w:val="16"/>
          <w:i w:val="1"/>
          <w:iCs w:val="1"/>
          <w:color w:val="auto"/>
        </w:rPr>
        <w:t xml:space="preserve">Asset Manager Affiliates. </w:t>
      </w:r>
      <w:r>
        <w:rPr>
          <w:rFonts w:ascii="Arial" w:cs="Arial" w:eastAsia="Arial" w:hAnsi="Arial"/>
          <w:sz w:val="16"/>
          <w:szCs w:val="16"/>
          <w:color w:val="auto"/>
        </w:rPr>
        <w:t>The Company’s investments in its wholly-owned asset management companies, the Asset Manager Affiliates, are carried at</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which is primarily determined utilizing the discounted cash flow approach,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the amount of assets under management. The Asset Manager Affiliates are classified as a Level III investment. Any change in value from period to period is recognized as net change in unrealized appreciation or depreciation. The Company sold substantially all of its investment in the Asset Manager Affiliates on December 31, 2018.</w:t>
      </w:r>
    </w:p>
    <w:p>
      <w:pPr>
        <w:spacing w:after="0" w:line="138" w:lineRule="exact"/>
        <w:rPr>
          <w:sz w:val="20"/>
          <w:szCs w:val="20"/>
          <w:color w:val="auto"/>
        </w:rPr>
      </w:pPr>
    </w:p>
    <w:p>
      <w:pPr>
        <w:ind w:right="80" w:firstLine="439"/>
        <w:spacing w:after="0" w:line="277" w:lineRule="auto"/>
        <w:rPr>
          <w:sz w:val="20"/>
          <w:szCs w:val="20"/>
          <w:color w:val="auto"/>
        </w:rPr>
      </w:pPr>
      <w:r>
        <w:rPr>
          <w:rFonts w:ascii="Arial" w:cs="Arial" w:eastAsia="Arial" w:hAnsi="Arial"/>
          <w:sz w:val="18"/>
          <w:szCs w:val="18"/>
          <w:i w:val="1"/>
          <w:iCs w:val="1"/>
          <w:color w:val="auto"/>
        </w:rPr>
        <w:t xml:space="preserve">CLO Fund Securities. </w:t>
      </w:r>
      <w:r>
        <w:rPr>
          <w:rFonts w:ascii="Arial" w:cs="Arial" w:eastAsia="Arial" w:hAnsi="Arial"/>
          <w:sz w:val="18"/>
          <w:szCs w:val="18"/>
          <w:color w:val="auto"/>
        </w:rPr>
        <w:t>The Company typically makes a minority investment in the most junior class of securities of CLO Funds. The investments held</w:t>
      </w:r>
      <w:r>
        <w:rPr>
          <w:rFonts w:ascii="Arial" w:cs="Arial" w:eastAsia="Arial" w:hAnsi="Arial"/>
          <w:sz w:val="18"/>
          <w:szCs w:val="18"/>
          <w:i w:val="1"/>
          <w:iCs w:val="1"/>
          <w:color w:val="auto"/>
        </w:rPr>
        <w:t xml:space="preserve"> </w:t>
      </w:r>
      <w:r>
        <w:rPr>
          <w:rFonts w:ascii="Arial" w:cs="Arial" w:eastAsia="Arial" w:hAnsi="Arial"/>
          <w:sz w:val="18"/>
          <w:szCs w:val="18"/>
          <w:color w:val="auto"/>
        </w:rPr>
        <w:t>by CLO Funds generally relate to non-investment grade credit instruments issued by corporations.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31" w:name="page32"/>
    <w:bookmarkEnd w:id="31"/>
    <w:p>
      <w:pPr>
        <w:ind w:right="120" w:firstLine="439"/>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142" w:lineRule="exact"/>
        <w:rPr>
          <w:sz w:val="20"/>
          <w:szCs w:val="20"/>
          <w:color w:val="auto"/>
        </w:rPr>
      </w:pPr>
    </w:p>
    <w:p>
      <w:pPr>
        <w:ind w:firstLine="439"/>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26" w:lineRule="exact"/>
        <w:rPr>
          <w:sz w:val="20"/>
          <w:szCs w:val="20"/>
          <w:color w:val="auto"/>
        </w:rPr>
      </w:pPr>
    </w:p>
    <w:p>
      <w:pPr>
        <w:ind w:right="20" w:firstLine="439"/>
        <w:spacing w:after="0" w:line="276"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Short-term investments</w:t>
      </w:r>
      <w:r>
        <w:rPr>
          <w:rFonts w:ascii="Arial" w:cs="Arial" w:eastAsia="Arial" w:hAnsi="Arial"/>
          <w:sz w:val="17"/>
          <w:szCs w:val="17"/>
          <w:color w:val="auto"/>
        </w:rPr>
        <w:t>. Short-term investments are generally comprised of money market accounts, time deposits, and U.S. treasury bills.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Joint Ventures</w:t>
      </w:r>
      <w:r>
        <w:rPr>
          <w:rFonts w:ascii="Arial" w:cs="Arial" w:eastAsia="Arial" w:hAnsi="Arial"/>
          <w:sz w:val="16"/>
          <w:szCs w:val="16"/>
          <w:color w:val="auto"/>
        </w:rPr>
        <w:t>. The Company carries investments in joint ventures at fair value based upon the fair value of the investments held by the joint venture.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4 below, for more information regarding the Joint Ventures.</w:t>
      </w:r>
    </w:p>
    <w:p>
      <w:pPr>
        <w:spacing w:after="0" w:line="170" w:lineRule="exact"/>
        <w:rPr>
          <w:sz w:val="20"/>
          <w:szCs w:val="20"/>
          <w:color w:val="auto"/>
        </w:rPr>
      </w:pPr>
    </w:p>
    <w:p>
      <w:pPr>
        <w:ind w:right="440" w:firstLine="439"/>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Company defines cash as demand deposits. The Company places its cash with financial institutions and, at times, cash held in checking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may exceed the Federal Deposit Insurance Corporation insured limit.</w:t>
      </w:r>
    </w:p>
    <w:p>
      <w:pPr>
        <w:spacing w:after="0" w:line="130" w:lineRule="exact"/>
        <w:rPr>
          <w:sz w:val="20"/>
          <w:szCs w:val="20"/>
          <w:color w:val="auto"/>
        </w:rPr>
      </w:pPr>
    </w:p>
    <w:p>
      <w:pPr>
        <w:ind w:right="480" w:firstLine="439"/>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Restricted cash and cash equivalents (e.g., money market funds) consists of cash held for reinvestment and quarterly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distribution (if any) to holders of notes issued by Great Lakes KCAP Funding I, LLC.</w:t>
      </w:r>
    </w:p>
    <w:p>
      <w:pPr>
        <w:spacing w:after="0" w:line="143" w:lineRule="exact"/>
        <w:rPr>
          <w:sz w:val="20"/>
          <w:szCs w:val="20"/>
          <w:color w:val="auto"/>
        </w:rPr>
      </w:pPr>
    </w:p>
    <w:p>
      <w:pPr>
        <w:ind w:right="40" w:firstLine="439"/>
        <w:spacing w:after="0" w:line="25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including the amortization of premium and accretion of discount and accrual of payment-in-kind (“PIK”) interest, is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on the accrual basis to the extent that such amounts are expected to be collected. The Company generally places a loan or security on non-accrual status and ceases recognizing interest income on such loan or security when a loan or security becomes 90 days or more past due or if the Company otherwise does not expect the debtor to be able to service its debt obligations. For investments with PIK interest, which represents contractual interest accrued and added to the principal balance that generally becomes due 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2" w:name="page33"/>
    <w:bookmarkEnd w:id="32"/>
    <w:p>
      <w:pPr>
        <w:ind w:right="360"/>
        <w:spacing w:after="0" w:line="286" w:lineRule="auto"/>
        <w:rPr>
          <w:sz w:val="20"/>
          <w:szCs w:val="20"/>
          <w:color w:val="auto"/>
        </w:rPr>
      </w:pPr>
      <w:r>
        <w:rPr>
          <w:rFonts w:ascii="Arial" w:cs="Arial" w:eastAsia="Arial" w:hAnsi="Arial"/>
          <w:sz w:val="17"/>
          <w:szCs w:val="17"/>
          <w:color w:val="auto"/>
        </w:rPr>
        <w:t>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June 30, 2019, four of our investments were on non-accrual status.</w:t>
      </w:r>
    </w:p>
    <w:p>
      <w:pPr>
        <w:spacing w:after="0" w:line="139" w:lineRule="exact"/>
        <w:rPr>
          <w:sz w:val="20"/>
          <w:szCs w:val="20"/>
          <w:color w:val="auto"/>
        </w:rPr>
      </w:pPr>
    </w:p>
    <w:p>
      <w:pPr>
        <w:ind w:right="120" w:firstLine="439"/>
        <w:spacing w:after="0" w:line="255" w:lineRule="auto"/>
        <w:rPr>
          <w:sz w:val="20"/>
          <w:szCs w:val="20"/>
          <w:color w:val="auto"/>
        </w:rPr>
      </w:pPr>
      <w:r>
        <w:rPr>
          <w:rFonts w:ascii="Arial" w:cs="Arial" w:eastAsia="Arial" w:hAnsi="Arial"/>
          <w:sz w:val="18"/>
          <w:szCs w:val="18"/>
          <w:i w:val="1"/>
          <w:iCs w:val="1"/>
          <w:color w:val="auto"/>
        </w:rPr>
        <w:t xml:space="preserve">Distributions from Asset Manager Affiliates. </w:t>
      </w:r>
      <w:r>
        <w:rPr>
          <w:rFonts w:ascii="Arial" w:cs="Arial" w:eastAsia="Arial" w:hAnsi="Arial"/>
          <w:sz w:val="18"/>
          <w:szCs w:val="18"/>
          <w:color w:val="auto"/>
        </w:rPr>
        <w:t>The Company records distributions from the Asset Manager Affiliates on the declaration date,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from tax-basis earnings and profits (i.e., dividend income) or return of capital (i.e., adjustment to the Company’s cost basis in the Asset Manager Affiliates). The final determination of the tax attributes of distributions from the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49"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i w:val="1"/>
          <w:iCs w:val="1"/>
          <w:color w:val="auto"/>
        </w:rPr>
        <w:t>Investment Income on CLO Fund Securities</w:t>
      </w:r>
      <w:r>
        <w:rPr>
          <w:rFonts w:ascii="Arial" w:cs="Arial" w:eastAsia="Arial" w:hAnsi="Arial"/>
          <w:sz w:val="18"/>
          <w:szCs w:val="18"/>
          <w:color w:val="auto"/>
        </w:rPr>
        <w:t>. The Company generates investment income from its investments in the most junior class of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CLO Funds (typically preferred shares or subordinated securities).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153" w:lineRule="exact"/>
        <w:rPr>
          <w:sz w:val="20"/>
          <w:szCs w:val="20"/>
          <w:color w:val="auto"/>
        </w:rPr>
      </w:pPr>
    </w:p>
    <w:p>
      <w:pPr>
        <w:ind w:firstLine="439"/>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185" w:lineRule="exact"/>
        <w:rPr>
          <w:sz w:val="20"/>
          <w:szCs w:val="20"/>
          <w:color w:val="auto"/>
        </w:rPr>
      </w:pPr>
    </w:p>
    <w:p>
      <w:pPr>
        <w:ind w:right="100" w:firstLine="439"/>
        <w:spacing w:after="0" w:line="279" w:lineRule="auto"/>
        <w:rPr>
          <w:sz w:val="20"/>
          <w:szCs w:val="20"/>
          <w:color w:val="auto"/>
        </w:rPr>
      </w:pPr>
      <w:r>
        <w:rPr>
          <w:rFonts w:ascii="Arial" w:cs="Arial" w:eastAsia="Arial" w:hAnsi="Arial"/>
          <w:sz w:val="17"/>
          <w:szCs w:val="17"/>
          <w:i w:val="1"/>
          <w:iCs w:val="1"/>
          <w:color w:val="auto"/>
        </w:rPr>
        <w:t>Investment in Joint Ventures</w:t>
      </w:r>
      <w:r>
        <w:rPr>
          <w:rFonts w:ascii="Arial" w:cs="Arial" w:eastAsia="Arial" w:hAnsi="Arial"/>
          <w:sz w:val="17"/>
          <w:szCs w:val="17"/>
          <w:color w:val="auto"/>
        </w:rPr>
        <w:t>. The Company recognizes investment income on its investment in the Joint Ventures based upon its share of the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and profits of the Joint Venture. The final determination of the tax attributes of distributions from the Joint Ventures is made on an annual (full calendar year) basis at year-end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131"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160" w:lineRule="exact"/>
        <w:rPr>
          <w:sz w:val="20"/>
          <w:szCs w:val="20"/>
          <w:color w:val="auto"/>
        </w:rPr>
      </w:pPr>
    </w:p>
    <w:p>
      <w:pPr>
        <w:ind w:right="80" w:firstLine="439"/>
        <w:spacing w:after="0" w:line="277" w:lineRule="auto"/>
        <w:rPr>
          <w:sz w:val="20"/>
          <w:szCs w:val="20"/>
          <w:color w:val="auto"/>
        </w:rPr>
      </w:pPr>
      <w:r>
        <w:rPr>
          <w:rFonts w:ascii="Arial" w:cs="Arial" w:eastAsia="Arial" w:hAnsi="Arial"/>
          <w:sz w:val="18"/>
          <w:szCs w:val="18"/>
          <w:i w:val="1"/>
          <w:iCs w:val="1"/>
          <w:color w:val="auto"/>
        </w:rPr>
        <w:t>Debt Issuance Costs</w:t>
      </w:r>
      <w:r>
        <w:rPr>
          <w:rFonts w:ascii="Arial" w:cs="Arial" w:eastAsia="Arial" w:hAnsi="Arial"/>
          <w:sz w:val="18"/>
          <w:szCs w:val="18"/>
          <w:color w:val="auto"/>
        </w:rPr>
        <w:t>. Debt issuance costs represent fees and other direct costs incurred in connection with the Company’s borrowings. These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are capitalized and amortized using the effective interest method over the expected term of the borrowing.</w:t>
      </w:r>
    </w:p>
    <w:p>
      <w:pPr>
        <w:spacing w:after="0" w:line="130" w:lineRule="exact"/>
        <w:rPr>
          <w:sz w:val="20"/>
          <w:szCs w:val="20"/>
          <w:color w:val="auto"/>
        </w:rPr>
      </w:pPr>
    </w:p>
    <w:p>
      <w:pPr>
        <w:ind w:right="40" w:firstLine="439"/>
        <w:spacing w:after="0" w:line="302" w:lineRule="auto"/>
        <w:rPr>
          <w:sz w:val="20"/>
          <w:szCs w:val="20"/>
          <w:color w:val="auto"/>
        </w:rPr>
      </w:pPr>
      <w:r>
        <w:rPr>
          <w:rFonts w:ascii="Arial" w:cs="Arial" w:eastAsia="Arial" w:hAnsi="Arial"/>
          <w:sz w:val="16"/>
          <w:szCs w:val="16"/>
          <w:i w:val="1"/>
          <w:iCs w:val="1"/>
          <w:color w:val="auto"/>
        </w:rPr>
        <w:t>Extinguishment of debt</w:t>
      </w:r>
      <w:r>
        <w:rPr>
          <w:rFonts w:ascii="Arial" w:cs="Arial" w:eastAsia="Arial" w:hAnsi="Arial"/>
          <w:sz w:val="16"/>
          <w:szCs w:val="16"/>
          <w:color w:val="auto"/>
        </w:rPr>
        <w:t>. The Company must derecognize a liability if and only if it has been extinguished through delivery of cash, delivery of other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33" w:name="page34"/>
    <w:bookmarkEnd w:id="33"/>
    <w:p>
      <w:pPr>
        <w:ind w:right="40" w:firstLine="439"/>
        <w:spacing w:after="0" w:line="270" w:lineRule="auto"/>
        <w:rPr>
          <w:sz w:val="20"/>
          <w:szCs w:val="20"/>
          <w:color w:val="auto"/>
        </w:rPr>
      </w:pPr>
      <w:r>
        <w:rPr>
          <w:rFonts w:ascii="Arial" w:cs="Arial" w:eastAsia="Arial" w:hAnsi="Arial"/>
          <w:sz w:val="17"/>
          <w:szCs w:val="17"/>
          <w:i w:val="1"/>
          <w:iCs w:val="1"/>
          <w:color w:val="auto"/>
        </w:rPr>
        <w:t>Expenses</w:t>
      </w:r>
      <w:r>
        <w:rPr>
          <w:rFonts w:ascii="Arial" w:cs="Arial" w:eastAsia="Arial" w:hAnsi="Arial"/>
          <w:sz w:val="17"/>
          <w:szCs w:val="17"/>
          <w:color w:val="auto"/>
        </w:rPr>
        <w:t>. During the first quarter of 2019 the Company was internally managed and expensed costs, as incurred, with regard to the running of its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Primary operating expenses included employee salaries and benefits, the costs of identifying, evaluating, negotiating, closing, monitoring and servicing the Company’s investments and related overhead charges and expenses, including rental expense, and any interest expense incurred in connection with borrowings. Since April 1, 2019, the Company has been externally managed and in connection with the Advisory Agreement, pays the Adviser certain investment advisory fees and reimburses the Adviser and Administrator for certain expenses incurred in connection with the services they provide. See Note 6 “Related Party Transactions - Payment of Expenses under the Advisory and Administration Agreements.” Through December 31, 2018, the Company and the Asset Manager Affiliates shared office space and certain other operating expenses. The Company entered into an overhead allocation agreement with the Asset Manager Affiliates (“Overhead Allocation Agreement”) which provided for the sharing of such expenses based on an allocation of office lease costs and the ratable usage of other shared resources. The Company continues to bear the costs associated with the office lease entered into by the Company prior to the Closing.</w:t>
      </w:r>
    </w:p>
    <w:p>
      <w:pPr>
        <w:spacing w:after="0" w:line="151" w:lineRule="exact"/>
        <w:rPr>
          <w:sz w:val="20"/>
          <w:szCs w:val="20"/>
          <w:color w:val="auto"/>
        </w:rPr>
      </w:pPr>
    </w:p>
    <w:p>
      <w:pPr>
        <w:ind w:right="800" w:firstLine="439"/>
        <w:spacing w:after="0" w:line="277" w:lineRule="auto"/>
        <w:rPr>
          <w:sz w:val="20"/>
          <w:szCs w:val="20"/>
          <w:color w:val="auto"/>
        </w:rPr>
      </w:pPr>
      <w:r>
        <w:rPr>
          <w:rFonts w:ascii="Arial" w:cs="Arial" w:eastAsia="Arial" w:hAnsi="Arial"/>
          <w:sz w:val="18"/>
          <w:szCs w:val="18"/>
          <w:i w:val="1"/>
          <w:iCs w:val="1"/>
          <w:color w:val="auto"/>
        </w:rPr>
        <w:t>Shareholder Distributions</w:t>
      </w:r>
      <w:r>
        <w:rPr>
          <w:rFonts w:ascii="Arial" w:cs="Arial" w:eastAsia="Arial" w:hAnsi="Arial"/>
          <w:sz w:val="18"/>
          <w:szCs w:val="18"/>
          <w:color w:val="auto"/>
        </w:rPr>
        <w:t>. Distributions to common stockholders are recorded on the ex-dividend date. The amount of distributions, if any,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Board each quarter.</w:t>
      </w:r>
    </w:p>
    <w:p>
      <w:pPr>
        <w:spacing w:after="0" w:line="130" w:lineRule="exact"/>
        <w:rPr>
          <w:sz w:val="20"/>
          <w:szCs w:val="20"/>
          <w:color w:val="auto"/>
        </w:rPr>
      </w:pPr>
    </w:p>
    <w:p>
      <w:pPr>
        <w:ind w:right="400" w:firstLine="439"/>
        <w:spacing w:after="0" w:line="264" w:lineRule="auto"/>
        <w:rPr>
          <w:sz w:val="20"/>
          <w:szCs w:val="20"/>
          <w:color w:val="auto"/>
        </w:rPr>
      </w:pPr>
      <w:r>
        <w:rPr>
          <w:rFonts w:ascii="Arial" w:cs="Arial" w:eastAsia="Arial" w:hAnsi="Arial"/>
          <w:sz w:val="18"/>
          <w:szCs w:val="18"/>
          <w:color w:val="auto"/>
        </w:rPr>
        <w:t>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spacing w:after="0" w:line="177"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(LOSSES) PER SHARE</w:t>
      </w:r>
    </w:p>
    <w:p>
      <w:pPr>
        <w:spacing w:after="0" w:line="229" w:lineRule="exact"/>
        <w:rPr>
          <w:sz w:val="20"/>
          <w:szCs w:val="20"/>
          <w:color w:val="auto"/>
        </w:rPr>
      </w:pPr>
    </w:p>
    <w:p>
      <w:pPr>
        <w:jc w:val="both"/>
        <w:ind w:right="100" w:firstLine="439"/>
        <w:spacing w:after="0" w:line="264" w:lineRule="auto"/>
        <w:rPr>
          <w:sz w:val="20"/>
          <w:szCs w:val="20"/>
          <w:color w:val="auto"/>
        </w:rPr>
      </w:pPr>
      <w:r>
        <w:rPr>
          <w:rFonts w:ascii="Arial" w:cs="Arial" w:eastAsia="Arial" w:hAnsi="Arial"/>
          <w:sz w:val="18"/>
          <w:szCs w:val="18"/>
          <w:color w:val="auto"/>
        </w:rPr>
        <w:t>In accordance with the provisions of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140" w:firstLine="439"/>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and six months ended June 30, 2019 and 2018: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4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4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0"/>
              </w:rPr>
              <w:t>Three Months Ended June 30,</w:t>
            </w:r>
          </w:p>
        </w:tc>
        <w:tc>
          <w:tcPr>
            <w:tcW w:w="180" w:type="dxa"/>
            <w:vAlign w:val="bottom"/>
          </w:tcPr>
          <w:p>
            <w:pPr>
              <w:spacing w:after="0"/>
              <w:rPr>
                <w:sz w:val="20"/>
                <w:szCs w:val="20"/>
                <w:color w:val="auto"/>
              </w:rPr>
            </w:pPr>
          </w:p>
        </w:tc>
        <w:tc>
          <w:tcPr>
            <w:tcW w:w="256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2"/>
              </w:rPr>
              <w:t>Six Months Ended June 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FF0FC"/>
            </w:tcBorders>
          </w:tcPr>
          <w:p>
            <w:pPr>
              <w:spacing w:after="0"/>
              <w:rPr>
                <w:sz w:val="19"/>
                <w:szCs w:val="19"/>
                <w:color w:val="auto"/>
              </w:rPr>
            </w:pPr>
          </w:p>
        </w:tc>
        <w:tc>
          <w:tcPr>
            <w:tcW w:w="5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(848,322)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(1,311,772)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(11,765,891)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1,297,622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Net increase in net assets allocated to unvested share awards</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6"/>
              </w:rPr>
              <w:t>Net (decrease) increase in net assets available to common stockholders</w:t>
            </w: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(848,322)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(1,301,334</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(11,765,891</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1,287,587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w w:val="90"/>
              </w:rPr>
              <w:t>Weighted average number of common and common stock equivalent shares</w:t>
            </w: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5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outstanding for diluted shares computation</w:t>
            </w:r>
          </w:p>
        </w:tc>
        <w:tc>
          <w:tcPr>
            <w:tcW w:w="50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37,349,371</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37,363,038</w:t>
            </w:r>
          </w:p>
        </w:tc>
        <w:tc>
          <w:tcPr>
            <w:tcW w:w="24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37,342,272</w:t>
            </w:r>
          </w:p>
        </w:tc>
        <w:tc>
          <w:tcPr>
            <w:tcW w:w="24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37,356,759</w:t>
            </w:r>
          </w:p>
        </w:tc>
        <w:tc>
          <w:tcPr>
            <w:tcW w:w="100" w:type="dxa"/>
            <w:vAlign w:val="bottom"/>
            <w:tcBorders>
              <w:bottom w:val="single" w:sz="8" w:color="CFF0F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per basic common shares:</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Net (decrease) increase in net assets from operations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per diluted shares:</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Net (decrease) increase in net assets from operations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540" w:type="dxa"/>
            <w:vAlign w:val="bottom"/>
          </w:tcPr>
          <w:p>
            <w:pPr>
              <w:spacing w:after="0"/>
              <w:rPr>
                <w:sz w:val="24"/>
                <w:szCs w:val="24"/>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01" w:right="219" w:bottom="1440" w:gutter="0" w:footer="0" w:header="0"/>
        </w:sectPr>
      </w:pPr>
    </w:p>
    <w:bookmarkStart w:id="34" w:name="page35"/>
    <w:bookmarkEnd w:id="34"/>
    <w:p>
      <w:pPr>
        <w:ind w:right="120" w:firstLine="439"/>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46" w:lineRule="exact"/>
        <w:rPr>
          <w:sz w:val="20"/>
          <w:szCs w:val="20"/>
          <w:color w:val="auto"/>
        </w:rPr>
      </w:pPr>
    </w:p>
    <w:p>
      <w:pPr>
        <w:ind w:right="140" w:firstLine="439"/>
        <w:spacing w:after="0" w:line="264" w:lineRule="auto"/>
        <w:rPr>
          <w:sz w:val="20"/>
          <w:szCs w:val="20"/>
          <w:color w:val="auto"/>
        </w:rPr>
      </w:pPr>
      <w:r>
        <w:rPr>
          <w:rFonts w:ascii="Arial" w:cs="Arial" w:eastAsia="Arial" w:hAnsi="Arial"/>
          <w:sz w:val="18"/>
          <w:szCs w:val="18"/>
          <w:color w:val="auto"/>
        </w:rPr>
        <w:t>There were 0 and 30,000 options to purchase shares of common stock considered for the computation of the diluted per share information for the three and six months ended June 30, 2019 and 2018. Since the effects are anti-dilutive for both periods, the options were not included in the computation. These stock options were cancelled in connection with the Externalization.</w:t>
      </w:r>
    </w:p>
    <w:p>
      <w:pPr>
        <w:spacing w:after="0" w:line="150"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88"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Company’s portfolio by security type at June 30, 2019 and December 31,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5"/>
          </w:tcPr>
          <w:p>
            <w:pPr>
              <w:jc w:val="center"/>
              <w:ind w:left="190"/>
              <w:spacing w:after="0"/>
              <w:rPr>
                <w:sz w:val="20"/>
                <w:szCs w:val="20"/>
                <w:color w:val="auto"/>
              </w:rPr>
            </w:pPr>
            <w:r>
              <w:rPr>
                <w:rFonts w:ascii="Arial" w:cs="Arial" w:eastAsia="Arial" w:hAnsi="Arial"/>
                <w:sz w:val="18"/>
                <w:szCs w:val="18"/>
                <w:b w:val="1"/>
                <w:bCs w:val="1"/>
                <w:color w:val="auto"/>
                <w:w w:val="89"/>
              </w:rPr>
              <w:t>June 30, 2019 (unaudited)</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jc w:val="center"/>
              <w:ind w:left="210"/>
              <w:spacing w:after="0"/>
              <w:rPr>
                <w:sz w:val="20"/>
                <w:szCs w:val="20"/>
                <w:color w:val="auto"/>
              </w:rPr>
            </w:pPr>
            <w:r>
              <w:rPr>
                <w:rFonts w:ascii="Arial" w:cs="Arial" w:eastAsia="Arial" w:hAnsi="Arial"/>
                <w:sz w:val="18"/>
                <w:szCs w:val="18"/>
                <w:b w:val="1"/>
                <w:bCs w:val="1"/>
                <w:color w:val="auto"/>
                <w:w w:val="90"/>
              </w:rPr>
              <w:t>December 31, 2018</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5"/>
        </w:trPr>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420"/>
              <w:spacing w:after="0" w:line="205" w:lineRule="exact"/>
              <w:rPr>
                <w:sz w:val="20"/>
                <w:szCs w:val="20"/>
                <w:color w:val="auto"/>
              </w:rPr>
            </w:pPr>
            <w:r>
              <w:rPr>
                <w:rFonts w:ascii="Arial" w:cs="Arial" w:eastAsia="Arial" w:hAnsi="Arial"/>
                <w:sz w:val="18"/>
                <w:szCs w:val="18"/>
                <w:b w:val="1"/>
                <w:bCs w:val="1"/>
                <w:color w:val="auto"/>
                <w:w w:val="91"/>
              </w:rPr>
              <w:t>Cost/Amortized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420"/>
              <w:spacing w:after="0" w:line="205" w:lineRule="exact"/>
              <w:rPr>
                <w:sz w:val="20"/>
                <w:szCs w:val="20"/>
                <w:color w:val="auto"/>
              </w:rPr>
            </w:pPr>
            <w:r>
              <w:rPr>
                <w:rFonts w:ascii="Arial" w:cs="Arial" w:eastAsia="Arial" w:hAnsi="Arial"/>
                <w:sz w:val="18"/>
                <w:szCs w:val="18"/>
                <w:b w:val="1"/>
                <w:bCs w:val="1"/>
                <w:color w:val="auto"/>
                <w:w w:val="91"/>
              </w:rPr>
              <w:t>Cost/Amortized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314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Cost</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r>
      <w:tr>
        <w:trPr>
          <w:trHeight w:val="223"/>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Short-term investments²</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27,443,091</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27,443,091</w:t>
            </w:r>
          </w:p>
        </w:tc>
        <w:tc>
          <w:tcPr>
            <w:tcW w:w="3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44,756,478</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44,756,478</w:t>
            </w: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Senior Secured Loan</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90,207,102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88,400,312</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86,040,921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77,616,209</w:t>
            </w: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Junior Secured Loan</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94,843,137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86,499,106</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76,223,561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70,245,535</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Senior Unsecured Bond</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468,494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422,347</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49,300,670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40,006,481</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55,480,626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44,325,000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16,482,841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4,143,686</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9,477,763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2,038,020</w:t>
            </w: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Asset Manager Affiliates³</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17,791,230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17,791,230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3,470,000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r>
      <w:tr>
        <w:trPr>
          <w:trHeight w:val="230"/>
        </w:trPr>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Joint Ventures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42,611,525</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40,089,257</w:t>
            </w:r>
          </w:p>
        </w:tc>
        <w:tc>
          <w:tcPr>
            <w:tcW w:w="3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37,381,525</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30,857,107</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tcPr>
          <w:p>
            <w:pPr>
              <w:spacing w:after="0"/>
              <w:rPr>
                <w:sz w:val="19"/>
                <w:szCs w:val="19"/>
                <w:color w:val="auto"/>
              </w:rPr>
            </w:pPr>
          </w:p>
        </w:tc>
      </w:tr>
      <w:tr>
        <w:trPr>
          <w:trHeight w:val="223"/>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339,148,090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287,004,280</w:t>
            </w:r>
          </w:p>
        </w:tc>
        <w:tc>
          <w:tcPr>
            <w:tcW w:w="3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327,152,104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273,308,349</w:t>
            </w: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3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37"/>
        </w:numPr>
        <w:rPr>
          <w:rFonts w:ascii="Arial" w:cs="Arial" w:eastAsia="Arial" w:hAnsi="Arial"/>
          <w:sz w:val="15"/>
          <w:szCs w:val="15"/>
          <w:color w:val="auto"/>
        </w:rPr>
      </w:pPr>
      <w:r>
        <w:rPr>
          <w:rFonts w:ascii="Arial" w:cs="Arial" w:eastAsia="Arial" w:hAnsi="Arial"/>
          <w:sz w:val="18"/>
          <w:szCs w:val="18"/>
          <w:color w:val="auto"/>
        </w:rPr>
        <w:t>Represents percentage of total portfolio at fair value.</w:t>
      </w:r>
    </w:p>
    <w:p>
      <w:pPr>
        <w:spacing w:after="0" w:line="22"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15"/>
          <w:szCs w:val="15"/>
          <w:color w:val="auto"/>
        </w:rPr>
      </w:pPr>
      <w:r>
        <w:rPr>
          <w:rFonts w:ascii="Arial" w:cs="Arial" w:eastAsia="Arial" w:hAnsi="Arial"/>
          <w:sz w:val="18"/>
          <w:szCs w:val="18"/>
          <w:color w:val="auto"/>
        </w:rPr>
        <w:t>Includes money market accounts and U.S. treasury bills.</w:t>
      </w:r>
    </w:p>
    <w:p>
      <w:pPr>
        <w:spacing w:after="0" w:line="9"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5"/>
          <w:szCs w:val="15"/>
          <w:color w:val="auto"/>
        </w:rPr>
      </w:pPr>
      <w:r>
        <w:rPr>
          <w:rFonts w:ascii="Arial" w:cs="Arial" w:eastAsia="Arial" w:hAnsi="Arial"/>
          <w:sz w:val="18"/>
          <w:szCs w:val="18"/>
          <w:color w:val="auto"/>
        </w:rPr>
        <w:t>Represents the equity investment in the Asset Manager Affiliates.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ind w:right="620" w:firstLine="439"/>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June 30, 2019 and December 31, 2018,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ind w:left="540"/>
              <w:spacing w:after="0"/>
              <w:rPr>
                <w:sz w:val="20"/>
                <w:szCs w:val="20"/>
                <w:color w:val="auto"/>
              </w:rPr>
            </w:pPr>
            <w:r>
              <w:rPr>
                <w:rFonts w:ascii="Arial" w:cs="Arial" w:eastAsia="Arial" w:hAnsi="Arial"/>
                <w:sz w:val="18"/>
                <w:szCs w:val="18"/>
                <w:b w:val="1"/>
                <w:bCs w:val="1"/>
                <w:color w:val="auto"/>
                <w:w w:val="94"/>
              </w:rPr>
              <w:t>June 30, 2019 (unaudited)</w:t>
            </w: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rPr>
              <w:t>December 31, 2018</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5"/>
        </w:trPr>
        <w:tc>
          <w:tcPr>
            <w:tcW w:w="3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Cost/Amortized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Cost/Amortized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Industry Classification</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%¹</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Aerospace and Defense</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9,716,693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9,683,602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5,434,927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4,049,940</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15"/>
                <w:szCs w:val="15"/>
                <w:color w:val="auto"/>
              </w:rPr>
              <w:t>2</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3,470,000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4,912,500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4,912,500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Banking, Finance, Insurance &amp; Real Estate</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4,423,486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4,371,031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8,831,841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8,733,933</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7,955,058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7,751,149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5,963,334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5,796,506</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Capital Equipment</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10,875,350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9,600,382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10,888,432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9,831,391</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Chemicals, Plastics and Rubber</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4,834,600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4,729,312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4,862,063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4,801,645</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CLO Fund Securities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49,300,670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40,006,481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55,480,626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44,325,000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Construction &amp; Building</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1,532,559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1,508,846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1,400,223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1,394,163</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Consumer goods: Durable</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1,260,343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1,140,500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364,240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Consumer goods: Non-durable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1,434,568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1,440,525</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Electronics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6,635,456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6,646,229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3,007,500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3,007,500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Energy: Oil &amp; Gas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9,375,278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2,352,215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16,827,204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8,946,568</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Environmental Industries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4,027,753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3,977,333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8,371,180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6,939,794</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Forest Products &amp; Paper</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1,567,563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1,561,375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1,564,583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1,553,920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51,992,065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42,141,979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38,638,822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32,287,288</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High Tech Industries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32,909,730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32,661,019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23,971,435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23,662,459</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Hotel, Gaming &amp; Leisure</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42,611,525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40,089,257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37,381,525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30,857,107</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Media: Advertising, Printing &amp; Publishing</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3,109,188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2,474,184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6,113,852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5,590,863</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Services: Business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11,772,650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10,414,778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10,398,710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9,213,416</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Services: Consumer</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10,792,620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10,754,700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Telecommunications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11,931,992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11,662,500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8,351,775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8,343,919</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Textiles and Leather</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12,376,690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12,257,843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10,140,662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9,940,294</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Money Market Accounts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14,943,733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14,943,733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34,757,129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34,757,129</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Transportation: Cargo</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4,000,634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4,000,400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U.S. Government Obligations</w:t>
            </w:r>
          </w:p>
        </w:tc>
        <w:tc>
          <w:tcPr>
            <w:tcW w:w="4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12,499,358</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12,499,358</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9,999,349</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9,999,349</w:t>
            </w:r>
          </w:p>
        </w:tc>
        <w:tc>
          <w:tcPr>
            <w:tcW w:w="2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339,148,090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287,004,280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100%</w:t>
            </w:r>
          </w:p>
        </w:tc>
        <w:tc>
          <w:tcPr>
            <w:tcW w:w="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327,152,104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273,308,349</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3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40"/>
        </w:numPr>
        <w:rPr>
          <w:rFonts w:ascii="Arial" w:cs="Arial" w:eastAsia="Arial" w:hAnsi="Arial"/>
          <w:sz w:val="15"/>
          <w:szCs w:val="15"/>
          <w:color w:val="auto"/>
        </w:rPr>
      </w:pPr>
      <w:r>
        <w:rPr>
          <w:rFonts w:ascii="Arial" w:cs="Arial" w:eastAsia="Arial" w:hAnsi="Arial"/>
          <w:sz w:val="18"/>
          <w:szCs w:val="18"/>
          <w:color w:val="auto"/>
        </w:rPr>
        <w:t>Calculated as a percentage of total portfolio at fair value.</w:t>
      </w:r>
    </w:p>
    <w:p>
      <w:pPr>
        <w:spacing w:after="0" w:line="22"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15"/>
          <w:szCs w:val="15"/>
          <w:color w:val="auto"/>
        </w:rPr>
      </w:pPr>
      <w:r>
        <w:rPr>
          <w:rFonts w:ascii="Arial" w:cs="Arial" w:eastAsia="Arial" w:hAnsi="Arial"/>
          <w:sz w:val="18"/>
          <w:szCs w:val="18"/>
          <w:color w:val="auto"/>
        </w:rPr>
        <w:t>Represents the equity investment in the Asset Manager Affiliates.</w:t>
      </w:r>
    </w:p>
    <w:p>
      <w:pPr>
        <w:spacing w:after="0" w:line="185" w:lineRule="exact"/>
        <w:rPr>
          <w:sz w:val="20"/>
          <w:szCs w:val="20"/>
          <w:color w:val="auto"/>
        </w:rPr>
      </w:pPr>
    </w:p>
    <w:p>
      <w:pPr>
        <w:ind w:right="260" w:firstLine="439"/>
        <w:spacing w:after="0" w:line="264"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including investments in debt and equity securities of CLO Funds, distressed debt or debt and equity securities of large cap public companies. Within this 30% of the portfolio, the Company also may invest in debt of middle market companies located outside of the United States.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6" w:name="page37"/>
    <w:bookmarkEnd w:id="36"/>
    <w:p>
      <w:pPr>
        <w:ind w:right="140" w:firstLine="439"/>
        <w:spacing w:after="0" w:line="259" w:lineRule="auto"/>
        <w:rPr>
          <w:sz w:val="20"/>
          <w:szCs w:val="20"/>
          <w:color w:val="auto"/>
        </w:rPr>
      </w:pPr>
      <w:r>
        <w:rPr>
          <w:rFonts w:ascii="Arial" w:cs="Arial" w:eastAsia="Arial" w:hAnsi="Arial"/>
          <w:sz w:val="18"/>
          <w:szCs w:val="18"/>
          <w:color w:val="auto"/>
        </w:rPr>
        <w:t>At June 30, 2019 and December 31, 2018, the total amount of non-qualifying assets was approximately 26.4% and 28.0% of total assets, respectively. The majority of non-qualifying assets were foreign investments which were approximately 13.3% and 16.5%, respectively, of the Company’s total assets (including the Company’s investments in CLO Funds, which are typically domiciled outside the U.S. and represented approximately 13.1% and 15.5% of its total assets on such dates,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189" w:lineRule="exact"/>
        <w:rPr>
          <w:sz w:val="20"/>
          <w:szCs w:val="20"/>
          <w:color w:val="auto"/>
        </w:rPr>
      </w:pPr>
    </w:p>
    <w:p>
      <w:pPr>
        <w:ind w:firstLine="439"/>
        <w:spacing w:after="0" w:line="272" w:lineRule="auto"/>
        <w:rPr>
          <w:sz w:val="20"/>
          <w:szCs w:val="20"/>
          <w:color w:val="auto"/>
        </w:rPr>
      </w:pPr>
      <w:r>
        <w:rPr>
          <w:rFonts w:ascii="Arial" w:cs="Arial" w:eastAsia="Arial" w:hAnsi="Arial"/>
          <w:sz w:val="17"/>
          <w:szCs w:val="17"/>
          <w:color w:val="auto"/>
        </w:rPr>
        <w:t>The Company has made minority investments in the most junior class of securities (typically preferred shares or subordinated securities) of CLO Funds.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37" w:lineRule="exact"/>
        <w:rPr>
          <w:sz w:val="20"/>
          <w:szCs w:val="20"/>
          <w:color w:val="auto"/>
        </w:rPr>
      </w:pPr>
    </w:p>
    <w:p>
      <w:pPr>
        <w:ind w:right="20" w:firstLine="439"/>
        <w:spacing w:after="0" w:line="277" w:lineRule="auto"/>
        <w:rPr>
          <w:sz w:val="20"/>
          <w:szCs w:val="20"/>
          <w:color w:val="auto"/>
        </w:rPr>
      </w:pPr>
      <w:r>
        <w:rPr>
          <w:rFonts w:ascii="Arial" w:cs="Arial" w:eastAsia="Arial" w:hAnsi="Arial"/>
          <w:sz w:val="18"/>
          <w:szCs w:val="18"/>
          <w:color w:val="auto"/>
        </w:rPr>
        <w:t>On October 31, 2017, the Company purchased an additional $4.3 million of notional amount of subordinated notes issued by Catamaran CLO 2014-1 at a cost of $5.4 million.</w:t>
      </w:r>
    </w:p>
    <w:p>
      <w:pPr>
        <w:spacing w:after="0" w:line="143" w:lineRule="exact"/>
        <w:rPr>
          <w:sz w:val="20"/>
          <w:szCs w:val="20"/>
          <w:color w:val="auto"/>
        </w:rPr>
      </w:pPr>
    </w:p>
    <w:p>
      <w:pPr>
        <w:ind w:right="300" w:firstLine="439"/>
        <w:spacing w:after="0" w:line="277" w:lineRule="auto"/>
        <w:rPr>
          <w:sz w:val="20"/>
          <w:szCs w:val="20"/>
          <w:color w:val="auto"/>
        </w:rPr>
      </w:pPr>
      <w:r>
        <w:rPr>
          <w:rFonts w:ascii="Arial" w:cs="Arial" w:eastAsia="Arial" w:hAnsi="Arial"/>
          <w:sz w:val="18"/>
          <w:szCs w:val="18"/>
          <w:color w:val="auto"/>
        </w:rPr>
        <w:t>In December 2017, the Company purchased an additional $201,000 of notional amount of subordinated notes issued by Catamaran CLO 2013-1 at a cost of $201,000.</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December 2017, the Company sold $5.0 million par value of the subordinated notes of Catamaran CLO 2014-1 for $3.0 million.</w:t>
      </w:r>
    </w:p>
    <w:p>
      <w:pPr>
        <w:spacing w:after="0" w:line="185" w:lineRule="exact"/>
        <w:rPr>
          <w:sz w:val="20"/>
          <w:szCs w:val="20"/>
          <w:color w:val="auto"/>
        </w:rPr>
      </w:pPr>
    </w:p>
    <w:p>
      <w:pPr>
        <w:ind w:right="80" w:firstLine="439"/>
        <w:spacing w:after="0" w:line="277" w:lineRule="auto"/>
        <w:rPr>
          <w:sz w:val="20"/>
          <w:szCs w:val="20"/>
          <w:color w:val="auto"/>
        </w:rPr>
      </w:pPr>
      <w:r>
        <w:rPr>
          <w:rFonts w:ascii="Arial" w:cs="Arial" w:eastAsia="Arial" w:hAnsi="Arial"/>
          <w:sz w:val="18"/>
          <w:szCs w:val="18"/>
          <w:color w:val="auto"/>
        </w:rPr>
        <w:t>In September 2018, the Company purchased $10 million par value of the subordinated notes of Catamaran CLO 2018-1 at a cost of approximately $9.5 million.</w:t>
      </w:r>
    </w:p>
    <w:p>
      <w:pPr>
        <w:spacing w:after="0" w:line="143" w:lineRule="exact"/>
        <w:rPr>
          <w:sz w:val="20"/>
          <w:szCs w:val="20"/>
          <w:color w:val="auto"/>
        </w:rPr>
      </w:pPr>
    </w:p>
    <w:p>
      <w:pPr>
        <w:ind w:right="80" w:firstLine="439"/>
        <w:spacing w:after="0" w:line="264" w:lineRule="auto"/>
        <w:rPr>
          <w:sz w:val="20"/>
          <w:szCs w:val="20"/>
          <w:color w:val="auto"/>
        </w:rPr>
      </w:pPr>
      <w:r>
        <w:rPr>
          <w:rFonts w:ascii="Arial" w:cs="Arial" w:eastAsia="Arial" w:hAnsi="Arial"/>
          <w:sz w:val="18"/>
          <w:szCs w:val="18"/>
          <w:color w:val="auto"/>
        </w:rPr>
        <w:t>In December 2018, the Company received $2.5 million of notional amount of subordinated notes of Catamaran 2013-1 with a fair value of $1.4 million and $3.4 million of notional amount of subordinated notes of Catamaran 2014-1 with a fair value of $1.9 million, as consideration for the repayment of a portion of the loans to Trimaran Advisors.</w:t>
      </w:r>
    </w:p>
    <w:p>
      <w:pPr>
        <w:spacing w:after="0" w:line="141" w:lineRule="exact"/>
        <w:rPr>
          <w:sz w:val="20"/>
          <w:szCs w:val="20"/>
          <w:color w:val="auto"/>
        </w:rPr>
      </w:pPr>
    </w:p>
    <w:p>
      <w:pPr>
        <w:ind w:right="100" w:firstLine="439"/>
        <w:spacing w:after="0" w:line="276" w:lineRule="auto"/>
        <w:rPr>
          <w:sz w:val="20"/>
          <w:szCs w:val="20"/>
          <w:color w:val="auto"/>
        </w:rPr>
      </w:pPr>
      <w:r>
        <w:rPr>
          <w:rFonts w:ascii="Arial" w:cs="Arial" w:eastAsia="Arial" w:hAnsi="Arial"/>
          <w:sz w:val="17"/>
          <w:szCs w:val="17"/>
          <w:color w:val="auto"/>
        </w:rPr>
        <w:t>On December 19, 2017, the Company, in its capacity as the holder of all of the outstanding preferred shares of Katonah 2007-1 CLO Ltd. (“Katonah 2007-1”), exercised its right to cause Katonah 2007-1 to redeem all of its outstanding indebtedness through the sale of its investments and otherwise wind up its business. Katonah 2007-1 was fully liquidated and dissolved in the fourth quarter of 2018. Accordingly, the Company recorded a realized loss during the fourth quarter of 2018 of approximately $10.1 million on its investment in Katonah 2007-1 and a corresponding unrealized gain of the same amount in order to reverse the previously recorded unrealized depreciation with respect to the investment.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7" w:name="page38"/>
    <w:bookmarkEnd w:id="37"/>
    <w:p>
      <w:pPr>
        <w:ind w:right="60" w:firstLine="439"/>
        <w:spacing w:after="0" w:line="264" w:lineRule="auto"/>
        <w:rPr>
          <w:sz w:val="20"/>
          <w:szCs w:val="20"/>
          <w:color w:val="auto"/>
        </w:rPr>
      </w:pPr>
      <w:r>
        <w:rPr>
          <w:rFonts w:ascii="Arial" w:cs="Arial" w:eastAsia="Arial" w:hAnsi="Arial"/>
          <w:sz w:val="18"/>
          <w:szCs w:val="18"/>
          <w:color w:val="auto"/>
        </w:rPr>
        <w:t>Similarly, during the fourth quarter of 2018, each of Grant Grove CLO, Ltd., Trimaran CLO VII, Ltd., and Catamaran CLO 2012-1 Ltd. were fully liquidated and dissolved, and the Company recorded a realized loss of approximately $6.4 million and a corresponding unrealized gain of the same amount in order to reserve the previously recorded unrealized depreciation with respect to these investments.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first quarter of 2019, the Company sold $2.0 million notional amount of subordinated notes of Catamaran CLO 2014-1 for $800,000.</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June 2019, the Company sold $4.8 million par value of the CLO Rated note issued by Great Lakes KCAP F3C Senior, LLC for $4.4 million.</w:t>
      </w:r>
    </w:p>
    <w:p>
      <w:pPr>
        <w:spacing w:after="0" w:line="196" w:lineRule="exact"/>
        <w:rPr>
          <w:sz w:val="20"/>
          <w:szCs w:val="20"/>
          <w:color w:val="auto"/>
        </w:rPr>
      </w:pPr>
    </w:p>
    <w:p>
      <w:pPr>
        <w:ind w:right="100" w:firstLine="439"/>
        <w:spacing w:after="0" w:line="277" w:lineRule="auto"/>
        <w:rPr>
          <w:sz w:val="20"/>
          <w:szCs w:val="20"/>
          <w:color w:val="auto"/>
        </w:rPr>
      </w:pPr>
      <w:r>
        <w:rPr>
          <w:rFonts w:ascii="Arial" w:cs="Arial" w:eastAsia="Arial" w:hAnsi="Arial"/>
          <w:sz w:val="18"/>
          <w:szCs w:val="18"/>
          <w:color w:val="auto"/>
        </w:rPr>
        <w:t>With the exception of Katonah III, Ltd., as of June 30, 2019 all of the Company’s investments in CLO Fund securities were making distributions to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Affiliate Investments: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investments in affiliates at June 30, 2019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b w:val="1"/>
                <w:bCs w:val="1"/>
                <w:color w:val="auto"/>
                <w:w w:val="93"/>
              </w:rPr>
              <w:t>Fair Value</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Purchases/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4"/>
              </w:rPr>
              <w:t>Transfers</w:t>
            </w:r>
          </w:p>
        </w:tc>
        <w:tc>
          <w:tcPr>
            <w:tcW w:w="240" w:type="dxa"/>
            <w:vAlign w:val="bottom"/>
          </w:tcPr>
          <w:p>
            <w:pPr>
              <w:spacing w:after="0"/>
              <w:rPr>
                <w:sz w:val="13"/>
                <w:szCs w:val="13"/>
                <w:color w:val="auto"/>
              </w:rPr>
            </w:pPr>
          </w:p>
        </w:tc>
        <w:tc>
          <w:tcPr>
            <w:tcW w:w="820" w:type="dxa"/>
            <w:vAlign w:val="bottom"/>
            <w:gridSpan w:val="3"/>
          </w:tcPr>
          <w:p>
            <w:pPr>
              <w:jc w:val="center"/>
              <w:ind w:right="138"/>
              <w:spacing w:after="0"/>
              <w:rPr>
                <w:sz w:val="20"/>
                <w:szCs w:val="20"/>
                <w:color w:val="auto"/>
              </w:rPr>
            </w:pPr>
            <w:r>
              <w:rPr>
                <w:rFonts w:ascii="Arial" w:cs="Arial" w:eastAsia="Arial" w:hAnsi="Arial"/>
                <w:sz w:val="13"/>
                <w:szCs w:val="13"/>
                <w:b w:val="1"/>
                <w:bCs w:val="1"/>
                <w:color w:val="auto"/>
                <w:w w:val="85"/>
              </w:rPr>
              <w:t>Net change</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Fair Value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at of</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(Sales) of 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In/(Out)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98"/>
              <w:spacing w:after="0" w:line="135" w:lineRule="exact"/>
              <w:rPr>
                <w:sz w:val="20"/>
                <w:szCs w:val="20"/>
                <w:color w:val="auto"/>
              </w:rPr>
            </w:pPr>
            <w:r>
              <w:rPr>
                <w:rFonts w:ascii="Arial" w:cs="Arial" w:eastAsia="Arial" w:hAnsi="Arial"/>
                <w:sz w:val="13"/>
                <w:szCs w:val="13"/>
                <w:b w:val="1"/>
                <w:bCs w:val="1"/>
                <w:color w:val="auto"/>
                <w:w w:val="86"/>
              </w:rPr>
              <w:t>in</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7"/>
              </w:rPr>
              <w:t>at of</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Industry</w:t>
            </w:r>
          </w:p>
        </w:tc>
        <w:tc>
          <w:tcPr>
            <w:tcW w:w="860" w:type="dxa"/>
            <w:vAlign w:val="bottom"/>
            <w:gridSpan w:val="3"/>
          </w:tcPr>
          <w:p>
            <w:pPr>
              <w:jc w:val="center"/>
              <w:ind w:left="57"/>
              <w:spacing w:after="0" w:line="135" w:lineRule="exact"/>
              <w:rPr>
                <w:sz w:val="20"/>
                <w:szCs w:val="20"/>
                <w:color w:val="auto"/>
              </w:rPr>
            </w:pPr>
            <w:r>
              <w:rPr>
                <w:rFonts w:ascii="Arial" w:cs="Arial" w:eastAsia="Arial" w:hAnsi="Arial"/>
                <w:sz w:val="13"/>
                <w:szCs w:val="13"/>
                <w:b w:val="1"/>
                <w:bCs w:val="1"/>
                <w:color w:val="auto"/>
                <w:w w:val="87"/>
              </w:rPr>
              <w:t>December 31,</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2"/>
              </w:rPr>
              <w:t>Advances/</w:t>
            </w:r>
          </w:p>
        </w:tc>
        <w:tc>
          <w:tcPr>
            <w:tcW w:w="100" w:type="dxa"/>
            <w:vAlign w:val="bottom"/>
          </w:tcPr>
          <w:p>
            <w:pPr>
              <w:spacing w:after="0"/>
              <w:rPr>
                <w:sz w:val="11"/>
                <w:szCs w:val="11"/>
                <w:color w:val="auto"/>
              </w:rPr>
            </w:pPr>
          </w:p>
        </w:tc>
        <w:tc>
          <w:tcPr>
            <w:tcW w:w="820" w:type="dxa"/>
            <w:vAlign w:val="bottom"/>
            <w:gridSpan w:val="2"/>
          </w:tcPr>
          <w:p>
            <w:pPr>
              <w:jc w:val="right"/>
              <w:ind w:right="398"/>
              <w:spacing w:after="0" w:line="135" w:lineRule="exact"/>
              <w:rPr>
                <w:sz w:val="20"/>
                <w:szCs w:val="20"/>
                <w:color w:val="auto"/>
              </w:rPr>
            </w:pPr>
            <w:r>
              <w:rPr>
                <w:rFonts w:ascii="Arial" w:cs="Arial" w:eastAsia="Arial" w:hAnsi="Arial"/>
                <w:sz w:val="13"/>
                <w:szCs w:val="13"/>
                <w:b w:val="1"/>
                <w:bCs w:val="1"/>
                <w:color w:val="auto"/>
              </w:rPr>
              <w:t>Net</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of</w:t>
            </w:r>
          </w:p>
        </w:tc>
        <w:tc>
          <w:tcPr>
            <w:tcW w:w="240" w:type="dxa"/>
            <w:vAlign w:val="bottom"/>
          </w:tcPr>
          <w:p>
            <w:pPr>
              <w:spacing w:after="0"/>
              <w:rPr>
                <w:sz w:val="11"/>
                <w:szCs w:val="11"/>
                <w:color w:val="auto"/>
              </w:rPr>
            </w:pPr>
          </w:p>
        </w:tc>
        <w:tc>
          <w:tcPr>
            <w:tcW w:w="820" w:type="dxa"/>
            <w:vAlign w:val="bottom"/>
            <w:gridSpan w:val="3"/>
          </w:tcPr>
          <w:p>
            <w:pPr>
              <w:jc w:val="center"/>
              <w:ind w:right="118"/>
              <w:spacing w:after="0" w:line="135" w:lineRule="exact"/>
              <w:rPr>
                <w:sz w:val="20"/>
                <w:szCs w:val="20"/>
                <w:color w:val="auto"/>
              </w:rPr>
            </w:pPr>
            <w:r>
              <w:rPr>
                <w:rFonts w:ascii="Arial" w:cs="Arial" w:eastAsia="Arial" w:hAnsi="Arial"/>
                <w:sz w:val="13"/>
                <w:szCs w:val="13"/>
                <w:b w:val="1"/>
                <w:bCs w:val="1"/>
                <w:color w:val="auto"/>
                <w:w w:val="90"/>
              </w:rPr>
              <w:t>unrealized</w:t>
            </w:r>
          </w:p>
        </w:tc>
        <w:tc>
          <w:tcPr>
            <w:tcW w:w="80" w:type="dxa"/>
            <w:vAlign w:val="bottom"/>
          </w:tcPr>
          <w:p>
            <w:pPr>
              <w:spacing w:after="0"/>
              <w:rPr>
                <w:sz w:val="11"/>
                <w:szCs w:val="11"/>
                <w:color w:val="auto"/>
              </w:rPr>
            </w:pPr>
          </w:p>
        </w:tc>
        <w:tc>
          <w:tcPr>
            <w:tcW w:w="820" w:type="dxa"/>
            <w:vAlign w:val="bottom"/>
            <w:gridSpan w:val="2"/>
          </w:tcPr>
          <w:p>
            <w:pPr>
              <w:jc w:val="right"/>
              <w:ind w:right="198"/>
              <w:spacing w:after="0" w:line="135" w:lineRule="exact"/>
              <w:rPr>
                <w:sz w:val="20"/>
                <w:szCs w:val="20"/>
                <w:color w:val="auto"/>
              </w:rPr>
            </w:pPr>
            <w:r>
              <w:rPr>
                <w:rFonts w:ascii="Arial" w:cs="Arial" w:eastAsia="Arial" w:hAnsi="Arial"/>
                <w:sz w:val="13"/>
                <w:szCs w:val="13"/>
                <w:b w:val="1"/>
                <w:bCs w:val="1"/>
                <w:color w:val="auto"/>
              </w:rPr>
              <w:t>Realized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8"/>
              </w:rPr>
              <w:t>June 30,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Interest</w:t>
            </w:r>
          </w:p>
        </w:tc>
        <w:tc>
          <w:tcPr>
            <w:tcW w:w="6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Dividend</w:t>
            </w:r>
          </w:p>
        </w:tc>
      </w:tr>
      <w:tr>
        <w:trPr>
          <w:trHeight w:val="153"/>
        </w:trPr>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5"/>
              </w:rPr>
              <w:t>Classification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2018</w:t>
            </w:r>
          </w:p>
        </w:tc>
        <w:tc>
          <w:tcPr>
            <w:tcW w:w="1160" w:type="dxa"/>
            <w:vAlign w:val="bottom"/>
            <w:gridSpan w:val="4"/>
          </w:tcPr>
          <w:p>
            <w:pPr>
              <w:jc w:val="center"/>
              <w:ind w:left="37"/>
              <w:spacing w:after="0"/>
              <w:rPr>
                <w:sz w:val="20"/>
                <w:szCs w:val="20"/>
                <w:color w:val="auto"/>
              </w:rPr>
            </w:pPr>
            <w:r>
              <w:rPr>
                <w:rFonts w:ascii="Arial" w:cs="Arial" w:eastAsia="Arial" w:hAnsi="Arial"/>
                <w:sz w:val="13"/>
                <w:szCs w:val="13"/>
                <w:b w:val="1"/>
                <w:bCs w:val="1"/>
                <w:color w:val="auto"/>
                <w:w w:val="87"/>
              </w:rPr>
              <w:t>(Distributions)</w:t>
            </w:r>
          </w:p>
        </w:tc>
        <w:tc>
          <w:tcPr>
            <w:tcW w:w="100" w:type="dxa"/>
            <w:vAlign w:val="bottom"/>
          </w:tcPr>
          <w:p>
            <w:pPr>
              <w:spacing w:after="0"/>
              <w:rPr>
                <w:sz w:val="13"/>
                <w:szCs w:val="13"/>
                <w:color w:val="auto"/>
              </w:rPr>
            </w:pPr>
          </w:p>
        </w:tc>
        <w:tc>
          <w:tcPr>
            <w:tcW w:w="820" w:type="dxa"/>
            <w:vAlign w:val="bottom"/>
            <w:gridSpan w:val="2"/>
          </w:tcPr>
          <w:p>
            <w:pPr>
              <w:jc w:val="right"/>
              <w:ind w:right="238"/>
              <w:spacing w:after="0"/>
              <w:rPr>
                <w:sz w:val="20"/>
                <w:szCs w:val="20"/>
                <w:color w:val="auto"/>
              </w:rPr>
            </w:pPr>
            <w:r>
              <w:rPr>
                <w:rFonts w:ascii="Arial" w:cs="Arial" w:eastAsia="Arial" w:hAnsi="Arial"/>
                <w:sz w:val="13"/>
                <w:szCs w:val="13"/>
                <w:b w:val="1"/>
                <w:bCs w:val="1"/>
                <w:color w:val="auto"/>
                <w:w w:val="86"/>
              </w:rPr>
              <w:t>Accretion</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0"/>
              </w:rPr>
              <w:t>Affiliates</w:t>
            </w:r>
          </w:p>
        </w:tc>
        <w:tc>
          <w:tcPr>
            <w:tcW w:w="240" w:type="dxa"/>
            <w:vAlign w:val="bottom"/>
          </w:tcPr>
          <w:p>
            <w:pPr>
              <w:spacing w:after="0"/>
              <w:rPr>
                <w:sz w:val="13"/>
                <w:szCs w:val="13"/>
                <w:color w:val="auto"/>
              </w:rPr>
            </w:pPr>
          </w:p>
        </w:tc>
        <w:tc>
          <w:tcPr>
            <w:tcW w:w="820" w:type="dxa"/>
            <w:vAlign w:val="bottom"/>
            <w:gridSpan w:val="3"/>
          </w:tcPr>
          <w:p>
            <w:pPr>
              <w:jc w:val="center"/>
              <w:ind w:right="118"/>
              <w:spacing w:after="0"/>
              <w:rPr>
                <w:sz w:val="20"/>
                <w:szCs w:val="20"/>
                <w:color w:val="auto"/>
              </w:rPr>
            </w:pPr>
            <w:r>
              <w:rPr>
                <w:rFonts w:ascii="Arial" w:cs="Arial" w:eastAsia="Arial" w:hAnsi="Arial"/>
                <w:sz w:val="13"/>
                <w:szCs w:val="13"/>
                <w:b w:val="1"/>
                <w:bCs w:val="1"/>
                <w:color w:val="auto"/>
                <w:w w:val="86"/>
              </w:rPr>
              <w:t>Gain/(Loss)</w:t>
            </w:r>
          </w:p>
        </w:tc>
        <w:tc>
          <w:tcPr>
            <w:tcW w:w="80" w:type="dxa"/>
            <w:vAlign w:val="bottom"/>
          </w:tcPr>
          <w:p>
            <w:pPr>
              <w:spacing w:after="0"/>
              <w:rPr>
                <w:sz w:val="13"/>
                <w:szCs w:val="13"/>
                <w:color w:val="auto"/>
              </w:rPr>
            </w:pPr>
          </w:p>
        </w:tc>
        <w:tc>
          <w:tcPr>
            <w:tcW w:w="820" w:type="dxa"/>
            <w:vAlign w:val="bottom"/>
            <w:gridSpan w:val="2"/>
          </w:tcPr>
          <w:p>
            <w:pPr>
              <w:jc w:val="right"/>
              <w:ind w:right="118"/>
              <w:spacing w:after="0"/>
              <w:rPr>
                <w:sz w:val="20"/>
                <w:szCs w:val="20"/>
                <w:color w:val="auto"/>
              </w:rPr>
            </w:pPr>
            <w:r>
              <w:rPr>
                <w:rFonts w:ascii="Arial" w:cs="Arial" w:eastAsia="Arial" w:hAnsi="Arial"/>
                <w:sz w:val="13"/>
                <w:szCs w:val="13"/>
                <w:b w:val="1"/>
                <w:bCs w:val="1"/>
                <w:color w:val="auto"/>
                <w:w w:val="89"/>
              </w:rPr>
              <w:t>Gain/(Loss)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2019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w:t>
            </w:r>
          </w:p>
        </w:tc>
        <w:tc>
          <w:tcPr>
            <w:tcW w:w="60" w:type="dxa"/>
            <w:vAlign w:val="bottom"/>
          </w:tcPr>
          <w:p>
            <w:pPr>
              <w:spacing w:after="0"/>
              <w:rPr>
                <w:sz w:val="13"/>
                <w:szCs w:val="13"/>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Income</w:t>
            </w:r>
          </w:p>
        </w:tc>
      </w:tr>
      <w:tr>
        <w:trPr>
          <w:trHeight w:val="128"/>
        </w:trPr>
        <w:tc>
          <w:tcPr>
            <w:tcW w:w="188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10"/>
                <w:szCs w:val="10"/>
                <w:color w:val="auto"/>
              </w:rPr>
              <w:t>(4)(5)(7)</w:t>
            </w:r>
          </w:p>
        </w:tc>
        <w:tc>
          <w:tcPr>
            <w:tcW w:w="100" w:type="dxa"/>
            <w:vAlign w:val="bottom"/>
            <w:tcBorders>
              <w:top w:val="single" w:sz="8" w:color="CFF0FC"/>
            </w:tcBorders>
            <w:shd w:val="clear" w:color="auto" w:fill="CFF0FC"/>
          </w:tcPr>
          <w:p>
            <w:pPr>
              <w:spacing w:after="0"/>
              <w:rPr>
                <w:sz w:val="11"/>
                <w:szCs w:val="11"/>
                <w:color w:val="auto"/>
              </w:rPr>
            </w:pPr>
          </w:p>
        </w:tc>
        <w:tc>
          <w:tcPr>
            <w:tcW w:w="12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Asset</w:t>
            </w: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5"/>
        </w:trPr>
        <w:tc>
          <w:tcPr>
            <w:tcW w:w="188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rPr>
              <w:t>Management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188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Company</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3,470,000</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18"/>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FF0FC"/>
          </w:tcPr>
          <w:p>
            <w:pPr>
              <w:jc w:val="right"/>
              <w:ind w:right="58"/>
              <w:spacing w:after="0"/>
              <w:rPr>
                <w:sz w:val="20"/>
                <w:szCs w:val="20"/>
                <w:color w:val="auto"/>
              </w:rPr>
            </w:pPr>
            <w:r>
              <w:rPr>
                <w:rFonts w:ascii="Arial" w:cs="Arial" w:eastAsia="Arial" w:hAnsi="Arial"/>
                <w:sz w:val="13"/>
                <w:szCs w:val="13"/>
                <w:color w:val="auto"/>
              </w:rPr>
              <w:t>$ (3,470,000)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880" w:type="dxa"/>
            <w:vAlign w:val="bottom"/>
          </w:tcPr>
          <w:p>
            <w:pPr>
              <w:spacing w:after="0" w:line="134" w:lineRule="exact"/>
              <w:rPr>
                <w:sz w:val="20"/>
                <w:szCs w:val="20"/>
                <w:color w:val="auto"/>
              </w:rPr>
            </w:pPr>
            <w:r>
              <w:rPr>
                <w:rFonts w:ascii="Arial" w:cs="Arial" w:eastAsia="Arial" w:hAnsi="Arial"/>
                <w:sz w:val="13"/>
                <w:szCs w:val="13"/>
                <w:color w:val="auto"/>
                <w:w w:val="97"/>
              </w:rPr>
              <w:t>Tank Partners Holdings, LLC</w:t>
            </w:r>
            <w:r>
              <w:rPr>
                <w:rFonts w:ascii="Arial" w:cs="Arial" w:eastAsia="Arial" w:hAnsi="Arial"/>
                <w:sz w:val="10"/>
                <w:szCs w:val="10"/>
                <w:color w:val="auto"/>
                <w:w w:val="97"/>
              </w:rPr>
              <w:t>(4)(5)</w:t>
            </w:r>
          </w:p>
        </w:tc>
        <w:tc>
          <w:tcPr>
            <w:tcW w:w="1340" w:type="dxa"/>
            <w:vAlign w:val="bottom"/>
            <w:gridSpan w:val="2"/>
          </w:tcPr>
          <w:p>
            <w:pPr>
              <w:ind w:left="100"/>
              <w:spacing w:after="0" w:line="134" w:lineRule="exact"/>
              <w:rPr>
                <w:sz w:val="20"/>
                <w:szCs w:val="20"/>
                <w:color w:val="auto"/>
              </w:rPr>
            </w:pPr>
            <w:r>
              <w:rPr>
                <w:rFonts w:ascii="Arial" w:cs="Arial" w:eastAsia="Arial" w:hAnsi="Arial"/>
                <w:sz w:val="13"/>
                <w:szCs w:val="13"/>
                <w:color w:val="auto"/>
              </w:rPr>
              <w:t>Energy: Oil &amp;</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880" w:type="dxa"/>
            <w:vAlign w:val="bottom"/>
          </w:tcPr>
          <w:p>
            <w:pPr>
              <w:spacing w:after="0"/>
              <w:rPr>
                <w:sz w:val="12"/>
                <w:szCs w:val="12"/>
                <w:color w:val="auto"/>
              </w:rPr>
            </w:pPr>
          </w:p>
        </w:tc>
        <w:tc>
          <w:tcPr>
            <w:tcW w:w="1340" w:type="dxa"/>
            <w:vAlign w:val="bottom"/>
            <w:gridSpan w:val="2"/>
          </w:tcPr>
          <w:p>
            <w:pPr>
              <w:ind w:left="100"/>
              <w:spacing w:after="0"/>
              <w:rPr>
                <w:sz w:val="20"/>
                <w:szCs w:val="20"/>
                <w:color w:val="auto"/>
              </w:rPr>
            </w:pPr>
            <w:r>
              <w:rPr>
                <w:rFonts w:ascii="Arial" w:cs="Arial" w:eastAsia="Arial" w:hAnsi="Arial"/>
                <w:sz w:val="13"/>
                <w:szCs w:val="13"/>
                <w:color w:val="auto"/>
              </w:rPr>
              <w:t>Gas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6,228,000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18"/>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58"/>
              <w:spacing w:after="0"/>
              <w:rPr>
                <w:sz w:val="20"/>
                <w:szCs w:val="20"/>
                <w:color w:val="auto"/>
              </w:rPr>
            </w:pPr>
            <w:r>
              <w:rPr>
                <w:rFonts w:ascii="Arial" w:cs="Arial" w:eastAsia="Arial" w:hAnsi="Arial"/>
                <w:sz w:val="13"/>
                <w:szCs w:val="13"/>
                <w:color w:val="auto"/>
                <w:w w:val="93"/>
              </w:rPr>
              <w:t>(4,646,207)</w:t>
            </w:r>
          </w:p>
        </w:tc>
        <w:tc>
          <w:tcPr>
            <w:tcW w:w="900" w:type="dxa"/>
            <w:vAlign w:val="bottom"/>
            <w:gridSpan w:val="3"/>
          </w:tcPr>
          <w:p>
            <w:pPr>
              <w:jc w:val="right"/>
              <w:ind w:right="58"/>
              <w:spacing w:after="0"/>
              <w:rPr>
                <w:sz w:val="20"/>
                <w:szCs w:val="20"/>
                <w:color w:val="auto"/>
              </w:rPr>
            </w:pPr>
            <w:r>
              <w:rPr>
                <w:rFonts w:ascii="Arial" w:cs="Arial" w:eastAsia="Arial" w:hAnsi="Arial"/>
                <w:sz w:val="13"/>
                <w:szCs w:val="13"/>
                <w:color w:val="auto"/>
              </w:rPr>
              <w:t>(1,165,000)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417,793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1880" w:type="dxa"/>
            <w:vAlign w:val="bottom"/>
            <w:shd w:val="clear" w:color="auto" w:fill="CFF0FC"/>
          </w:tcPr>
          <w:p>
            <w:pPr>
              <w:spacing w:after="0"/>
              <w:rPr>
                <w:sz w:val="20"/>
                <w:szCs w:val="20"/>
                <w:color w:val="auto"/>
              </w:rPr>
            </w:pPr>
            <w:r>
              <w:rPr>
                <w:rFonts w:ascii="Arial" w:cs="Arial" w:eastAsia="Arial" w:hAnsi="Arial"/>
                <w:sz w:val="13"/>
                <w:szCs w:val="13"/>
                <w:color w:val="auto"/>
                <w:w w:val="99"/>
              </w:rPr>
              <w:t>BCP Great Lakes Holdings LP</w:t>
            </w:r>
            <w:r>
              <w:rPr>
                <w:rFonts w:ascii="Arial" w:cs="Arial" w:eastAsia="Arial" w:hAnsi="Arial"/>
                <w:sz w:val="10"/>
                <w:szCs w:val="10"/>
                <w:color w:val="auto"/>
                <w:w w:val="99"/>
              </w:rPr>
              <w:t>(7)</w:t>
            </w:r>
          </w:p>
        </w:tc>
        <w:tc>
          <w:tcPr>
            <w:tcW w:w="13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Joint Venture</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12,466,667</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5,230,000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18"/>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8"/>
              <w:spacing w:after="0"/>
              <w:rPr>
                <w:sz w:val="20"/>
                <w:szCs w:val="20"/>
                <w:color w:val="auto"/>
              </w:rPr>
            </w:pPr>
            <w:r>
              <w:rPr>
                <w:rFonts w:ascii="Arial" w:cs="Arial" w:eastAsia="Arial" w:hAnsi="Arial"/>
                <w:sz w:val="13"/>
                <w:szCs w:val="13"/>
                <w:color w:val="auto"/>
              </w:rPr>
              <w:t>(20,768)</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6"/>
              </w:rPr>
              <w:t>17,675,899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291,667</w:t>
            </w:r>
          </w:p>
        </w:tc>
        <w:tc>
          <w:tcPr>
            <w:tcW w:w="100" w:type="dxa"/>
            <w:vAlign w:val="bottom"/>
            <w:shd w:val="clear" w:color="auto" w:fill="CFF0FC"/>
          </w:tcPr>
          <w:p>
            <w:pPr>
              <w:spacing w:after="0"/>
              <w:rPr>
                <w:sz w:val="12"/>
                <w:szCs w:val="12"/>
                <w:color w:val="auto"/>
              </w:rPr>
            </w:pPr>
          </w:p>
        </w:tc>
      </w:tr>
      <w:tr>
        <w:trPr>
          <w:trHeight w:val="149"/>
        </w:trPr>
        <w:tc>
          <w:tcPr>
            <w:tcW w:w="1880" w:type="dxa"/>
            <w:vAlign w:val="bottom"/>
          </w:tcPr>
          <w:p>
            <w:pPr>
              <w:spacing w:after="0"/>
              <w:rPr>
                <w:sz w:val="20"/>
                <w:szCs w:val="20"/>
                <w:color w:val="auto"/>
              </w:rPr>
            </w:pPr>
            <w:r>
              <w:rPr>
                <w:rFonts w:ascii="Arial" w:cs="Arial" w:eastAsia="Arial" w:hAnsi="Arial"/>
                <w:sz w:val="13"/>
                <w:szCs w:val="13"/>
                <w:color w:val="auto"/>
              </w:rPr>
              <w:t xml:space="preserve">KCAP Freedom 3, LLC </w:t>
            </w:r>
            <w:r>
              <w:rPr>
                <w:rFonts w:ascii="Arial" w:cs="Arial" w:eastAsia="Arial" w:hAnsi="Arial"/>
                <w:sz w:val="10"/>
                <w:szCs w:val="10"/>
                <w:color w:val="auto"/>
              </w:rPr>
              <w:t>(4)(6)</w:t>
            </w:r>
          </w:p>
        </w:tc>
        <w:tc>
          <w:tcPr>
            <w:tcW w:w="1340" w:type="dxa"/>
            <w:vAlign w:val="bottom"/>
            <w:gridSpan w:val="2"/>
          </w:tcPr>
          <w:p>
            <w:pPr>
              <w:ind w:left="100"/>
              <w:spacing w:after="0"/>
              <w:rPr>
                <w:sz w:val="20"/>
                <w:szCs w:val="20"/>
                <w:color w:val="auto"/>
              </w:rPr>
            </w:pPr>
            <w:r>
              <w:rPr>
                <w:rFonts w:ascii="Arial" w:cs="Arial" w:eastAsia="Arial" w:hAnsi="Arial"/>
                <w:sz w:val="13"/>
                <w:szCs w:val="13"/>
                <w:color w:val="auto"/>
              </w:rPr>
              <w:t>Joint Venture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18,390,440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18"/>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6"/>
              </w:rPr>
              <w:t>4,022,918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6"/>
              </w:rPr>
              <w:t>22,413,358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1,950,000</w:t>
            </w:r>
          </w:p>
        </w:tc>
        <w:tc>
          <w:tcPr>
            <w:tcW w:w="100" w:type="dxa"/>
            <w:vAlign w:val="bottom"/>
          </w:tcPr>
          <w:p>
            <w:pPr>
              <w:spacing w:after="0"/>
              <w:rPr>
                <w:sz w:val="12"/>
                <w:szCs w:val="12"/>
                <w:color w:val="auto"/>
              </w:rPr>
            </w:pPr>
          </w:p>
        </w:tc>
      </w:tr>
      <w:tr>
        <w:trPr>
          <w:trHeight w:val="142"/>
        </w:trPr>
        <w:tc>
          <w:tcPr>
            <w:tcW w:w="18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Total controlled affiliates</w:t>
            </w:r>
          </w:p>
        </w:tc>
        <w:tc>
          <w:tcPr>
            <w:tcW w:w="100" w:type="dxa"/>
            <w:vAlign w:val="bottom"/>
            <w:tcBorders>
              <w:top w:val="single" w:sz="8" w:color="CFF0FC"/>
            </w:tcBorders>
            <w:shd w:val="clear" w:color="auto" w:fill="CFF0FC"/>
          </w:tcPr>
          <w:p>
            <w:pPr>
              <w:spacing w:after="0"/>
              <w:rPr>
                <w:sz w:val="12"/>
                <w:szCs w:val="12"/>
                <w:color w:val="auto"/>
              </w:rPr>
            </w:pPr>
          </w:p>
        </w:tc>
        <w:tc>
          <w:tcPr>
            <w:tcW w:w="1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8"/>
              </w:rPr>
              <w:t>34,328,107</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11,458,000</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(644,057)</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9"/>
              </w:rPr>
              <w:t>(4,635,000)</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6"/>
              </w:rPr>
              <w:t>40,507,050</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3"/>
              </w:rPr>
              <w:t>2,241,667</w:t>
            </w:r>
          </w:p>
        </w:tc>
        <w:tc>
          <w:tcPr>
            <w:tcW w:w="100" w:type="dxa"/>
            <w:vAlign w:val="bottom"/>
            <w:tcBorders>
              <w:top w:val="single" w:sz="8" w:color="CFF0FC"/>
            </w:tcBorders>
            <w:shd w:val="clear" w:color="auto" w:fill="CFF0FC"/>
          </w:tcPr>
          <w:p>
            <w:pPr>
              <w:spacing w:after="0"/>
              <w:rPr>
                <w:sz w:val="12"/>
                <w:szCs w:val="12"/>
                <w:color w:val="auto"/>
              </w:rPr>
            </w:pPr>
          </w:p>
        </w:tc>
      </w:tr>
      <w:tr>
        <w:trPr>
          <w:trHeight w:val="276"/>
        </w:trPr>
        <w:tc>
          <w:tcPr>
            <w:tcW w:w="1880" w:type="dxa"/>
            <w:vAlign w:val="bottom"/>
          </w:tcPr>
          <w:p>
            <w:pPr>
              <w:spacing w:after="0"/>
              <w:rPr>
                <w:sz w:val="20"/>
                <w:szCs w:val="20"/>
                <w:color w:val="auto"/>
              </w:rPr>
            </w:pPr>
            <w:r>
              <w:rPr>
                <w:rFonts w:ascii="Arial" w:cs="Arial" w:eastAsia="Arial" w:hAnsi="Arial"/>
                <w:sz w:val="13"/>
                <w:szCs w:val="13"/>
                <w:color w:val="auto"/>
                <w:w w:val="95"/>
              </w:rPr>
              <w:t xml:space="preserve">Catamaran CLO 2013-1, Ltd. </w:t>
            </w:r>
            <w:r>
              <w:rPr>
                <w:rFonts w:ascii="Arial" w:cs="Arial" w:eastAsia="Arial" w:hAnsi="Arial"/>
                <w:sz w:val="10"/>
                <w:szCs w:val="10"/>
                <w:color w:val="auto"/>
                <w:w w:val="95"/>
              </w:rPr>
              <w:t>(1)(2)</w:t>
            </w:r>
          </w:p>
        </w:tc>
        <w:tc>
          <w:tcPr>
            <w:tcW w:w="1340" w:type="dxa"/>
            <w:vAlign w:val="bottom"/>
            <w:gridSpan w:val="2"/>
          </w:tcPr>
          <w:p>
            <w:pPr>
              <w:ind w:left="100"/>
              <w:spacing w:after="0"/>
              <w:rPr>
                <w:sz w:val="20"/>
                <w:szCs w:val="20"/>
                <w:color w:val="auto"/>
              </w:rPr>
            </w:pPr>
            <w:r>
              <w:rPr>
                <w:rFonts w:ascii="Arial" w:cs="Arial" w:eastAsia="Arial" w:hAnsi="Arial"/>
                <w:sz w:val="13"/>
                <w:szCs w:val="13"/>
                <w:color w:val="auto"/>
              </w:rPr>
              <w:t>CLO Fund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1880" w:type="dxa"/>
            <w:vAlign w:val="bottom"/>
          </w:tcPr>
          <w:p>
            <w:pPr>
              <w:spacing w:after="0"/>
              <w:rPr>
                <w:sz w:val="20"/>
                <w:szCs w:val="20"/>
                <w:color w:val="auto"/>
              </w:rPr>
            </w:pPr>
            <w:r>
              <w:rPr>
                <w:rFonts w:ascii="Arial" w:cs="Arial" w:eastAsia="Arial" w:hAnsi="Arial"/>
                <w:sz w:val="11"/>
                <w:szCs w:val="11"/>
                <w:color w:val="auto"/>
              </w:rPr>
              <w:t>(4)(8)</w:t>
            </w:r>
          </w:p>
        </w:tc>
        <w:tc>
          <w:tcPr>
            <w:tcW w:w="1340" w:type="dxa"/>
            <w:vAlign w:val="bottom"/>
            <w:gridSpan w:val="2"/>
          </w:tcPr>
          <w:p>
            <w:pPr>
              <w:ind w:left="100"/>
              <w:spacing w:after="0"/>
              <w:rPr>
                <w:sz w:val="20"/>
                <w:szCs w:val="20"/>
                <w:color w:val="auto"/>
              </w:rPr>
            </w:pPr>
            <w:r>
              <w:rPr>
                <w:rFonts w:ascii="Arial" w:cs="Arial" w:eastAsia="Arial" w:hAnsi="Arial"/>
                <w:sz w:val="13"/>
                <w:szCs w:val="13"/>
                <w:color w:val="auto"/>
              </w:rPr>
              <w:t>Securities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3,196</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7,506,434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58"/>
              <w:spacing w:after="0"/>
              <w:rPr>
                <w:sz w:val="20"/>
                <w:szCs w:val="20"/>
                <w:color w:val="auto"/>
              </w:rPr>
            </w:pPr>
            <w:r>
              <w:rPr>
                <w:rFonts w:ascii="Arial" w:cs="Arial" w:eastAsia="Arial" w:hAnsi="Arial"/>
                <w:sz w:val="13"/>
                <w:szCs w:val="13"/>
                <w:color w:val="auto"/>
              </w:rPr>
              <w:t>(350,602)</w:t>
            </w:r>
          </w:p>
        </w:tc>
        <w:tc>
          <w:tcPr>
            <w:tcW w:w="80" w:type="dxa"/>
            <w:vAlign w:val="bottom"/>
          </w:tcPr>
          <w:p>
            <w:pPr>
              <w:spacing w:after="0"/>
              <w:rPr>
                <w:sz w:val="12"/>
                <w:szCs w:val="12"/>
                <w:color w:val="auto"/>
              </w:rPr>
            </w:pPr>
          </w:p>
        </w:tc>
        <w:tc>
          <w:tcPr>
            <w:tcW w:w="82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6"/>
              </w:rPr>
              <w:t>7,159,028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352,888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8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5"/>
              </w:rPr>
              <w:t xml:space="preserve">Catamaran CLO 2014-1, Ltd. </w:t>
            </w:r>
            <w:r>
              <w:rPr>
                <w:rFonts w:ascii="Arial" w:cs="Arial" w:eastAsia="Arial" w:hAnsi="Arial"/>
                <w:sz w:val="10"/>
                <w:szCs w:val="10"/>
                <w:color w:val="auto"/>
                <w:w w:val="95"/>
              </w:rPr>
              <w:t>(1)(2)</w:t>
            </w:r>
          </w:p>
        </w:tc>
        <w:tc>
          <w:tcPr>
            <w:tcW w:w="1340" w:type="dxa"/>
            <w:vAlign w:val="bottom"/>
            <w:gridSpan w:val="2"/>
            <w:shd w:val="clear" w:color="auto" w:fill="CFF0FC"/>
          </w:tcPr>
          <w:p>
            <w:pPr>
              <w:ind w:left="100"/>
              <w:spacing w:after="0" w:line="134" w:lineRule="exact"/>
              <w:rPr>
                <w:sz w:val="20"/>
                <w:szCs w:val="20"/>
                <w:color w:val="auto"/>
              </w:rPr>
            </w:pPr>
            <w:r>
              <w:rPr>
                <w:rFonts w:ascii="Arial" w:cs="Arial" w:eastAsia="Arial" w:hAnsi="Arial"/>
                <w:sz w:val="13"/>
                <w:szCs w:val="13"/>
                <w:color w:val="auto"/>
              </w:rPr>
              <w:t>CLO Fund</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1880" w:type="dxa"/>
            <w:vAlign w:val="bottom"/>
            <w:shd w:val="clear" w:color="auto" w:fill="CFF0FC"/>
          </w:tcPr>
          <w:p>
            <w:pPr>
              <w:spacing w:after="0"/>
              <w:rPr>
                <w:sz w:val="20"/>
                <w:szCs w:val="20"/>
                <w:color w:val="auto"/>
              </w:rPr>
            </w:pPr>
            <w:r>
              <w:rPr>
                <w:rFonts w:ascii="Arial" w:cs="Arial" w:eastAsia="Arial" w:hAnsi="Arial"/>
                <w:sz w:val="11"/>
                <w:szCs w:val="11"/>
                <w:color w:val="auto"/>
              </w:rPr>
              <w:t>(4)(8)</w:t>
            </w:r>
          </w:p>
        </w:tc>
        <w:tc>
          <w:tcPr>
            <w:tcW w:w="13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Securities</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FF0FC"/>
          </w:tcPr>
          <w:p>
            <w:pPr>
              <w:jc w:val="right"/>
              <w:ind w:right="158"/>
              <w:spacing w:after="0"/>
              <w:rPr>
                <w:sz w:val="20"/>
                <w:szCs w:val="20"/>
                <w:color w:val="auto"/>
              </w:rPr>
            </w:pPr>
            <w:r>
              <w:rPr>
                <w:rFonts w:ascii="Arial" w:cs="Arial" w:eastAsia="Arial" w:hAnsi="Arial"/>
                <w:sz w:val="13"/>
                <w:szCs w:val="13"/>
                <w:color w:val="auto"/>
              </w:rPr>
              <w:t>(33,416)</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9,112,278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8"/>
              <w:spacing w:after="0"/>
              <w:rPr>
                <w:sz w:val="20"/>
                <w:szCs w:val="20"/>
                <w:color w:val="auto"/>
              </w:rPr>
            </w:pPr>
            <w:r>
              <w:rPr>
                <w:rFonts w:ascii="Arial" w:cs="Arial" w:eastAsia="Arial" w:hAnsi="Arial"/>
                <w:sz w:val="13"/>
                <w:szCs w:val="13"/>
                <w:color w:val="auto"/>
              </w:rPr>
              <w:t>(429,136)</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8,649,726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333,635</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880" w:type="dxa"/>
            <w:vAlign w:val="bottom"/>
          </w:tcPr>
          <w:p>
            <w:pPr>
              <w:spacing w:after="0" w:line="134" w:lineRule="exact"/>
              <w:rPr>
                <w:sz w:val="20"/>
                <w:szCs w:val="20"/>
                <w:color w:val="auto"/>
              </w:rPr>
            </w:pPr>
            <w:r>
              <w:rPr>
                <w:rFonts w:ascii="Arial" w:cs="Arial" w:eastAsia="Arial" w:hAnsi="Arial"/>
                <w:sz w:val="13"/>
                <w:szCs w:val="13"/>
                <w:color w:val="auto"/>
                <w:w w:val="95"/>
              </w:rPr>
              <w:t xml:space="preserve">Catamaran CLO 2014-2, Ltd. </w:t>
            </w:r>
            <w:r>
              <w:rPr>
                <w:rFonts w:ascii="Arial" w:cs="Arial" w:eastAsia="Arial" w:hAnsi="Arial"/>
                <w:sz w:val="10"/>
                <w:szCs w:val="10"/>
                <w:color w:val="auto"/>
                <w:w w:val="95"/>
              </w:rPr>
              <w:t>(1)(2)</w:t>
            </w:r>
          </w:p>
        </w:tc>
        <w:tc>
          <w:tcPr>
            <w:tcW w:w="1340" w:type="dxa"/>
            <w:vAlign w:val="bottom"/>
            <w:gridSpan w:val="2"/>
          </w:tcPr>
          <w:p>
            <w:pPr>
              <w:ind w:left="100"/>
              <w:spacing w:after="0" w:line="134" w:lineRule="exact"/>
              <w:rPr>
                <w:sz w:val="20"/>
                <w:szCs w:val="20"/>
                <w:color w:val="auto"/>
              </w:rPr>
            </w:pPr>
            <w:r>
              <w:rPr>
                <w:rFonts w:ascii="Arial" w:cs="Arial" w:eastAsia="Arial" w:hAnsi="Arial"/>
                <w:sz w:val="13"/>
                <w:szCs w:val="13"/>
                <w:color w:val="auto"/>
              </w:rPr>
              <w:t>CLO Fund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880" w:type="dxa"/>
            <w:vAlign w:val="bottom"/>
          </w:tcPr>
          <w:p>
            <w:pPr>
              <w:spacing w:after="0"/>
              <w:rPr>
                <w:sz w:val="20"/>
                <w:szCs w:val="20"/>
                <w:color w:val="auto"/>
              </w:rPr>
            </w:pPr>
            <w:r>
              <w:rPr>
                <w:rFonts w:ascii="Arial" w:cs="Arial" w:eastAsia="Arial" w:hAnsi="Arial"/>
                <w:sz w:val="11"/>
                <w:szCs w:val="11"/>
                <w:color w:val="auto"/>
              </w:rPr>
              <w:t>(4)(8)</w:t>
            </w:r>
          </w:p>
        </w:tc>
        <w:tc>
          <w:tcPr>
            <w:tcW w:w="1340" w:type="dxa"/>
            <w:vAlign w:val="bottom"/>
            <w:gridSpan w:val="2"/>
          </w:tcPr>
          <w:p>
            <w:pPr>
              <w:ind w:left="100"/>
              <w:spacing w:after="0"/>
              <w:rPr>
                <w:sz w:val="20"/>
                <w:szCs w:val="20"/>
                <w:color w:val="auto"/>
              </w:rPr>
            </w:pPr>
            <w:r>
              <w:rPr>
                <w:rFonts w:ascii="Arial" w:cs="Arial" w:eastAsia="Arial" w:hAnsi="Arial"/>
                <w:sz w:val="13"/>
                <w:szCs w:val="13"/>
                <w:color w:val="auto"/>
              </w:rPr>
              <w:t>Securities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58"/>
              <w:spacing w:after="0"/>
              <w:rPr>
                <w:sz w:val="20"/>
                <w:szCs w:val="20"/>
                <w:color w:val="auto"/>
              </w:rPr>
            </w:pPr>
            <w:r>
              <w:rPr>
                <w:rFonts w:ascii="Arial" w:cs="Arial" w:eastAsia="Arial" w:hAnsi="Arial"/>
                <w:sz w:val="13"/>
                <w:szCs w:val="13"/>
                <w:color w:val="auto"/>
              </w:rPr>
              <w:t>(91,523)</w:t>
            </w:r>
          </w:p>
        </w:tc>
        <w:tc>
          <w:tcPr>
            <w:tcW w:w="680" w:type="dxa"/>
            <w:vAlign w:val="bottom"/>
          </w:tcPr>
          <w:p>
            <w:pPr>
              <w:jc w:val="right"/>
              <w:spacing w:after="0"/>
              <w:rPr>
                <w:sz w:val="20"/>
                <w:szCs w:val="20"/>
                <w:color w:val="auto"/>
              </w:rPr>
            </w:pPr>
            <w:r>
              <w:rPr>
                <w:rFonts w:ascii="Arial" w:cs="Arial" w:eastAsia="Arial" w:hAnsi="Arial"/>
                <w:sz w:val="13"/>
                <w:szCs w:val="13"/>
                <w:color w:val="auto"/>
              </w:rPr>
              <w:t>2,591,820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58"/>
              <w:spacing w:after="0"/>
              <w:rPr>
                <w:sz w:val="20"/>
                <w:szCs w:val="20"/>
                <w:color w:val="auto"/>
              </w:rPr>
            </w:pPr>
            <w:r>
              <w:rPr>
                <w:rFonts w:ascii="Arial" w:cs="Arial" w:eastAsia="Arial" w:hAnsi="Arial"/>
                <w:sz w:val="13"/>
                <w:szCs w:val="13"/>
                <w:color w:val="auto"/>
              </w:rPr>
              <w:t>(71,828)</w:t>
            </w:r>
          </w:p>
        </w:tc>
        <w:tc>
          <w:tcPr>
            <w:tcW w:w="80" w:type="dxa"/>
            <w:vAlign w:val="bottom"/>
          </w:tcPr>
          <w:p>
            <w:pPr>
              <w:spacing w:after="0"/>
              <w:rPr>
                <w:sz w:val="12"/>
                <w:szCs w:val="12"/>
                <w:color w:val="auto"/>
              </w:rPr>
            </w:pPr>
          </w:p>
        </w:tc>
        <w:tc>
          <w:tcPr>
            <w:tcW w:w="82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6"/>
              </w:rPr>
              <w:t>2,428,469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84,394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8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5"/>
              </w:rPr>
              <w:t xml:space="preserve">Catamaran CLO 2015-1, Ltd. </w:t>
            </w:r>
            <w:r>
              <w:rPr>
                <w:rFonts w:ascii="Arial" w:cs="Arial" w:eastAsia="Arial" w:hAnsi="Arial"/>
                <w:sz w:val="10"/>
                <w:szCs w:val="10"/>
                <w:color w:val="auto"/>
                <w:w w:val="95"/>
              </w:rPr>
              <w:t>(1)(2)</w:t>
            </w:r>
          </w:p>
        </w:tc>
        <w:tc>
          <w:tcPr>
            <w:tcW w:w="1340" w:type="dxa"/>
            <w:vAlign w:val="bottom"/>
            <w:gridSpan w:val="2"/>
            <w:shd w:val="clear" w:color="auto" w:fill="CFF0FC"/>
          </w:tcPr>
          <w:p>
            <w:pPr>
              <w:ind w:left="100"/>
              <w:spacing w:after="0" w:line="134" w:lineRule="exact"/>
              <w:rPr>
                <w:sz w:val="20"/>
                <w:szCs w:val="20"/>
                <w:color w:val="auto"/>
              </w:rPr>
            </w:pPr>
            <w:r>
              <w:rPr>
                <w:rFonts w:ascii="Arial" w:cs="Arial" w:eastAsia="Arial" w:hAnsi="Arial"/>
                <w:sz w:val="13"/>
                <w:szCs w:val="13"/>
                <w:color w:val="auto"/>
              </w:rPr>
              <w:t>CLO Fund</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1880" w:type="dxa"/>
            <w:vAlign w:val="bottom"/>
            <w:shd w:val="clear" w:color="auto" w:fill="CFF0FC"/>
          </w:tcPr>
          <w:p>
            <w:pPr>
              <w:spacing w:after="0"/>
              <w:rPr>
                <w:sz w:val="20"/>
                <w:szCs w:val="20"/>
                <w:color w:val="auto"/>
              </w:rPr>
            </w:pPr>
            <w:r>
              <w:rPr>
                <w:rFonts w:ascii="Arial" w:cs="Arial" w:eastAsia="Arial" w:hAnsi="Arial"/>
                <w:sz w:val="11"/>
                <w:szCs w:val="11"/>
                <w:color w:val="auto"/>
              </w:rPr>
              <w:t>(4)(8)</w:t>
            </w:r>
          </w:p>
        </w:tc>
        <w:tc>
          <w:tcPr>
            <w:tcW w:w="13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Securities</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FF0FC"/>
          </w:tcPr>
          <w:p>
            <w:pPr>
              <w:jc w:val="right"/>
              <w:ind w:right="158"/>
              <w:spacing w:after="0"/>
              <w:rPr>
                <w:sz w:val="20"/>
                <w:szCs w:val="20"/>
                <w:color w:val="auto"/>
              </w:rPr>
            </w:pPr>
            <w:r>
              <w:rPr>
                <w:rFonts w:ascii="Arial" w:cs="Arial" w:eastAsia="Arial" w:hAnsi="Arial"/>
                <w:sz w:val="13"/>
                <w:szCs w:val="13"/>
                <w:color w:val="auto"/>
              </w:rPr>
              <w:t>(63,232)</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3,157,769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70,013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3,164,550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115,249</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880" w:type="dxa"/>
            <w:vAlign w:val="bottom"/>
          </w:tcPr>
          <w:p>
            <w:pPr>
              <w:spacing w:after="0" w:line="134" w:lineRule="exact"/>
              <w:rPr>
                <w:sz w:val="20"/>
                <w:szCs w:val="20"/>
                <w:color w:val="auto"/>
              </w:rPr>
            </w:pPr>
            <w:r>
              <w:rPr>
                <w:rFonts w:ascii="Arial" w:cs="Arial" w:eastAsia="Arial" w:hAnsi="Arial"/>
                <w:sz w:val="13"/>
                <w:szCs w:val="13"/>
                <w:color w:val="auto"/>
                <w:w w:val="95"/>
              </w:rPr>
              <w:t xml:space="preserve">Catamaran CLO 2016-1, Ltd. </w:t>
            </w:r>
            <w:r>
              <w:rPr>
                <w:rFonts w:ascii="Arial" w:cs="Arial" w:eastAsia="Arial" w:hAnsi="Arial"/>
                <w:sz w:val="10"/>
                <w:szCs w:val="10"/>
                <w:color w:val="auto"/>
                <w:w w:val="95"/>
              </w:rPr>
              <w:t>(1)(2)</w:t>
            </w:r>
          </w:p>
        </w:tc>
        <w:tc>
          <w:tcPr>
            <w:tcW w:w="1340" w:type="dxa"/>
            <w:vAlign w:val="bottom"/>
            <w:gridSpan w:val="2"/>
          </w:tcPr>
          <w:p>
            <w:pPr>
              <w:ind w:left="100"/>
              <w:spacing w:after="0" w:line="134" w:lineRule="exact"/>
              <w:rPr>
                <w:sz w:val="20"/>
                <w:szCs w:val="20"/>
                <w:color w:val="auto"/>
              </w:rPr>
            </w:pPr>
            <w:r>
              <w:rPr>
                <w:rFonts w:ascii="Arial" w:cs="Arial" w:eastAsia="Arial" w:hAnsi="Arial"/>
                <w:sz w:val="13"/>
                <w:szCs w:val="13"/>
                <w:color w:val="auto"/>
              </w:rPr>
              <w:t>CLO Fund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880" w:type="dxa"/>
            <w:vAlign w:val="bottom"/>
          </w:tcPr>
          <w:p>
            <w:pPr>
              <w:spacing w:after="0"/>
              <w:rPr>
                <w:sz w:val="20"/>
                <w:szCs w:val="20"/>
                <w:color w:val="auto"/>
              </w:rPr>
            </w:pPr>
            <w:r>
              <w:rPr>
                <w:rFonts w:ascii="Arial" w:cs="Arial" w:eastAsia="Arial" w:hAnsi="Arial"/>
                <w:sz w:val="11"/>
                <w:szCs w:val="11"/>
                <w:color w:val="auto"/>
              </w:rPr>
              <w:t>(4)(8)</w:t>
            </w:r>
          </w:p>
        </w:tc>
        <w:tc>
          <w:tcPr>
            <w:tcW w:w="1340" w:type="dxa"/>
            <w:vAlign w:val="bottom"/>
            <w:gridSpan w:val="2"/>
          </w:tcPr>
          <w:p>
            <w:pPr>
              <w:ind w:left="100"/>
              <w:spacing w:after="0"/>
              <w:rPr>
                <w:sz w:val="20"/>
                <w:szCs w:val="20"/>
                <w:color w:val="auto"/>
              </w:rPr>
            </w:pPr>
            <w:r>
              <w:rPr>
                <w:rFonts w:ascii="Arial" w:cs="Arial" w:eastAsia="Arial" w:hAnsi="Arial"/>
                <w:sz w:val="13"/>
                <w:szCs w:val="13"/>
                <w:color w:val="auto"/>
              </w:rPr>
              <w:t>Securities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58"/>
              <w:spacing w:after="0"/>
              <w:rPr>
                <w:sz w:val="20"/>
                <w:szCs w:val="20"/>
                <w:color w:val="auto"/>
              </w:rPr>
            </w:pPr>
            <w:r>
              <w:rPr>
                <w:rFonts w:ascii="Arial" w:cs="Arial" w:eastAsia="Arial" w:hAnsi="Arial"/>
                <w:sz w:val="13"/>
                <w:szCs w:val="13"/>
                <w:color w:val="auto"/>
              </w:rPr>
              <w:t>(89,593)</w:t>
            </w:r>
          </w:p>
        </w:tc>
        <w:tc>
          <w:tcPr>
            <w:tcW w:w="680" w:type="dxa"/>
            <w:vAlign w:val="bottom"/>
          </w:tcPr>
          <w:p>
            <w:pPr>
              <w:jc w:val="right"/>
              <w:spacing w:after="0"/>
              <w:rPr>
                <w:sz w:val="20"/>
                <w:szCs w:val="20"/>
                <w:color w:val="auto"/>
              </w:rPr>
            </w:pPr>
            <w:r>
              <w:rPr>
                <w:rFonts w:ascii="Arial" w:cs="Arial" w:eastAsia="Arial" w:hAnsi="Arial"/>
                <w:sz w:val="13"/>
                <w:szCs w:val="13"/>
                <w:color w:val="auto"/>
              </w:rPr>
              <w:t>7,502,959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58"/>
              <w:spacing w:after="0"/>
              <w:rPr>
                <w:sz w:val="20"/>
                <w:szCs w:val="20"/>
                <w:color w:val="auto"/>
              </w:rPr>
            </w:pPr>
            <w:r>
              <w:rPr>
                <w:rFonts w:ascii="Arial" w:cs="Arial" w:eastAsia="Arial" w:hAnsi="Arial"/>
                <w:sz w:val="13"/>
                <w:szCs w:val="13"/>
                <w:color w:val="auto"/>
              </w:rPr>
              <w:t>(169,382)</w:t>
            </w:r>
          </w:p>
        </w:tc>
        <w:tc>
          <w:tcPr>
            <w:tcW w:w="80" w:type="dxa"/>
            <w:vAlign w:val="bottom"/>
          </w:tcPr>
          <w:p>
            <w:pPr>
              <w:spacing w:after="0"/>
              <w:rPr>
                <w:sz w:val="12"/>
                <w:szCs w:val="12"/>
                <w:color w:val="auto"/>
              </w:rPr>
            </w:pPr>
          </w:p>
        </w:tc>
        <w:tc>
          <w:tcPr>
            <w:tcW w:w="82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6"/>
              </w:rPr>
              <w:t>7,243,984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241,731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8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5"/>
              </w:rPr>
              <w:t xml:space="preserve">Catamaran CLO 2018-1, Ltd. </w:t>
            </w:r>
            <w:r>
              <w:rPr>
                <w:rFonts w:ascii="Arial" w:cs="Arial" w:eastAsia="Arial" w:hAnsi="Arial"/>
                <w:sz w:val="10"/>
                <w:szCs w:val="10"/>
                <w:color w:val="auto"/>
                <w:w w:val="95"/>
              </w:rPr>
              <w:t>(1)(2)</w:t>
            </w:r>
          </w:p>
        </w:tc>
        <w:tc>
          <w:tcPr>
            <w:tcW w:w="1340" w:type="dxa"/>
            <w:vAlign w:val="bottom"/>
            <w:gridSpan w:val="2"/>
            <w:shd w:val="clear" w:color="auto" w:fill="CFF0FC"/>
          </w:tcPr>
          <w:p>
            <w:pPr>
              <w:ind w:left="100"/>
              <w:spacing w:after="0" w:line="134" w:lineRule="exact"/>
              <w:rPr>
                <w:sz w:val="20"/>
                <w:szCs w:val="20"/>
                <w:color w:val="auto"/>
              </w:rPr>
            </w:pPr>
            <w:r>
              <w:rPr>
                <w:rFonts w:ascii="Arial" w:cs="Arial" w:eastAsia="Arial" w:hAnsi="Arial"/>
                <w:sz w:val="13"/>
                <w:szCs w:val="13"/>
                <w:color w:val="auto"/>
              </w:rPr>
              <w:t>CLO Fund</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1880" w:type="dxa"/>
            <w:vAlign w:val="bottom"/>
            <w:shd w:val="clear" w:color="auto" w:fill="CFF0FC"/>
          </w:tcPr>
          <w:p>
            <w:pPr>
              <w:spacing w:after="0"/>
              <w:rPr>
                <w:sz w:val="20"/>
                <w:szCs w:val="20"/>
                <w:color w:val="auto"/>
              </w:rPr>
            </w:pPr>
            <w:r>
              <w:rPr>
                <w:rFonts w:ascii="Arial" w:cs="Arial" w:eastAsia="Arial" w:hAnsi="Arial"/>
                <w:sz w:val="11"/>
                <w:szCs w:val="11"/>
                <w:color w:val="auto"/>
              </w:rPr>
              <w:t>(4)(8)</w:t>
            </w:r>
          </w:p>
        </w:tc>
        <w:tc>
          <w:tcPr>
            <w:tcW w:w="13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Securities</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FF0FC"/>
          </w:tcPr>
          <w:p>
            <w:pPr>
              <w:jc w:val="right"/>
              <w:ind w:right="158"/>
              <w:spacing w:after="0"/>
              <w:rPr>
                <w:sz w:val="20"/>
                <w:szCs w:val="20"/>
                <w:color w:val="auto"/>
              </w:rPr>
            </w:pPr>
            <w:r>
              <w:rPr>
                <w:rFonts w:ascii="Arial" w:cs="Arial" w:eastAsia="Arial" w:hAnsi="Arial"/>
                <w:sz w:val="13"/>
                <w:szCs w:val="13"/>
                <w:color w:val="auto"/>
              </w:rPr>
              <w:t>(330,537)</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8,950,000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402,534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9,021,997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347,530</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880" w:type="dxa"/>
            <w:vAlign w:val="bottom"/>
          </w:tcPr>
          <w:p>
            <w:pPr>
              <w:spacing w:after="0" w:line="134" w:lineRule="exact"/>
              <w:rPr>
                <w:sz w:val="20"/>
                <w:szCs w:val="20"/>
                <w:color w:val="auto"/>
              </w:rPr>
            </w:pPr>
            <w:r>
              <w:rPr>
                <w:rFonts w:ascii="Arial" w:cs="Arial" w:eastAsia="Arial" w:hAnsi="Arial"/>
                <w:sz w:val="13"/>
                <w:szCs w:val="13"/>
                <w:color w:val="auto"/>
                <w:w w:val="96"/>
              </w:rPr>
              <w:t>KCAP F3C Senior Funding Rated</w:t>
            </w:r>
          </w:p>
        </w:tc>
        <w:tc>
          <w:tcPr>
            <w:tcW w:w="1340" w:type="dxa"/>
            <w:vAlign w:val="bottom"/>
            <w:gridSpan w:val="2"/>
          </w:tcPr>
          <w:p>
            <w:pPr>
              <w:ind w:left="100"/>
              <w:spacing w:after="0" w:line="134" w:lineRule="exact"/>
              <w:rPr>
                <w:sz w:val="20"/>
                <w:szCs w:val="20"/>
                <w:color w:val="auto"/>
              </w:rPr>
            </w:pPr>
            <w:r>
              <w:rPr>
                <w:rFonts w:ascii="Arial" w:cs="Arial" w:eastAsia="Arial" w:hAnsi="Arial"/>
                <w:sz w:val="13"/>
                <w:szCs w:val="13"/>
                <w:color w:val="auto"/>
              </w:rPr>
              <w:t>CLO Fund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880" w:type="dxa"/>
            <w:vAlign w:val="bottom"/>
          </w:tcPr>
          <w:p>
            <w:pPr>
              <w:spacing w:after="0"/>
              <w:rPr>
                <w:sz w:val="20"/>
                <w:szCs w:val="20"/>
                <w:color w:val="auto"/>
              </w:rPr>
            </w:pPr>
            <w:r>
              <w:rPr>
                <w:rFonts w:ascii="Arial" w:cs="Arial" w:eastAsia="Arial" w:hAnsi="Arial"/>
                <w:sz w:val="13"/>
                <w:szCs w:val="13"/>
                <w:color w:val="auto"/>
              </w:rPr>
              <w:t>Notes</w:t>
            </w:r>
            <w:r>
              <w:rPr>
                <w:rFonts w:ascii="Arial" w:cs="Arial" w:eastAsia="Arial" w:hAnsi="Arial"/>
                <w:sz w:val="10"/>
                <w:szCs w:val="10"/>
                <w:color w:val="auto"/>
              </w:rPr>
              <w:t>(4)(8)</w:t>
            </w:r>
          </w:p>
        </w:tc>
        <w:tc>
          <w:tcPr>
            <w:tcW w:w="1340" w:type="dxa"/>
            <w:vAlign w:val="bottom"/>
            <w:gridSpan w:val="2"/>
          </w:tcPr>
          <w:p>
            <w:pPr>
              <w:ind w:left="100"/>
              <w:spacing w:after="0"/>
              <w:rPr>
                <w:sz w:val="20"/>
                <w:szCs w:val="20"/>
                <w:color w:val="auto"/>
              </w:rPr>
            </w:pPr>
            <w:r>
              <w:rPr>
                <w:rFonts w:ascii="Arial" w:cs="Arial" w:eastAsia="Arial" w:hAnsi="Arial"/>
                <w:sz w:val="13"/>
                <w:szCs w:val="13"/>
                <w:color w:val="auto"/>
              </w:rPr>
              <w:t>Securities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4,473,840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(4,466,205)</w:t>
            </w:r>
          </w:p>
        </w:tc>
        <w:tc>
          <w:tcPr>
            <w:tcW w:w="100" w:type="dxa"/>
            <w:vAlign w:val="bottom"/>
          </w:tcPr>
          <w:p>
            <w:pPr>
              <w:spacing w:after="0"/>
              <w:rPr>
                <w:sz w:val="12"/>
                <w:szCs w:val="12"/>
                <w:color w:val="auto"/>
              </w:rPr>
            </w:pPr>
          </w:p>
        </w:tc>
        <w:tc>
          <w:tcPr>
            <w:tcW w:w="820" w:type="dxa"/>
            <w:vAlign w:val="bottom"/>
            <w:gridSpan w:val="2"/>
          </w:tcPr>
          <w:p>
            <w:pPr>
              <w:jc w:val="right"/>
              <w:ind w:right="218"/>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18"/>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58"/>
              <w:spacing w:after="0"/>
              <w:rPr>
                <w:sz w:val="20"/>
                <w:szCs w:val="20"/>
                <w:color w:val="auto"/>
              </w:rPr>
            </w:pPr>
            <w:r>
              <w:rPr>
                <w:rFonts w:ascii="Arial" w:cs="Arial" w:eastAsia="Arial" w:hAnsi="Arial"/>
                <w:sz w:val="13"/>
                <w:szCs w:val="13"/>
                <w:color w:val="auto"/>
              </w:rPr>
              <w:t>(7,635)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245,831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1880" w:type="dxa"/>
            <w:vAlign w:val="bottom"/>
            <w:shd w:val="clear" w:color="auto" w:fill="CFF0FC"/>
          </w:tcPr>
          <w:p>
            <w:pPr>
              <w:spacing w:after="0"/>
              <w:rPr>
                <w:sz w:val="20"/>
                <w:szCs w:val="20"/>
                <w:color w:val="auto"/>
              </w:rPr>
            </w:pPr>
            <w:r>
              <w:rPr>
                <w:rFonts w:ascii="Arial" w:cs="Arial" w:eastAsia="Arial" w:hAnsi="Arial"/>
                <w:sz w:val="13"/>
                <w:szCs w:val="13"/>
                <w:color w:val="auto"/>
              </w:rPr>
              <w:t>Navex Topco, Inc.</w:t>
            </w:r>
            <w:r>
              <w:rPr>
                <w:rFonts w:ascii="Arial" w:cs="Arial" w:eastAsia="Arial" w:hAnsi="Arial"/>
                <w:sz w:val="10"/>
                <w:szCs w:val="10"/>
                <w:color w:val="auto"/>
              </w:rPr>
              <w:t>(4)(5)(8)</w:t>
            </w:r>
          </w:p>
        </w:tc>
        <w:tc>
          <w:tcPr>
            <w:tcW w:w="13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Electronics</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18"/>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6,646,229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6,646,229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157,543</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880" w:type="dxa"/>
            <w:vAlign w:val="bottom"/>
          </w:tcPr>
          <w:p>
            <w:pPr>
              <w:spacing w:after="0" w:line="134" w:lineRule="exact"/>
              <w:rPr>
                <w:sz w:val="20"/>
                <w:szCs w:val="20"/>
                <w:color w:val="auto"/>
              </w:rPr>
            </w:pPr>
            <w:r>
              <w:rPr>
                <w:rFonts w:ascii="Arial" w:cs="Arial" w:eastAsia="Arial" w:hAnsi="Arial"/>
                <w:sz w:val="13"/>
                <w:szCs w:val="13"/>
                <w:color w:val="auto"/>
              </w:rPr>
              <w:t>Zest Acquisition Corp.</w:t>
            </w:r>
            <w:r>
              <w:rPr>
                <w:rFonts w:ascii="Arial" w:cs="Arial" w:eastAsia="Arial" w:hAnsi="Arial"/>
                <w:sz w:val="10"/>
                <w:szCs w:val="10"/>
                <w:color w:val="auto"/>
              </w:rPr>
              <w:t>(4)(5)(8)</w:t>
            </w:r>
          </w:p>
        </w:tc>
        <w:tc>
          <w:tcPr>
            <w:tcW w:w="1340" w:type="dxa"/>
            <w:vAlign w:val="bottom"/>
            <w:gridSpan w:val="2"/>
          </w:tcPr>
          <w:p>
            <w:pPr>
              <w:ind w:left="100"/>
              <w:spacing w:after="0" w:line="134" w:lineRule="exact"/>
              <w:rPr>
                <w:sz w:val="20"/>
                <w:szCs w:val="20"/>
                <w:color w:val="auto"/>
              </w:rPr>
            </w:pPr>
            <w:r>
              <w:rPr>
                <w:rFonts w:ascii="Arial" w:cs="Arial" w:eastAsia="Arial" w:hAnsi="Arial"/>
                <w:sz w:val="13"/>
                <w:szCs w:val="13"/>
                <w:color w:val="auto"/>
              </w:rPr>
              <w:t>Healthcare &amp;</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880" w:type="dxa"/>
            <w:vAlign w:val="bottom"/>
          </w:tcPr>
          <w:p>
            <w:pPr>
              <w:spacing w:after="0"/>
              <w:rPr>
                <w:sz w:val="12"/>
                <w:szCs w:val="12"/>
                <w:color w:val="auto"/>
              </w:rPr>
            </w:pPr>
          </w:p>
        </w:tc>
        <w:tc>
          <w:tcPr>
            <w:tcW w:w="1340" w:type="dxa"/>
            <w:vAlign w:val="bottom"/>
            <w:gridSpan w:val="2"/>
          </w:tcPr>
          <w:p>
            <w:pPr>
              <w:ind w:left="100"/>
              <w:spacing w:after="0"/>
              <w:rPr>
                <w:sz w:val="20"/>
                <w:szCs w:val="20"/>
                <w:color w:val="auto"/>
              </w:rPr>
            </w:pPr>
            <w:r>
              <w:rPr>
                <w:rFonts w:ascii="Arial" w:cs="Arial" w:eastAsia="Arial" w:hAnsi="Arial"/>
                <w:sz w:val="13"/>
                <w:szCs w:val="13"/>
                <w:color w:val="auto"/>
              </w:rPr>
              <w:t>Pharmaceuticals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18"/>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3,231,683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6"/>
              </w:rPr>
              <w:t>3,231,683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88,076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2"/>
        </w:trPr>
        <w:tc>
          <w:tcPr>
            <w:tcW w:w="18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Total Non-controlled affiliates</w:t>
            </w:r>
          </w:p>
        </w:tc>
        <w:tc>
          <w:tcPr>
            <w:tcW w:w="100" w:type="dxa"/>
            <w:vAlign w:val="bottom"/>
            <w:tcBorders>
              <w:top w:val="single" w:sz="8" w:color="CFF0FC"/>
            </w:tcBorders>
            <w:shd w:val="clear" w:color="auto" w:fill="CFF0FC"/>
          </w:tcPr>
          <w:p>
            <w:pPr>
              <w:spacing w:after="0"/>
              <w:rPr>
                <w:sz w:val="12"/>
                <w:szCs w:val="12"/>
                <w:color w:val="auto"/>
              </w:rPr>
            </w:pPr>
          </w:p>
        </w:tc>
        <w:tc>
          <w:tcPr>
            <w:tcW w:w="1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4,473,840</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(4,466,205)</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(605,105)</w:t>
            </w:r>
          </w:p>
        </w:tc>
        <w:tc>
          <w:tcPr>
            <w:tcW w:w="24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8"/>
              </w:rPr>
              <w:t>48,699,172</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(548,401)</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(7,635)</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6"/>
              </w:rPr>
              <w:t>47,545,666</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9"/>
              </w:rPr>
              <w:t>1,966,877</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188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r>
      <w:tr>
        <w:trPr>
          <w:trHeight w:val="142"/>
        </w:trPr>
        <w:tc>
          <w:tcPr>
            <w:tcW w:w="188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Total Affiliated Investments</w:t>
            </w:r>
          </w:p>
        </w:tc>
        <w:tc>
          <w:tcPr>
            <w:tcW w:w="100" w:type="dxa"/>
            <w:vAlign w:val="bottom"/>
            <w:tcBorders>
              <w:bottom w:val="single" w:sz="8" w:color="CFF0FC"/>
            </w:tcBorders>
            <w:shd w:val="clear" w:color="auto" w:fill="CFF0FC"/>
          </w:tcPr>
          <w:p>
            <w:pPr>
              <w:spacing w:after="0"/>
              <w:rPr>
                <w:sz w:val="12"/>
                <w:szCs w:val="12"/>
                <w:color w:val="auto"/>
              </w:rPr>
            </w:pPr>
          </w:p>
        </w:tc>
        <w:tc>
          <w:tcPr>
            <w:tcW w:w="1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8"/>
              </w:rPr>
              <w:t>38,801,947</w:t>
            </w:r>
          </w:p>
        </w:tc>
        <w:tc>
          <w:tcPr>
            <w:tcW w:w="2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6,991,795</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6"/>
              </w:rPr>
              <w:t>$ (605,105</w:t>
            </w:r>
          </w:p>
        </w:tc>
        <w:tc>
          <w:tcPr>
            <w:tcW w:w="240" w:type="dxa"/>
            <w:vAlign w:val="bottom"/>
            <w:tcBorders>
              <w:bottom w:val="single" w:sz="8" w:color="CFF0FC"/>
            </w:tcBorders>
            <w:shd w:val="clear" w:color="auto" w:fill="CFF0FC"/>
          </w:tcPr>
          <w:p>
            <w:pPr>
              <w:jc w:val="right"/>
              <w:ind w:right="158"/>
              <w:spacing w:after="0"/>
              <w:rPr>
                <w:sz w:val="20"/>
                <w:szCs w:val="20"/>
                <w:color w:val="auto"/>
              </w:rPr>
            </w:pPr>
            <w:r>
              <w:rPr>
                <w:rFonts w:ascii="Arial" w:cs="Arial" w:eastAsia="Arial" w:hAnsi="Arial"/>
                <w:sz w:val="8"/>
                <w:szCs w:val="8"/>
                <w:color w:val="auto"/>
                <w:w w:val="73"/>
              </w:rPr>
              <w:t>)</w:t>
            </w:r>
          </w:p>
        </w:tc>
        <w:tc>
          <w:tcPr>
            <w:tcW w:w="6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4"/>
              </w:rPr>
              <w:t>$ 48,699,172</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0"/>
              </w:rPr>
              <w:t>(1,192,458</w:t>
            </w:r>
          </w:p>
        </w:tc>
        <w:tc>
          <w:tcPr>
            <w:tcW w:w="140" w:type="dxa"/>
            <w:vAlign w:val="bottom"/>
            <w:tcBorders>
              <w:bottom w:val="single" w:sz="8" w:color="CFF0FC"/>
            </w:tcBorders>
            <w:shd w:val="clear" w:color="auto" w:fill="CFF0FC"/>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0"/>
              </w:rPr>
              <w:t>$ (4,642,635</w:t>
            </w:r>
          </w:p>
        </w:tc>
        <w:tc>
          <w:tcPr>
            <w:tcW w:w="140" w:type="dxa"/>
            <w:vAlign w:val="bottom"/>
            <w:tcBorders>
              <w:bottom w:val="single" w:sz="8" w:color="CFF0FC"/>
            </w:tcBorders>
            <w:shd w:val="clear" w:color="auto" w:fill="CFF0FC"/>
          </w:tcPr>
          <w:p>
            <w:pPr>
              <w:jc w:val="right"/>
              <w:ind w:right="58"/>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6"/>
              </w:rPr>
              <w:t>88,052,716</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9"/>
              </w:rPr>
              <w:t>1,966,877</w:t>
            </w:r>
          </w:p>
        </w:tc>
        <w:tc>
          <w:tcPr>
            <w:tcW w:w="2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3"/>
              </w:rPr>
              <w:t>2,241,667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20"/>
        </w:trPr>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42"/>
        </w:numPr>
        <w:rPr>
          <w:rFonts w:ascii="Arial" w:cs="Arial" w:eastAsia="Arial" w:hAnsi="Arial"/>
          <w:sz w:val="15"/>
          <w:szCs w:val="15"/>
          <w:color w:val="auto"/>
        </w:rPr>
      </w:pPr>
      <w:r>
        <w:rPr>
          <w:rFonts w:ascii="Arial" w:cs="Arial" w:eastAsia="Arial" w:hAnsi="Arial"/>
          <w:sz w:val="18"/>
          <w:szCs w:val="18"/>
          <w:color w:val="auto"/>
        </w:rPr>
        <w:t>Non-U.S. company or principal place of business outside the U.S.</w:t>
      </w:r>
    </w:p>
    <w:p>
      <w:pPr>
        <w:spacing w:after="0" w:line="22" w:lineRule="exact"/>
        <w:rPr>
          <w:sz w:val="20"/>
          <w:szCs w:val="20"/>
          <w:color w:val="auto"/>
        </w:rPr>
      </w:pPr>
    </w:p>
    <w:p>
      <w:pPr>
        <w:ind w:left="440" w:hanging="432"/>
        <w:spacing w:after="0"/>
        <w:tabs>
          <w:tab w:leader="none" w:pos="440" w:val="left"/>
        </w:tabs>
        <w:numPr>
          <w:ilvl w:val="0"/>
          <w:numId w:val="43"/>
        </w:numPr>
        <w:rPr>
          <w:rFonts w:ascii="Arial" w:cs="Arial" w:eastAsia="Arial" w:hAnsi="Arial"/>
          <w:sz w:val="15"/>
          <w:szCs w:val="15"/>
          <w:color w:val="auto"/>
        </w:rPr>
      </w:pPr>
      <w:r>
        <w:rPr>
          <w:rFonts w:ascii="Arial" w:cs="Arial" w:eastAsia="Arial" w:hAnsi="Arial"/>
          <w:sz w:val="18"/>
          <w:szCs w:val="18"/>
          <w:color w:val="auto"/>
        </w:rPr>
        <w:t>A CLO Fund managed by an affiliate of LibreMax.</w:t>
      </w:r>
    </w:p>
    <w:p>
      <w:pPr>
        <w:spacing w:after="0" w:line="9" w:lineRule="exact"/>
        <w:rPr>
          <w:sz w:val="20"/>
          <w:szCs w:val="20"/>
          <w:color w:val="auto"/>
        </w:rPr>
      </w:pPr>
    </w:p>
    <w:p>
      <w:pPr>
        <w:ind w:left="440" w:hanging="432"/>
        <w:spacing w:after="0"/>
        <w:tabs>
          <w:tab w:leader="none" w:pos="440" w:val="left"/>
        </w:tabs>
        <w:numPr>
          <w:ilvl w:val="0"/>
          <w:numId w:val="44"/>
        </w:numPr>
        <w:rPr>
          <w:rFonts w:ascii="Arial" w:cs="Arial" w:eastAsia="Arial" w:hAnsi="Arial"/>
          <w:sz w:val="15"/>
          <w:szCs w:val="15"/>
          <w:color w:val="auto"/>
        </w:rPr>
      </w:pPr>
      <w:r>
        <w:rPr>
          <w:rFonts w:ascii="Arial" w:cs="Arial" w:eastAsia="Arial" w:hAnsi="Arial"/>
          <w:sz w:val="18"/>
          <w:szCs w:val="18"/>
          <w:color w:val="auto"/>
        </w:rPr>
        <w:t>Notice of redemption has been received for this security.</w:t>
      </w:r>
    </w:p>
    <w:p>
      <w:pPr>
        <w:spacing w:after="0" w:line="9" w:lineRule="exact"/>
        <w:rPr>
          <w:sz w:val="20"/>
          <w:szCs w:val="20"/>
          <w:color w:val="auto"/>
        </w:rPr>
      </w:pPr>
    </w:p>
    <w:p>
      <w:pPr>
        <w:ind w:left="440" w:hanging="432"/>
        <w:spacing w:after="0"/>
        <w:tabs>
          <w:tab w:leader="none" w:pos="440" w:val="left"/>
        </w:tabs>
        <w:numPr>
          <w:ilvl w:val="0"/>
          <w:numId w:val="45"/>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w:t>
      </w:r>
    </w:p>
    <w:p>
      <w:pPr>
        <w:spacing w:after="0" w:line="9" w:lineRule="exact"/>
        <w:rPr>
          <w:sz w:val="20"/>
          <w:szCs w:val="20"/>
          <w:color w:val="auto"/>
        </w:rPr>
      </w:pPr>
    </w:p>
    <w:p>
      <w:pPr>
        <w:ind w:left="440" w:hanging="432"/>
        <w:spacing w:after="0"/>
        <w:tabs>
          <w:tab w:leader="none" w:pos="440" w:val="left"/>
        </w:tabs>
        <w:numPr>
          <w:ilvl w:val="0"/>
          <w:numId w:val="46"/>
        </w:numPr>
        <w:rPr>
          <w:rFonts w:ascii="Arial" w:cs="Arial" w:eastAsia="Arial" w:hAnsi="Arial"/>
          <w:sz w:val="15"/>
          <w:szCs w:val="15"/>
          <w:color w:val="auto"/>
        </w:rPr>
      </w:pPr>
      <w:r>
        <w:rPr>
          <w:rFonts w:ascii="Arial" w:cs="Arial" w:eastAsia="Arial" w:hAnsi="Arial"/>
          <w:sz w:val="18"/>
          <w:szCs w:val="18"/>
          <w:color w:val="auto"/>
        </w:rPr>
        <w:t>Qualified asset for purposes of section 55(a) of the Investment Company Act of 1940.</w:t>
      </w:r>
    </w:p>
    <w:p>
      <w:pPr>
        <w:spacing w:after="0" w:line="9" w:lineRule="exact"/>
        <w:rPr>
          <w:sz w:val="20"/>
          <w:szCs w:val="20"/>
          <w:color w:val="auto"/>
        </w:rPr>
      </w:pPr>
    </w:p>
    <w:p>
      <w:pPr>
        <w:ind w:left="440" w:right="60" w:hanging="432"/>
        <w:spacing w:after="0" w:line="256" w:lineRule="auto"/>
        <w:tabs>
          <w:tab w:leader="none" w:pos="440" w:val="left"/>
        </w:tabs>
        <w:numPr>
          <w:ilvl w:val="0"/>
          <w:numId w:val="47"/>
        </w:numPr>
        <w:rPr>
          <w:rFonts w:ascii="Arial" w:cs="Arial" w:eastAsia="Arial" w:hAnsi="Arial"/>
          <w:sz w:val="15"/>
          <w:szCs w:val="15"/>
          <w:color w:val="auto"/>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8" w:name="page39"/>
    <w:bookmarkEnd w:id="38"/>
    <w:p>
      <w:pPr>
        <w:ind w:left="440" w:right="140"/>
        <w:spacing w:after="0" w:line="258" w:lineRule="auto"/>
        <w:rPr>
          <w:sz w:val="20"/>
          <w:szCs w:val="20"/>
          <w:color w:val="auto"/>
        </w:rPr>
      </w:pPr>
      <w:r>
        <w:rPr>
          <w:rFonts w:ascii="Arial" w:cs="Arial" w:eastAsia="Arial" w:hAnsi="Arial"/>
          <w:sz w:val="18"/>
          <w:szCs w:val="18"/>
          <w:color w:val="auto"/>
        </w:rPr>
        <w:t>or has the power to exercise control over management or policies of such portfolio company (including through a management agreement). Other than for purposes of the 1940 Act, the Company does not believe that it has control over this portfolio company.</w:t>
      </w:r>
    </w:p>
    <w:p>
      <w:pPr>
        <w:ind w:left="440" w:hanging="432"/>
        <w:spacing w:after="0"/>
        <w:tabs>
          <w:tab w:leader="none" w:pos="440" w:val="left"/>
        </w:tabs>
        <w:numPr>
          <w:ilvl w:val="0"/>
          <w:numId w:val="48"/>
        </w:numPr>
        <w:rPr>
          <w:rFonts w:ascii="Arial" w:cs="Arial" w:eastAsia="Arial" w:hAnsi="Arial"/>
          <w:sz w:val="14"/>
          <w:szCs w:val="14"/>
          <w:color w:val="auto"/>
        </w:rPr>
      </w:pPr>
      <w:r>
        <w:rPr>
          <w:rFonts w:ascii="Arial" w:cs="Arial" w:eastAsia="Arial" w:hAnsi="Arial"/>
          <w:sz w:val="17"/>
          <w:szCs w:val="17"/>
          <w:color w:val="auto"/>
        </w:rPr>
        <w:t>As defined in the 1940 Act, the Company is deemed to be both an “Affiliated Person” and has “Control” of this portfolio company as the Company</w:t>
      </w:r>
    </w:p>
    <w:p>
      <w:pPr>
        <w:spacing w:after="0" w:line="22" w:lineRule="exact"/>
        <w:rPr>
          <w:sz w:val="20"/>
          <w:szCs w:val="20"/>
          <w:color w:val="auto"/>
        </w:rPr>
      </w:pPr>
    </w:p>
    <w:p>
      <w:pPr>
        <w:ind w:left="440" w:right="60"/>
        <w:spacing w:after="0" w:line="248" w:lineRule="auto"/>
        <w:rPr>
          <w:sz w:val="20"/>
          <w:szCs w:val="20"/>
          <w:color w:val="auto"/>
        </w:rPr>
      </w:pPr>
      <w:r>
        <w:rPr>
          <w:rFonts w:ascii="Arial" w:cs="Arial" w:eastAsia="Arial" w:hAnsi="Arial"/>
          <w:sz w:val="18"/>
          <w:szCs w:val="18"/>
          <w:color w:val="auto"/>
        </w:rPr>
        <w:t>owns more than 25% of the portfolio company’s outstanding voting securities or has the power to exercise control over management or policies of such portfolio company.</w:t>
      </w:r>
    </w:p>
    <w:p>
      <w:pPr>
        <w:ind w:left="440" w:right="140" w:hanging="432"/>
        <w:spacing w:after="0" w:line="234" w:lineRule="auto"/>
        <w:tabs>
          <w:tab w:leader="none" w:pos="440"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purposes of the 1940 Act, the Company does not believe that it has control over this portfolio company.</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investments in affiliates at December 31,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Fair Value</w:t>
            </w:r>
          </w:p>
        </w:tc>
        <w:tc>
          <w:tcPr>
            <w:tcW w:w="60" w:type="dxa"/>
            <w:vAlign w:val="bottom"/>
          </w:tcPr>
          <w:p>
            <w:pPr>
              <w:spacing w:after="0"/>
              <w:rPr>
                <w:sz w:val="13"/>
                <w:szCs w:val="13"/>
                <w:color w:val="auto"/>
              </w:rPr>
            </w:pPr>
          </w:p>
        </w:tc>
        <w:tc>
          <w:tcPr>
            <w:tcW w:w="920" w:type="dxa"/>
            <w:vAlign w:val="bottom"/>
            <w:gridSpan w:val="2"/>
          </w:tcPr>
          <w:p>
            <w:pPr>
              <w:jc w:val="center"/>
              <w:ind w:right="218"/>
              <w:spacing w:after="0"/>
              <w:rPr>
                <w:sz w:val="20"/>
                <w:szCs w:val="20"/>
                <w:color w:val="auto"/>
              </w:rPr>
            </w:pPr>
            <w:r>
              <w:rPr>
                <w:rFonts w:ascii="Arial" w:cs="Arial" w:eastAsia="Arial" w:hAnsi="Arial"/>
                <w:sz w:val="13"/>
                <w:szCs w:val="13"/>
                <w:b w:val="1"/>
                <w:bCs w:val="1"/>
                <w:color w:val="auto"/>
                <w:w w:val="83"/>
              </w:rPr>
              <w:t>Purchases/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238"/>
              <w:spacing w:after="0"/>
              <w:rPr>
                <w:sz w:val="20"/>
                <w:szCs w:val="20"/>
                <w:color w:val="auto"/>
              </w:rPr>
            </w:pPr>
            <w:r>
              <w:rPr>
                <w:rFonts w:ascii="Arial" w:cs="Arial" w:eastAsia="Arial" w:hAnsi="Arial"/>
                <w:sz w:val="13"/>
                <w:szCs w:val="13"/>
                <w:b w:val="1"/>
                <w:bCs w:val="1"/>
                <w:color w:val="auto"/>
                <w:w w:val="87"/>
              </w:rPr>
              <w:t>Transfers</w:t>
            </w:r>
          </w:p>
        </w:tc>
        <w:tc>
          <w:tcPr>
            <w:tcW w:w="8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5"/>
              </w:rPr>
              <w:t>Net change</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Fair Value</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at of</w:t>
            </w:r>
          </w:p>
        </w:tc>
        <w:tc>
          <w:tcPr>
            <w:tcW w:w="60" w:type="dxa"/>
            <w:vAlign w:val="bottom"/>
          </w:tcPr>
          <w:p>
            <w:pPr>
              <w:spacing w:after="0"/>
              <w:rPr>
                <w:sz w:val="11"/>
                <w:szCs w:val="11"/>
                <w:color w:val="auto"/>
              </w:rPr>
            </w:pPr>
          </w:p>
        </w:tc>
        <w:tc>
          <w:tcPr>
            <w:tcW w:w="920" w:type="dxa"/>
            <w:vAlign w:val="bottom"/>
            <w:gridSpan w:val="2"/>
          </w:tcPr>
          <w:p>
            <w:pPr>
              <w:jc w:val="center"/>
              <w:ind w:right="198"/>
              <w:spacing w:after="0" w:line="135" w:lineRule="exact"/>
              <w:rPr>
                <w:sz w:val="20"/>
                <w:szCs w:val="20"/>
                <w:color w:val="auto"/>
              </w:rPr>
            </w:pPr>
            <w:r>
              <w:rPr>
                <w:rFonts w:ascii="Arial" w:cs="Arial" w:eastAsia="Arial" w:hAnsi="Arial"/>
                <w:sz w:val="13"/>
                <w:szCs w:val="13"/>
                <w:b w:val="1"/>
                <w:bCs w:val="1"/>
                <w:color w:val="auto"/>
                <w:w w:val="85"/>
              </w:rPr>
              <w:t>(Sales) of 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38"/>
              <w:spacing w:after="0" w:line="135" w:lineRule="exact"/>
              <w:rPr>
                <w:sz w:val="20"/>
                <w:szCs w:val="20"/>
                <w:color w:val="auto"/>
              </w:rPr>
            </w:pPr>
            <w:r>
              <w:rPr>
                <w:rFonts w:ascii="Arial" w:cs="Arial" w:eastAsia="Arial" w:hAnsi="Arial"/>
                <w:sz w:val="13"/>
                <w:szCs w:val="13"/>
                <w:b w:val="1"/>
                <w:bCs w:val="1"/>
                <w:color w:val="auto"/>
                <w:w w:val="95"/>
              </w:rPr>
              <w:t>In/(Out)</w:t>
            </w:r>
          </w:p>
        </w:tc>
        <w:tc>
          <w:tcPr>
            <w:tcW w:w="100" w:type="dxa"/>
            <w:vAlign w:val="bottom"/>
          </w:tcPr>
          <w:p>
            <w:pPr>
              <w:spacing w:after="0"/>
              <w:rPr>
                <w:sz w:val="11"/>
                <w:szCs w:val="11"/>
                <w:color w:val="auto"/>
              </w:rPr>
            </w:pPr>
          </w:p>
        </w:tc>
        <w:tc>
          <w:tcPr>
            <w:tcW w:w="7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in</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at of</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44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Industry</w:t>
            </w:r>
          </w:p>
        </w:tc>
        <w:tc>
          <w:tcPr>
            <w:tcW w:w="96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60" w:type="dxa"/>
            <w:vAlign w:val="bottom"/>
          </w:tcPr>
          <w:p>
            <w:pPr>
              <w:spacing w:after="0"/>
              <w:rPr>
                <w:sz w:val="11"/>
                <w:szCs w:val="11"/>
                <w:color w:val="auto"/>
              </w:rPr>
            </w:pPr>
          </w:p>
        </w:tc>
        <w:tc>
          <w:tcPr>
            <w:tcW w:w="920" w:type="dxa"/>
            <w:vAlign w:val="bottom"/>
            <w:gridSpan w:val="2"/>
          </w:tcPr>
          <w:p>
            <w:pPr>
              <w:jc w:val="center"/>
              <w:ind w:right="198"/>
              <w:spacing w:after="0" w:line="135" w:lineRule="exact"/>
              <w:rPr>
                <w:sz w:val="20"/>
                <w:szCs w:val="20"/>
                <w:color w:val="auto"/>
              </w:rPr>
            </w:pPr>
            <w:r>
              <w:rPr>
                <w:rFonts w:ascii="Arial" w:cs="Arial" w:eastAsia="Arial" w:hAnsi="Arial"/>
                <w:sz w:val="13"/>
                <w:szCs w:val="13"/>
                <w:b w:val="1"/>
                <w:bCs w:val="1"/>
                <w:color w:val="auto"/>
                <w:w w:val="86"/>
              </w:rPr>
              <w:t>Advances/</w:t>
            </w:r>
          </w:p>
        </w:tc>
        <w:tc>
          <w:tcPr>
            <w:tcW w:w="80" w:type="dxa"/>
            <w:vAlign w:val="bottom"/>
          </w:tcPr>
          <w:p>
            <w:pPr>
              <w:spacing w:after="0"/>
              <w:rPr>
                <w:sz w:val="11"/>
                <w:szCs w:val="11"/>
                <w:color w:val="auto"/>
              </w:rPr>
            </w:pPr>
          </w:p>
        </w:tc>
        <w:tc>
          <w:tcPr>
            <w:tcW w:w="72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rPr>
              <w:t>Net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58"/>
              <w:spacing w:after="0" w:line="135" w:lineRule="exact"/>
              <w:rPr>
                <w:sz w:val="20"/>
                <w:szCs w:val="20"/>
                <w:color w:val="auto"/>
              </w:rPr>
            </w:pPr>
            <w:r>
              <w:rPr>
                <w:rFonts w:ascii="Arial" w:cs="Arial" w:eastAsia="Arial" w:hAnsi="Arial"/>
                <w:sz w:val="13"/>
                <w:szCs w:val="13"/>
                <w:b w:val="1"/>
                <w:bCs w:val="1"/>
                <w:color w:val="auto"/>
                <w:w w:val="81"/>
              </w:rPr>
              <w:t>of</w:t>
            </w:r>
          </w:p>
        </w:tc>
        <w:tc>
          <w:tcPr>
            <w:tcW w:w="86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unrealized</w:t>
            </w:r>
          </w:p>
        </w:tc>
        <w:tc>
          <w:tcPr>
            <w:tcW w:w="100" w:type="dxa"/>
            <w:vAlign w:val="bottom"/>
          </w:tcPr>
          <w:p>
            <w:pPr>
              <w:spacing w:after="0"/>
              <w:rPr>
                <w:sz w:val="11"/>
                <w:szCs w:val="11"/>
                <w:color w:val="auto"/>
              </w:rPr>
            </w:pPr>
          </w:p>
        </w:tc>
        <w:tc>
          <w:tcPr>
            <w:tcW w:w="760" w:type="dxa"/>
            <w:vAlign w:val="bottom"/>
            <w:gridSpan w:val="2"/>
          </w:tcPr>
          <w:p>
            <w:pPr>
              <w:jc w:val="right"/>
              <w:ind w:right="218"/>
              <w:spacing w:after="0" w:line="135" w:lineRule="exact"/>
              <w:rPr>
                <w:sz w:val="20"/>
                <w:szCs w:val="20"/>
                <w:color w:val="auto"/>
              </w:rPr>
            </w:pPr>
            <w:r>
              <w:rPr>
                <w:rFonts w:ascii="Arial" w:cs="Arial" w:eastAsia="Arial" w:hAnsi="Arial"/>
                <w:sz w:val="13"/>
                <w:szCs w:val="13"/>
                <w:b w:val="1"/>
                <w:bCs w:val="1"/>
                <w:color w:val="auto"/>
                <w:w w:val="90"/>
              </w:rPr>
              <w:t>Realized</w:t>
            </w:r>
          </w:p>
        </w:tc>
        <w:tc>
          <w:tcPr>
            <w:tcW w:w="102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78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w w:val="93"/>
              </w:rPr>
              <w:t>Interest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Dividend</w:t>
            </w:r>
          </w:p>
        </w:tc>
      </w:tr>
      <w:tr>
        <w:trPr>
          <w:trHeight w:val="153"/>
        </w:trPr>
        <w:tc>
          <w:tcPr>
            <w:tcW w:w="244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Classification</w:t>
            </w:r>
          </w:p>
        </w:tc>
        <w:tc>
          <w:tcPr>
            <w:tcW w:w="80" w:type="dxa"/>
            <w:vAlign w:val="bottom"/>
          </w:tcPr>
          <w:p>
            <w:pPr>
              <w:spacing w:after="0"/>
              <w:rPr>
                <w:sz w:val="13"/>
                <w:szCs w:val="13"/>
                <w:color w:val="auto"/>
              </w:rPr>
            </w:pPr>
          </w:p>
        </w:tc>
        <w:tc>
          <w:tcPr>
            <w:tcW w:w="700" w:type="dxa"/>
            <w:vAlign w:val="bottom"/>
          </w:tcPr>
          <w:p>
            <w:pPr>
              <w:jc w:val="center"/>
              <w:ind w:right="37"/>
              <w:spacing w:after="0"/>
              <w:rPr>
                <w:sz w:val="20"/>
                <w:szCs w:val="20"/>
                <w:color w:val="auto"/>
              </w:rPr>
            </w:pPr>
            <w:r>
              <w:rPr>
                <w:rFonts w:ascii="Arial" w:cs="Arial" w:eastAsia="Arial" w:hAnsi="Arial"/>
                <w:sz w:val="13"/>
                <w:szCs w:val="13"/>
                <w:b w:val="1"/>
                <w:bCs w:val="1"/>
                <w:color w:val="auto"/>
                <w:w w:val="82"/>
              </w:rPr>
              <w:t>2017</w:t>
            </w:r>
          </w:p>
        </w:tc>
        <w:tc>
          <w:tcPr>
            <w:tcW w:w="180" w:type="dxa"/>
            <w:vAlign w:val="bottom"/>
          </w:tcPr>
          <w:p>
            <w:pPr>
              <w:spacing w:after="0"/>
              <w:rPr>
                <w:sz w:val="13"/>
                <w:szCs w:val="13"/>
                <w:color w:val="auto"/>
              </w:rPr>
            </w:pPr>
          </w:p>
        </w:tc>
        <w:tc>
          <w:tcPr>
            <w:tcW w:w="980" w:type="dxa"/>
            <w:vAlign w:val="bottom"/>
            <w:gridSpan w:val="3"/>
          </w:tcPr>
          <w:p>
            <w:pPr>
              <w:jc w:val="center"/>
              <w:ind w:right="138"/>
              <w:spacing w:after="0"/>
              <w:rPr>
                <w:sz w:val="20"/>
                <w:szCs w:val="20"/>
                <w:color w:val="auto"/>
              </w:rPr>
            </w:pPr>
            <w:r>
              <w:rPr>
                <w:rFonts w:ascii="Arial" w:cs="Arial" w:eastAsia="Arial" w:hAnsi="Arial"/>
                <w:sz w:val="13"/>
                <w:szCs w:val="13"/>
                <w:b w:val="1"/>
                <w:bCs w:val="1"/>
                <w:color w:val="auto"/>
                <w:w w:val="90"/>
              </w:rPr>
              <w:t>(Distributions)</w:t>
            </w:r>
          </w:p>
        </w:tc>
        <w:tc>
          <w:tcPr>
            <w:tcW w:w="8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3"/>
              </w:rPr>
              <w:t>Accretion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238"/>
              <w:spacing w:after="0"/>
              <w:rPr>
                <w:sz w:val="20"/>
                <w:szCs w:val="20"/>
                <w:color w:val="auto"/>
              </w:rPr>
            </w:pPr>
            <w:r>
              <w:rPr>
                <w:rFonts w:ascii="Arial" w:cs="Arial" w:eastAsia="Arial" w:hAnsi="Arial"/>
                <w:sz w:val="13"/>
                <w:szCs w:val="13"/>
                <w:b w:val="1"/>
                <w:bCs w:val="1"/>
                <w:color w:val="auto"/>
                <w:w w:val="87"/>
              </w:rPr>
              <w:t>Affiliates</w:t>
            </w:r>
          </w:p>
        </w:tc>
        <w:tc>
          <w:tcPr>
            <w:tcW w:w="8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Gain/(Loss)</w:t>
            </w:r>
          </w:p>
        </w:tc>
        <w:tc>
          <w:tcPr>
            <w:tcW w:w="860" w:type="dxa"/>
            <w:vAlign w:val="bottom"/>
            <w:gridSpan w:val="3"/>
          </w:tcPr>
          <w:p>
            <w:pPr>
              <w:jc w:val="right"/>
              <w:ind w:right="138"/>
              <w:spacing w:after="0"/>
              <w:rPr>
                <w:sz w:val="20"/>
                <w:szCs w:val="20"/>
                <w:color w:val="auto"/>
              </w:rPr>
            </w:pPr>
            <w:r>
              <w:rPr>
                <w:rFonts w:ascii="Arial" w:cs="Arial" w:eastAsia="Arial" w:hAnsi="Arial"/>
                <w:sz w:val="13"/>
                <w:szCs w:val="13"/>
                <w:b w:val="1"/>
                <w:bCs w:val="1"/>
                <w:color w:val="auto"/>
                <w:w w:val="92"/>
              </w:rPr>
              <w:t>Gain/(Loss)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2018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2"/>
              </w:rPr>
              <w:t>Income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Income</w:t>
            </w:r>
          </w:p>
        </w:tc>
      </w:tr>
      <w:tr>
        <w:trPr>
          <w:trHeight w:val="128"/>
        </w:trPr>
        <w:tc>
          <w:tcPr>
            <w:tcW w:w="244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10"/>
                <w:szCs w:val="10"/>
                <w:color w:val="auto"/>
              </w:rPr>
              <w:t>(4)(5)(7)</w:t>
            </w:r>
          </w:p>
        </w:tc>
        <w:tc>
          <w:tcPr>
            <w:tcW w:w="7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Asset</w:t>
            </w: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5"/>
        </w:trPr>
        <w:tc>
          <w:tcPr>
            <w:tcW w:w="24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Management</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Company</w:t>
            </w: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38,849,000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(34,800,000)</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(579,000)</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3,470,000</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1,246,510</w:t>
            </w:r>
          </w:p>
        </w:tc>
        <w:tc>
          <w:tcPr>
            <w:tcW w:w="100" w:type="dxa"/>
            <w:vAlign w:val="bottom"/>
            <w:shd w:val="clear" w:color="auto" w:fill="CFF0FC"/>
          </w:tcPr>
          <w:p>
            <w:pPr>
              <w:spacing w:after="0"/>
              <w:rPr>
                <w:sz w:val="12"/>
                <w:szCs w:val="12"/>
                <w:color w:val="auto"/>
              </w:rPr>
            </w:pPr>
          </w:p>
        </w:tc>
      </w:tr>
      <w:tr>
        <w:trPr>
          <w:trHeight w:val="134"/>
        </w:trPr>
        <w:tc>
          <w:tcPr>
            <w:tcW w:w="2440" w:type="dxa"/>
            <w:vAlign w:val="bottom"/>
          </w:tcPr>
          <w:p>
            <w:pPr>
              <w:spacing w:after="0" w:line="134" w:lineRule="exact"/>
              <w:rPr>
                <w:sz w:val="20"/>
                <w:szCs w:val="20"/>
                <w:color w:val="auto"/>
              </w:rPr>
            </w:pPr>
            <w:r>
              <w:rPr>
                <w:rFonts w:ascii="Arial" w:cs="Arial" w:eastAsia="Arial" w:hAnsi="Arial"/>
                <w:sz w:val="13"/>
                <w:szCs w:val="13"/>
                <w:color w:val="auto"/>
              </w:rPr>
              <w:t>Trimaran Advisors, LLC Revolving Credit</w:t>
            </w:r>
          </w:p>
        </w:tc>
        <w:tc>
          <w:tcPr>
            <w:tcW w:w="860" w:type="dxa"/>
            <w:vAlign w:val="bottom"/>
            <w:gridSpan w:val="2"/>
          </w:tcPr>
          <w:p>
            <w:pPr>
              <w:spacing w:after="0" w:line="134" w:lineRule="exact"/>
              <w:rPr>
                <w:sz w:val="20"/>
                <w:szCs w:val="20"/>
                <w:color w:val="auto"/>
              </w:rPr>
            </w:pPr>
            <w:r>
              <w:rPr>
                <w:rFonts w:ascii="Arial" w:cs="Arial" w:eastAsia="Arial" w:hAnsi="Arial"/>
                <w:sz w:val="13"/>
                <w:szCs w:val="13"/>
                <w:color w:val="auto"/>
              </w:rPr>
              <w:t>Related Party</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440" w:type="dxa"/>
            <w:vAlign w:val="bottom"/>
          </w:tcPr>
          <w:p>
            <w:pPr>
              <w:spacing w:after="0"/>
              <w:rPr>
                <w:sz w:val="20"/>
                <w:szCs w:val="20"/>
                <w:color w:val="auto"/>
              </w:rPr>
            </w:pPr>
            <w:r>
              <w:rPr>
                <w:rFonts w:ascii="Arial" w:cs="Arial" w:eastAsia="Arial" w:hAnsi="Arial"/>
                <w:sz w:val="13"/>
                <w:szCs w:val="13"/>
                <w:color w:val="auto"/>
              </w:rPr>
              <w:t>Facility</w:t>
            </w:r>
            <w:r>
              <w:rPr>
                <w:rFonts w:ascii="Arial" w:cs="Arial" w:eastAsia="Arial" w:hAnsi="Arial"/>
                <w:sz w:val="10"/>
                <w:szCs w:val="10"/>
                <w:color w:val="auto"/>
              </w:rPr>
              <w:t>(4)(5)</w:t>
            </w:r>
          </w:p>
        </w:tc>
        <w:tc>
          <w:tcPr>
            <w:tcW w:w="860" w:type="dxa"/>
            <w:vAlign w:val="bottom"/>
            <w:gridSpan w:val="2"/>
          </w:tcPr>
          <w:p>
            <w:pPr>
              <w:spacing w:after="0"/>
              <w:rPr>
                <w:sz w:val="20"/>
                <w:szCs w:val="20"/>
                <w:color w:val="auto"/>
              </w:rPr>
            </w:pPr>
            <w:r>
              <w:rPr>
                <w:rFonts w:ascii="Arial" w:cs="Arial" w:eastAsia="Arial" w:hAnsi="Arial"/>
                <w:sz w:val="13"/>
                <w:szCs w:val="13"/>
                <w:color w:val="auto"/>
              </w:rPr>
              <w:t>Loans</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1,170,825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6"/>
              </w:rPr>
              <w:t>Trimaran Advisors, LLC Related Party Loan</w:t>
            </w:r>
          </w:p>
        </w:tc>
        <w:tc>
          <w:tcPr>
            <w:tcW w:w="8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Related Party</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40" w:type="dxa"/>
            <w:vAlign w:val="bottom"/>
            <w:shd w:val="clear" w:color="auto" w:fill="CFF0FC"/>
          </w:tcPr>
          <w:p>
            <w:pPr>
              <w:spacing w:after="0"/>
              <w:rPr>
                <w:sz w:val="20"/>
                <w:szCs w:val="20"/>
                <w:color w:val="auto"/>
              </w:rPr>
            </w:pPr>
            <w:r>
              <w:rPr>
                <w:rFonts w:ascii="Arial" w:cs="Arial" w:eastAsia="Arial" w:hAnsi="Arial"/>
                <w:sz w:val="11"/>
                <w:szCs w:val="11"/>
                <w:color w:val="auto"/>
              </w:rPr>
              <w:t>(4)(5)</w:t>
            </w:r>
          </w:p>
        </w:tc>
        <w:tc>
          <w:tcPr>
            <w:tcW w:w="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Loans</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8,359,051</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(8,359,051)</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765,963</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34"/>
        </w:trPr>
        <w:tc>
          <w:tcPr>
            <w:tcW w:w="2440" w:type="dxa"/>
            <w:vAlign w:val="bottom"/>
          </w:tcPr>
          <w:p>
            <w:pPr>
              <w:spacing w:after="0" w:line="134" w:lineRule="exact"/>
              <w:rPr>
                <w:sz w:val="20"/>
                <w:szCs w:val="20"/>
                <w:color w:val="auto"/>
              </w:rPr>
            </w:pPr>
            <w:r>
              <w:rPr>
                <w:rFonts w:ascii="Arial" w:cs="Arial" w:eastAsia="Arial" w:hAnsi="Arial"/>
                <w:sz w:val="13"/>
                <w:szCs w:val="13"/>
                <w:color w:val="auto"/>
                <w:w w:val="96"/>
              </w:rPr>
              <w:t>Trimaran Advisors, LLC Related Party Loan</w:t>
            </w:r>
          </w:p>
        </w:tc>
        <w:tc>
          <w:tcPr>
            <w:tcW w:w="860" w:type="dxa"/>
            <w:vAlign w:val="bottom"/>
            <w:gridSpan w:val="2"/>
          </w:tcPr>
          <w:p>
            <w:pPr>
              <w:spacing w:after="0" w:line="134" w:lineRule="exact"/>
              <w:rPr>
                <w:sz w:val="20"/>
                <w:szCs w:val="20"/>
                <w:color w:val="auto"/>
              </w:rPr>
            </w:pPr>
            <w:r>
              <w:rPr>
                <w:rFonts w:ascii="Arial" w:cs="Arial" w:eastAsia="Arial" w:hAnsi="Arial"/>
                <w:sz w:val="13"/>
                <w:szCs w:val="13"/>
                <w:color w:val="auto"/>
              </w:rPr>
              <w:t>Related Party</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440" w:type="dxa"/>
            <w:vAlign w:val="bottom"/>
          </w:tcPr>
          <w:p>
            <w:pPr>
              <w:spacing w:after="0"/>
              <w:rPr>
                <w:sz w:val="20"/>
                <w:szCs w:val="20"/>
                <w:color w:val="auto"/>
              </w:rPr>
            </w:pPr>
            <w:r>
              <w:rPr>
                <w:rFonts w:ascii="Arial" w:cs="Arial" w:eastAsia="Arial" w:hAnsi="Arial"/>
                <w:sz w:val="11"/>
                <w:szCs w:val="11"/>
                <w:color w:val="auto"/>
              </w:rPr>
              <w:t>(4)(5)</w:t>
            </w:r>
          </w:p>
        </w:tc>
        <w:tc>
          <w:tcPr>
            <w:tcW w:w="860" w:type="dxa"/>
            <w:vAlign w:val="bottom"/>
            <w:gridSpan w:val="2"/>
          </w:tcPr>
          <w:p>
            <w:pPr>
              <w:spacing w:after="0"/>
              <w:rPr>
                <w:sz w:val="20"/>
                <w:szCs w:val="20"/>
                <w:color w:val="auto"/>
              </w:rPr>
            </w:pPr>
            <w:r>
              <w:rPr>
                <w:rFonts w:ascii="Arial" w:cs="Arial" w:eastAsia="Arial" w:hAnsi="Arial"/>
                <w:sz w:val="13"/>
                <w:szCs w:val="13"/>
                <w:color w:val="auto"/>
              </w:rPr>
              <w:t>Loans</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4,418,232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98"/>
              <w:spacing w:after="0"/>
              <w:rPr>
                <w:sz w:val="20"/>
                <w:szCs w:val="20"/>
                <w:color w:val="auto"/>
              </w:rPr>
            </w:pPr>
            <w:r>
              <w:rPr>
                <w:rFonts w:ascii="Arial" w:cs="Arial" w:eastAsia="Arial" w:hAnsi="Arial"/>
                <w:sz w:val="13"/>
                <w:szCs w:val="13"/>
                <w:color w:val="auto"/>
              </w:rPr>
              <w:t>(4,418,232)</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229,380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Katonah 2007-I CLO, Ltd. </w:t>
            </w:r>
            <w:r>
              <w:rPr>
                <w:rFonts w:ascii="Arial" w:cs="Arial" w:eastAsia="Arial" w:hAnsi="Arial"/>
                <w:sz w:val="10"/>
                <w:szCs w:val="10"/>
                <w:color w:val="auto"/>
              </w:rPr>
              <w:t>(1)(2)(3)(4)</w:t>
            </w:r>
          </w:p>
        </w:tc>
        <w:tc>
          <w:tcPr>
            <w:tcW w:w="8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Securities</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10,770,486</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(10,676,556)</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271,658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9,754,423</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w w:val="92"/>
              </w:rPr>
              <w:t>(10,120,011)</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271,658</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440" w:type="dxa"/>
            <w:vAlign w:val="bottom"/>
          </w:tcPr>
          <w:p>
            <w:pPr>
              <w:spacing w:after="0" w:line="134" w:lineRule="exact"/>
              <w:rPr>
                <w:sz w:val="20"/>
                <w:szCs w:val="20"/>
                <w:color w:val="auto"/>
              </w:rPr>
            </w:pPr>
            <w:r>
              <w:rPr>
                <w:rFonts w:ascii="Arial" w:cs="Arial" w:eastAsia="Arial" w:hAnsi="Arial"/>
                <w:sz w:val="13"/>
                <w:szCs w:val="13"/>
                <w:color w:val="auto"/>
              </w:rPr>
              <w:t xml:space="preserve">Trimaran CLO VII, Ltd. </w:t>
            </w:r>
            <w:r>
              <w:rPr>
                <w:rFonts w:ascii="Arial" w:cs="Arial" w:eastAsia="Arial" w:hAnsi="Arial"/>
                <w:sz w:val="10"/>
                <w:szCs w:val="10"/>
                <w:color w:val="auto"/>
              </w:rPr>
              <w:t>(1)(2)(3)(4)</w:t>
            </w:r>
          </w:p>
        </w:tc>
        <w:tc>
          <w:tcPr>
            <w:tcW w:w="860" w:type="dxa"/>
            <w:vAlign w:val="bottom"/>
            <w:gridSpan w:val="2"/>
          </w:tcPr>
          <w:p>
            <w:pPr>
              <w:spacing w:after="0" w:line="134" w:lineRule="exact"/>
              <w:rPr>
                <w:sz w:val="20"/>
                <w:szCs w:val="20"/>
                <w:color w:val="auto"/>
              </w:rPr>
            </w:pPr>
            <w:r>
              <w:rPr>
                <w:rFonts w:ascii="Arial" w:cs="Arial" w:eastAsia="Arial" w:hAnsi="Arial"/>
                <w:sz w:val="13"/>
                <w:szCs w:val="13"/>
                <w:color w:val="auto"/>
              </w:rPr>
              <w:t>CLO Fund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440" w:type="dxa"/>
            <w:vAlign w:val="bottom"/>
          </w:tcPr>
          <w:p>
            <w:pPr>
              <w:spacing w:after="0"/>
              <w:rPr>
                <w:sz w:val="12"/>
                <w:szCs w:val="12"/>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(6,725)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369,831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
              <w:spacing w:after="0"/>
              <w:rPr>
                <w:sz w:val="20"/>
                <w:szCs w:val="20"/>
                <w:color w:val="auto"/>
              </w:rPr>
            </w:pPr>
            <w:r>
              <w:rPr>
                <w:rFonts w:ascii="Arial" w:cs="Arial" w:eastAsia="Arial" w:hAnsi="Arial"/>
                <w:sz w:val="13"/>
                <w:szCs w:val="13"/>
                <w:color w:val="auto"/>
              </w:rPr>
              <w:t>(373,105)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(6,725)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Catamaran CLO 2012-1, Ltd. </w:t>
            </w:r>
            <w:r>
              <w:rPr>
                <w:rFonts w:ascii="Arial" w:cs="Arial" w:eastAsia="Arial" w:hAnsi="Arial"/>
                <w:sz w:val="10"/>
                <w:szCs w:val="10"/>
                <w:color w:val="auto"/>
              </w:rPr>
              <w:t>(1)(2)(3)(4)</w:t>
            </w:r>
          </w:p>
        </w:tc>
        <w:tc>
          <w:tcPr>
            <w:tcW w:w="8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Securities</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2,320,783</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(2,596,571)</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264,746</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3,527,018</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(3,515,976)</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264,746</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440" w:type="dxa"/>
            <w:vAlign w:val="bottom"/>
          </w:tcPr>
          <w:p>
            <w:pPr>
              <w:spacing w:after="0" w:line="134" w:lineRule="exact"/>
              <w:rPr>
                <w:sz w:val="20"/>
                <w:szCs w:val="20"/>
                <w:color w:val="auto"/>
              </w:rPr>
            </w:pPr>
            <w:r>
              <w:rPr>
                <w:rFonts w:ascii="Arial" w:cs="Arial" w:eastAsia="Arial" w:hAnsi="Arial"/>
                <w:sz w:val="13"/>
                <w:szCs w:val="13"/>
                <w:color w:val="auto"/>
              </w:rPr>
              <w:t xml:space="preserve">Catamaran CLO 2013-1, Ltd. </w:t>
            </w:r>
            <w:r>
              <w:rPr>
                <w:rFonts w:ascii="Arial" w:cs="Arial" w:eastAsia="Arial" w:hAnsi="Arial"/>
                <w:sz w:val="10"/>
                <w:szCs w:val="10"/>
                <w:color w:val="auto"/>
              </w:rPr>
              <w:t>(1)(2)(4)</w:t>
            </w:r>
          </w:p>
        </w:tc>
        <w:tc>
          <w:tcPr>
            <w:tcW w:w="860" w:type="dxa"/>
            <w:vAlign w:val="bottom"/>
            <w:gridSpan w:val="2"/>
          </w:tcPr>
          <w:p>
            <w:pPr>
              <w:spacing w:after="0" w:line="134" w:lineRule="exact"/>
              <w:rPr>
                <w:sz w:val="20"/>
                <w:szCs w:val="20"/>
                <w:color w:val="auto"/>
              </w:rPr>
            </w:pPr>
            <w:r>
              <w:rPr>
                <w:rFonts w:ascii="Arial" w:cs="Arial" w:eastAsia="Arial" w:hAnsi="Arial"/>
                <w:sz w:val="13"/>
                <w:szCs w:val="13"/>
                <w:color w:val="auto"/>
              </w:rPr>
              <w:t>CLO Fund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440" w:type="dxa"/>
            <w:vAlign w:val="bottom"/>
          </w:tcPr>
          <w:p>
            <w:pPr>
              <w:spacing w:after="0"/>
              <w:rPr>
                <w:sz w:val="12"/>
                <w:szCs w:val="12"/>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6,923,699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147,497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6"/>
              </w:rPr>
              <w:t>1,213,807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98"/>
              <w:spacing w:after="0"/>
              <w:rPr>
                <w:sz w:val="20"/>
                <w:szCs w:val="20"/>
                <w:color w:val="auto"/>
              </w:rPr>
            </w:pPr>
            <w:r>
              <w:rPr>
                <w:rFonts w:ascii="Arial" w:cs="Arial" w:eastAsia="Arial" w:hAnsi="Arial"/>
                <w:sz w:val="13"/>
                <w:szCs w:val="13"/>
                <w:color w:val="auto"/>
              </w:rPr>
              <w:t>(7,016,734)</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0"/>
              </w:rPr>
              <w:t>(1,268,269)</w:t>
            </w:r>
          </w:p>
        </w:tc>
        <w:tc>
          <w:tcPr>
            <w:tcW w:w="100" w:type="dxa"/>
            <w:vAlign w:val="bottom"/>
          </w:tcPr>
          <w:p>
            <w:pPr>
              <w:spacing w:after="0"/>
              <w:rPr>
                <w:sz w:val="12"/>
                <w:szCs w:val="12"/>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1,213,807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Catamaran CLO 2014-1, Ltd. </w:t>
            </w:r>
            <w:r>
              <w:rPr>
                <w:rFonts w:ascii="Arial" w:cs="Arial" w:eastAsia="Arial" w:hAnsi="Arial"/>
                <w:sz w:val="10"/>
                <w:szCs w:val="10"/>
                <w:color w:val="auto"/>
              </w:rPr>
              <w:t>(1)(2)(4)</w:t>
            </w:r>
          </w:p>
        </w:tc>
        <w:tc>
          <w:tcPr>
            <w:tcW w:w="8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Securities</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8,230,178</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535,309</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1,347,240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(9,777,251)</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(335,476)</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1,347,240</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440" w:type="dxa"/>
            <w:vAlign w:val="bottom"/>
          </w:tcPr>
          <w:p>
            <w:pPr>
              <w:spacing w:after="0" w:line="134" w:lineRule="exact"/>
              <w:rPr>
                <w:sz w:val="20"/>
                <w:szCs w:val="20"/>
                <w:color w:val="auto"/>
              </w:rPr>
            </w:pPr>
            <w:r>
              <w:rPr>
                <w:rFonts w:ascii="Arial" w:cs="Arial" w:eastAsia="Arial" w:hAnsi="Arial"/>
                <w:sz w:val="13"/>
                <w:szCs w:val="13"/>
                <w:color w:val="auto"/>
              </w:rPr>
              <w:t xml:space="preserve">Catamaran CLO 2014-2, Ltd. </w:t>
            </w:r>
            <w:r>
              <w:rPr>
                <w:rFonts w:ascii="Arial" w:cs="Arial" w:eastAsia="Arial" w:hAnsi="Arial"/>
                <w:sz w:val="10"/>
                <w:szCs w:val="10"/>
                <w:color w:val="auto"/>
              </w:rPr>
              <w:t>(1)(2)(4)</w:t>
            </w:r>
          </w:p>
        </w:tc>
        <w:tc>
          <w:tcPr>
            <w:tcW w:w="860" w:type="dxa"/>
            <w:vAlign w:val="bottom"/>
            <w:gridSpan w:val="2"/>
          </w:tcPr>
          <w:p>
            <w:pPr>
              <w:spacing w:after="0" w:line="134" w:lineRule="exact"/>
              <w:rPr>
                <w:sz w:val="20"/>
                <w:szCs w:val="20"/>
                <w:color w:val="auto"/>
              </w:rPr>
            </w:pPr>
            <w:r>
              <w:rPr>
                <w:rFonts w:ascii="Arial" w:cs="Arial" w:eastAsia="Arial" w:hAnsi="Arial"/>
                <w:sz w:val="13"/>
                <w:szCs w:val="13"/>
                <w:color w:val="auto"/>
              </w:rPr>
              <w:t>CLO Fund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440" w:type="dxa"/>
            <w:vAlign w:val="bottom"/>
          </w:tcPr>
          <w:p>
            <w:pPr>
              <w:spacing w:after="0"/>
              <w:rPr>
                <w:sz w:val="12"/>
                <w:szCs w:val="12"/>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4,500,962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98"/>
              <w:spacing w:after="0"/>
              <w:rPr>
                <w:sz w:val="20"/>
                <w:szCs w:val="20"/>
                <w:color w:val="auto"/>
              </w:rPr>
            </w:pPr>
            <w:r>
              <w:rPr>
                <w:rFonts w:ascii="Arial" w:cs="Arial" w:eastAsia="Arial" w:hAnsi="Arial"/>
                <w:sz w:val="13"/>
                <w:szCs w:val="13"/>
                <w:color w:val="auto"/>
              </w:rPr>
              <w:t>(985,241)</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656,919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98"/>
              <w:spacing w:after="0"/>
              <w:rPr>
                <w:sz w:val="20"/>
                <w:szCs w:val="20"/>
                <w:color w:val="auto"/>
              </w:rPr>
            </w:pPr>
            <w:r>
              <w:rPr>
                <w:rFonts w:ascii="Arial" w:cs="Arial" w:eastAsia="Arial" w:hAnsi="Arial"/>
                <w:sz w:val="13"/>
                <w:szCs w:val="13"/>
                <w:color w:val="auto"/>
              </w:rPr>
              <w:t>(2,158,200)</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0"/>
              </w:rPr>
              <w:t>(2,014,440)</w:t>
            </w:r>
          </w:p>
        </w:tc>
        <w:tc>
          <w:tcPr>
            <w:tcW w:w="100" w:type="dxa"/>
            <w:vAlign w:val="bottom"/>
          </w:tcPr>
          <w:p>
            <w:pPr>
              <w:spacing w:after="0"/>
              <w:rPr>
                <w:sz w:val="12"/>
                <w:szCs w:val="12"/>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656,919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Catamaran CLO 2015-1, Ltd. </w:t>
            </w:r>
            <w:r>
              <w:rPr>
                <w:rFonts w:ascii="Arial" w:cs="Arial" w:eastAsia="Arial" w:hAnsi="Arial"/>
                <w:sz w:val="10"/>
                <w:szCs w:val="10"/>
                <w:color w:val="auto"/>
              </w:rPr>
              <w:t>(1)(2)(4)</w:t>
            </w:r>
          </w:p>
        </w:tc>
        <w:tc>
          <w:tcPr>
            <w:tcW w:w="8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Securities</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3,569,600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(573,089)</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507,789</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(3,048,696)</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(455,604)</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507,789</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440" w:type="dxa"/>
            <w:vAlign w:val="bottom"/>
          </w:tcPr>
          <w:p>
            <w:pPr>
              <w:spacing w:after="0" w:line="134" w:lineRule="exact"/>
              <w:rPr>
                <w:sz w:val="20"/>
                <w:szCs w:val="20"/>
                <w:color w:val="auto"/>
              </w:rPr>
            </w:pPr>
            <w:r>
              <w:rPr>
                <w:rFonts w:ascii="Arial" w:cs="Arial" w:eastAsia="Arial" w:hAnsi="Arial"/>
                <w:sz w:val="13"/>
                <w:szCs w:val="13"/>
                <w:color w:val="auto"/>
              </w:rPr>
              <w:t xml:space="preserve">Catamaran CLO 2016-1, Ltd. </w:t>
            </w:r>
            <w:r>
              <w:rPr>
                <w:rFonts w:ascii="Arial" w:cs="Arial" w:eastAsia="Arial" w:hAnsi="Arial"/>
                <w:sz w:val="10"/>
                <w:szCs w:val="10"/>
                <w:color w:val="auto"/>
              </w:rPr>
              <w:t>(1)(2)(4)</w:t>
            </w:r>
          </w:p>
        </w:tc>
        <w:tc>
          <w:tcPr>
            <w:tcW w:w="860" w:type="dxa"/>
            <w:vAlign w:val="bottom"/>
            <w:gridSpan w:val="2"/>
          </w:tcPr>
          <w:p>
            <w:pPr>
              <w:spacing w:after="0" w:line="134" w:lineRule="exact"/>
              <w:rPr>
                <w:sz w:val="20"/>
                <w:szCs w:val="20"/>
                <w:color w:val="auto"/>
              </w:rPr>
            </w:pPr>
            <w:r>
              <w:rPr>
                <w:rFonts w:ascii="Arial" w:cs="Arial" w:eastAsia="Arial" w:hAnsi="Arial"/>
                <w:sz w:val="13"/>
                <w:szCs w:val="13"/>
                <w:color w:val="auto"/>
              </w:rPr>
              <w:t>CLO Fund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440" w:type="dxa"/>
            <w:vAlign w:val="bottom"/>
          </w:tcPr>
          <w:p>
            <w:pPr>
              <w:spacing w:after="0"/>
              <w:rPr>
                <w:sz w:val="12"/>
                <w:szCs w:val="12"/>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8,530,685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98"/>
              <w:spacing w:after="0"/>
              <w:rPr>
                <w:sz w:val="20"/>
                <w:szCs w:val="20"/>
                <w:color w:val="auto"/>
              </w:rPr>
            </w:pPr>
            <w:r>
              <w:rPr>
                <w:rFonts w:ascii="Arial" w:cs="Arial" w:eastAsia="Arial" w:hAnsi="Arial"/>
                <w:sz w:val="13"/>
                <w:szCs w:val="13"/>
                <w:color w:val="auto"/>
              </w:rPr>
              <w:t>(1,282,923)</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913,272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98"/>
              <w:spacing w:after="0"/>
              <w:rPr>
                <w:sz w:val="20"/>
                <w:szCs w:val="20"/>
                <w:color w:val="auto"/>
              </w:rPr>
            </w:pPr>
            <w:r>
              <w:rPr>
                <w:rFonts w:ascii="Arial" w:cs="Arial" w:eastAsia="Arial" w:hAnsi="Arial"/>
                <w:sz w:val="13"/>
                <w:szCs w:val="13"/>
                <w:color w:val="auto"/>
              </w:rPr>
              <w:t>(7,067,073)</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0"/>
              </w:rPr>
              <w:t>(1,093,961)</w:t>
            </w:r>
          </w:p>
        </w:tc>
        <w:tc>
          <w:tcPr>
            <w:tcW w:w="100" w:type="dxa"/>
            <w:vAlign w:val="bottom"/>
          </w:tcPr>
          <w:p>
            <w:pPr>
              <w:spacing w:after="0"/>
              <w:rPr>
                <w:sz w:val="12"/>
                <w:szCs w:val="12"/>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913,272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Catamaran CLO 2018-1, Ltd. </w:t>
            </w:r>
            <w:r>
              <w:rPr>
                <w:rFonts w:ascii="Arial" w:cs="Arial" w:eastAsia="Arial" w:hAnsi="Arial"/>
                <w:sz w:val="10"/>
                <w:szCs w:val="10"/>
                <w:color w:val="auto"/>
              </w:rPr>
              <w:t>(1)(2)(4)</w:t>
            </w:r>
          </w:p>
        </w:tc>
        <w:tc>
          <w:tcPr>
            <w:tcW w:w="8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Securities</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9,500,000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343,450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(8,500,000)</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0"/>
              </w:rPr>
              <w:t>(1,343,450)</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343,450</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440" w:type="dxa"/>
            <w:vAlign w:val="bottom"/>
          </w:tcPr>
          <w:p>
            <w:pPr>
              <w:spacing w:after="0" w:line="134" w:lineRule="exact"/>
              <w:rPr>
                <w:sz w:val="20"/>
                <w:szCs w:val="20"/>
                <w:color w:val="auto"/>
              </w:rPr>
            </w:pPr>
            <w:r>
              <w:rPr>
                <w:rFonts w:ascii="Arial" w:cs="Arial" w:eastAsia="Arial" w:hAnsi="Arial"/>
                <w:sz w:val="13"/>
                <w:szCs w:val="13"/>
                <w:color w:val="auto"/>
                <w:w w:val="94"/>
              </w:rPr>
              <w:t>KCAP F3C Senior Funding Rated Notes</w:t>
            </w:r>
            <w:r>
              <w:rPr>
                <w:rFonts w:ascii="Arial" w:cs="Arial" w:eastAsia="Arial" w:hAnsi="Arial"/>
                <w:sz w:val="10"/>
                <w:szCs w:val="10"/>
                <w:color w:val="auto"/>
                <w:w w:val="94"/>
              </w:rPr>
              <w:t>(2)(4)</w:t>
            </w:r>
          </w:p>
        </w:tc>
        <w:tc>
          <w:tcPr>
            <w:tcW w:w="860" w:type="dxa"/>
            <w:vAlign w:val="bottom"/>
            <w:gridSpan w:val="2"/>
          </w:tcPr>
          <w:p>
            <w:pPr>
              <w:spacing w:after="0" w:line="134" w:lineRule="exact"/>
              <w:rPr>
                <w:sz w:val="20"/>
                <w:szCs w:val="20"/>
                <w:color w:val="auto"/>
              </w:rPr>
            </w:pPr>
            <w:r>
              <w:rPr>
                <w:rFonts w:ascii="Arial" w:cs="Arial" w:eastAsia="Arial" w:hAnsi="Arial"/>
                <w:sz w:val="13"/>
                <w:szCs w:val="13"/>
                <w:color w:val="auto"/>
              </w:rPr>
              <w:t>CLO Fund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440" w:type="dxa"/>
            <w:vAlign w:val="bottom"/>
          </w:tcPr>
          <w:p>
            <w:pPr>
              <w:spacing w:after="0"/>
              <w:rPr>
                <w:sz w:val="12"/>
                <w:szCs w:val="12"/>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4,632,000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37,298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(195,458)</w:t>
            </w:r>
          </w:p>
        </w:tc>
        <w:tc>
          <w:tcPr>
            <w:tcW w:w="100" w:type="dxa"/>
            <w:vAlign w:val="bottom"/>
          </w:tcPr>
          <w:p>
            <w:pPr>
              <w:spacing w:after="0"/>
              <w:rPr>
                <w:sz w:val="12"/>
                <w:szCs w:val="12"/>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4,473,840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468,755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4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BCP Great Lakes Holdings LP</w:t>
            </w:r>
            <w:r>
              <w:rPr>
                <w:rFonts w:ascii="Arial" w:cs="Arial" w:eastAsia="Arial" w:hAnsi="Arial"/>
                <w:sz w:val="10"/>
                <w:szCs w:val="10"/>
                <w:color w:val="auto"/>
              </w:rPr>
              <w:t>(7)</w:t>
            </w:r>
          </w:p>
        </w:tc>
        <w:tc>
          <w:tcPr>
            <w:tcW w:w="8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Limited</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Partnership</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12,466,667</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12,466,667</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2440" w:type="dxa"/>
            <w:vAlign w:val="bottom"/>
          </w:tcPr>
          <w:p>
            <w:pPr>
              <w:spacing w:after="0"/>
              <w:rPr>
                <w:sz w:val="20"/>
                <w:szCs w:val="20"/>
                <w:color w:val="auto"/>
              </w:rPr>
            </w:pPr>
            <w:r>
              <w:rPr>
                <w:rFonts w:ascii="Arial" w:cs="Arial" w:eastAsia="Arial" w:hAnsi="Arial"/>
                <w:sz w:val="13"/>
                <w:szCs w:val="13"/>
                <w:color w:val="auto"/>
              </w:rPr>
              <w:t xml:space="preserve">KCAP Freedom 3, LLC </w:t>
            </w:r>
            <w:r>
              <w:rPr>
                <w:rFonts w:ascii="Arial" w:cs="Arial" w:eastAsia="Arial" w:hAnsi="Arial"/>
                <w:sz w:val="10"/>
                <w:szCs w:val="10"/>
                <w:color w:val="auto"/>
              </w:rPr>
              <w:t>(4)(6)</w:t>
            </w:r>
          </w:p>
        </w:tc>
        <w:tc>
          <w:tcPr>
            <w:tcW w:w="860" w:type="dxa"/>
            <w:vAlign w:val="bottom"/>
            <w:gridSpan w:val="2"/>
          </w:tcPr>
          <w:p>
            <w:pPr>
              <w:spacing w:after="0"/>
              <w:rPr>
                <w:sz w:val="20"/>
                <w:szCs w:val="20"/>
                <w:color w:val="auto"/>
              </w:rPr>
            </w:pPr>
            <w:r>
              <w:rPr>
                <w:rFonts w:ascii="Arial" w:cs="Arial" w:eastAsia="Arial" w:hAnsi="Arial"/>
                <w:sz w:val="13"/>
                <w:szCs w:val="13"/>
                <w:color w:val="auto"/>
              </w:rPr>
              <w:t>Joint Venture</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21,516,000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0"/>
              </w:rPr>
              <w:t>(3,125,560)</w:t>
            </w:r>
          </w:p>
        </w:tc>
        <w:tc>
          <w:tcPr>
            <w:tcW w:w="100" w:type="dxa"/>
            <w:vAlign w:val="bottom"/>
          </w:tcPr>
          <w:p>
            <w:pPr>
              <w:spacing w:after="0"/>
              <w:rPr>
                <w:sz w:val="12"/>
                <w:szCs w:val="12"/>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5"/>
              </w:rPr>
              <w:t>18,390,440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6"/>
              </w:rPr>
              <w:t>3,100,000</w:t>
            </w:r>
          </w:p>
        </w:tc>
        <w:tc>
          <w:tcPr>
            <w:tcW w:w="100" w:type="dxa"/>
            <w:vAlign w:val="bottom"/>
          </w:tcPr>
          <w:p>
            <w:pPr>
              <w:spacing w:after="0"/>
              <w:rPr>
                <w:sz w:val="12"/>
                <w:szCs w:val="12"/>
                <w:color w:val="auto"/>
              </w:rPr>
            </w:pPr>
          </w:p>
        </w:tc>
      </w:tr>
      <w:tr>
        <w:trPr>
          <w:trHeight w:val="149"/>
        </w:trPr>
        <w:tc>
          <w:tcPr>
            <w:tcW w:w="2440" w:type="dxa"/>
            <w:vAlign w:val="bottom"/>
            <w:shd w:val="clear" w:color="auto" w:fill="CFF0FC"/>
          </w:tcPr>
          <w:p>
            <w:pPr>
              <w:spacing w:after="0"/>
              <w:rPr>
                <w:sz w:val="20"/>
                <w:szCs w:val="20"/>
                <w:color w:val="auto"/>
              </w:rPr>
            </w:pPr>
            <w:r>
              <w:rPr>
                <w:rFonts w:ascii="Arial" w:cs="Arial" w:eastAsia="Arial" w:hAnsi="Arial"/>
                <w:sz w:val="13"/>
                <w:szCs w:val="13"/>
                <w:color w:val="auto"/>
              </w:rPr>
              <w:t>Tank Partners Holdings, LLC</w:t>
            </w:r>
            <w:r>
              <w:rPr>
                <w:rFonts w:ascii="Arial" w:cs="Arial" w:eastAsia="Arial" w:hAnsi="Arial"/>
                <w:sz w:val="10"/>
                <w:szCs w:val="10"/>
                <w:color w:val="auto"/>
              </w:rPr>
              <w:t>(4)(5)</w:t>
            </w:r>
          </w:p>
        </w:tc>
        <w:tc>
          <w:tcPr>
            <w:tcW w:w="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Unit</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980,000</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(979,000)</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2"/>
        </w:trPr>
        <w:tc>
          <w:tcPr>
            <w:tcW w:w="2440" w:type="dxa"/>
            <w:vAlign w:val="bottom"/>
          </w:tcPr>
          <w:p>
            <w:pPr>
              <w:spacing w:after="0" w:line="143" w:lineRule="exact"/>
              <w:rPr>
                <w:sz w:val="20"/>
                <w:szCs w:val="20"/>
                <w:color w:val="auto"/>
              </w:rPr>
            </w:pPr>
            <w:r>
              <w:rPr>
                <w:rFonts w:ascii="Arial" w:cs="Arial" w:eastAsia="Arial" w:hAnsi="Arial"/>
                <w:sz w:val="13"/>
                <w:szCs w:val="13"/>
                <w:color w:val="auto"/>
              </w:rPr>
              <w:t>Total Affiliated Investments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1"/>
              </w:rPr>
              <w:t>122,630,676</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(41,042,190</w:t>
            </w:r>
          </w:p>
        </w:tc>
        <w:tc>
          <w:tcPr>
            <w:tcW w:w="180" w:type="dxa"/>
            <w:vAlign w:val="bottom"/>
          </w:tcPr>
          <w:p>
            <w:pPr>
              <w:jc w:val="right"/>
              <w:ind w:right="9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5,549,454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9"/>
              </w:rPr>
              <w:t>(36,587,954</w:t>
            </w:r>
          </w:p>
        </w:tc>
        <w:tc>
          <w:tcPr>
            <w:tcW w:w="180" w:type="dxa"/>
            <w:vAlign w:val="bottom"/>
          </w:tcPr>
          <w:p>
            <w:pPr>
              <w:jc w:val="right"/>
              <w:ind w:right="9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3"/>
              </w:rPr>
              <w:t>2,261,054</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9"/>
              </w:rPr>
              <w:t>(14,009,092</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38,801,947</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8,147,079</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4,346,510</w:t>
            </w:r>
          </w:p>
        </w:tc>
        <w:tc>
          <w:tcPr>
            <w:tcW w:w="100" w:type="dxa"/>
            <w:vAlign w:val="bottom"/>
          </w:tcPr>
          <w:p>
            <w:pPr>
              <w:spacing w:after="0"/>
              <w:rPr>
                <w:sz w:val="12"/>
                <w:szCs w:val="12"/>
                <w:color w:val="auto"/>
              </w:rPr>
            </w:pPr>
          </w:p>
        </w:tc>
      </w:tr>
      <w:tr>
        <w:trPr>
          <w:trHeight w:val="20"/>
        </w:trPr>
        <w:tc>
          <w:tcPr>
            <w:tcW w:w="2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50"/>
        </w:numPr>
        <w:rPr>
          <w:rFonts w:ascii="Arial" w:cs="Arial" w:eastAsia="Arial" w:hAnsi="Arial"/>
          <w:sz w:val="15"/>
          <w:szCs w:val="15"/>
          <w:color w:val="auto"/>
        </w:rPr>
      </w:pPr>
      <w:r>
        <w:rPr>
          <w:rFonts w:ascii="Arial" w:cs="Arial" w:eastAsia="Arial" w:hAnsi="Arial"/>
          <w:sz w:val="18"/>
          <w:szCs w:val="18"/>
          <w:color w:val="auto"/>
        </w:rPr>
        <w:t>Non-U.S. company or principal place of business outside the 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ind w:left="440" w:hanging="432"/>
        <w:spacing w:after="0"/>
        <w:tabs>
          <w:tab w:leader="none" w:pos="440" w:val="left"/>
        </w:tabs>
        <w:numPr>
          <w:ilvl w:val="0"/>
          <w:numId w:val="51"/>
        </w:numPr>
        <w:rPr>
          <w:rFonts w:ascii="Arial" w:cs="Arial" w:eastAsia="Arial" w:hAnsi="Arial"/>
          <w:sz w:val="29"/>
          <w:szCs w:val="29"/>
          <w:color w:val="auto"/>
          <w:vertAlign w:val="superscript"/>
        </w:rPr>
      </w:pPr>
      <w:r>
        <w:rPr>
          <w:rFonts w:ascii="Arial" w:cs="Arial" w:eastAsia="Arial" w:hAnsi="Arial"/>
          <w:sz w:val="17"/>
          <w:szCs w:val="17"/>
          <w:color w:val="auto"/>
        </w:rPr>
        <w:t>An affiliate CLO Fund managed by an Asset Manager Affiliate (as such term is defined in the notes to the consolidated financial statements).</w:t>
      </w:r>
    </w:p>
    <w:p>
      <w:pPr>
        <w:ind w:left="440" w:hanging="432"/>
        <w:spacing w:after="0"/>
        <w:tabs>
          <w:tab w:leader="none" w:pos="440" w:val="left"/>
        </w:tabs>
        <w:numPr>
          <w:ilvl w:val="0"/>
          <w:numId w:val="52"/>
        </w:numPr>
        <w:rPr>
          <w:rFonts w:ascii="Arial" w:cs="Arial" w:eastAsia="Arial" w:hAnsi="Arial"/>
          <w:sz w:val="15"/>
          <w:szCs w:val="15"/>
          <w:color w:val="auto"/>
        </w:rPr>
      </w:pPr>
      <w:r>
        <w:rPr>
          <w:rFonts w:ascii="Arial" w:cs="Arial" w:eastAsia="Arial" w:hAnsi="Arial"/>
          <w:sz w:val="18"/>
          <w:szCs w:val="18"/>
          <w:color w:val="auto"/>
        </w:rPr>
        <w:t>Notice of redemption has been received for this security.</w:t>
      </w:r>
    </w:p>
    <w:p>
      <w:pPr>
        <w:spacing w:after="0" w:line="9" w:lineRule="exact"/>
        <w:rPr>
          <w:sz w:val="20"/>
          <w:szCs w:val="20"/>
          <w:color w:val="auto"/>
        </w:rPr>
      </w:pPr>
    </w:p>
    <w:p>
      <w:pPr>
        <w:ind w:left="440" w:hanging="432"/>
        <w:spacing w:after="0"/>
        <w:tabs>
          <w:tab w:leader="none" w:pos="440" w:val="left"/>
        </w:tabs>
        <w:numPr>
          <w:ilvl w:val="0"/>
          <w:numId w:val="53"/>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w:t>
      </w:r>
    </w:p>
    <w:p>
      <w:pPr>
        <w:spacing w:after="0" w:line="9" w:lineRule="exact"/>
        <w:rPr>
          <w:sz w:val="20"/>
          <w:szCs w:val="20"/>
          <w:color w:val="auto"/>
        </w:rPr>
      </w:pPr>
    </w:p>
    <w:p>
      <w:pPr>
        <w:ind w:left="440" w:hanging="432"/>
        <w:spacing w:after="0"/>
        <w:tabs>
          <w:tab w:leader="none" w:pos="440" w:val="left"/>
        </w:tabs>
        <w:numPr>
          <w:ilvl w:val="0"/>
          <w:numId w:val="54"/>
        </w:numPr>
        <w:rPr>
          <w:rFonts w:ascii="Arial" w:cs="Arial" w:eastAsia="Arial" w:hAnsi="Arial"/>
          <w:sz w:val="15"/>
          <w:szCs w:val="15"/>
          <w:color w:val="auto"/>
        </w:rPr>
      </w:pPr>
      <w:r>
        <w:rPr>
          <w:rFonts w:ascii="Arial" w:cs="Arial" w:eastAsia="Arial" w:hAnsi="Arial"/>
          <w:sz w:val="18"/>
          <w:szCs w:val="18"/>
          <w:color w:val="auto"/>
        </w:rPr>
        <w:t>Qualified asset for purposes of section 55(a) of the Investment Company Act of 1940.</w:t>
      </w:r>
    </w:p>
    <w:p>
      <w:pPr>
        <w:spacing w:after="0" w:line="9" w:lineRule="exact"/>
        <w:rPr>
          <w:sz w:val="20"/>
          <w:szCs w:val="20"/>
          <w:color w:val="auto"/>
        </w:rPr>
      </w:pPr>
    </w:p>
    <w:p>
      <w:pPr>
        <w:ind w:left="440" w:right="60" w:hanging="432"/>
        <w:spacing w:after="0" w:line="282" w:lineRule="auto"/>
        <w:tabs>
          <w:tab w:leader="none" w:pos="440" w:val="left"/>
        </w:tabs>
        <w:numPr>
          <w:ilvl w:val="0"/>
          <w:numId w:val="55"/>
        </w:numPr>
        <w:rPr>
          <w:rFonts w:ascii="Arial" w:cs="Arial" w:eastAsia="Arial" w:hAnsi="Arial"/>
          <w:sz w:val="14"/>
          <w:szCs w:val="14"/>
          <w:color w:val="auto"/>
        </w:rPr>
      </w:pPr>
      <w:r>
        <w:rPr>
          <w:rFonts w:ascii="Arial" w:cs="Arial" w:eastAsia="Arial" w:hAnsi="Arial"/>
          <w:sz w:val="16"/>
          <w:szCs w:val="16"/>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control over this portfolio company.</w:t>
      </w:r>
    </w:p>
    <w:p>
      <w:pPr>
        <w:spacing w:after="0" w:line="8" w:lineRule="exact"/>
        <w:rPr>
          <w:sz w:val="20"/>
          <w:szCs w:val="20"/>
          <w:color w:val="auto"/>
        </w:rPr>
      </w:pPr>
    </w:p>
    <w:p>
      <w:pPr>
        <w:ind w:left="440" w:right="60" w:hanging="432"/>
        <w:spacing w:after="0" w:line="256" w:lineRule="auto"/>
        <w:tabs>
          <w:tab w:leader="none" w:pos="440" w:val="left"/>
        </w:tabs>
        <w:numPr>
          <w:ilvl w:val="0"/>
          <w:numId w:val="56"/>
        </w:numPr>
        <w:rPr>
          <w:rFonts w:ascii="Arial" w:cs="Arial" w:eastAsia="Arial" w:hAnsi="Arial"/>
          <w:sz w:val="15"/>
          <w:szCs w:val="15"/>
          <w:color w:val="auto"/>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200" w:lineRule="exact"/>
        <w:rPr>
          <w:rFonts w:ascii="Arial" w:cs="Arial" w:eastAsia="Arial" w:hAnsi="Arial"/>
          <w:sz w:val="15"/>
          <w:szCs w:val="15"/>
          <w:color w:val="auto"/>
        </w:rPr>
      </w:pPr>
    </w:p>
    <w:p>
      <w:pPr>
        <w:spacing w:after="0" w:line="201"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8"/>
          <w:szCs w:val="18"/>
          <w:b w:val="1"/>
          <w:bCs w:val="1"/>
          <w:color w:val="auto"/>
        </w:rPr>
        <w:t>Investment in Joint Ventures: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three and six months ended June 30, 2019 and 2018 , the Company recognized $1.3 million and $0.7 million, respectively, and $2.2 million</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and $1.4 million, respectively, in investment income from its investment in Joint Ventures. As of June 30, 2019 and December 31, 2018, the fair value of the Company’s investment in Joint Ventures was approximately $40.1 million and $30.9 million,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KCAP Freedom 3 LLC</w:t>
      </w:r>
    </w:p>
    <w:p>
      <w:pPr>
        <w:spacing w:after="0" w:line="189" w:lineRule="exact"/>
        <w:rPr>
          <w:sz w:val="20"/>
          <w:szCs w:val="20"/>
          <w:color w:val="auto"/>
        </w:rPr>
      </w:pPr>
    </w:p>
    <w:p>
      <w:pPr>
        <w:ind w:firstLine="439"/>
        <w:spacing w:after="0" w:line="273" w:lineRule="auto"/>
        <w:rPr>
          <w:sz w:val="20"/>
          <w:szCs w:val="20"/>
          <w:color w:val="auto"/>
        </w:rPr>
      </w:pPr>
      <w:r>
        <w:rPr>
          <w:rFonts w:ascii="Arial" w:cs="Arial" w:eastAsia="Arial" w:hAnsi="Arial"/>
          <w:sz w:val="17"/>
          <w:szCs w:val="17"/>
          <w:color w:val="auto"/>
        </w:rPr>
        <w:t>During the third quarter of 2017, the Company and Freedom 3 Opportunities, an affiliate of Freedom 3 Capital LLC, entered into an agreement to create the “Joint Venture. The Company and Freedom 3 Opportunities contributed approximately $37 million and $25 million, respectively, in assets to the Joint Venture, which in turn used the assets to capitalize the Fund managed by KCAP Management, LLC, one of the Asset Manager Affiliates. In addition, the Fund used cash on hand and borrowings under a credit facility to purchase approximately $184 million of primarily middle-market loans from the Company and the Company used the proceeds from such sale to redeem approximately $147 million in debt issued by KCAP Senior Funding. The Fund invests primarily in middle-market loans and the Joint Ventures partners may source middle-market loans from time-to-time for the Fund.</w:t>
      </w:r>
    </w:p>
    <w:p>
      <w:pPr>
        <w:spacing w:after="0" w:line="138" w:lineRule="exact"/>
        <w:rPr>
          <w:sz w:val="20"/>
          <w:szCs w:val="20"/>
          <w:color w:val="auto"/>
        </w:rPr>
      </w:pPr>
    </w:p>
    <w:p>
      <w:pPr>
        <w:ind w:right="40" w:firstLine="439"/>
        <w:spacing w:after="0" w:line="297" w:lineRule="auto"/>
        <w:rPr>
          <w:sz w:val="20"/>
          <w:szCs w:val="20"/>
          <w:color w:val="auto"/>
        </w:rPr>
      </w:pPr>
      <w:r>
        <w:rPr>
          <w:rFonts w:ascii="Arial" w:cs="Arial" w:eastAsia="Arial" w:hAnsi="Arial"/>
          <w:sz w:val="16"/>
          <w:szCs w:val="16"/>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$11.8 million of this distribution was a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31" w:lineRule="exact"/>
        <w:rPr>
          <w:sz w:val="20"/>
          <w:szCs w:val="20"/>
          <w:color w:val="auto"/>
        </w:rPr>
      </w:pPr>
    </w:p>
    <w:p>
      <w:pPr>
        <w:ind w:right="280" w:firstLine="439"/>
        <w:spacing w:after="0" w:line="297" w:lineRule="auto"/>
        <w:rPr>
          <w:sz w:val="20"/>
          <w:szCs w:val="20"/>
          <w:color w:val="auto"/>
        </w:rPr>
      </w:pPr>
      <w:r>
        <w:rPr>
          <w:rFonts w:ascii="Arial" w:cs="Arial" w:eastAsia="Arial" w:hAnsi="Arial"/>
          <w:sz w:val="16"/>
          <w:szCs w:val="16"/>
          <w:color w:val="auto"/>
        </w:rPr>
        <w:t>The Company owns a 60% equity investment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118" w:lineRule="exact"/>
        <w:rPr>
          <w:sz w:val="20"/>
          <w:szCs w:val="20"/>
          <w:color w:val="auto"/>
        </w:rPr>
      </w:pPr>
    </w:p>
    <w:p>
      <w:pPr>
        <w:ind w:right="40" w:firstLine="439"/>
        <w:spacing w:after="0" w:line="273" w:lineRule="auto"/>
        <w:rPr>
          <w:sz w:val="20"/>
          <w:szCs w:val="20"/>
          <w:color w:val="auto"/>
        </w:rPr>
      </w:pPr>
      <w:r>
        <w:rPr>
          <w:rFonts w:ascii="Arial" w:cs="Arial" w:eastAsia="Arial" w:hAnsi="Arial"/>
          <w:sz w:val="17"/>
          <w:szCs w:val="17"/>
          <w:color w:val="auto"/>
        </w:rPr>
        <w:t>In connection with the Externalization, during the first quarter of 2019, KCAP Management agreed to waive management fees it is otherwise entitled to receive for managing the Fund. In addition, the Joint Venture was restructured such that the Company is now entitled to receive a preferred distribution in an amount equal to the fees waived by KCAP Management. The impact of these transactions was a reduction in the fair value of the Asset Manager Affiliates and an increase in the fair value of the Company’s investment in the Joint Venture during the first quarter of 2019. The reduction in the fair value of the Asset Manager Affiliates was recognized as a realized loss on the Statement of Operations. The increase in the fair value of the Company’s investment in the Joint Venture was recognized as an unrealized gain in the Statement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1" w:right="239" w:bottom="1440" w:gutter="0" w:footer="0" w:header="0"/>
        </w:sectPr>
      </w:pPr>
    </w:p>
    <w:bookmarkStart w:id="40" w:name="page41"/>
    <w:bookmarkEnd w:id="40"/>
    <w:p>
      <w:pPr>
        <w:ind w:left="440"/>
        <w:spacing w:after="0"/>
        <w:rPr>
          <w:sz w:val="20"/>
          <w:szCs w:val="20"/>
          <w:color w:val="auto"/>
        </w:rPr>
      </w:pPr>
      <w:r>
        <w:rPr>
          <w:rFonts w:ascii="Arial" w:cs="Arial" w:eastAsia="Arial" w:hAnsi="Arial"/>
          <w:sz w:val="16"/>
          <w:szCs w:val="16"/>
          <w:color w:val="auto"/>
        </w:rPr>
        <w:t>The Company has determined that the Joint Venture is an investment company under Accounting Standards Codification (“ASC”), Financial Services</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 of Financial Condition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As of</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4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June 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920" w:type="dxa"/>
            <w:vAlign w:val="bottom"/>
            <w:tcBorders>
              <w:bottom w:val="single" w:sz="8" w:color="CFF0FC"/>
            </w:tcBorders>
          </w:tcPr>
          <w:p>
            <w:pPr>
              <w:spacing w:after="0"/>
              <w:rPr>
                <w:sz w:val="20"/>
                <w:szCs w:val="20"/>
                <w:color w:val="auto"/>
              </w:rPr>
            </w:pPr>
          </w:p>
        </w:tc>
        <w:tc>
          <w:tcPr>
            <w:tcW w:w="29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Investment at fair value</w:t>
            </w:r>
          </w:p>
        </w:tc>
        <w:tc>
          <w:tcPr>
            <w:tcW w:w="29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35,404,220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32,621,188</w:t>
            </w:r>
          </w:p>
        </w:tc>
        <w:tc>
          <w:tcPr>
            <w:tcW w:w="120" w:type="dxa"/>
            <w:vAlign w:val="bottom"/>
            <w:shd w:val="clear" w:color="auto" w:fill="CFF0FC"/>
          </w:tcPr>
          <w:p>
            <w:pPr>
              <w:spacing w:after="0"/>
              <w:rPr>
                <w:sz w:val="19"/>
                <w:szCs w:val="19"/>
                <w:color w:val="auto"/>
              </w:rPr>
            </w:pPr>
          </w:p>
        </w:tc>
      </w:tr>
      <w:tr>
        <w:trPr>
          <w:trHeight w:val="263"/>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9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35,404,220</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32,621,188</w:t>
            </w:r>
          </w:p>
        </w:tc>
        <w:tc>
          <w:tcPr>
            <w:tcW w:w="120" w:type="dxa"/>
            <w:vAlign w:val="bottom"/>
            <w:tcBorders>
              <w:bottom w:val="single" w:sz="8" w:color="CFF0FC"/>
            </w:tcBorders>
          </w:tcPr>
          <w:p>
            <w:pPr>
              <w:spacing w:after="0"/>
              <w:rPr>
                <w:sz w:val="22"/>
                <w:szCs w:val="22"/>
                <w:color w:val="auto"/>
              </w:rPr>
            </w:pPr>
          </w:p>
        </w:tc>
      </w:tr>
      <w:tr>
        <w:trPr>
          <w:trHeight w:val="21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9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704,728</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1,970,455</w:t>
            </w:r>
          </w:p>
        </w:tc>
        <w:tc>
          <w:tcPr>
            <w:tcW w:w="120" w:type="dxa"/>
            <w:vAlign w:val="bottom"/>
            <w:shd w:val="clear" w:color="auto" w:fill="CFF0FC"/>
          </w:tcPr>
          <w:p>
            <w:pPr>
              <w:spacing w:after="0"/>
              <w:rPr>
                <w:sz w:val="18"/>
                <w:szCs w:val="18"/>
                <w:color w:val="auto"/>
              </w:rPr>
            </w:pPr>
          </w:p>
        </w:tc>
      </w:tr>
      <w:tr>
        <w:trPr>
          <w:trHeight w:val="223"/>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w:t>
            </w:r>
          </w:p>
        </w:tc>
        <w:tc>
          <w:tcPr>
            <w:tcW w:w="29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34,699,492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30,650,733</w:t>
            </w:r>
          </w:p>
        </w:tc>
        <w:tc>
          <w:tcPr>
            <w:tcW w:w="120" w:type="dxa"/>
            <w:vAlign w:val="bottom"/>
            <w:tcBorders>
              <w:bottom w:val="single" w:sz="8" w:color="CFF0FC"/>
            </w:tcBorders>
          </w:tcPr>
          <w:p>
            <w:pPr>
              <w:spacing w:after="0"/>
              <w:rPr>
                <w:sz w:val="19"/>
                <w:szCs w:val="19"/>
                <w:color w:val="auto"/>
              </w:rPr>
            </w:pPr>
          </w:p>
        </w:tc>
      </w:tr>
      <w:tr>
        <w:trPr>
          <w:trHeight w:val="223"/>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29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35,404,220</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32,621,188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520" w:type="dxa"/>
            <w:vAlign w:val="bottom"/>
            <w:gridSpan w:val="7"/>
          </w:tcPr>
          <w:p>
            <w:pPr>
              <w:ind w:left="20"/>
              <w:spacing w:after="0"/>
              <w:rPr>
                <w:sz w:val="20"/>
                <w:szCs w:val="20"/>
                <w:color w:val="auto"/>
              </w:rPr>
            </w:pPr>
            <w:r>
              <w:rPr>
                <w:rFonts w:ascii="Arial" w:cs="Arial" w:eastAsia="Arial" w:hAnsi="Arial"/>
                <w:sz w:val="18"/>
                <w:szCs w:val="18"/>
                <w:b w:val="1"/>
                <w:bCs w:val="1"/>
                <w:color w:val="auto"/>
                <w:w w:val="97"/>
              </w:rPr>
              <w:t>Three Months Ended June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34"/>
        </w:trPr>
        <w:tc>
          <w:tcPr>
            <w:tcW w:w="4580" w:type="dxa"/>
            <w:vAlign w:val="bottom"/>
            <w:tcBorders>
              <w:bottom w:val="single" w:sz="8" w:color="CFF0FC"/>
            </w:tcBorders>
          </w:tcPr>
          <w:p>
            <w:pPr>
              <w:spacing w:after="0"/>
              <w:rPr>
                <w:sz w:val="20"/>
                <w:szCs w:val="20"/>
                <w:color w:val="auto"/>
              </w:rPr>
            </w:pPr>
          </w:p>
        </w:tc>
        <w:tc>
          <w:tcPr>
            <w:tcW w:w="17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1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1,008,338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1,221,996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2,159,724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2,417,814</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17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18,992</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53,761</w:t>
            </w:r>
          </w:p>
        </w:tc>
        <w:tc>
          <w:tcPr>
            <w:tcW w:w="100" w:type="dxa"/>
            <w:vAlign w:val="bottom"/>
            <w:tcBorders>
              <w:bottom w:val="single" w:sz="8" w:color="CFF0FC"/>
            </w:tcBorders>
          </w:tcPr>
          <w:p>
            <w:pPr>
              <w:spacing w:after="0"/>
              <w:rPr>
                <w:sz w:val="19"/>
                <w:szCs w:val="19"/>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1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1,006,859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1,189,998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2,140,732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2,364,053</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Unrealized appreciation on investments</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(1,278,063)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(1,068,857)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4,048,759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(564,936)</w:t>
            </w:r>
          </w:p>
        </w:tc>
      </w:tr>
      <w:tr>
        <w:trPr>
          <w:trHeight w:val="223"/>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(271,204</w:t>
            </w:r>
          </w:p>
        </w:tc>
        <w:tc>
          <w:tcPr>
            <w:tcW w:w="16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121,141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6,189,492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1,799,117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Percentage</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Ownership</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by Joint</w:t>
            </w:r>
          </w:p>
        </w:tc>
        <w:tc>
          <w:tcPr>
            <w:tcW w:w="200" w:type="dxa"/>
            <w:vAlign w:val="bottom"/>
          </w:tcPr>
          <w:p>
            <w:pPr>
              <w:spacing w:after="0"/>
              <w:rPr>
                <w:sz w:val="18"/>
                <w:szCs w:val="18"/>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Amortized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160" w:type="dxa"/>
            <w:vAlign w:val="bottom"/>
          </w:tcPr>
          <w:p>
            <w:pPr>
              <w:spacing w:after="0"/>
              <w:rPr>
                <w:sz w:val="20"/>
                <w:szCs w:val="20"/>
                <w:color w:val="auto"/>
              </w:rPr>
            </w:pPr>
          </w:p>
        </w:tc>
        <w:tc>
          <w:tcPr>
            <w:tcW w:w="2200" w:type="dxa"/>
            <w:vAlign w:val="bottom"/>
            <w:gridSpan w:val="2"/>
          </w:tcPr>
          <w:p>
            <w:pPr>
              <w:ind w:left="580"/>
              <w:spacing w:after="0"/>
              <w:rPr>
                <w:sz w:val="20"/>
                <w:szCs w:val="20"/>
                <w:color w:val="auto"/>
              </w:rPr>
            </w:pPr>
            <w:r>
              <w:rPr>
                <w:rFonts w:ascii="Arial" w:cs="Arial" w:eastAsia="Arial" w:hAnsi="Arial"/>
                <w:sz w:val="18"/>
                <w:szCs w:val="18"/>
                <w:b w:val="1"/>
                <w:bCs w:val="1"/>
                <w:color w:val="auto"/>
              </w:rPr>
              <w:t>Investment</w:t>
            </w: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Venture</w:t>
            </w:r>
          </w:p>
        </w:tc>
        <w:tc>
          <w:tcPr>
            <w:tcW w:w="200" w:type="dxa"/>
            <w:vAlign w:val="bottom"/>
          </w:tcPr>
          <w:p>
            <w:pPr>
              <w:spacing w:after="0"/>
              <w:rPr>
                <w:sz w:val="20"/>
                <w:szCs w:val="20"/>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4"/>
              </w:rPr>
              <w:t>Cost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4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Great Lakes KCAP F3C Senior, LLC</w:t>
            </w:r>
            <w:r>
              <w:rPr>
                <w:rFonts w:ascii="Arial" w:cs="Arial" w:eastAsia="Arial" w:hAnsi="Arial"/>
                <w:sz w:val="15"/>
                <w:szCs w:val="15"/>
                <w:color w:val="auto"/>
              </w:rPr>
              <w:t>(1)(2)(3)</w:t>
            </w:r>
          </w:p>
        </w:tc>
        <w:tc>
          <w:tcPr>
            <w:tcW w:w="160" w:type="dxa"/>
            <w:vAlign w:val="bottom"/>
            <w:tcBorders>
              <w:top w:val="single" w:sz="8" w:color="CFF0FC"/>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Securities,</w:t>
            </w:r>
          </w:p>
        </w:tc>
        <w:tc>
          <w:tcPr>
            <w:tcW w:w="16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040" w:type="dxa"/>
            <w:vAlign w:val="bottom"/>
            <w:shd w:val="clear" w:color="auto" w:fill="CFF0FC"/>
          </w:tcPr>
          <w:p>
            <w:pPr>
              <w:spacing w:after="0"/>
              <w:rPr>
                <w:sz w:val="18"/>
                <w:szCs w:val="18"/>
                <w:color w:val="auto"/>
              </w:rPr>
            </w:pPr>
          </w:p>
        </w:tc>
        <w:tc>
          <w:tcPr>
            <w:tcW w:w="236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effective interest 13.9%,</w:t>
            </w: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040" w:type="dxa"/>
            <w:vAlign w:val="bottom"/>
            <w:shd w:val="clear" w:color="auto" w:fill="CFF0FC"/>
          </w:tcPr>
          <w:p>
            <w:pPr>
              <w:spacing w:after="0"/>
              <w:rPr>
                <w:sz w:val="20"/>
                <w:szCs w:val="20"/>
                <w:color w:val="auto"/>
              </w:rPr>
            </w:pPr>
          </w:p>
        </w:tc>
        <w:tc>
          <w:tcPr>
            <w:tcW w:w="236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12/29 maturity</w:t>
            </w: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41,370,653</w:t>
            </w:r>
          </w:p>
        </w:tc>
        <w:tc>
          <w:tcPr>
            <w:tcW w:w="2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35,404,220</w:t>
            </w:r>
          </w:p>
        </w:tc>
        <w:tc>
          <w:tcPr>
            <w:tcW w:w="100" w:type="dxa"/>
            <w:vAlign w:val="bottom"/>
            <w:shd w:val="clear" w:color="auto" w:fill="CFF0FC"/>
          </w:tcPr>
          <w:p>
            <w:pPr>
              <w:spacing w:after="0"/>
              <w:rPr>
                <w:sz w:val="20"/>
                <w:szCs w:val="20"/>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41,370,653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35,404,220</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jc w:val="both"/>
        <w:ind w:left="440" w:right="80" w:hanging="432"/>
        <w:spacing w:after="0" w:line="254"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left="440" w:right="80" w:hanging="432"/>
        <w:spacing w:after="0" w:line="250"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ind w:left="440" w:hanging="432"/>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Formerly known as KCAP F3C Senior Funding, LLC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Percentage</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Ownership</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by Joint</w:t>
            </w:r>
          </w:p>
        </w:tc>
        <w:tc>
          <w:tcPr>
            <w:tcW w:w="200" w:type="dxa"/>
            <w:vAlign w:val="bottom"/>
          </w:tcPr>
          <w:p>
            <w:pPr>
              <w:spacing w:after="0"/>
              <w:rPr>
                <w:sz w:val="18"/>
                <w:szCs w:val="18"/>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Amortized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160" w:type="dxa"/>
            <w:vAlign w:val="bottom"/>
          </w:tcPr>
          <w:p>
            <w:pPr>
              <w:spacing w:after="0"/>
              <w:rPr>
                <w:sz w:val="20"/>
                <w:szCs w:val="20"/>
                <w:color w:val="auto"/>
              </w:rPr>
            </w:pPr>
          </w:p>
        </w:tc>
        <w:tc>
          <w:tcPr>
            <w:tcW w:w="2200" w:type="dxa"/>
            <w:vAlign w:val="bottom"/>
            <w:gridSpan w:val="2"/>
          </w:tcPr>
          <w:p>
            <w:pPr>
              <w:ind w:left="580"/>
              <w:spacing w:after="0"/>
              <w:rPr>
                <w:sz w:val="20"/>
                <w:szCs w:val="20"/>
                <w:color w:val="auto"/>
              </w:rPr>
            </w:pPr>
            <w:r>
              <w:rPr>
                <w:rFonts w:ascii="Arial" w:cs="Arial" w:eastAsia="Arial" w:hAnsi="Arial"/>
                <w:sz w:val="18"/>
                <w:szCs w:val="18"/>
                <w:b w:val="1"/>
                <w:bCs w:val="1"/>
                <w:color w:val="auto"/>
              </w:rPr>
              <w:t>Investment</w:t>
            </w: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Venture</w:t>
            </w:r>
          </w:p>
        </w:tc>
        <w:tc>
          <w:tcPr>
            <w:tcW w:w="200" w:type="dxa"/>
            <w:vAlign w:val="bottom"/>
          </w:tcPr>
          <w:p>
            <w:pPr>
              <w:spacing w:after="0"/>
              <w:rPr>
                <w:sz w:val="20"/>
                <w:szCs w:val="20"/>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4"/>
              </w:rPr>
              <w:t>Cost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4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KCAP F3C Senior Funding, LLC </w:t>
            </w:r>
            <w:r>
              <w:rPr>
                <w:rFonts w:ascii="Arial" w:cs="Arial" w:eastAsia="Arial" w:hAnsi="Arial"/>
                <w:sz w:val="15"/>
                <w:szCs w:val="15"/>
                <w:color w:val="auto"/>
              </w:rPr>
              <w:t>(1)(2)</w:t>
            </w:r>
          </w:p>
        </w:tc>
        <w:tc>
          <w:tcPr>
            <w:tcW w:w="160" w:type="dxa"/>
            <w:vAlign w:val="bottom"/>
            <w:tcBorders>
              <w:top w:val="single" w:sz="8" w:color="CFF0FC"/>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Securities,</w:t>
            </w:r>
          </w:p>
        </w:tc>
        <w:tc>
          <w:tcPr>
            <w:tcW w:w="16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040" w:type="dxa"/>
            <w:vAlign w:val="bottom"/>
            <w:shd w:val="clear" w:color="auto" w:fill="CFF0FC"/>
          </w:tcPr>
          <w:p>
            <w:pPr>
              <w:spacing w:after="0"/>
              <w:rPr>
                <w:sz w:val="18"/>
                <w:szCs w:val="18"/>
                <w:color w:val="auto"/>
              </w:rPr>
            </w:pPr>
          </w:p>
        </w:tc>
        <w:tc>
          <w:tcPr>
            <w:tcW w:w="236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effective interest 11.5%,</w:t>
            </w: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040" w:type="dxa"/>
            <w:vAlign w:val="bottom"/>
            <w:shd w:val="clear" w:color="auto" w:fill="CFF0FC"/>
          </w:tcPr>
          <w:p>
            <w:pPr>
              <w:spacing w:after="0"/>
              <w:rPr>
                <w:sz w:val="20"/>
                <w:szCs w:val="20"/>
                <w:color w:val="auto"/>
              </w:rPr>
            </w:pPr>
          </w:p>
        </w:tc>
        <w:tc>
          <w:tcPr>
            <w:tcW w:w="236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12/29 maturity</w:t>
            </w: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42,636,380</w:t>
            </w:r>
          </w:p>
        </w:tc>
        <w:tc>
          <w:tcPr>
            <w:tcW w:w="2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32,621,188</w:t>
            </w:r>
          </w:p>
        </w:tc>
        <w:tc>
          <w:tcPr>
            <w:tcW w:w="100" w:type="dxa"/>
            <w:vAlign w:val="bottom"/>
            <w:shd w:val="clear" w:color="auto" w:fill="CFF0FC"/>
          </w:tcPr>
          <w:p>
            <w:pPr>
              <w:spacing w:after="0"/>
              <w:rPr>
                <w:sz w:val="20"/>
                <w:szCs w:val="20"/>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42,636,380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32,621,188</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jc w:val="both"/>
        <w:ind w:left="440" w:right="80" w:hanging="432"/>
        <w:spacing w:after="0" w:line="254"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left="440" w:right="80" w:hanging="432"/>
        <w:spacing w:after="0" w:line="261"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BCP Great Lakes Partnership LP</w:t>
      </w:r>
    </w:p>
    <w:p>
      <w:pPr>
        <w:spacing w:after="0" w:line="202" w:lineRule="exact"/>
        <w:rPr>
          <w:sz w:val="20"/>
          <w:szCs w:val="20"/>
          <w:color w:val="auto"/>
        </w:rPr>
      </w:pPr>
    </w:p>
    <w:p>
      <w:pPr>
        <w:ind w:right="40" w:firstLine="439"/>
        <w:spacing w:after="0" w:line="259" w:lineRule="auto"/>
        <w:rPr>
          <w:sz w:val="20"/>
          <w:szCs w:val="20"/>
          <w:color w:val="auto"/>
        </w:rPr>
      </w:pPr>
      <w:r>
        <w:rPr>
          <w:rFonts w:ascii="Arial" w:cs="Arial" w:eastAsia="Arial" w:hAnsi="Arial"/>
          <w:sz w:val="18"/>
          <w:szCs w:val="18"/>
          <w:color w:val="auto"/>
        </w:rPr>
        <w:t>BCP Great Lakes Partnership LP (the “BCP Great Lakes Partnership”) has invested in BCP Great Lakes Holdings LP, a vehicle formed as a co-investment vehicle to facilitate the participation of certain co-investors to invest, directly or indirectly, in BCP Great Lakes Funding, LLC. The investment strategy of BCP Great Lakes Funding, LLC is to underwrite and hold senior, secured unitranche loans made to middle-market companies. The Company does not pay any advisory fees in connection with its investment in the BCP Great Lakes Partnership.</w:t>
      </w:r>
    </w:p>
    <w:p>
      <w:pPr>
        <w:spacing w:after="0" w:line="146" w:lineRule="exact"/>
        <w:rPr>
          <w:sz w:val="20"/>
          <w:szCs w:val="20"/>
          <w:color w:val="auto"/>
        </w:rPr>
      </w:pPr>
    </w:p>
    <w:p>
      <w:pPr>
        <w:ind w:right="100" w:firstLine="439"/>
        <w:spacing w:after="0" w:line="297" w:lineRule="auto"/>
        <w:rPr>
          <w:sz w:val="20"/>
          <w:szCs w:val="20"/>
          <w:color w:val="auto"/>
        </w:rPr>
      </w:pPr>
      <w:r>
        <w:rPr>
          <w:rFonts w:ascii="Arial" w:cs="Arial" w:eastAsia="Arial" w:hAnsi="Arial"/>
          <w:sz w:val="16"/>
          <w:szCs w:val="16"/>
          <w:color w:val="auto"/>
        </w:rPr>
        <w:t>The fair value of the Company’s investment in the BCP Great Lakes Partnership at June 30, 2019 and December 31, 2018 was $17.7 million and $12.5 million. Fair value has been determined utilizing the practical expedient pursuant to ASC 820-10. Pursuant to the terms of the BCP Great Lakes Fund LP Amended and Restated Exempted Limited Partnership Agreement (the “BCP Great Lakes Partnership Agreement”), the Company generally may not sell, exchange, assign, pledge or otherwise transfer its interest, in whole or in part, without the prior written consent of the General Partner which consent may be given or withheld in its sole and absolute discretion, and may be conditioned upon repayment of its share of indebtedness incurred by the partnership.</w:t>
      </w:r>
    </w:p>
    <w:p>
      <w:pPr>
        <w:spacing w:after="0" w:line="118" w:lineRule="exact"/>
        <w:rPr>
          <w:sz w:val="20"/>
          <w:szCs w:val="20"/>
          <w:color w:val="auto"/>
        </w:rPr>
      </w:pPr>
    </w:p>
    <w:p>
      <w:pPr>
        <w:ind w:right="20" w:firstLine="439"/>
        <w:spacing w:after="0" w:line="259" w:lineRule="auto"/>
        <w:rPr>
          <w:sz w:val="20"/>
          <w:szCs w:val="20"/>
          <w:color w:val="auto"/>
        </w:rPr>
      </w:pPr>
      <w:r>
        <w:rPr>
          <w:rFonts w:ascii="Arial" w:cs="Arial" w:eastAsia="Arial" w:hAnsi="Arial"/>
          <w:sz w:val="18"/>
          <w:szCs w:val="18"/>
          <w:color w:val="auto"/>
        </w:rPr>
        <w:t>In March 2019, the Company increased its aggregate commitment to the BCP Great Lakes Partnership to $50 million, subject to certain limitations (including that the Company is not obligated to fund capital calls if such funding would cause the Company to be out of compliance with certain provisions of the Investment Company Act of 1940). As of June 30, 2019 and December 31, 2018, the Company has a $32.3 million and $12.5 million, respectively unfunded commitment to the BCP Great Lakes Partnership.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02" w:lineRule="exact"/>
        <w:rPr>
          <w:sz w:val="20"/>
          <w:szCs w:val="20"/>
          <w:color w:val="auto"/>
        </w:rPr>
      </w:pPr>
    </w:p>
    <w:p>
      <w:pPr>
        <w:ind w:right="20" w:firstLine="439"/>
        <w:spacing w:after="0" w:line="289" w:lineRule="auto"/>
        <w:rPr>
          <w:sz w:val="20"/>
          <w:szCs w:val="20"/>
          <w:color w:val="auto"/>
        </w:rPr>
      </w:pPr>
      <w:r>
        <w:rPr>
          <w:rFonts w:ascii="Arial" w:cs="Arial" w:eastAsia="Arial" w:hAnsi="Arial"/>
          <w:sz w:val="16"/>
          <w:szCs w:val="16"/>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ind w:right="120" w:firstLine="439"/>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43" w:lineRule="exact"/>
        <w:rPr>
          <w:sz w:val="20"/>
          <w:szCs w:val="20"/>
          <w:color w:val="auto"/>
        </w:rPr>
      </w:pPr>
    </w:p>
    <w:p>
      <w:pPr>
        <w:ind w:right="40" w:firstLine="439"/>
        <w:spacing w:after="0" w:line="286" w:lineRule="auto"/>
        <w:rPr>
          <w:sz w:val="20"/>
          <w:szCs w:val="20"/>
          <w:color w:val="auto"/>
        </w:rPr>
      </w:pPr>
      <w:r>
        <w:rPr>
          <w:rFonts w:ascii="Arial" w:cs="Arial" w:eastAsia="Arial" w:hAnsi="Arial"/>
          <w:sz w:val="17"/>
          <w:szCs w:val="17"/>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25" w:lineRule="exact"/>
        <w:rPr>
          <w:sz w:val="20"/>
          <w:szCs w:val="20"/>
          <w:color w:val="auto"/>
        </w:rPr>
      </w:pPr>
    </w:p>
    <w:p>
      <w:pPr>
        <w:ind w:right="160" w:firstLine="439"/>
        <w:spacing w:after="0" w:line="276"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32" w:lineRule="exact"/>
        <w:rPr>
          <w:sz w:val="20"/>
          <w:szCs w:val="20"/>
          <w:color w:val="auto"/>
        </w:rPr>
      </w:pPr>
    </w:p>
    <w:p>
      <w:pPr>
        <w:ind w:right="40" w:firstLine="439"/>
        <w:spacing w:after="0" w:line="273" w:lineRule="auto"/>
        <w:rPr>
          <w:sz w:val="20"/>
          <w:szCs w:val="20"/>
          <w:color w:val="auto"/>
        </w:rPr>
      </w:pPr>
      <w:r>
        <w:rPr>
          <w:rFonts w:ascii="Arial" w:cs="Arial" w:eastAsia="Arial" w:hAnsi="Arial"/>
          <w:sz w:val="17"/>
          <w:szCs w:val="17"/>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51" w:lineRule="exact"/>
        <w:rPr>
          <w:sz w:val="20"/>
          <w:szCs w:val="20"/>
          <w:color w:val="auto"/>
        </w:rPr>
      </w:pPr>
    </w:p>
    <w:p>
      <w:pPr>
        <w:ind w:right="20" w:firstLine="439"/>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41" w:lineRule="exact"/>
        <w:rPr>
          <w:sz w:val="20"/>
          <w:szCs w:val="20"/>
          <w:color w:val="auto"/>
        </w:rPr>
      </w:pPr>
    </w:p>
    <w:p>
      <w:pPr>
        <w:ind w:right="540" w:firstLine="439"/>
        <w:spacing w:after="0" w:line="277" w:lineRule="auto"/>
        <w:rPr>
          <w:sz w:val="20"/>
          <w:szCs w:val="20"/>
          <w:color w:val="auto"/>
        </w:rPr>
      </w:pPr>
      <w:r>
        <w:rPr>
          <w:rFonts w:ascii="Arial" w:cs="Arial" w:eastAsia="Arial" w:hAnsi="Arial"/>
          <w:sz w:val="18"/>
          <w:szCs w:val="18"/>
          <w:color w:val="auto"/>
        </w:rPr>
        <w:t>The following table summarizes the fair value of investments by fair value hierarchy levels provided by ASC 820: Fair Value as of June 30, 2019 (unaudited) and December 31, 2018,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80" w:type="dxa"/>
            <w:vAlign w:val="bottom"/>
            <w:gridSpan w:val="7"/>
          </w:tcPr>
          <w:p>
            <w:pPr>
              <w:jc w:val="right"/>
              <w:ind w:right="450"/>
              <w:spacing w:after="0"/>
              <w:rPr>
                <w:sz w:val="20"/>
                <w:szCs w:val="20"/>
                <w:color w:val="auto"/>
              </w:rPr>
            </w:pPr>
            <w:r>
              <w:rPr>
                <w:rFonts w:ascii="Arial" w:cs="Arial" w:eastAsia="Arial" w:hAnsi="Arial"/>
                <w:sz w:val="18"/>
                <w:szCs w:val="18"/>
                <w:b w:val="1"/>
                <w:bCs w:val="1"/>
                <w:color w:val="auto"/>
              </w:rPr>
              <w:t>As of June 30, 2019 (unaudited)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I</w:t>
            </w:r>
          </w:p>
        </w:tc>
        <w:tc>
          <w:tcPr>
            <w:tcW w:w="14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Level II</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Level III</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NAV</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 Term investments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12,499,358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14,943,733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27,443,091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Debt securities</w:t>
            </w: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52,695,643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122,626,122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175,321,765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40,006,481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40,006,481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1,643,686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4,143,686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22,413,358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17,675,899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40,089,257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12,499,358</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70,139,377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186,689,647</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17,675,899</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287,004,280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01" w:right="2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40" w:type="dxa"/>
            <w:vAlign w:val="bottom"/>
            <w:gridSpan w:val="6"/>
          </w:tcPr>
          <w:p>
            <w:pPr>
              <w:jc w:val="right"/>
              <w:spacing w:after="0"/>
              <w:rPr>
                <w:sz w:val="20"/>
                <w:szCs w:val="20"/>
                <w:color w:val="auto"/>
              </w:rPr>
            </w:pPr>
            <w:r>
              <w:rPr>
                <w:rFonts w:ascii="Arial" w:cs="Arial" w:eastAsia="Arial" w:hAnsi="Arial"/>
                <w:sz w:val="18"/>
                <w:szCs w:val="18"/>
                <w:b w:val="1"/>
                <w:bCs w:val="1"/>
                <w:color w:val="auto"/>
              </w:rPr>
              <w:t>As of December 31, 2018</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I</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Level II</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III</w:t>
            </w:r>
          </w:p>
        </w:tc>
        <w:tc>
          <w:tcPr>
            <w:tcW w:w="18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NAV</w:t>
            </w:r>
          </w:p>
        </w:tc>
        <w:tc>
          <w:tcPr>
            <w:tcW w:w="10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 Term investments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9,999,349</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34,757,129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44,756,478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Debt securities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41,120,073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106,741,671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147,861,744</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CLO Fund securities</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44,325,000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44,325,000</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2,038,020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2,038,020</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Asset Manager Affiliates</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3,470,000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3,470,000</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Joint Venture</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18,390,440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12,466,667</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30,857,107</w:t>
            </w:r>
          </w:p>
        </w:tc>
        <w:tc>
          <w:tcPr>
            <w:tcW w:w="100" w:type="dxa"/>
            <w:vAlign w:val="bottom"/>
            <w:tcBorders>
              <w:bottom w:val="single" w:sz="8" w:color="CFF0FC"/>
            </w:tcBorders>
          </w:tcPr>
          <w:p>
            <w:pPr>
              <w:spacing w:after="0"/>
              <w:rPr>
                <w:sz w:val="19"/>
                <w:szCs w:val="19"/>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9,999,349</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75,877,202</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174,965,131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12,466,667</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273,308,349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39"/>
        <w:spacing w:after="0" w:line="259" w:lineRule="auto"/>
        <w:rPr>
          <w:sz w:val="20"/>
          <w:szCs w:val="20"/>
          <w:color w:val="auto"/>
        </w:rPr>
      </w:pPr>
      <w:r>
        <w:rPr>
          <w:rFonts w:ascii="Arial" w:cs="Arial" w:eastAsia="Arial" w:hAnsi="Arial"/>
          <w:sz w:val="18"/>
          <w:szCs w:val="18"/>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 Investment values derived by a third party pricing service are generally deemed to be Level III values. For those that have observable trades, the Company considers them to be Level II.</w:t>
      </w:r>
    </w:p>
    <w:p>
      <w:pPr>
        <w:spacing w:after="0" w:line="146" w:lineRule="exact"/>
        <w:rPr>
          <w:sz w:val="20"/>
          <w:szCs w:val="20"/>
          <w:color w:val="auto"/>
        </w:rPr>
      </w:pPr>
    </w:p>
    <w:p>
      <w:pPr>
        <w:ind w:right="100" w:firstLine="439"/>
        <w:spacing w:after="0" w:line="277" w:lineRule="auto"/>
        <w:rPr>
          <w:sz w:val="20"/>
          <w:szCs w:val="20"/>
          <w:color w:val="auto"/>
        </w:rPr>
      </w:pPr>
      <w:r>
        <w:rPr>
          <w:rFonts w:ascii="Arial" w:cs="Arial" w:eastAsia="Arial" w:hAnsi="Arial"/>
          <w:sz w:val="18"/>
          <w:szCs w:val="18"/>
          <w:color w:val="auto"/>
        </w:rPr>
        <w:t>The fair value of the Company’s investment in the BCP Great Lakes Partnership at June 30, 2019 and December 31, 2018 was $17.7 million and $12.5 million. Fair value has been determined utilizing the practical expedient pursuant to ASC 820-10.</w:t>
      </w:r>
    </w:p>
    <w:p>
      <w:pPr>
        <w:spacing w:after="0" w:line="143" w:lineRule="exact"/>
        <w:rPr>
          <w:sz w:val="20"/>
          <w:szCs w:val="20"/>
          <w:color w:val="auto"/>
        </w:rPr>
      </w:pPr>
    </w:p>
    <w:p>
      <w:pPr>
        <w:ind w:right="120" w:firstLine="439"/>
        <w:spacing w:after="0" w:line="297" w:lineRule="auto"/>
        <w:rPr>
          <w:sz w:val="20"/>
          <w:szCs w:val="20"/>
          <w:color w:val="auto"/>
        </w:rPr>
      </w:pPr>
      <w:r>
        <w:rPr>
          <w:rFonts w:ascii="Arial" w:cs="Arial" w:eastAsia="Arial" w:hAnsi="Arial"/>
          <w:sz w:val="16"/>
          <w:szCs w:val="16"/>
          <w:color w:val="auto"/>
        </w:rPr>
        <w:t>Subject to the limitations noted above, 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18" w:lineRule="exact"/>
        <w:rPr>
          <w:sz w:val="20"/>
          <w:szCs w:val="20"/>
          <w:color w:val="auto"/>
        </w:rPr>
      </w:pPr>
    </w:p>
    <w:p>
      <w:pPr>
        <w:ind w:right="40" w:firstLine="439"/>
        <w:spacing w:after="0" w:line="273" w:lineRule="auto"/>
        <w:rPr>
          <w:sz w:val="20"/>
          <w:szCs w:val="20"/>
          <w:color w:val="auto"/>
        </w:rPr>
      </w:pPr>
      <w:r>
        <w:rPr>
          <w:rFonts w:ascii="Arial" w:cs="Arial" w:eastAsia="Arial" w:hAnsi="Arial"/>
          <w:sz w:val="17"/>
          <w:szCs w:val="17"/>
          <w:color w:val="auto"/>
        </w:rPr>
        <w:t>Values derived for the Asset Manager Affiliates using comparable public/private companies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5" w:name="page46"/>
    <w:bookmarkEnd w:id="45"/>
    <w:p>
      <w:pPr>
        <w:ind w:right="160" w:firstLine="439"/>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Six Months Ended June 30, 2019</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85"/>
              </w:rPr>
              <w:t>Asset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Debt</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8"/>
              </w:rPr>
              <w:t>CLO Fund</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Manager</w:t>
            </w:r>
          </w:p>
        </w:tc>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Joint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Securities</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Securities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Securities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Affiliate</w:t>
            </w:r>
          </w:p>
        </w:tc>
        <w:tc>
          <w:tcPr>
            <w:tcW w:w="10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Ventures</w:t>
            </w:r>
          </w:p>
        </w:tc>
        <w:tc>
          <w:tcPr>
            <w:tcW w:w="10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106,741,671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44,325,000</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$ 2,038,020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3,470,000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18,390,440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174,965,131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(3,228,619)</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(3,228,619)</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Level III²</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22,395,478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22,395,478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Net accretion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48,238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3,278,804</w:t>
            </w: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3,327,042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24,490,354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6,228,000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30,718,354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Sales/Paydowns/Return of Capital</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(13,017,162)</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(8,863,189)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(80,640)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(21,960,991)</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Total realized loss included in earnings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4"/>
              </w:rPr>
              <w:t>(10,114,640)</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(595,571)</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(1,642,282)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1"/>
              </w:rPr>
              <w:t>(3,470,000)</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4"/>
              </w:rPr>
              <w:t>(15,822,493)</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Change in unrealized gain (loss) included in earnings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(4,689,199)</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1,861,437</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(4,899,412)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4,022,918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(3,704,256)</w:t>
            </w: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122,626,122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40,006,481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$ 1,643,686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22,413,358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186,689,647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w w:val="93"/>
              </w:rPr>
              <w:t>Changes in unrealized gains (losses) included in earnings</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related to investments still held at reporting date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(8,337,651)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1,861,437</w:t>
            </w: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(4,899,412)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4,022,918</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(7,352,708)</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right="120" w:hanging="432"/>
        <w:spacing w:after="0" w:line="258" w:lineRule="auto"/>
        <w:tabs>
          <w:tab w:leader="none" w:pos="440" w:val="left"/>
        </w:tabs>
        <w:numPr>
          <w:ilvl w:val="0"/>
          <w:numId w:val="60"/>
        </w:numPr>
        <w:rPr>
          <w:rFonts w:ascii="Arial" w:cs="Arial" w:eastAsia="Arial" w:hAnsi="Arial"/>
          <w:sz w:val="15"/>
          <w:szCs w:val="15"/>
          <w:color w:val="auto"/>
        </w:rPr>
      </w:pPr>
      <w:r>
        <w:rPr>
          <w:rFonts w:ascii="Arial" w:cs="Arial" w:eastAsia="Arial" w:hAnsi="Arial"/>
          <w:sz w:val="18"/>
          <w:szCs w:val="18"/>
          <w:color w:val="auto"/>
        </w:rPr>
        <w:t>Transfers out of Level III represent a transfer of $3.2 million relating to debt securities for which pricing inputs, other than their quoted prices in active markets were observable as of June 30, 2019</w:t>
      </w:r>
    </w:p>
    <w:p>
      <w:pPr>
        <w:ind w:left="440" w:right="160" w:hanging="432"/>
        <w:spacing w:after="0" w:line="262" w:lineRule="auto"/>
        <w:tabs>
          <w:tab w:leader="none" w:pos="440" w:val="left"/>
        </w:tabs>
        <w:numPr>
          <w:ilvl w:val="0"/>
          <w:numId w:val="61"/>
        </w:numPr>
        <w:rPr>
          <w:rFonts w:ascii="Arial" w:cs="Arial" w:eastAsia="Arial" w:hAnsi="Arial"/>
          <w:sz w:val="15"/>
          <w:szCs w:val="15"/>
          <w:color w:val="auto"/>
        </w:rPr>
      </w:pPr>
      <w:r>
        <w:rPr>
          <w:rFonts w:ascii="Arial" w:cs="Arial" w:eastAsia="Arial" w:hAnsi="Arial"/>
          <w:sz w:val="18"/>
          <w:szCs w:val="18"/>
          <w:color w:val="auto"/>
        </w:rPr>
        <w:t>Transfers into Level III represent a transfer of $22.4 million relating to debt securities for which pricing inputs, other than their quoted prices in active markets were unobservable as of June 30, 2019.</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8"/>
                <w:szCs w:val="18"/>
                <w:b w:val="1"/>
                <w:bCs w:val="1"/>
                <w:color w:val="auto"/>
                <w:w w:val="90"/>
              </w:rPr>
              <w:t>Year Ended December 31, 2018</w:t>
            </w: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60"/>
              <w:spacing w:after="0" w:line="205" w:lineRule="exact"/>
              <w:rPr>
                <w:sz w:val="20"/>
                <w:szCs w:val="20"/>
                <w:color w:val="auto"/>
              </w:rPr>
            </w:pPr>
            <w:r>
              <w:rPr>
                <w:rFonts w:ascii="Arial" w:cs="Arial" w:eastAsia="Arial" w:hAnsi="Arial"/>
                <w:sz w:val="18"/>
                <w:szCs w:val="18"/>
                <w:b w:val="1"/>
                <w:bCs w:val="1"/>
                <w:color w:val="auto"/>
                <w:w w:val="85"/>
              </w:rPr>
              <w:t>Asset</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CLO Fund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Manager</w:t>
            </w: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Joint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Securities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Securities</w:t>
            </w:r>
          </w:p>
        </w:tc>
        <w:tc>
          <w:tcPr>
            <w:tcW w:w="180" w:type="dxa"/>
            <w:vAlign w:val="bottom"/>
          </w:tcPr>
          <w:p>
            <w:pPr>
              <w:spacing w:after="0"/>
              <w:rPr>
                <w:sz w:val="20"/>
                <w:szCs w:val="20"/>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Securities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Affiliate</w:t>
            </w:r>
          </w:p>
        </w:tc>
        <w:tc>
          <w:tcPr>
            <w:tcW w:w="8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Venture</w:t>
            </w: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69,885,455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51,678,673</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4,414,684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38,849,000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$21,516,000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186,343,812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(230,732)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(230,732)</w:t>
            </w: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Level III²</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16,474,663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16,474,663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Net accretion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125,614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5,878,260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6,003,874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38,099,644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12,781,528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50,881,172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Sales/Paydowns/Return of Capital</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(11,116,360)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2"/>
              </w:rPr>
              <w:t>(19,033,322)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(1,093,244)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(34,800,000)</w:t>
            </w: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(66,042,926)</w:t>
            </w: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Total realized gain included in earnings</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(51,674)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(16,484,872)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(16,536,546)</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(6,444,939)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9,504,733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(1,283,420)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(579,000)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(3,125,560)</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(1,928,186)</w:t>
            </w: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106,741,671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44,325,000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2,038,020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3,470,000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18,390,440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174,965,131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Changes in unrealized gains (losses) included in</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w w:val="96"/>
              </w:rPr>
              <w:t>earnings related to investments still held at reporting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date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(5,197,940)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6,631,424</w:t>
            </w:r>
          </w:p>
        </w:tc>
        <w:tc>
          <w:tcPr>
            <w:tcW w:w="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(1,283,420)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(579,000)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 (3,125,560)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(3,554,496)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right="420" w:hanging="432"/>
        <w:spacing w:after="0" w:line="258" w:lineRule="auto"/>
        <w:tabs>
          <w:tab w:leader="none" w:pos="440" w:val="left"/>
        </w:tabs>
        <w:numPr>
          <w:ilvl w:val="0"/>
          <w:numId w:val="62"/>
        </w:numPr>
        <w:rPr>
          <w:rFonts w:ascii="Arial" w:cs="Arial" w:eastAsia="Arial" w:hAnsi="Arial"/>
          <w:sz w:val="15"/>
          <w:szCs w:val="15"/>
          <w:color w:val="auto"/>
        </w:rPr>
      </w:pPr>
      <w:r>
        <w:rPr>
          <w:rFonts w:ascii="Arial" w:cs="Arial" w:eastAsia="Arial" w:hAnsi="Arial"/>
          <w:sz w:val="18"/>
          <w:szCs w:val="18"/>
          <w:color w:val="auto"/>
        </w:rPr>
        <w:t>Transfers out of Level III represent a transfer of $230 thousand relating to debt securities for which pricing inputs, other than their quoted prices in active markets were observable as of December 31, 2018.</w:t>
      </w:r>
    </w:p>
    <w:p>
      <w:pPr>
        <w:ind w:left="440" w:right="160" w:hanging="432"/>
        <w:spacing w:after="0" w:line="262" w:lineRule="auto"/>
        <w:tabs>
          <w:tab w:leader="none" w:pos="440" w:val="left"/>
        </w:tabs>
        <w:numPr>
          <w:ilvl w:val="0"/>
          <w:numId w:val="63"/>
        </w:numPr>
        <w:rPr>
          <w:rFonts w:ascii="Arial" w:cs="Arial" w:eastAsia="Arial" w:hAnsi="Arial"/>
          <w:sz w:val="15"/>
          <w:szCs w:val="15"/>
          <w:color w:val="auto"/>
        </w:rPr>
      </w:pPr>
      <w:r>
        <w:rPr>
          <w:rFonts w:ascii="Arial" w:cs="Arial" w:eastAsia="Arial" w:hAnsi="Arial"/>
          <w:sz w:val="18"/>
          <w:szCs w:val="18"/>
          <w:color w:val="auto"/>
        </w:rPr>
        <w:t>Transfers into Level III represent a transfer of $16.5 million relating to debt securities for which pricing inputs, other than their quoted prices in active markets were unobservable as of December 31, 2018.</w:t>
      </w:r>
    </w:p>
    <w:p>
      <w:pPr>
        <w:spacing w:after="0" w:line="143" w:lineRule="exact"/>
        <w:rPr>
          <w:sz w:val="20"/>
          <w:szCs w:val="20"/>
          <w:color w:val="auto"/>
        </w:rPr>
      </w:pPr>
    </w:p>
    <w:p>
      <w:pPr>
        <w:ind w:right="20" w:firstLine="439"/>
        <w:spacing w:after="0" w:line="288" w:lineRule="auto"/>
        <w:rPr>
          <w:sz w:val="20"/>
          <w:szCs w:val="20"/>
          <w:color w:val="auto"/>
        </w:rPr>
      </w:pPr>
      <w:r>
        <w:rPr>
          <w:rFonts w:ascii="Arial" w:cs="Arial" w:eastAsia="Arial" w:hAnsi="Arial"/>
          <w:sz w:val="16"/>
          <w:szCs w:val="16"/>
          <w:color w:val="auto"/>
        </w:rPr>
        <w:t>As of June 30, 2019 and December 31, 2018,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w:t>
      </w:r>
    </w:p>
    <w:p>
      <w:pPr>
        <w:ind w:left="5620" w:right="2860" w:hanging="5612"/>
        <w:spacing w:after="0" w:line="511" w:lineRule="auto"/>
        <w:tabs>
          <w:tab w:leader="none" w:pos="169" w:val="left"/>
        </w:tabs>
        <w:numPr>
          <w:ilvl w:val="0"/>
          <w:numId w:val="64"/>
        </w:numPr>
        <w:rPr>
          <w:rFonts w:ascii="Arial" w:cs="Arial" w:eastAsia="Arial" w:hAnsi="Arial"/>
          <w:sz w:val="18"/>
          <w:szCs w:val="18"/>
          <w:color w:val="auto"/>
        </w:rPr>
      </w:pPr>
      <w:r>
        <w:rPr>
          <w:rFonts w:ascii="Arial" w:cs="Arial" w:eastAsia="Arial" w:hAnsi="Arial"/>
          <w:sz w:val="18"/>
          <w:szCs w:val="18"/>
          <w:color w:val="auto"/>
        </w:rPr>
        <w:t>portfolio investments was $70.1 million and $75.9 million as of June 30, 2019 and December 31, 2018, respectively.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7" w:name="page48"/>
    <w:bookmarkEnd w:id="47"/>
    <w:p>
      <w:pPr>
        <w:ind w:left="440"/>
        <w:spacing w:after="0"/>
        <w:rPr>
          <w:sz w:val="20"/>
          <w:szCs w:val="20"/>
          <w:color w:val="auto"/>
        </w:rPr>
      </w:pPr>
      <w:r>
        <w:rPr>
          <w:rFonts w:ascii="Arial" w:cs="Arial" w:eastAsia="Arial" w:hAnsi="Arial"/>
          <w:sz w:val="18"/>
          <w:szCs w:val="18"/>
          <w:color w:val="auto"/>
        </w:rPr>
        <w:t>As of June 30, 2019,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080" w:type="dxa"/>
            <w:vAlign w:val="bottom"/>
            <w:tcBorders>
              <w:top w:val="single" w:sz="8" w:color="auto"/>
              <w:left w:val="single" w:sz="8" w:color="auto"/>
              <w:right w:val="single" w:sz="8" w:color="auto"/>
            </w:tcBorders>
            <w:shd w:val="clear" w:color="auto" w:fill="DAEEF3"/>
          </w:tcPr>
          <w:p>
            <w:pPr>
              <w:spacing w:after="0"/>
              <w:rPr>
                <w:sz w:val="19"/>
                <w:szCs w:val="19"/>
                <w:color w:val="auto"/>
              </w:rPr>
            </w:pPr>
          </w:p>
        </w:tc>
        <w:tc>
          <w:tcPr>
            <w:tcW w:w="340" w:type="dxa"/>
            <w:vAlign w:val="bottom"/>
            <w:tcBorders>
              <w:top w:val="single" w:sz="8" w:color="auto"/>
            </w:tcBorders>
            <w:shd w:val="clear" w:color="auto" w:fill="DAEEF3"/>
          </w:tcPr>
          <w:p>
            <w:pPr>
              <w:spacing w:after="0"/>
              <w:rPr>
                <w:sz w:val="19"/>
                <w:szCs w:val="19"/>
                <w:color w:val="auto"/>
              </w:rPr>
            </w:pPr>
          </w:p>
        </w:tc>
        <w:tc>
          <w:tcPr>
            <w:tcW w:w="1440" w:type="dxa"/>
            <w:vAlign w:val="bottom"/>
            <w:tcBorders>
              <w:top w:val="single" w:sz="8" w:color="auto"/>
              <w:right w:val="single" w:sz="8" w:color="auto"/>
            </w:tcBorders>
            <w:shd w:val="clear" w:color="auto" w:fill="DAEEF3"/>
          </w:tcPr>
          <w:p>
            <w:pPr>
              <w:spacing w:after="0"/>
              <w:rPr>
                <w:sz w:val="19"/>
                <w:szCs w:val="19"/>
                <w:color w:val="auto"/>
              </w:rPr>
            </w:pPr>
          </w:p>
        </w:tc>
        <w:tc>
          <w:tcPr>
            <w:tcW w:w="1800" w:type="dxa"/>
            <w:vAlign w:val="bottom"/>
            <w:tcBorders>
              <w:top w:val="single" w:sz="8" w:color="auto"/>
              <w:right w:val="single" w:sz="8" w:color="auto"/>
            </w:tcBorders>
            <w:shd w:val="clear" w:color="auto" w:fill="DAEEF3"/>
          </w:tcPr>
          <w:p>
            <w:pPr>
              <w:ind w:left="240"/>
              <w:spacing w:after="0"/>
              <w:rPr>
                <w:sz w:val="20"/>
                <w:szCs w:val="20"/>
                <w:color w:val="auto"/>
              </w:rPr>
            </w:pPr>
            <w:r>
              <w:rPr>
                <w:rFonts w:ascii="Arial" w:cs="Arial" w:eastAsia="Arial" w:hAnsi="Arial"/>
                <w:sz w:val="18"/>
                <w:szCs w:val="18"/>
                <w:b w:val="1"/>
                <w:bCs w:val="1"/>
                <w:color w:val="auto"/>
                <w:w w:val="99"/>
              </w:rPr>
              <w:t>Primary Valuation</w:t>
            </w:r>
          </w:p>
        </w:tc>
        <w:tc>
          <w:tcPr>
            <w:tcW w:w="1800" w:type="dxa"/>
            <w:vAlign w:val="bottom"/>
            <w:tcBorders>
              <w:top w:val="single" w:sz="8" w:color="auto"/>
              <w:right w:val="single" w:sz="8" w:color="auto"/>
            </w:tcBorders>
            <w:shd w:val="clear" w:color="auto" w:fill="DAEEF3"/>
          </w:tcPr>
          <w:p>
            <w:pPr>
              <w:ind w:left="420"/>
              <w:spacing w:after="0"/>
              <w:rPr>
                <w:sz w:val="20"/>
                <w:szCs w:val="20"/>
                <w:color w:val="auto"/>
              </w:rPr>
            </w:pPr>
            <w:r>
              <w:rPr>
                <w:rFonts w:ascii="Arial" w:cs="Arial" w:eastAsia="Arial" w:hAnsi="Arial"/>
                <w:sz w:val="18"/>
                <w:szCs w:val="18"/>
                <w:b w:val="1"/>
                <w:bCs w:val="1"/>
                <w:color w:val="auto"/>
              </w:rPr>
              <w:t>Unobservable</w:t>
            </w:r>
          </w:p>
        </w:tc>
        <w:tc>
          <w:tcPr>
            <w:tcW w:w="1960" w:type="dxa"/>
            <w:vAlign w:val="bottom"/>
            <w:tcBorders>
              <w:top w:val="single" w:sz="8" w:color="auto"/>
              <w:right w:val="single" w:sz="8" w:color="auto"/>
            </w:tcBorders>
            <w:shd w:val="clear" w:color="auto" w:fill="DAEEF3"/>
          </w:tcPr>
          <w:p>
            <w:pPr>
              <w:ind w:left="420"/>
              <w:spacing w:after="0"/>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234"/>
        </w:trPr>
        <w:tc>
          <w:tcPr>
            <w:tcW w:w="4080" w:type="dxa"/>
            <w:vAlign w:val="bottom"/>
            <w:tcBorders>
              <w:left w:val="single" w:sz="8" w:color="auto"/>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8"/>
                <w:szCs w:val="18"/>
                <w:b w:val="1"/>
                <w:bCs w:val="1"/>
                <w:color w:val="auto"/>
                <w:w w:val="90"/>
              </w:rPr>
              <w:t>Type</w:t>
            </w:r>
          </w:p>
        </w:tc>
        <w:tc>
          <w:tcPr>
            <w:tcW w:w="340" w:type="dxa"/>
            <w:vAlign w:val="bottom"/>
            <w:tcBorders>
              <w:bottom w:val="single" w:sz="8" w:color="auto"/>
            </w:tcBorders>
            <w:shd w:val="clear" w:color="auto" w:fill="DAEEF3"/>
          </w:tcPr>
          <w:p>
            <w:pPr>
              <w:spacing w:after="0"/>
              <w:rPr>
                <w:sz w:val="20"/>
                <w:szCs w:val="20"/>
                <w:color w:val="auto"/>
              </w:rPr>
            </w:pPr>
          </w:p>
        </w:tc>
        <w:tc>
          <w:tcPr>
            <w:tcW w:w="1440" w:type="dxa"/>
            <w:vAlign w:val="bottom"/>
            <w:tcBorders>
              <w:bottom w:val="single" w:sz="8" w:color="auto"/>
              <w:right w:val="single" w:sz="8" w:color="auto"/>
            </w:tcBorders>
            <w:shd w:val="clear" w:color="auto" w:fill="DAEEF3"/>
          </w:tcPr>
          <w:p>
            <w:pPr>
              <w:jc w:val="right"/>
              <w:ind w:right="410"/>
              <w:spacing w:after="0"/>
              <w:rPr>
                <w:sz w:val="20"/>
                <w:szCs w:val="20"/>
                <w:color w:val="auto"/>
              </w:rPr>
            </w:pPr>
            <w:r>
              <w:rPr>
                <w:rFonts w:ascii="Arial" w:cs="Arial" w:eastAsia="Arial" w:hAnsi="Arial"/>
                <w:sz w:val="18"/>
                <w:szCs w:val="18"/>
                <w:b w:val="1"/>
                <w:bCs w:val="1"/>
                <w:color w:val="auto"/>
              </w:rPr>
              <w:t>Fair Value</w:t>
            </w:r>
          </w:p>
        </w:tc>
        <w:tc>
          <w:tcPr>
            <w:tcW w:w="1800" w:type="dxa"/>
            <w:vAlign w:val="bottom"/>
            <w:tcBorders>
              <w:bottom w:val="single" w:sz="8" w:color="auto"/>
              <w:right w:val="single" w:sz="8" w:color="auto"/>
            </w:tcBorders>
            <w:shd w:val="clear" w:color="auto" w:fill="DAEEF3"/>
          </w:tcPr>
          <w:p>
            <w:pPr>
              <w:ind w:left="440"/>
              <w:spacing w:after="0"/>
              <w:rPr>
                <w:sz w:val="20"/>
                <w:szCs w:val="20"/>
                <w:color w:val="auto"/>
              </w:rPr>
            </w:pPr>
            <w:r>
              <w:rPr>
                <w:rFonts w:ascii="Arial" w:cs="Arial" w:eastAsia="Arial" w:hAnsi="Arial"/>
                <w:sz w:val="18"/>
                <w:szCs w:val="18"/>
                <w:b w:val="1"/>
                <w:bCs w:val="1"/>
                <w:color w:val="auto"/>
              </w:rPr>
              <w:t>Methodology</w:t>
            </w:r>
          </w:p>
        </w:tc>
        <w:tc>
          <w:tcPr>
            <w:tcW w:w="1800" w:type="dxa"/>
            <w:vAlign w:val="bottom"/>
            <w:tcBorders>
              <w:bottom w:val="single" w:sz="8" w:color="auto"/>
              <w:right w:val="single" w:sz="8" w:color="auto"/>
            </w:tcBorders>
            <w:shd w:val="clear" w:color="auto" w:fill="DAEEF3"/>
          </w:tcPr>
          <w:p>
            <w:pPr>
              <w:ind w:left="700"/>
              <w:spacing w:after="0"/>
              <w:rPr>
                <w:sz w:val="20"/>
                <w:szCs w:val="20"/>
                <w:color w:val="auto"/>
              </w:rPr>
            </w:pPr>
            <w:r>
              <w:rPr>
                <w:rFonts w:ascii="Arial" w:cs="Arial" w:eastAsia="Arial" w:hAnsi="Arial"/>
                <w:sz w:val="18"/>
                <w:szCs w:val="18"/>
                <w:b w:val="1"/>
                <w:bCs w:val="1"/>
                <w:color w:val="auto"/>
              </w:rPr>
              <w:t>Inputs</w:t>
            </w:r>
          </w:p>
        </w:tc>
        <w:tc>
          <w:tcPr>
            <w:tcW w:w="1960" w:type="dxa"/>
            <w:vAlign w:val="bottom"/>
            <w:tcBorders>
              <w:bottom w:val="single" w:sz="8" w:color="auto"/>
              <w:right w:val="single" w:sz="8" w:color="auto"/>
            </w:tcBorders>
            <w:shd w:val="clear" w:color="auto" w:fill="DAEEF3"/>
          </w:tcPr>
          <w:p>
            <w:pPr>
              <w:ind w:left="280"/>
              <w:spacing w:after="0"/>
              <w:rPr>
                <w:sz w:val="20"/>
                <w:szCs w:val="20"/>
                <w:color w:val="auto"/>
              </w:rPr>
            </w:pPr>
            <w:r>
              <w:rPr>
                <w:rFonts w:ascii="Arial" w:cs="Arial" w:eastAsia="Arial" w:hAnsi="Arial"/>
                <w:sz w:val="18"/>
                <w:szCs w:val="18"/>
                <w:b w:val="1"/>
                <w:bCs w:val="1"/>
                <w:color w:val="auto"/>
                <w:w w:val="97"/>
              </w:rPr>
              <w:t>(Weighted Average)</w:t>
            </w:r>
          </w:p>
        </w:tc>
        <w:tc>
          <w:tcPr>
            <w:tcW w:w="0" w:type="dxa"/>
            <w:vAlign w:val="bottom"/>
          </w:tcPr>
          <w:p>
            <w:pPr>
              <w:spacing w:after="0"/>
              <w:rPr>
                <w:sz w:val="1"/>
                <w:szCs w:val="1"/>
                <w:color w:val="auto"/>
              </w:rPr>
            </w:pPr>
          </w:p>
        </w:tc>
      </w:tr>
      <w:tr>
        <w:trPr>
          <w:trHeight w:val="209"/>
        </w:trPr>
        <w:tc>
          <w:tcPr>
            <w:tcW w:w="4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Debt Securities</w:t>
            </w:r>
          </w:p>
        </w:tc>
        <w:tc>
          <w:tcPr>
            <w:tcW w:w="3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Average</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vMerge w:val="continue"/>
          </w:tcPr>
          <w:p>
            <w:pPr>
              <w:spacing w:after="0"/>
              <w:rPr>
                <w:sz w:val="18"/>
                <w:szCs w:val="18"/>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424,821</w:t>
            </w:r>
          </w:p>
        </w:tc>
        <w:tc>
          <w:tcPr>
            <w:tcW w:w="18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Enterprise Value</w:t>
            </w:r>
          </w:p>
        </w:tc>
        <w:tc>
          <w:tcPr>
            <w:tcW w:w="1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EBITDA</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Borders>
              <w:left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Multiple</w:t>
            </w:r>
          </w:p>
        </w:tc>
        <w:tc>
          <w:tcPr>
            <w:tcW w:w="1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4.8x-8.0x (6.1x)</w:t>
            </w:r>
          </w:p>
        </w:tc>
        <w:tc>
          <w:tcPr>
            <w:tcW w:w="0" w:type="dxa"/>
            <w:vAlign w:val="bottom"/>
          </w:tcPr>
          <w:p>
            <w:pPr>
              <w:spacing w:after="0"/>
              <w:rPr>
                <w:sz w:val="1"/>
                <w:szCs w:val="1"/>
                <w:color w:val="auto"/>
              </w:rPr>
            </w:pPr>
          </w:p>
        </w:tc>
      </w:tr>
      <w:tr>
        <w:trPr>
          <w:trHeight w:val="209"/>
        </w:trPr>
        <w:tc>
          <w:tcPr>
            <w:tcW w:w="40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122,201,301</w:t>
            </w:r>
          </w:p>
        </w:tc>
        <w:tc>
          <w:tcPr>
            <w:tcW w:w="18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Income Approach</w:t>
            </w:r>
          </w:p>
        </w:tc>
        <w:tc>
          <w:tcPr>
            <w:tcW w:w="1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Implied</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080" w:type="dxa"/>
            <w:vAlign w:val="bottom"/>
            <w:tcBorders>
              <w:left w:val="single" w:sz="8" w:color="auto"/>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Discount Rate</w:t>
            </w:r>
          </w:p>
        </w:tc>
        <w:tc>
          <w:tcPr>
            <w:tcW w:w="19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w w:val="99"/>
              </w:rPr>
              <w:t>6.9% – 20.0% (10.0)%</w:t>
            </w:r>
          </w:p>
        </w:tc>
        <w:tc>
          <w:tcPr>
            <w:tcW w:w="0" w:type="dxa"/>
            <w:vAlign w:val="bottom"/>
          </w:tcPr>
          <w:p>
            <w:pPr>
              <w:spacing w:after="0"/>
              <w:rPr>
                <w:sz w:val="1"/>
                <w:szCs w:val="1"/>
                <w:color w:val="auto"/>
              </w:rPr>
            </w:pPr>
          </w:p>
        </w:tc>
      </w:tr>
      <w:tr>
        <w:trPr>
          <w:trHeight w:val="108"/>
        </w:trPr>
        <w:tc>
          <w:tcPr>
            <w:tcW w:w="4080" w:type="dxa"/>
            <w:vAlign w:val="bottom"/>
            <w:tcBorders>
              <w:left w:val="single" w:sz="8" w:color="auto"/>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Average</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Equity Securities</w:t>
            </w:r>
          </w:p>
        </w:tc>
        <w:tc>
          <w:tcPr>
            <w:tcW w:w="340" w:type="dxa"/>
            <w:vAlign w:val="bottom"/>
          </w:tcPr>
          <w:p>
            <w:pPr>
              <w:spacing w:after="0"/>
              <w:rPr>
                <w:sz w:val="18"/>
                <w:szCs w:val="18"/>
                <w:color w:val="auto"/>
              </w:rPr>
            </w:pPr>
          </w:p>
        </w:tc>
        <w:tc>
          <w:tcPr>
            <w:tcW w:w="14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1,638,685</w:t>
            </w:r>
          </w:p>
        </w:tc>
        <w:tc>
          <w:tcPr>
            <w:tcW w:w="18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Enterprise Value</w:t>
            </w:r>
          </w:p>
        </w:tc>
        <w:tc>
          <w:tcPr>
            <w:tcW w:w="1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EBITDA</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080" w:type="dxa"/>
            <w:vAlign w:val="bottom"/>
            <w:tcBorders>
              <w:left w:val="single" w:sz="8" w:color="auto"/>
              <w:right w:val="single" w:sz="8" w:color="auto"/>
            </w:tcBorders>
            <w:vMerge w:val="continue"/>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Multiple /</w:t>
            </w:r>
          </w:p>
        </w:tc>
        <w:tc>
          <w:tcPr>
            <w:tcW w:w="1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80" w:type="dxa"/>
            <w:vAlign w:val="bottom"/>
            <w:tcBorders>
              <w:left w:val="single" w:sz="8" w:color="auto"/>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080" w:type="dxa"/>
            <w:vAlign w:val="bottom"/>
            <w:tcBorders>
              <w:left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WACC</w:t>
            </w:r>
          </w:p>
        </w:tc>
        <w:tc>
          <w:tcPr>
            <w:tcW w:w="1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2"/>
              </w:rPr>
              <w:t>4.1x – 9.4x (6.8x) 13.4%</w:t>
            </w:r>
          </w:p>
        </w:tc>
        <w:tc>
          <w:tcPr>
            <w:tcW w:w="0" w:type="dxa"/>
            <w:vAlign w:val="bottom"/>
          </w:tcPr>
          <w:p>
            <w:pPr>
              <w:spacing w:after="0"/>
              <w:rPr>
                <w:sz w:val="1"/>
                <w:szCs w:val="1"/>
                <w:color w:val="auto"/>
              </w:rPr>
            </w:pPr>
          </w:p>
        </w:tc>
      </w:tr>
      <w:tr>
        <w:trPr>
          <w:trHeight w:val="209"/>
        </w:trPr>
        <w:tc>
          <w:tcPr>
            <w:tcW w:w="40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5,000</w:t>
            </w:r>
          </w:p>
        </w:tc>
        <w:tc>
          <w:tcPr>
            <w:tcW w:w="18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Options Value</w:t>
            </w:r>
          </w:p>
        </w:tc>
        <w:tc>
          <w:tcPr>
            <w:tcW w:w="1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Qualitative</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080" w:type="dxa"/>
            <w:vAlign w:val="bottom"/>
            <w:tcBorders>
              <w:left w:val="single" w:sz="8" w:color="auto"/>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Inputs</w:t>
            </w:r>
            <w:r>
              <w:rPr>
                <w:rFonts w:ascii="Arial" w:cs="Arial" w:eastAsia="Arial" w:hAnsi="Arial"/>
                <w:sz w:val="15"/>
                <w:szCs w:val="15"/>
                <w:color w:val="auto"/>
              </w:rPr>
              <w:t>(1)</w:t>
            </w:r>
          </w:p>
        </w:tc>
        <w:tc>
          <w:tcPr>
            <w:tcW w:w="1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80" w:type="dxa"/>
            <w:vAlign w:val="bottom"/>
            <w:tcBorders>
              <w:left w:val="single" w:sz="8" w:color="auto"/>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080" w:type="dxa"/>
            <w:vAlign w:val="bottom"/>
            <w:tcBorders>
              <w:left w:val="single" w:sz="8" w:color="auto"/>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Discount Rate</w:t>
            </w:r>
          </w:p>
        </w:tc>
        <w:tc>
          <w:tcPr>
            <w:tcW w:w="1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13.3%-13.8% (13.6%)</w:t>
            </w:r>
          </w:p>
        </w:tc>
        <w:tc>
          <w:tcPr>
            <w:tcW w:w="0" w:type="dxa"/>
            <w:vAlign w:val="bottom"/>
          </w:tcPr>
          <w:p>
            <w:pPr>
              <w:spacing w:after="0"/>
              <w:rPr>
                <w:sz w:val="1"/>
                <w:szCs w:val="1"/>
                <w:color w:val="auto"/>
              </w:rPr>
            </w:pPr>
          </w:p>
        </w:tc>
      </w:tr>
      <w:tr>
        <w:trPr>
          <w:trHeight w:val="209"/>
        </w:trPr>
        <w:tc>
          <w:tcPr>
            <w:tcW w:w="40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Probability of</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Borders>
              <w:left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Default</w:t>
            </w:r>
          </w:p>
        </w:tc>
        <w:tc>
          <w:tcPr>
            <w:tcW w:w="1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 (1.5%)</w:t>
            </w:r>
          </w:p>
        </w:tc>
        <w:tc>
          <w:tcPr>
            <w:tcW w:w="0" w:type="dxa"/>
            <w:vAlign w:val="bottom"/>
          </w:tcPr>
          <w:p>
            <w:pPr>
              <w:spacing w:after="0"/>
              <w:rPr>
                <w:sz w:val="1"/>
                <w:szCs w:val="1"/>
                <w:color w:val="auto"/>
              </w:rPr>
            </w:pPr>
          </w:p>
        </w:tc>
      </w:tr>
      <w:tr>
        <w:trPr>
          <w:trHeight w:val="209"/>
        </w:trPr>
        <w:tc>
          <w:tcPr>
            <w:tcW w:w="40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39,637,201</w:t>
            </w:r>
          </w:p>
        </w:tc>
        <w:tc>
          <w:tcPr>
            <w:tcW w:w="18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Discounted Cash</w:t>
            </w:r>
          </w:p>
        </w:tc>
        <w:tc>
          <w:tcPr>
            <w:tcW w:w="18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080" w:type="dxa"/>
            <w:vAlign w:val="bottom"/>
            <w:tcBorders>
              <w:left w:val="single" w:sz="8" w:color="auto"/>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Flow</w:t>
            </w:r>
          </w:p>
        </w:tc>
        <w:tc>
          <w:tcPr>
            <w:tcW w:w="18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Loss Severity</w:t>
            </w:r>
          </w:p>
        </w:tc>
        <w:tc>
          <w:tcPr>
            <w:tcW w:w="19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20.0%-39.5% (29.9%)</w:t>
            </w:r>
          </w:p>
        </w:tc>
        <w:tc>
          <w:tcPr>
            <w:tcW w:w="0" w:type="dxa"/>
            <w:vAlign w:val="bottom"/>
          </w:tcPr>
          <w:p>
            <w:pPr>
              <w:spacing w:after="0"/>
              <w:rPr>
                <w:sz w:val="1"/>
                <w:szCs w:val="1"/>
                <w:color w:val="auto"/>
              </w:rPr>
            </w:pPr>
          </w:p>
        </w:tc>
      </w:tr>
      <w:tr>
        <w:trPr>
          <w:trHeight w:val="113"/>
        </w:trPr>
        <w:tc>
          <w:tcPr>
            <w:tcW w:w="4080" w:type="dxa"/>
            <w:vAlign w:val="bottom"/>
            <w:tcBorders>
              <w:left w:val="single" w:sz="8" w:color="auto"/>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800" w:type="dxa"/>
            <w:vAlign w:val="bottom"/>
            <w:tcBorders>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34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Recovery Rate</w:t>
            </w:r>
          </w:p>
        </w:tc>
        <w:tc>
          <w:tcPr>
            <w:tcW w:w="1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60.5%-80.0% (70.1%)</w:t>
            </w:r>
          </w:p>
        </w:tc>
        <w:tc>
          <w:tcPr>
            <w:tcW w:w="0" w:type="dxa"/>
            <w:vAlign w:val="bottom"/>
          </w:tcPr>
          <w:p>
            <w:pPr>
              <w:spacing w:after="0"/>
              <w:rPr>
                <w:sz w:val="1"/>
                <w:szCs w:val="1"/>
                <w:color w:val="auto"/>
              </w:rPr>
            </w:pPr>
          </w:p>
        </w:tc>
      </w:tr>
      <w:tr>
        <w:trPr>
          <w:trHeight w:val="209"/>
        </w:trPr>
        <w:tc>
          <w:tcPr>
            <w:tcW w:w="40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Prepayment</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Borders>
              <w:left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Rate</w:t>
            </w:r>
          </w:p>
        </w:tc>
        <w:tc>
          <w:tcPr>
            <w:tcW w:w="1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10.0%-20.0% (15.0%)</w:t>
            </w:r>
          </w:p>
        </w:tc>
        <w:tc>
          <w:tcPr>
            <w:tcW w:w="0" w:type="dxa"/>
            <w:vAlign w:val="bottom"/>
          </w:tcPr>
          <w:p>
            <w:pPr>
              <w:spacing w:after="0"/>
              <w:rPr>
                <w:sz w:val="1"/>
                <w:szCs w:val="1"/>
                <w:color w:val="auto"/>
              </w:rPr>
            </w:pPr>
          </w:p>
        </w:tc>
      </w:tr>
      <w:tr>
        <w:trPr>
          <w:trHeight w:val="209"/>
        </w:trPr>
        <w:tc>
          <w:tcPr>
            <w:tcW w:w="40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369,280</w:t>
            </w:r>
          </w:p>
        </w:tc>
        <w:tc>
          <w:tcPr>
            <w:tcW w:w="18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Liquidation Value</w:t>
            </w:r>
          </w:p>
        </w:tc>
        <w:tc>
          <w:tcPr>
            <w:tcW w:w="1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Qualitative</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080" w:type="dxa"/>
            <w:vAlign w:val="bottom"/>
            <w:tcBorders>
              <w:left w:val="single" w:sz="8" w:color="auto"/>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Inputs</w:t>
            </w:r>
            <w:r>
              <w:rPr>
                <w:rFonts w:ascii="Arial" w:cs="Arial" w:eastAsia="Arial" w:hAnsi="Arial"/>
                <w:sz w:val="15"/>
                <w:szCs w:val="15"/>
                <w:color w:val="auto"/>
              </w:rPr>
              <w:t>(2)</w:t>
            </w:r>
          </w:p>
        </w:tc>
        <w:tc>
          <w:tcPr>
            <w:tcW w:w="1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80" w:type="dxa"/>
            <w:vAlign w:val="bottom"/>
            <w:tcBorders>
              <w:left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Joint Venture</w:t>
            </w:r>
          </w:p>
        </w:tc>
        <w:tc>
          <w:tcPr>
            <w:tcW w:w="34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Underlying</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22,413,358</w:t>
            </w:r>
          </w:p>
        </w:tc>
        <w:tc>
          <w:tcPr>
            <w:tcW w:w="18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Enterprise Value</w:t>
            </w:r>
          </w:p>
        </w:tc>
        <w:tc>
          <w:tcPr>
            <w:tcW w:w="1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NAV of the</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CLO</w:t>
            </w:r>
          </w:p>
        </w:tc>
        <w:tc>
          <w:tcPr>
            <w:tcW w:w="1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3"/>
              </w:rPr>
              <w:t>Total Level III Investments</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186,689,646</w:t>
            </w:r>
          </w:p>
        </w:tc>
        <w:tc>
          <w:tcPr>
            <w:tcW w:w="1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right="180" w:hanging="432"/>
        <w:spacing w:after="0" w:line="291" w:lineRule="auto"/>
        <w:tabs>
          <w:tab w:leader="none" w:pos="440" w:val="left"/>
        </w:tabs>
        <w:numPr>
          <w:ilvl w:val="0"/>
          <w:numId w:val="65"/>
        </w:numPr>
        <w:rPr>
          <w:rFonts w:ascii="Arial" w:cs="Arial" w:eastAsia="Arial" w:hAnsi="Arial"/>
          <w:sz w:val="14"/>
          <w:szCs w:val="14"/>
          <w:color w:val="auto"/>
        </w:rPr>
      </w:pPr>
      <w:r>
        <w:rPr>
          <w:rFonts w:ascii="Arial" w:cs="Arial" w:eastAsia="Arial" w:hAnsi="Arial"/>
          <w:sz w:val="16"/>
          <w:szCs w:val="16"/>
          <w:color w:val="auto"/>
        </w:rPr>
        <w:t>The qualitative inputs used in the fair value measurements of Equity Securities include estimates of the distressed liquidation value of the pledged collateral. In cases where Portman Ridge’s analysis ascribes no residual value to a portfolio company’s equity, Portman Ridge typically elects to mark</w:t>
      </w:r>
    </w:p>
    <w:p>
      <w:pPr>
        <w:ind w:left="440"/>
        <w:spacing w:after="0"/>
        <w:rPr>
          <w:sz w:val="20"/>
          <w:szCs w:val="20"/>
          <w:color w:val="auto"/>
        </w:rPr>
      </w:pPr>
      <w:r>
        <w:rPr>
          <w:rFonts w:ascii="Arial" w:cs="Arial" w:eastAsia="Arial" w:hAnsi="Arial"/>
          <w:sz w:val="18"/>
          <w:szCs w:val="18"/>
          <w:color w:val="auto"/>
        </w:rPr>
        <w:t>its position at a nominal amount to account for the investment’s option value.</w:t>
      </w:r>
    </w:p>
    <w:p>
      <w:pPr>
        <w:spacing w:after="0" w:line="8" w:lineRule="exact"/>
        <w:rPr>
          <w:sz w:val="20"/>
          <w:szCs w:val="20"/>
          <w:color w:val="auto"/>
        </w:rPr>
      </w:pPr>
    </w:p>
    <w:p>
      <w:pPr>
        <w:ind w:left="5620" w:right="3680" w:hanging="5612"/>
        <w:spacing w:after="0" w:line="513" w:lineRule="auto"/>
        <w:tabs>
          <w:tab w:leader="none" w:pos="436" w:val="left"/>
        </w:tabs>
        <w:numPr>
          <w:ilvl w:val="0"/>
          <w:numId w:val="66"/>
        </w:numPr>
        <w:rPr>
          <w:rFonts w:ascii="Arial" w:cs="Arial" w:eastAsia="Arial" w:hAnsi="Arial"/>
          <w:sz w:val="15"/>
          <w:szCs w:val="15"/>
          <w:color w:val="auto"/>
        </w:rPr>
      </w:pPr>
      <w:r>
        <w:rPr>
          <w:rFonts w:ascii="Arial" w:cs="Arial" w:eastAsia="Arial" w:hAnsi="Arial"/>
          <w:sz w:val="18"/>
          <w:szCs w:val="18"/>
          <w:color w:val="auto"/>
        </w:rPr>
        <w:t>The qualitative inputs used in the fair value measurements include the value of the pledged collateral.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8" w:name="page49"/>
    <w:bookmarkEnd w:id="48"/>
    <w:p>
      <w:pPr>
        <w:ind w:left="440"/>
        <w:spacing w:after="0"/>
        <w:rPr>
          <w:sz w:val="20"/>
          <w:szCs w:val="20"/>
          <w:color w:val="auto"/>
        </w:rPr>
      </w:pPr>
      <w:r>
        <w:rPr>
          <w:rFonts w:ascii="Arial" w:cs="Arial" w:eastAsia="Arial" w:hAnsi="Arial"/>
          <w:sz w:val="18"/>
          <w:szCs w:val="18"/>
          <w:color w:val="auto"/>
        </w:rPr>
        <w:t>As of December 31, 2018,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140" w:type="dxa"/>
            <w:vAlign w:val="bottom"/>
            <w:tcBorders>
              <w:top w:val="single" w:sz="8" w:color="auto"/>
              <w:left w:val="single" w:sz="8" w:color="auto"/>
              <w:right w:val="single" w:sz="8" w:color="auto"/>
            </w:tcBorders>
            <w:shd w:val="clear" w:color="auto" w:fill="DAEEF3"/>
          </w:tcPr>
          <w:p>
            <w:pPr>
              <w:spacing w:after="0"/>
              <w:rPr>
                <w:sz w:val="19"/>
                <w:szCs w:val="19"/>
                <w:color w:val="auto"/>
              </w:rPr>
            </w:pPr>
          </w:p>
        </w:tc>
        <w:tc>
          <w:tcPr>
            <w:tcW w:w="360" w:type="dxa"/>
            <w:vAlign w:val="bottom"/>
            <w:tcBorders>
              <w:top w:val="single" w:sz="8" w:color="auto"/>
            </w:tcBorders>
            <w:shd w:val="clear" w:color="auto" w:fill="DAEEF3"/>
          </w:tcPr>
          <w:p>
            <w:pPr>
              <w:spacing w:after="0"/>
              <w:rPr>
                <w:sz w:val="19"/>
                <w:szCs w:val="19"/>
                <w:color w:val="auto"/>
              </w:rPr>
            </w:pPr>
          </w:p>
        </w:tc>
        <w:tc>
          <w:tcPr>
            <w:tcW w:w="1440" w:type="dxa"/>
            <w:vAlign w:val="bottom"/>
            <w:tcBorders>
              <w:top w:val="single" w:sz="8" w:color="auto"/>
              <w:right w:val="single" w:sz="8" w:color="auto"/>
            </w:tcBorders>
            <w:shd w:val="clear" w:color="auto" w:fill="DAEEF3"/>
          </w:tcPr>
          <w:p>
            <w:pPr>
              <w:spacing w:after="0"/>
              <w:rPr>
                <w:sz w:val="19"/>
                <w:szCs w:val="19"/>
                <w:color w:val="auto"/>
              </w:rPr>
            </w:pPr>
          </w:p>
        </w:tc>
        <w:tc>
          <w:tcPr>
            <w:tcW w:w="1820" w:type="dxa"/>
            <w:vAlign w:val="bottom"/>
            <w:tcBorders>
              <w:top w:val="single" w:sz="8" w:color="auto"/>
              <w:right w:val="single" w:sz="8" w:color="auto"/>
            </w:tcBorders>
            <w:shd w:val="clear" w:color="auto" w:fill="DAEEF3"/>
          </w:tcPr>
          <w:p>
            <w:pPr>
              <w:ind w:left="240"/>
              <w:spacing w:after="0"/>
              <w:rPr>
                <w:sz w:val="20"/>
                <w:szCs w:val="20"/>
                <w:color w:val="auto"/>
              </w:rPr>
            </w:pPr>
            <w:r>
              <w:rPr>
                <w:rFonts w:ascii="Arial" w:cs="Arial" w:eastAsia="Arial" w:hAnsi="Arial"/>
                <w:sz w:val="18"/>
                <w:szCs w:val="18"/>
                <w:b w:val="1"/>
                <w:bCs w:val="1"/>
                <w:color w:val="auto"/>
              </w:rPr>
              <w:t>Primary Valuation</w:t>
            </w:r>
          </w:p>
        </w:tc>
        <w:tc>
          <w:tcPr>
            <w:tcW w:w="1820" w:type="dxa"/>
            <w:vAlign w:val="bottom"/>
            <w:tcBorders>
              <w:top w:val="single" w:sz="8" w:color="auto"/>
              <w:right w:val="single" w:sz="8" w:color="auto"/>
            </w:tcBorders>
            <w:shd w:val="clear" w:color="auto" w:fill="DAEEF3"/>
          </w:tcPr>
          <w:p>
            <w:pPr>
              <w:ind w:left="440"/>
              <w:spacing w:after="0"/>
              <w:rPr>
                <w:sz w:val="20"/>
                <w:szCs w:val="20"/>
                <w:color w:val="auto"/>
              </w:rPr>
            </w:pPr>
            <w:r>
              <w:rPr>
                <w:rFonts w:ascii="Arial" w:cs="Arial" w:eastAsia="Arial" w:hAnsi="Arial"/>
                <w:sz w:val="18"/>
                <w:szCs w:val="18"/>
                <w:b w:val="1"/>
                <w:bCs w:val="1"/>
                <w:color w:val="auto"/>
              </w:rPr>
              <w:t>Unobservable</w:t>
            </w:r>
          </w:p>
        </w:tc>
        <w:tc>
          <w:tcPr>
            <w:tcW w:w="1840" w:type="dxa"/>
            <w:vAlign w:val="bottom"/>
            <w:tcBorders>
              <w:top w:val="single" w:sz="8" w:color="auto"/>
              <w:right w:val="single" w:sz="8" w:color="auto"/>
            </w:tcBorders>
            <w:shd w:val="clear" w:color="auto" w:fill="DAEEF3"/>
          </w:tcPr>
          <w:p>
            <w:pPr>
              <w:ind w:left="300"/>
              <w:spacing w:after="0"/>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234"/>
        </w:trPr>
        <w:tc>
          <w:tcPr>
            <w:tcW w:w="4140" w:type="dxa"/>
            <w:vAlign w:val="bottom"/>
            <w:tcBorders>
              <w:left w:val="single" w:sz="8" w:color="auto"/>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8"/>
                <w:szCs w:val="18"/>
                <w:b w:val="1"/>
                <w:bCs w:val="1"/>
                <w:color w:val="auto"/>
                <w:w w:val="85"/>
              </w:rPr>
              <w:t>Type</w:t>
            </w:r>
          </w:p>
        </w:tc>
        <w:tc>
          <w:tcPr>
            <w:tcW w:w="360" w:type="dxa"/>
            <w:vAlign w:val="bottom"/>
            <w:tcBorders>
              <w:bottom w:val="single" w:sz="8" w:color="auto"/>
            </w:tcBorders>
            <w:shd w:val="clear" w:color="auto" w:fill="DAEEF3"/>
          </w:tcPr>
          <w:p>
            <w:pPr>
              <w:spacing w:after="0"/>
              <w:rPr>
                <w:sz w:val="20"/>
                <w:szCs w:val="20"/>
                <w:color w:val="auto"/>
              </w:rPr>
            </w:pPr>
          </w:p>
        </w:tc>
        <w:tc>
          <w:tcPr>
            <w:tcW w:w="1440" w:type="dxa"/>
            <w:vAlign w:val="bottom"/>
            <w:tcBorders>
              <w:bottom w:val="single" w:sz="8" w:color="auto"/>
              <w:right w:val="single" w:sz="8" w:color="auto"/>
            </w:tcBorders>
            <w:shd w:val="clear" w:color="auto" w:fill="DAEEF3"/>
          </w:tcPr>
          <w:p>
            <w:pPr>
              <w:jc w:val="right"/>
              <w:ind w:right="410"/>
              <w:spacing w:after="0"/>
              <w:rPr>
                <w:sz w:val="20"/>
                <w:szCs w:val="20"/>
                <w:color w:val="auto"/>
              </w:rPr>
            </w:pPr>
            <w:r>
              <w:rPr>
                <w:rFonts w:ascii="Arial" w:cs="Arial" w:eastAsia="Arial" w:hAnsi="Arial"/>
                <w:sz w:val="18"/>
                <w:szCs w:val="18"/>
                <w:b w:val="1"/>
                <w:bCs w:val="1"/>
                <w:color w:val="auto"/>
              </w:rPr>
              <w:t>Fair Value</w:t>
            </w:r>
          </w:p>
        </w:tc>
        <w:tc>
          <w:tcPr>
            <w:tcW w:w="1820" w:type="dxa"/>
            <w:vAlign w:val="bottom"/>
            <w:tcBorders>
              <w:bottom w:val="single" w:sz="8" w:color="auto"/>
              <w:right w:val="single" w:sz="8" w:color="auto"/>
            </w:tcBorders>
            <w:shd w:val="clear" w:color="auto" w:fill="DAEEF3"/>
          </w:tcPr>
          <w:p>
            <w:pPr>
              <w:ind w:left="460"/>
              <w:spacing w:after="0"/>
              <w:rPr>
                <w:sz w:val="20"/>
                <w:szCs w:val="20"/>
                <w:color w:val="auto"/>
              </w:rPr>
            </w:pPr>
            <w:r>
              <w:rPr>
                <w:rFonts w:ascii="Arial" w:cs="Arial" w:eastAsia="Arial" w:hAnsi="Arial"/>
                <w:sz w:val="18"/>
                <w:szCs w:val="18"/>
                <w:b w:val="1"/>
                <w:bCs w:val="1"/>
                <w:color w:val="auto"/>
              </w:rPr>
              <w:t>Methodology</w:t>
            </w:r>
          </w:p>
        </w:tc>
        <w:tc>
          <w:tcPr>
            <w:tcW w:w="1820" w:type="dxa"/>
            <w:vAlign w:val="bottom"/>
            <w:tcBorders>
              <w:bottom w:val="single" w:sz="8" w:color="auto"/>
              <w:right w:val="single" w:sz="8" w:color="auto"/>
            </w:tcBorders>
            <w:shd w:val="clear" w:color="auto" w:fill="DAEEF3"/>
          </w:tcPr>
          <w:p>
            <w:pPr>
              <w:ind w:left="720"/>
              <w:spacing w:after="0"/>
              <w:rPr>
                <w:sz w:val="20"/>
                <w:szCs w:val="20"/>
                <w:color w:val="auto"/>
              </w:rPr>
            </w:pPr>
            <w:r>
              <w:rPr>
                <w:rFonts w:ascii="Arial" w:cs="Arial" w:eastAsia="Arial" w:hAnsi="Arial"/>
                <w:sz w:val="18"/>
                <w:szCs w:val="18"/>
                <w:b w:val="1"/>
                <w:bCs w:val="1"/>
                <w:color w:val="auto"/>
              </w:rPr>
              <w:t>Inputs</w:t>
            </w:r>
          </w:p>
        </w:tc>
        <w:tc>
          <w:tcPr>
            <w:tcW w:w="1840" w:type="dxa"/>
            <w:vAlign w:val="bottom"/>
            <w:tcBorders>
              <w:bottom w:val="single" w:sz="8" w:color="auto"/>
              <w:right w:val="single" w:sz="8" w:color="auto"/>
            </w:tcBorders>
            <w:shd w:val="clear" w:color="auto" w:fill="DAEEF3"/>
          </w:tcPr>
          <w:p>
            <w:pPr>
              <w:ind w:left="160"/>
              <w:spacing w:after="0"/>
              <w:rPr>
                <w:sz w:val="20"/>
                <w:szCs w:val="20"/>
                <w:color w:val="auto"/>
              </w:rPr>
            </w:pPr>
            <w:r>
              <w:rPr>
                <w:rFonts w:ascii="Arial" w:cs="Arial" w:eastAsia="Arial" w:hAnsi="Arial"/>
                <w:sz w:val="18"/>
                <w:szCs w:val="18"/>
                <w:b w:val="1"/>
                <w:bCs w:val="1"/>
                <w:color w:val="auto"/>
                <w:w w:val="97"/>
              </w:rPr>
              <w:t>(Weighted Average)</w:t>
            </w:r>
          </w:p>
        </w:tc>
        <w:tc>
          <w:tcPr>
            <w:tcW w:w="0" w:type="dxa"/>
            <w:vAlign w:val="bottom"/>
          </w:tcPr>
          <w:p>
            <w:pPr>
              <w:spacing w:after="0"/>
              <w:rPr>
                <w:sz w:val="1"/>
                <w:szCs w:val="1"/>
                <w:color w:val="auto"/>
              </w:rPr>
            </w:pPr>
          </w:p>
        </w:tc>
      </w:tr>
      <w:tr>
        <w:trPr>
          <w:trHeight w:val="209"/>
        </w:trPr>
        <w:tc>
          <w:tcPr>
            <w:tcW w:w="414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Average</w:t>
            </w:r>
          </w:p>
        </w:tc>
        <w:tc>
          <w:tcPr>
            <w:tcW w:w="18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5.0x – 8.0x (5.2x)</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EBITDA</w:t>
            </w: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40" w:type="dxa"/>
            <w:vAlign w:val="bottom"/>
            <w:tcBorders>
              <w:left w:val="single" w:sz="8" w:color="auto"/>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1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Debt Securities</w:t>
            </w:r>
          </w:p>
        </w:tc>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8,661,114</w:t>
            </w: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Enterprise Value</w:t>
            </w: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Multiple /</w:t>
            </w:r>
          </w:p>
        </w:tc>
        <w:tc>
          <w:tcPr>
            <w:tcW w:w="18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WACC</w:t>
            </w: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40" w:type="dxa"/>
            <w:vAlign w:val="bottom"/>
            <w:tcBorders>
              <w:left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14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98,080,557</w:t>
            </w: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Income Approach</w:t>
            </w: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Implied</w:t>
            </w:r>
          </w:p>
        </w:tc>
        <w:tc>
          <w:tcPr>
            <w:tcW w:w="18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6.3% - 26.8%</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Discount Rate</w:t>
            </w:r>
          </w:p>
        </w:tc>
        <w:tc>
          <w:tcPr>
            <w:tcW w:w="18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08"/>
        </w:trPr>
        <w:tc>
          <w:tcPr>
            <w:tcW w:w="4140" w:type="dxa"/>
            <w:vAlign w:val="bottom"/>
            <w:tcBorders>
              <w:left w:val="single" w:sz="8" w:color="auto"/>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8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1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Equity Securities</w:t>
            </w:r>
          </w:p>
        </w:tc>
        <w:tc>
          <w:tcPr>
            <w:tcW w:w="3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Average</w:t>
            </w: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left w:val="single" w:sz="8" w:color="auto"/>
              <w:right w:val="single" w:sz="8" w:color="auto"/>
            </w:tcBorders>
            <w:vMerge w:val="continue"/>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1,979,020</w:t>
            </w: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Enterprise Value</w:t>
            </w: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EBITDA</w:t>
            </w:r>
          </w:p>
        </w:tc>
        <w:tc>
          <w:tcPr>
            <w:tcW w:w="18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4.5x – 11.0x (9.5x)</w:t>
            </w:r>
          </w:p>
        </w:tc>
        <w:tc>
          <w:tcPr>
            <w:tcW w:w="0" w:type="dxa"/>
            <w:vAlign w:val="bottom"/>
          </w:tcPr>
          <w:p>
            <w:pPr>
              <w:spacing w:after="0"/>
              <w:rPr>
                <w:sz w:val="1"/>
                <w:szCs w:val="1"/>
                <w:color w:val="auto"/>
              </w:rPr>
            </w:pPr>
          </w:p>
        </w:tc>
      </w:tr>
      <w:tr>
        <w:trPr>
          <w:trHeight w:val="230"/>
        </w:trPr>
        <w:tc>
          <w:tcPr>
            <w:tcW w:w="4140" w:type="dxa"/>
            <w:vAlign w:val="bottom"/>
            <w:tcBorders>
              <w:left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Multiple</w:t>
            </w:r>
          </w:p>
        </w:tc>
        <w:tc>
          <w:tcPr>
            <w:tcW w:w="1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4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59,000</w:t>
            </w: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Options Value</w:t>
            </w: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Qualitative</w:t>
            </w: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40" w:type="dxa"/>
            <w:vAlign w:val="bottom"/>
            <w:tcBorders>
              <w:left w:val="single" w:sz="8" w:color="auto"/>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Borders>
              <w:right w:val="single" w:sz="8" w:color="auto"/>
            </w:tcBorders>
            <w:vMerge w:val="continue"/>
          </w:tcPr>
          <w:p>
            <w:pPr>
              <w:spacing w:after="0"/>
              <w:rPr>
                <w:sz w:val="14"/>
                <w:szCs w:val="14"/>
                <w:color w:val="auto"/>
              </w:rPr>
            </w:pPr>
          </w:p>
        </w:tc>
        <w:tc>
          <w:tcPr>
            <w:tcW w:w="1820" w:type="dxa"/>
            <w:vAlign w:val="bottom"/>
            <w:tcBorders>
              <w:right w:val="single" w:sz="8" w:color="auto"/>
            </w:tcBorders>
            <w:vMerge w:val="continue"/>
          </w:tcPr>
          <w:p>
            <w:pPr>
              <w:spacing w:after="0"/>
              <w:rPr>
                <w:sz w:val="14"/>
                <w:szCs w:val="14"/>
                <w:color w:val="auto"/>
              </w:rPr>
            </w:pP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Inputs</w:t>
            </w:r>
            <w:r>
              <w:rPr>
                <w:rFonts w:ascii="Arial" w:cs="Arial" w:eastAsia="Arial" w:hAnsi="Arial"/>
                <w:sz w:val="15"/>
                <w:szCs w:val="15"/>
                <w:color w:val="auto"/>
              </w:rPr>
              <w:t>(1)</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40" w:type="dxa"/>
            <w:vAlign w:val="bottom"/>
            <w:tcBorders>
              <w:left w:val="single" w:sz="8" w:color="auto"/>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1820" w:type="dxa"/>
            <w:vAlign w:val="bottom"/>
            <w:tcBorders>
              <w:right w:val="single" w:sz="8" w:color="auto"/>
            </w:tcBorders>
          </w:tcPr>
          <w:p>
            <w:pPr>
              <w:spacing w:after="0"/>
              <w:rPr>
                <w:sz w:val="5"/>
                <w:szCs w:val="5"/>
                <w:color w:val="auto"/>
              </w:rPr>
            </w:pPr>
          </w:p>
        </w:tc>
        <w:tc>
          <w:tcPr>
            <w:tcW w:w="1820" w:type="dxa"/>
            <w:vAlign w:val="bottom"/>
            <w:tcBorders>
              <w:right w:val="single" w:sz="8" w:color="auto"/>
            </w:tcBorders>
            <w:vMerge w:val="continue"/>
          </w:tcPr>
          <w:p>
            <w:pPr>
              <w:spacing w:after="0"/>
              <w:rPr>
                <w:sz w:val="5"/>
                <w:szCs w:val="5"/>
                <w:color w:val="auto"/>
              </w:rPr>
            </w:pPr>
          </w:p>
        </w:tc>
        <w:tc>
          <w:tcPr>
            <w:tcW w:w="1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140" w:type="dxa"/>
            <w:vAlign w:val="bottom"/>
            <w:tcBorders>
              <w:left w:val="single" w:sz="8" w:color="auto"/>
              <w:bottom w:val="single" w:sz="8" w:color="auto"/>
              <w:right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14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Discount Rate</w:t>
            </w:r>
          </w:p>
        </w:tc>
        <w:tc>
          <w:tcPr>
            <w:tcW w:w="18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13.5%-14.0%</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08"/>
        </w:trPr>
        <w:tc>
          <w:tcPr>
            <w:tcW w:w="4140" w:type="dxa"/>
            <w:vAlign w:val="bottom"/>
            <w:tcBorders>
              <w:left w:val="single" w:sz="8" w:color="auto"/>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14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Probability of</w:t>
            </w:r>
          </w:p>
        </w:tc>
        <w:tc>
          <w:tcPr>
            <w:tcW w:w="18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0.75%-2% (1.4%)</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Default</w:t>
            </w: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40" w:type="dxa"/>
            <w:vAlign w:val="bottom"/>
            <w:tcBorders>
              <w:left w:val="single" w:sz="8" w:color="auto"/>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140" w:type="dxa"/>
            <w:vAlign w:val="bottom"/>
            <w:tcBorders>
              <w:left w:val="single" w:sz="8" w:color="auto"/>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35,455,720</w:t>
            </w: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1"/>
              </w:rPr>
              <w:t>Discounted Cash Flow</w:t>
            </w:r>
          </w:p>
        </w:tc>
        <w:tc>
          <w:tcPr>
            <w:tcW w:w="18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Loss Severity</w:t>
            </w:r>
          </w:p>
        </w:tc>
        <w:tc>
          <w:tcPr>
            <w:tcW w:w="1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20%-36 % (28.3%)</w:t>
            </w:r>
          </w:p>
        </w:tc>
        <w:tc>
          <w:tcPr>
            <w:tcW w:w="0" w:type="dxa"/>
            <w:vAlign w:val="bottom"/>
          </w:tcPr>
          <w:p>
            <w:pPr>
              <w:spacing w:after="0"/>
              <w:rPr>
                <w:sz w:val="1"/>
                <w:szCs w:val="1"/>
                <w:color w:val="auto"/>
              </w:rPr>
            </w:pPr>
          </w:p>
        </w:tc>
      </w:tr>
      <w:tr>
        <w:trPr>
          <w:trHeight w:val="223"/>
        </w:trPr>
        <w:tc>
          <w:tcPr>
            <w:tcW w:w="4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3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Recovery Rate</w:t>
            </w:r>
          </w:p>
        </w:tc>
        <w:tc>
          <w:tcPr>
            <w:tcW w:w="1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63.5%-80% (71.7%)</w:t>
            </w:r>
          </w:p>
        </w:tc>
        <w:tc>
          <w:tcPr>
            <w:tcW w:w="0" w:type="dxa"/>
            <w:vAlign w:val="bottom"/>
          </w:tcPr>
          <w:p>
            <w:pPr>
              <w:spacing w:after="0"/>
              <w:rPr>
                <w:sz w:val="1"/>
                <w:szCs w:val="1"/>
                <w:color w:val="auto"/>
              </w:rPr>
            </w:pPr>
          </w:p>
        </w:tc>
      </w:tr>
      <w:tr>
        <w:trPr>
          <w:trHeight w:val="209"/>
        </w:trPr>
        <w:tc>
          <w:tcPr>
            <w:tcW w:w="414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Prepayment</w:t>
            </w:r>
          </w:p>
        </w:tc>
        <w:tc>
          <w:tcPr>
            <w:tcW w:w="18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10%-20% (15%)</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Rate</w:t>
            </w: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40" w:type="dxa"/>
            <w:vAlign w:val="bottom"/>
            <w:tcBorders>
              <w:left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14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369,280</w:t>
            </w: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Liquidation Value</w:t>
            </w: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Qualitative</w:t>
            </w: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Inputs</w:t>
            </w:r>
            <w:r>
              <w:rPr>
                <w:rFonts w:ascii="Arial" w:cs="Arial" w:eastAsia="Arial" w:hAnsi="Arial"/>
                <w:sz w:val="15"/>
                <w:szCs w:val="15"/>
                <w:color w:val="auto"/>
              </w:rPr>
              <w:t>(2)</w:t>
            </w: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40" w:type="dxa"/>
            <w:vAlign w:val="bottom"/>
            <w:tcBorders>
              <w:left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14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8,500,000</w:t>
            </w: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Market Approach</w:t>
            </w: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Third Party</w:t>
            </w:r>
          </w:p>
        </w:tc>
        <w:tc>
          <w:tcPr>
            <w:tcW w:w="18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Quote</w:t>
            </w: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40" w:type="dxa"/>
            <w:vAlign w:val="bottom"/>
            <w:tcBorders>
              <w:left w:val="single" w:sz="8" w:color="auto"/>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1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Asset Manager Affiliate</w:t>
            </w:r>
          </w:p>
        </w:tc>
        <w:tc>
          <w:tcPr>
            <w:tcW w:w="360" w:type="dxa"/>
            <w:vAlign w:val="bottom"/>
          </w:tcPr>
          <w:p>
            <w:pPr>
              <w:spacing w:after="0"/>
              <w:rPr>
                <w:sz w:val="18"/>
                <w:szCs w:val="18"/>
                <w:color w:val="auto"/>
              </w:rPr>
            </w:pPr>
          </w:p>
        </w:tc>
        <w:tc>
          <w:tcPr>
            <w:tcW w:w="14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3,470,000</w:t>
            </w: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w w:val="91"/>
              </w:rPr>
              <w:t>Discounted Cash Flow</w:t>
            </w:r>
          </w:p>
        </w:tc>
        <w:tc>
          <w:tcPr>
            <w:tcW w:w="18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4.0% - 10.0%</w:t>
            </w:r>
          </w:p>
        </w:tc>
        <w:tc>
          <w:tcPr>
            <w:tcW w:w="0" w:type="dxa"/>
            <w:vAlign w:val="bottom"/>
          </w:tcPr>
          <w:p>
            <w:pPr>
              <w:spacing w:after="0"/>
              <w:rPr>
                <w:sz w:val="1"/>
                <w:szCs w:val="1"/>
                <w:color w:val="auto"/>
              </w:rPr>
            </w:pPr>
          </w:p>
        </w:tc>
      </w:tr>
      <w:tr>
        <w:trPr>
          <w:trHeight w:val="230"/>
        </w:trPr>
        <w:tc>
          <w:tcPr>
            <w:tcW w:w="41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vMerge w:val="continue"/>
          </w:tcPr>
          <w:p>
            <w:pPr>
              <w:spacing w:after="0"/>
              <w:rPr>
                <w:sz w:val="20"/>
                <w:szCs w:val="20"/>
                <w:color w:val="auto"/>
              </w:rPr>
            </w:pPr>
          </w:p>
        </w:tc>
        <w:tc>
          <w:tcPr>
            <w:tcW w:w="1820" w:type="dxa"/>
            <w:vAlign w:val="bottom"/>
            <w:tcBorders>
              <w:bottom w:val="single" w:sz="8" w:color="auto"/>
              <w:right w:val="single" w:sz="8" w:color="auto"/>
            </w:tcBorders>
            <w:vMerge w:val="continue"/>
          </w:tcPr>
          <w:p>
            <w:pPr>
              <w:spacing w:after="0"/>
              <w:rPr>
                <w:sz w:val="20"/>
                <w:szCs w:val="20"/>
                <w:color w:val="auto"/>
              </w:rPr>
            </w:pPr>
          </w:p>
        </w:tc>
        <w:tc>
          <w:tcPr>
            <w:tcW w:w="18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Discount Rate</w:t>
            </w:r>
          </w:p>
        </w:tc>
        <w:tc>
          <w:tcPr>
            <w:tcW w:w="1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09"/>
        </w:trPr>
        <w:tc>
          <w:tcPr>
            <w:tcW w:w="41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Joint Venture</w:t>
            </w:r>
          </w:p>
        </w:tc>
        <w:tc>
          <w:tcPr>
            <w:tcW w:w="3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Underlying</w:t>
            </w: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left w:val="single" w:sz="8" w:color="auto"/>
              <w:right w:val="single" w:sz="8" w:color="auto"/>
            </w:tcBorders>
            <w:vMerge w:val="continue"/>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18,390,440</w:t>
            </w: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Enterprise Value</w:t>
            </w: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NAV of the</w:t>
            </w: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Borders>
              <w:left w:val="single" w:sz="8" w:color="auto"/>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CLO</w:t>
            </w:r>
          </w:p>
        </w:tc>
        <w:tc>
          <w:tcPr>
            <w:tcW w:w="1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2"/>
              </w:rPr>
              <w:t>Total Level III Investments</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174,965,131</w:t>
            </w:r>
          </w:p>
        </w:tc>
        <w:tc>
          <w:tcPr>
            <w:tcW w:w="18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right="180" w:hanging="432"/>
        <w:spacing w:after="0" w:line="255" w:lineRule="auto"/>
        <w:tabs>
          <w:tab w:leader="none" w:pos="440" w:val="left"/>
        </w:tabs>
        <w:numPr>
          <w:ilvl w:val="0"/>
          <w:numId w:val="67"/>
        </w:numPr>
        <w:rPr>
          <w:rFonts w:ascii="Arial" w:cs="Arial" w:eastAsia="Arial" w:hAnsi="Arial"/>
          <w:sz w:val="15"/>
          <w:szCs w:val="15"/>
          <w:color w:val="auto"/>
        </w:rPr>
      </w:pPr>
      <w:r>
        <w:rPr>
          <w:rFonts w:ascii="Arial" w:cs="Arial" w:eastAsia="Arial" w:hAnsi="Arial"/>
          <w:sz w:val="18"/>
          <w:szCs w:val="18"/>
          <w:color w:val="auto"/>
        </w:rPr>
        <w:t>The qualitative inputs used in the fair value measurements of Equity Securities include estimates of the distressed liquidation value of the pledged collateral. In cases where Portman Ridge’s analysis ascribes no residual value to a portfolio company’s equity, Portman Ridge typically elects to mark its position at a nominal amount to account for the investment’s option value.</w:t>
      </w:r>
    </w:p>
    <w:p>
      <w:pPr>
        <w:spacing w:after="0" w:line="2" w:lineRule="exact"/>
        <w:rPr>
          <w:sz w:val="20"/>
          <w:szCs w:val="20"/>
          <w:color w:val="auto"/>
        </w:rPr>
      </w:pPr>
    </w:p>
    <w:p>
      <w:pPr>
        <w:ind w:left="440" w:hanging="432"/>
        <w:spacing w:after="0"/>
        <w:tabs>
          <w:tab w:leader="none" w:pos="440" w:val="left"/>
        </w:tabs>
        <w:numPr>
          <w:ilvl w:val="0"/>
          <w:numId w:val="68"/>
        </w:numPr>
        <w:rPr>
          <w:rFonts w:ascii="Arial" w:cs="Arial" w:eastAsia="Arial" w:hAnsi="Arial"/>
          <w:sz w:val="15"/>
          <w:szCs w:val="15"/>
          <w:color w:val="auto"/>
        </w:rPr>
      </w:pPr>
      <w:r>
        <w:rPr>
          <w:rFonts w:ascii="Arial" w:cs="Arial" w:eastAsia="Arial" w:hAnsi="Arial"/>
          <w:sz w:val="18"/>
          <w:szCs w:val="18"/>
          <w:color w:val="auto"/>
        </w:rPr>
        <w:t>The qualitative inputs used in the fair value measurements include the value of the pledged collateral.</w:t>
      </w:r>
    </w:p>
    <w:p>
      <w:pPr>
        <w:spacing w:after="0" w:line="185"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 respectively.</w:t>
      </w:r>
    </w:p>
    <w:p>
      <w:pPr>
        <w:spacing w:after="0" w:line="146" w:lineRule="exact"/>
        <w:rPr>
          <w:sz w:val="20"/>
          <w:szCs w:val="20"/>
          <w:color w:val="auto"/>
        </w:rPr>
      </w:pPr>
    </w:p>
    <w:p>
      <w:pPr>
        <w:jc w:val="both"/>
        <w:ind w:right="360" w:firstLine="439"/>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9" w:name="page50"/>
    <w:bookmarkEnd w:id="49"/>
    <w:p>
      <w:pPr>
        <w:ind w:firstLine="439"/>
        <w:spacing w:after="0" w:line="288" w:lineRule="auto"/>
        <w:rPr>
          <w:sz w:val="20"/>
          <w:szCs w:val="20"/>
          <w:color w:val="auto"/>
        </w:rPr>
      </w:pPr>
      <w:r>
        <w:rPr>
          <w:rFonts w:ascii="Arial" w:cs="Arial" w:eastAsia="Arial" w:hAnsi="Arial"/>
          <w:sz w:val="16"/>
          <w:szCs w:val="16"/>
          <w:color w:val="auto"/>
        </w:rPr>
        <w:t>Significant unobservable inputs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respectively.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42" w:lineRule="exact"/>
        <w:rPr>
          <w:sz w:val="20"/>
          <w:szCs w:val="20"/>
          <w:color w:val="auto"/>
        </w:rPr>
      </w:pPr>
    </w:p>
    <w:p>
      <w:pPr>
        <w:ind w:right="100" w:firstLine="439"/>
        <w:spacing w:after="0" w:line="255" w:lineRule="auto"/>
        <w:rPr>
          <w:sz w:val="20"/>
          <w:szCs w:val="20"/>
          <w:color w:val="auto"/>
        </w:rPr>
      </w:pPr>
      <w:r>
        <w:rPr>
          <w:rFonts w:ascii="Arial" w:cs="Arial" w:eastAsia="Arial" w:hAnsi="Arial"/>
          <w:sz w:val="18"/>
          <w:szCs w:val="18"/>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 respectively.</w:t>
      </w:r>
    </w:p>
    <w:p>
      <w:pPr>
        <w:spacing w:after="0" w:line="149" w:lineRule="exact"/>
        <w:rPr>
          <w:sz w:val="20"/>
          <w:szCs w:val="20"/>
          <w:color w:val="auto"/>
        </w:rPr>
      </w:pPr>
    </w:p>
    <w:p>
      <w:pPr>
        <w:ind w:right="60" w:firstLine="439"/>
        <w:spacing w:after="0" w:line="277" w:lineRule="auto"/>
        <w:rPr>
          <w:sz w:val="20"/>
          <w:szCs w:val="20"/>
          <w:color w:val="auto"/>
        </w:rPr>
      </w:pPr>
      <w:r>
        <w:rPr>
          <w:rFonts w:ascii="Arial" w:cs="Arial" w:eastAsia="Arial" w:hAnsi="Arial"/>
          <w:sz w:val="18"/>
          <w:szCs w:val="18"/>
          <w:color w:val="auto"/>
        </w:rPr>
        <w:t>The Company’s investment in the Joint Venture- KCAP Freedom 3 LLC is carried at fair value based upon the fair value of the investments held by the Joint Venture.</w:t>
      </w:r>
    </w:p>
    <w:p>
      <w:pPr>
        <w:spacing w:after="0" w:line="166" w:lineRule="exact"/>
        <w:rPr>
          <w:sz w:val="20"/>
          <w:szCs w:val="20"/>
          <w:color w:val="auto"/>
        </w:rPr>
      </w:pPr>
    </w:p>
    <w:p>
      <w:pPr>
        <w:ind w:left="440" w:hanging="432"/>
        <w:spacing w:after="0"/>
        <w:tabs>
          <w:tab w:leader="none" w:pos="4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Wholly-Owned Asset Managers</w:t>
      </w:r>
    </w:p>
    <w:p>
      <w:pPr>
        <w:spacing w:after="0" w:line="225" w:lineRule="exact"/>
        <w:rPr>
          <w:sz w:val="20"/>
          <w:szCs w:val="20"/>
          <w:color w:val="auto"/>
        </w:rPr>
      </w:pPr>
    </w:p>
    <w:p>
      <w:pPr>
        <w:ind w:right="200" w:firstLine="439"/>
        <w:spacing w:after="0" w:line="302" w:lineRule="auto"/>
        <w:rPr>
          <w:sz w:val="20"/>
          <w:szCs w:val="20"/>
          <w:color w:val="auto"/>
        </w:rPr>
      </w:pPr>
      <w:r>
        <w:rPr>
          <w:rFonts w:ascii="Arial" w:cs="Arial" w:eastAsia="Arial" w:hAnsi="Arial"/>
          <w:sz w:val="16"/>
          <w:szCs w:val="16"/>
          <w:color w:val="auto"/>
        </w:rPr>
        <w:t>On December 31, 2018, the Company’s wholly-owned subsidiary Commodore Holdings, LLC (“Commodore”) sold its wholly-owned asset management subsidiaries Katonah Debt Advisors, Trimaran Advisors and Trimaran Advisors Management, representing substantially all of the Company’s investment in the Asset Manager Affiliates. Commodore received cash proceeds of $37.9 million from the sale and distributed $33.8 million in cash to the Company. All of this cash distribution was recorded as a return of capital. No realized gain or loss was recognized due to this transaction.</w:t>
      </w:r>
    </w:p>
    <w:p>
      <w:pPr>
        <w:spacing w:after="0" w:line="154" w:lineRule="exact"/>
        <w:rPr>
          <w:sz w:val="20"/>
          <w:szCs w:val="20"/>
          <w:color w:val="auto"/>
        </w:rPr>
      </w:pPr>
    </w:p>
    <w:p>
      <w:pPr>
        <w:ind w:right="40" w:firstLine="439"/>
        <w:spacing w:after="0" w:line="259" w:lineRule="auto"/>
        <w:rPr>
          <w:sz w:val="20"/>
          <w:szCs w:val="20"/>
          <w:color w:val="auto"/>
        </w:rPr>
      </w:pPr>
      <w:r>
        <w:rPr>
          <w:rFonts w:ascii="Arial" w:cs="Arial" w:eastAsia="Arial" w:hAnsi="Arial"/>
          <w:sz w:val="18"/>
          <w:szCs w:val="18"/>
          <w:color w:val="auto"/>
        </w:rPr>
        <w:t>The Asset Manager Affiliates manage CLO Funds primarily for third party investors that invest primarily in broadly syndicated loans, high yield bonds and other credit instruments issued by corporations. At June 30, 2019 and December 31, 2018, the Asset Manager Affiliates had approximately $300 million and $300 million of par value of assets under management, respectively, and the Company’s 100% equity interest in the Asset Manager Affiliates had a fair value of approximately $0 and $3.5 million, respectively.</w:t>
      </w:r>
    </w:p>
    <w:p>
      <w:pPr>
        <w:spacing w:after="0" w:line="187" w:lineRule="exact"/>
        <w:rPr>
          <w:sz w:val="20"/>
          <w:szCs w:val="20"/>
          <w:color w:val="auto"/>
        </w:rPr>
      </w:pPr>
    </w:p>
    <w:p>
      <w:pPr>
        <w:ind w:right="120" w:firstLine="439"/>
        <w:spacing w:after="0" w:line="257" w:lineRule="auto"/>
        <w:rPr>
          <w:sz w:val="20"/>
          <w:szCs w:val="20"/>
          <w:color w:val="auto"/>
        </w:rPr>
      </w:pPr>
      <w:r>
        <w:rPr>
          <w:rFonts w:ascii="Arial" w:cs="Arial" w:eastAsia="Arial" w:hAnsi="Arial"/>
          <w:sz w:val="18"/>
          <w:szCs w:val="18"/>
          <w:color w:val="auto"/>
        </w:rPr>
        <w:t>Certain investments, and the future management fees of certain managed CLO Funds, had been pledged by the Asset Manager Affiliates to third-party lenders under borrowing arrangements undertaken to satisfy the risk retention requirements of the Dodd-Frank Act then applicable to asset managers. In addition, certain of the Asset Manager Affiliates had provided a make-whole guaranty to these lenders in the event that the pledged assets and management fees were insufficient to satisfy the repayment of these borrowings. These borrowing arrangements were all satisfied prior to the sale of the Asset Manager Affiliates.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50" w:name="page51"/>
    <w:bookmarkEnd w:id="50"/>
    <w:p>
      <w:pPr>
        <w:ind w:right="20" w:firstLine="439"/>
        <w:spacing w:after="0" w:line="270" w:lineRule="auto"/>
        <w:rPr>
          <w:sz w:val="20"/>
          <w:szCs w:val="20"/>
          <w:color w:val="auto"/>
        </w:rPr>
      </w:pPr>
      <w:r>
        <w:rPr>
          <w:rFonts w:ascii="Arial" w:cs="Arial" w:eastAsia="Arial" w:hAnsi="Arial"/>
          <w:sz w:val="17"/>
          <w:szCs w:val="17"/>
          <w:color w:val="auto"/>
        </w:rPr>
        <w:t>No distributions were declared during the three and six months ended June 30, 2019. For three and six months ended June 30, 2018, the Asset Manager Affiliates declared cash distributions of $800,000 and $1.6 million to the Company. Any distributions from the Asset Manager Affiliates out of their estimated tax-basis earnings and profits are recorded as “Dividends from Asset Manager Affiliates” on the Company’s statement of operations. The Company recognized $620,000 of Dividends from Asset Manager Affiliates, as reflected in the Company’s statement of operations in the six months of 2018, respectively. The difference between cash distributions received and the tax-basis earnings and profits of the distributing affiliate are recorded as an adjustment to the cost basis in the Asset Manager Affiliate (i.e., tax-basis return of capital). For the three and six months ended June 30, 2018 the difference of $500,000 and $1.0 million, between cash distributions received and the tax-basis earnings and profits of the distributing affiliate, were recorded as an adjustment to the cost basis in the Asset Manager Affiliate (i.e. tax-basis return of capital). Distributions receivable, if any, are reflected in the “due from affiliates” account on the consolidated balance sheets.</w:t>
      </w:r>
    </w:p>
    <w:p>
      <w:pPr>
        <w:spacing w:after="0" w:line="182" w:lineRule="exact"/>
        <w:rPr>
          <w:sz w:val="20"/>
          <w:szCs w:val="20"/>
          <w:color w:val="auto"/>
        </w:rPr>
      </w:pPr>
    </w:p>
    <w:p>
      <w:pPr>
        <w:ind w:right="260" w:firstLine="439"/>
        <w:spacing w:after="0" w:line="286" w:lineRule="auto"/>
        <w:rPr>
          <w:sz w:val="20"/>
          <w:szCs w:val="20"/>
          <w:color w:val="auto"/>
        </w:rPr>
      </w:pPr>
      <w:r>
        <w:rPr>
          <w:rFonts w:ascii="Arial" w:cs="Arial" w:eastAsia="Arial" w:hAnsi="Arial"/>
          <w:sz w:val="17"/>
          <w:szCs w:val="17"/>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166" w:lineRule="exact"/>
        <w:rPr>
          <w:sz w:val="20"/>
          <w:szCs w:val="20"/>
          <w:color w:val="auto"/>
        </w:rPr>
      </w:pPr>
    </w:p>
    <w:p>
      <w:pPr>
        <w:ind w:right="380" w:firstLine="439"/>
        <w:spacing w:after="0" w:line="308" w:lineRule="auto"/>
        <w:rPr>
          <w:sz w:val="20"/>
          <w:szCs w:val="20"/>
          <w:color w:val="auto"/>
        </w:rPr>
      </w:pPr>
      <w:r>
        <w:rPr>
          <w:rFonts w:ascii="Arial" w:cs="Arial" w:eastAsia="Arial" w:hAnsi="Arial"/>
          <w:sz w:val="17"/>
          <w:szCs w:val="17"/>
          <w:color w:val="auto"/>
        </w:rPr>
        <w:t>The Asset Manager Affiliates’ fair value is determined quarterly. The valuation is primarily determined utilizing a discounted cash flow model. See Note 2 - “Significant Accounting Policies” and Note 4 - “Investments” for further information relating to the Company’s valuation methodology.</w:t>
      </w:r>
    </w:p>
    <w:p>
      <w:pPr>
        <w:spacing w:after="0" w:line="147"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color w:val="auto"/>
        </w:rPr>
        <w:t>In accordance with Rules 3-09, Rule 4-08(g) and 1-02 of Regulation S-X, additional financial information with respect to the Asset Manager Affiliates is required to be included in the Company’s SEC filings. The additional information regarding the Asset Manager Affiliates is set forth below. This additional financial information regarding the Asset Manager Affiliates does not directly impact the financial position, results of operations, or cash flows of the Company.</w:t>
      </w:r>
    </w:p>
    <w:p>
      <w:pPr>
        <w:spacing w:after="0" w:line="18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Summarized Balance Sheet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4"/>
              </w:rPr>
              <w:t>As of</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As of</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June 30, 2019</w:t>
            </w:r>
          </w:p>
        </w:tc>
        <w:tc>
          <w:tcPr>
            <w:tcW w:w="280" w:type="dxa"/>
            <w:vAlign w:val="bottom"/>
          </w:tcPr>
          <w:p>
            <w:pPr>
              <w:spacing w:after="0"/>
              <w:rPr>
                <w:sz w:val="19"/>
                <w:szCs w:val="19"/>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0" w:type="dxa"/>
            <w:vAlign w:val="bottom"/>
            <w:tcBorders>
              <w:bottom w:val="single" w:sz="8" w:color="CFF0FC"/>
            </w:tcBorders>
          </w:tcPr>
          <w:p>
            <w:pPr>
              <w:spacing w:after="0"/>
              <w:rPr>
                <w:sz w:val="20"/>
                <w:szCs w:val="20"/>
                <w:color w:val="auto"/>
              </w:rPr>
            </w:pPr>
          </w:p>
        </w:tc>
        <w:tc>
          <w:tcPr>
            <w:tcW w:w="40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40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835,704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2"/>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1,335,004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40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11,305</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129,880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40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847,009</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1,464,884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color w:val="auto"/>
              </w:rPr>
              <w:t>Other Liabilities</w:t>
            </w:r>
          </w:p>
        </w:tc>
        <w:tc>
          <w:tcPr>
            <w:tcW w:w="42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Borders>
              <w:bottom w:val="single" w:sz="8" w:color="CFF0FC"/>
            </w:tcBorders>
            <w:vMerge w:val="continue"/>
          </w:tcPr>
          <w:p>
            <w:pPr>
              <w:spacing w:after="0"/>
              <w:rPr>
                <w:sz w:val="18"/>
                <w:szCs w:val="18"/>
                <w:color w:val="auto"/>
              </w:rPr>
            </w:pPr>
          </w:p>
        </w:tc>
        <w:tc>
          <w:tcPr>
            <w:tcW w:w="406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417,488</w:t>
            </w:r>
          </w:p>
        </w:tc>
        <w:tc>
          <w:tcPr>
            <w:tcW w:w="28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995,270</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0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417,488</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995,270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w:t>
            </w:r>
          </w:p>
        </w:tc>
        <w:tc>
          <w:tcPr>
            <w:tcW w:w="40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429,521</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469,614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40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847,009</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1,464,884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060" w:type="dxa"/>
            <w:vAlign w:val="bottom"/>
            <w:vMerge w:val="restart"/>
          </w:tcPr>
          <w:p>
            <w:pPr>
              <w:jc w:val="right"/>
              <w:ind w:right="1970"/>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0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3"/>
              </w:rPr>
              <w:t>For the 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the Six Months Ended</w:t>
            </w:r>
          </w:p>
        </w:tc>
      </w:tr>
      <w:tr>
        <w:trPr>
          <w:trHeight w:val="234"/>
        </w:trPr>
        <w:tc>
          <w:tcPr>
            <w:tcW w:w="5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8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Fee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2,890,867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5,950,527</w:t>
            </w: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1,582,005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2,268,591</w:t>
            </w:r>
          </w:p>
        </w:tc>
        <w:tc>
          <w:tcPr>
            <w:tcW w:w="120" w:type="dxa"/>
            <w:vAlign w:val="bottom"/>
          </w:tcPr>
          <w:p>
            <w:pPr>
              <w:spacing w:after="0"/>
              <w:rPr>
                <w:sz w:val="19"/>
                <w:szCs w:val="19"/>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w:t>
            </w: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4,472,872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8,219,118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2,819,121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5,345,206</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1,535,588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2,713,106</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4,354,709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40,480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8,058,312</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unrealized gains on investments and income taxes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160,806</w:t>
            </w: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Unrealized gains on investments</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(616,810)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203,461</w:t>
            </w:r>
          </w:p>
        </w:tc>
        <w:tc>
          <w:tcPr>
            <w:tcW w:w="120" w:type="dxa"/>
            <w:vAlign w:val="bottom"/>
          </w:tcPr>
          <w:p>
            <w:pPr>
              <w:spacing w:after="0"/>
              <w:rPr>
                <w:sz w:val="19"/>
                <w:szCs w:val="19"/>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Income before income taxes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(498,647)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(40,480)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364,267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(201,612)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(328,566)</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(297,035)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(40,480)</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692,833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39"/>
        <w:spacing w:after="0" w:line="290" w:lineRule="auto"/>
        <w:rPr>
          <w:sz w:val="20"/>
          <w:szCs w:val="20"/>
          <w:color w:val="auto"/>
        </w:rPr>
      </w:pPr>
      <w:r>
        <w:rPr>
          <w:rFonts w:ascii="Arial" w:cs="Arial" w:eastAsia="Arial" w:hAnsi="Arial"/>
          <w:sz w:val="16"/>
          <w:szCs w:val="16"/>
          <w:color w:val="auto"/>
        </w:rPr>
        <w:t>Except for KCAP Management, LLC, which is a disregarded entity whose tax results are included with the Company’s tax results, 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166" w:lineRule="exact"/>
        <w:rPr>
          <w:sz w:val="20"/>
          <w:szCs w:val="20"/>
          <w:color w:val="auto"/>
        </w:rPr>
      </w:pPr>
    </w:p>
    <w:p>
      <w:pPr>
        <w:ind w:right="20" w:firstLine="439"/>
        <w:spacing w:after="0" w:line="257"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GAAP purposes, such exchange was considered an asset purchase under Section 351(a) of the Code. At the time of the transfer, Katonah Debt Advisors had equity of approximately $1 million resulting in tax goodwill of approximately $32 million which was being amortized for tax purposes on a straight-line basis over 15 years.</w:t>
      </w:r>
    </w:p>
    <w:p>
      <w:pPr>
        <w:spacing w:after="0" w:line="188"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one of the Company’s affiliates, in exchange for shares of the Company’s stock valued at $25.5 million and cash of $13.0 million. The transaction was considered an asset purchase under Section 351(a) of the Code and resulted in tax goodwill of approximately $22.8 million, and tax basis intangible assets of $15.7 million, both of which were being amortized for tax purposes on a straight-line basis over 15 years.</w:t>
      </w:r>
    </w:p>
    <w:p>
      <w:pPr>
        <w:spacing w:after="0" w:line="183" w:lineRule="exact"/>
        <w:rPr>
          <w:sz w:val="20"/>
          <w:szCs w:val="20"/>
          <w:color w:val="auto"/>
        </w:rPr>
      </w:pPr>
    </w:p>
    <w:p>
      <w:pPr>
        <w:ind w:left="440" w:hanging="432"/>
        <w:spacing w:after="0"/>
        <w:tabs>
          <w:tab w:leader="none" w:pos="4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60" w:firstLine="439"/>
        <w:spacing w:after="0" w:line="255" w:lineRule="auto"/>
        <w:rPr>
          <w:sz w:val="20"/>
          <w:szCs w:val="20"/>
          <w:color w:val="auto"/>
        </w:rPr>
      </w:pPr>
      <w:r>
        <w:rPr>
          <w:rFonts w:ascii="Arial" w:cs="Arial" w:eastAsia="Arial" w:hAnsi="Arial"/>
          <w:sz w:val="18"/>
          <w:szCs w:val="18"/>
          <w:color w:val="auto"/>
        </w:rPr>
        <w:t>On October 30, 2017, the Company entered into a new term loan agreement with Trimaran Advisors, one of the Asset Manager Affiliates. Trimaran Advisors borrowed $8.4 million under this agreement, which bore interest at a rate of 10.5% annually, payable quarterly. The loan matures on April 30, 2030, can be repaid at any time, and must be repaid upon the occurrence of certain events. During the third quarter 2018 $2.1 million of the principal on this loan was repaid by Trimaran Advisors. During the fourth quarter of 2018, Trimaran Advisors repaid this loan in full. Repayment was comprised of $3.0 million of cash and $2.5 million notional amount of subordinated notes of Catamaran 2013-1 with a fair value of $1.4 million and $3.4 million of notional amount of subordinated notes of Catamaran 2014-1 with a fair value of $1.9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ind w:right="80" w:firstLine="439"/>
        <w:spacing w:after="0" w:line="273" w:lineRule="auto"/>
        <w:rPr>
          <w:sz w:val="20"/>
          <w:szCs w:val="20"/>
          <w:color w:val="auto"/>
        </w:rPr>
      </w:pPr>
      <w:r>
        <w:rPr>
          <w:rFonts w:ascii="Arial" w:cs="Arial" w:eastAsia="Arial" w:hAnsi="Arial"/>
          <w:sz w:val="17"/>
          <w:szCs w:val="17"/>
          <w:color w:val="auto"/>
        </w:rPr>
        <w:t>On October 31, 2017, Trimaran Advisors capitalized Trimaran Risk Retention Holdings, LLC, a newly-formed wholly-owned subsidiary, with $8.4 million of equity capital. In turn, Trimaran Risk Retention Holdings capitalized Trimaran RR I, LLC, a wholly-owned subsidiary of Trimaran Risk Retention Holdings, LLC, with $8.4 million of equity capital. With this equity contribution and other borrowed funds, Trimaran RR II, LLC purchased $34.8 million notional amount of notes issued by Catamaran CLO 2014-1, Ltd. for aggregate consideration of $35.5 million. On December 21, 2017, the Company entered into another new term loan agreement with Trimaran Advisors, under which Trimaran Advisors borrowed $4.4 million, which also bore interest at a rate of 10.5% annually, payable quarterly. During the second quarter of 2018, this loan was repaid in full by Trimaran Advisors.</w:t>
      </w:r>
    </w:p>
    <w:p>
      <w:pPr>
        <w:spacing w:after="0" w:line="178" w:lineRule="exact"/>
        <w:rPr>
          <w:sz w:val="20"/>
          <w:szCs w:val="20"/>
          <w:color w:val="auto"/>
        </w:rPr>
      </w:pPr>
    </w:p>
    <w:p>
      <w:pPr>
        <w:ind w:firstLine="439"/>
        <w:spacing w:after="0" w:line="286" w:lineRule="auto"/>
        <w:rPr>
          <w:sz w:val="20"/>
          <w:szCs w:val="20"/>
          <w:color w:val="auto"/>
        </w:rPr>
      </w:pPr>
      <w:r>
        <w:rPr>
          <w:rFonts w:ascii="Arial" w:cs="Arial" w:eastAsia="Arial" w:hAnsi="Arial"/>
          <w:sz w:val="17"/>
          <w:szCs w:val="17"/>
          <w:color w:val="auto"/>
        </w:rPr>
        <w:t>On December 21, 2017, Trimaran Advisors contributed $4.4 million of equity capital to Trimaran Risk Retention Holdings, LLC. In turn, Trimaran Risk Retention Holdings contributed $4.4 million of equity capital to Trimaran RR II. With this equity contribution and other borrowed funds, Trimaran RR I, LLC purchased $27.4 million notional amount of notes issued by Catamaran CLO 2015-1, Ltd. for aggregate consideration of $27.4 million.</w:t>
      </w:r>
    </w:p>
    <w:p>
      <w:pPr>
        <w:spacing w:after="0" w:line="166"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On June 4, 2018, Trimaran RR I, LLC sold $31.4 million and $24.9 million, of notional amount of notes issued by Catamaran CLO 2014-1, Ltd and Catamaran 2013-1, Ltd, respectively. In December 2018, Trimaran RR I, LLC. distributed to Trimaran $2.5 million notional amount of subordinated notes issued by Catamaran 2013-1 with a fair value of $1.4 million, and a notional amount of $3.4 million of subordinated notes issued by Catamaran 2014-1 with a fair value of $1.9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Agreement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Adviser provides management services to the Company pursuant to the Advisory Agreement. Under the terms of the Advisory Agreement,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Adviser is responsible for the following:</w:t>
      </w:r>
    </w:p>
    <w:p>
      <w:pPr>
        <w:spacing w:after="0" w:line="184" w:lineRule="exact"/>
        <w:rPr>
          <w:sz w:val="20"/>
          <w:szCs w:val="20"/>
          <w:color w:val="auto"/>
        </w:rPr>
      </w:pPr>
    </w:p>
    <w:p>
      <w:pPr>
        <w:ind w:left="880" w:hanging="440"/>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managing the Company’s assets in accordance with our investment objective, policies and restrictions;</w:t>
      </w:r>
    </w:p>
    <w:p>
      <w:pPr>
        <w:spacing w:after="0" w:line="184" w:lineRule="exact"/>
        <w:rPr>
          <w:rFonts w:ascii="Arial" w:cs="Arial" w:eastAsia="Arial" w:hAnsi="Arial"/>
          <w:sz w:val="18"/>
          <w:szCs w:val="18"/>
          <w:color w:val="auto"/>
        </w:rPr>
      </w:pPr>
    </w:p>
    <w:p>
      <w:pPr>
        <w:ind w:left="880" w:right="220" w:hanging="440"/>
        <w:spacing w:after="0" w:line="277"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determining the composition of the Company’s portfolio, the nature and timing of the changes to the portfolio and the manner of implementing such changes;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identifying, evaluating and negotiating the structure of the Company’s investments;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monitoring the Company’s investments;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determining the securities and other assets that the Company will purchase, retain or sell;</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assisting the Board with its valuation of the Company’s assets;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directing investment professionals of the Adviser to provide managerial assistance to the Company’s portfolio companies;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performing due diligence on prospective portfolio companies;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exercising voting rights in respect of portfolio securities and other investments for the Company;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serving on, and exercising observer rights for, boards of directors and similar committees of our portfolio companies; and</w:t>
      </w:r>
    </w:p>
    <w:p>
      <w:pPr>
        <w:spacing w:after="0" w:line="184" w:lineRule="exact"/>
        <w:rPr>
          <w:rFonts w:ascii="Arial" w:cs="Arial" w:eastAsia="Arial" w:hAnsi="Arial"/>
          <w:sz w:val="18"/>
          <w:szCs w:val="18"/>
          <w:color w:val="auto"/>
        </w:rPr>
      </w:pPr>
    </w:p>
    <w:p>
      <w:pPr>
        <w:ind w:left="880" w:right="200" w:hanging="440"/>
        <w:spacing w:after="0" w:line="277"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providing the Company with such other investment advisory, research and related services as we may, from time to time, reasonably require for the investment of capital.</w:t>
      </w:r>
    </w:p>
    <w:p>
      <w:pPr>
        <w:spacing w:after="0" w:line="130" w:lineRule="exact"/>
        <w:rPr>
          <w:sz w:val="20"/>
          <w:szCs w:val="20"/>
          <w:color w:val="auto"/>
        </w:rPr>
      </w:pPr>
    </w:p>
    <w:p>
      <w:pPr>
        <w:ind w:right="100" w:firstLine="439"/>
        <w:spacing w:after="0" w:line="277" w:lineRule="auto"/>
        <w:rPr>
          <w:sz w:val="20"/>
          <w:szCs w:val="20"/>
          <w:color w:val="auto"/>
        </w:rPr>
      </w:pPr>
      <w:r>
        <w:rPr>
          <w:rFonts w:ascii="Arial" w:cs="Arial" w:eastAsia="Arial" w:hAnsi="Arial"/>
          <w:sz w:val="18"/>
          <w:szCs w:val="18"/>
          <w:color w:val="auto"/>
        </w:rPr>
        <w:t>The Adviser’s services under the Advisory Agreement are not exclusive, and it is free to furnish similar services to other entities so long as its services to us are not impaired.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Term</w:t>
      </w:r>
    </w:p>
    <w:p>
      <w:pPr>
        <w:spacing w:after="0" w:line="198"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On April 1, 2019, the Company entered into the Advisory Agreement with the Adviser. Unless earlier terminated as described below, the Investment Advisory Agreement will remain in effect until April 1, 2021, a period of two years from the date it first became effective and will remain in effect from year-to-year thereafter if approved annually by a majority of the Board or by the holders of a majority of the outstanding shares, and, in each case, a majority of the independent directors.</w:t>
      </w:r>
    </w:p>
    <w:p>
      <w:pPr>
        <w:spacing w:after="0" w:line="146" w:lineRule="exact"/>
        <w:rPr>
          <w:sz w:val="20"/>
          <w:szCs w:val="20"/>
          <w:color w:val="auto"/>
        </w:rPr>
      </w:pPr>
    </w:p>
    <w:p>
      <w:pPr>
        <w:ind w:firstLine="439"/>
        <w:spacing w:after="0" w:line="273" w:lineRule="auto"/>
        <w:rPr>
          <w:sz w:val="20"/>
          <w:szCs w:val="20"/>
          <w:color w:val="auto"/>
        </w:rPr>
      </w:pPr>
      <w:r>
        <w:rPr>
          <w:rFonts w:ascii="Arial" w:cs="Arial" w:eastAsia="Arial" w:hAnsi="Arial"/>
          <w:sz w:val="17"/>
          <w:szCs w:val="17"/>
          <w:color w:val="auto"/>
        </w:rPr>
        <w:t>The Advisory Agreement will automatically terminate within the meaning of the 1940 Act and related Securities and Exchange Commission (“SEC”) guidance and interpretations in the event of its assignment. In accordance with the 1940 Act, without payment of any penalty, we may terminate the Advisory Agreement with the Adviser upon 60 days’ written notice. The decision to terminate the agreement may be made by a majority of the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Removal of Adviser</w:t>
      </w:r>
    </w:p>
    <w:p>
      <w:pPr>
        <w:spacing w:after="0" w:line="198" w:lineRule="exact"/>
        <w:rPr>
          <w:sz w:val="20"/>
          <w:szCs w:val="20"/>
          <w:color w:val="auto"/>
        </w:rPr>
      </w:pPr>
    </w:p>
    <w:p>
      <w:pPr>
        <w:ind w:right="140" w:firstLine="439"/>
        <w:spacing w:after="0" w:line="286" w:lineRule="auto"/>
        <w:rPr>
          <w:sz w:val="20"/>
          <w:szCs w:val="20"/>
          <w:color w:val="auto"/>
        </w:rPr>
      </w:pPr>
      <w:r>
        <w:rPr>
          <w:rFonts w:ascii="Arial" w:cs="Arial" w:eastAsia="Arial" w:hAnsi="Arial"/>
          <w:sz w:val="17"/>
          <w:szCs w:val="17"/>
          <w:color w:val="auto"/>
        </w:rPr>
        <w:t>The Adviser may be removed by the Board or by the affirmative vote of a Majority of the Outstanding Shares. “Majority of the Outstanding Shares” means the lesser of (1) 67% or more of the outstanding shares of our common stock present at a meeting, if the holders of more than 50% of the outstanding shares of our common stock are present or represented by proxy or (2) a majority of outstanding shares of our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Adviser</w:t>
      </w:r>
    </w:p>
    <w:p>
      <w:pPr>
        <w:spacing w:after="0" w:line="185" w:lineRule="exact"/>
        <w:rPr>
          <w:sz w:val="20"/>
          <w:szCs w:val="20"/>
          <w:color w:val="auto"/>
        </w:rPr>
      </w:pPr>
    </w:p>
    <w:p>
      <w:pPr>
        <w:ind w:right="20" w:firstLine="439"/>
        <w:spacing w:after="0" w:line="287" w:lineRule="auto"/>
        <w:rPr>
          <w:sz w:val="20"/>
          <w:szCs w:val="20"/>
          <w:color w:val="auto"/>
        </w:rPr>
      </w:pPr>
      <w:r>
        <w:rPr>
          <w:rFonts w:ascii="Arial" w:cs="Arial" w:eastAsia="Arial" w:hAnsi="Arial"/>
          <w:sz w:val="16"/>
          <w:szCs w:val="16"/>
          <w:color w:val="auto"/>
        </w:rPr>
        <w:t>Pursuant to the terms of the Advisory Agreement, the Company pays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the Company’s gross assets, excluding cash and cash equivalents, but including assets purchased with borrowed amounts, as of the end of such calendar quarter. Subsequently, the Base Management Fee will be 1.50% of the Company’s average gross assets, excluding cash and cash equivalents, but including assets purchased with borrowed amounts, at the end of the two most recently completed calendar quarters; provided, however, that the Base Management Fee will be 1.00% of the Company’s average gross assets, excluding cash and cash equivalents, but including assets purchased with borrowed amounts, that exceed the product of (i) 200% and (ii) the value of the Company’s net asset value at the end of the most recently completed calendar quarter. The Incentive Fee consists of two parts: (1) a portion based on the Company’s pre-incentive fee net investment income (the “Income-Based Fee”) and (2) a portion based on the net capital gains received on the Company’s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pre-incentive fee net investment income with a 7.00% hurdle rate. The Capital Gains Fee is 17.50%.</w:t>
      </w:r>
    </w:p>
    <w:p>
      <w:pPr>
        <w:spacing w:after="0" w:line="142" w:lineRule="exact"/>
        <w:rPr>
          <w:sz w:val="20"/>
          <w:szCs w:val="20"/>
          <w:color w:val="auto"/>
        </w:rPr>
      </w:pPr>
    </w:p>
    <w:p>
      <w:pPr>
        <w:ind w:right="40" w:firstLine="439"/>
        <w:spacing w:after="0" w:line="272" w:lineRule="auto"/>
        <w:rPr>
          <w:sz w:val="20"/>
          <w:szCs w:val="20"/>
          <w:color w:val="auto"/>
        </w:rPr>
      </w:pPr>
      <w:r>
        <w:rPr>
          <w:rFonts w:ascii="Arial" w:cs="Arial" w:eastAsia="Arial" w:hAnsi="Arial"/>
          <w:sz w:val="17"/>
          <w:szCs w:val="17"/>
          <w:color w:val="auto"/>
        </w:rPr>
        <w:t>Pre-incentive fee net investment income means dividends (including reinvested dividends), interest and fee income accrued by the Company during the calendar quarter, minus operating expenses for the quarter (including the management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payment-in-kind(“PIK”) interest and zero coupon securities), accrued income that the Company may not have received in cash. The Adviser is not obligated to return the incentive fee it receives on PIK interest that is later determined to be uncollectible in cash. Pre-incentive fee net investment income does not include any realized capital gains, realized capital losses or unrealized capital appreciation or depreciation.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54" w:name="page55"/>
    <w:bookmarkEnd w:id="54"/>
    <w:p>
      <w:pPr>
        <w:ind w:firstLine="439"/>
        <w:spacing w:after="0" w:line="289" w:lineRule="auto"/>
        <w:rPr>
          <w:sz w:val="20"/>
          <w:szCs w:val="20"/>
          <w:color w:val="auto"/>
        </w:rPr>
      </w:pPr>
      <w:r>
        <w:rPr>
          <w:rFonts w:ascii="Arial" w:cs="Arial" w:eastAsia="Arial" w:hAnsi="Arial"/>
          <w:sz w:val="16"/>
          <w:szCs w:val="16"/>
          <w:color w:val="auto"/>
        </w:rPr>
        <w:t>To determine the income incentive fee, pre-incentive fee net investment income is expressed as a rate of return on the value of our net assets at the end of the immediately preceding calendar quarter. Because of the structure of the incentive fee, it is possible that the Company may pay an incentive fee in a calendar quarter in which the Company incurs a loss. For example, if the Company receives pre-incentive fee net investment income in excess of the quarterly hurdle rate, the Company will pay the applicable incentive fee even if the Company has incurred a loss in that calendar quarter due to realized capital losses and unrealized capital depreciation. In addition, because the quarterly hurdle rate is calculated based on our net assets, decreases in the Company’s net assets due to realized capital losses or unrealized capital depreciation in any given calendar quarter may increase the likelihood that the hurdle rate is reached and therefore the likelihood of the Company paying an incentive fee for the subsequent quarter. The Company’s net investment income used to calculate this component of the incentive fee is also included in the amount of the Company’s gross assets used to calculate the management fee because gross assets are total assets (including cash received) before deducting liabilities (such as declared dividend payments).</w:t>
      </w:r>
    </w:p>
    <w:p>
      <w:pPr>
        <w:spacing w:after="0" w:line="140" w:lineRule="exact"/>
        <w:rPr>
          <w:sz w:val="20"/>
          <w:szCs w:val="20"/>
          <w:color w:val="auto"/>
        </w:rPr>
      </w:pPr>
    </w:p>
    <w:p>
      <w:pPr>
        <w:ind w:right="60" w:firstLine="439"/>
        <w:spacing w:after="0" w:line="291" w:lineRule="auto"/>
        <w:rPr>
          <w:sz w:val="20"/>
          <w:szCs w:val="20"/>
          <w:color w:val="auto"/>
        </w:rPr>
      </w:pPr>
      <w:r>
        <w:rPr>
          <w:rFonts w:ascii="Arial" w:cs="Arial" w:eastAsia="Arial" w:hAnsi="Arial"/>
          <w:sz w:val="16"/>
          <w:szCs w:val="16"/>
          <w:color w:val="auto"/>
        </w:rPr>
        <w:t>The second component of the incentive fee, the capital gains incentive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the Effective Date, less the aggregate amount of any previously paid capital gains incentive fee for prior periods. The Company will accrue, but will not pay, a capital gains incentive fee with respect to unrealized appreciation because a capital gains incentive fee would be owed to the Adviser if the Company were to sell the relevant investment and realize a capital gain. In no event will the capital gains incentive fee payable pursuant to the Investment Advisory Agreement be in excess of the amount permitted by the Investment Advisers Act of 1940, as amended (the “Advisers Act”) including Section 205 thereof.</w:t>
      </w:r>
    </w:p>
    <w:p>
      <w:pPr>
        <w:spacing w:after="0" w:line="127" w:lineRule="exact"/>
        <w:rPr>
          <w:sz w:val="20"/>
          <w:szCs w:val="20"/>
          <w:color w:val="auto"/>
        </w:rPr>
      </w:pPr>
    </w:p>
    <w:p>
      <w:pPr>
        <w:ind w:right="2240" w:firstLine="439"/>
        <w:spacing w:after="0" w:line="461" w:lineRule="auto"/>
        <w:rPr>
          <w:sz w:val="20"/>
          <w:szCs w:val="20"/>
          <w:color w:val="auto"/>
        </w:rPr>
      </w:pPr>
      <w:r>
        <w:rPr>
          <w:rFonts w:ascii="Arial" w:cs="Arial" w:eastAsia="Arial" w:hAnsi="Arial"/>
          <w:sz w:val="18"/>
          <w:szCs w:val="18"/>
          <w:color w:val="auto"/>
        </w:rPr>
        <w:t xml:space="preserve">The fees that are payable under the Investment Advisory Agreement for any partial period will be appropriately prorated. </w:t>
      </w:r>
      <w:r>
        <w:rPr>
          <w:rFonts w:ascii="Arial" w:cs="Arial" w:eastAsia="Arial" w:hAnsi="Arial"/>
          <w:sz w:val="18"/>
          <w:szCs w:val="18"/>
          <w:i w:val="1"/>
          <w:iCs w:val="1"/>
          <w:color w:val="auto"/>
        </w:rPr>
        <w:t>Limitations of Liability and Indemnification</w:t>
      </w:r>
    </w:p>
    <w:p>
      <w:pPr>
        <w:spacing w:after="0" w:line="2" w:lineRule="exact"/>
        <w:rPr>
          <w:sz w:val="20"/>
          <w:szCs w:val="20"/>
          <w:color w:val="auto"/>
        </w:rPr>
      </w:pPr>
    </w:p>
    <w:p>
      <w:pPr>
        <w:ind w:right="100" w:firstLine="439"/>
        <w:spacing w:after="0" w:line="269" w:lineRule="auto"/>
        <w:rPr>
          <w:sz w:val="20"/>
          <w:szCs w:val="20"/>
          <w:color w:val="auto"/>
        </w:rPr>
      </w:pPr>
      <w:r>
        <w:rPr>
          <w:rFonts w:ascii="Arial" w:cs="Arial" w:eastAsia="Arial" w:hAnsi="Arial"/>
          <w:sz w:val="17"/>
          <w:szCs w:val="17"/>
          <w:color w:val="auto"/>
        </w:rPr>
        <w:t>Under the Advisory Agreement, the Adviser, its officers, managers, partners, agents, employees, controlling persons, members and any other person or entity affiliated with the Adviser, including without limitation its managing member, will not be liable to the Company for acts or omissions performed in accordance with and pursuant to the Advisory Agreement, except those resulting from acts constituting criminal conduct, gross negligence, willful misfeasance, bad faith or reckless disregard of the duties that the Adviser owes to the Company under the Advisory Agreement. In addition, as part of the Advisory Agreement, the Company has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Approval of the Advisory Agreement</w:t>
      </w:r>
    </w:p>
    <w:p>
      <w:pPr>
        <w:spacing w:after="0" w:line="185" w:lineRule="exact"/>
        <w:rPr>
          <w:sz w:val="20"/>
          <w:szCs w:val="20"/>
          <w:color w:val="auto"/>
        </w:rPr>
      </w:pPr>
    </w:p>
    <w:p>
      <w:pPr>
        <w:ind w:right="20" w:firstLine="439"/>
        <w:spacing w:after="0" w:line="286" w:lineRule="auto"/>
        <w:rPr>
          <w:sz w:val="20"/>
          <w:szCs w:val="20"/>
          <w:color w:val="auto"/>
        </w:rPr>
      </w:pPr>
      <w:r>
        <w:rPr>
          <w:rFonts w:ascii="Arial" w:cs="Arial" w:eastAsia="Arial" w:hAnsi="Arial"/>
          <w:sz w:val="16"/>
          <w:szCs w:val="16"/>
          <w:color w:val="auto"/>
        </w:rPr>
        <w:t>On December 12, 2018, the then-current Board of the Company held an in-person meeting to consider and approve the Advisory Agreement and related matters. The Board was provided the information required to consider the Advisory Agreement, including: (a) the nature, quality and extent of the advisory and other services to be provided to the Company by the Adviser; (b) comparative data with respect to advisory fees or similar expenses paid by other BDCs with similar investment objectives; (c) the Company projected operating expenses and expense ratio compared to BDCs with similar investment objectives;</w:t>
      </w:r>
    </w:p>
    <w:p>
      <w:pPr>
        <w:spacing w:after="0" w:line="2" w:lineRule="exact"/>
        <w:rPr>
          <w:sz w:val="20"/>
          <w:szCs w:val="20"/>
          <w:color w:val="auto"/>
        </w:rPr>
      </w:pPr>
    </w:p>
    <w:p>
      <w:pPr>
        <w:ind w:left="260" w:hanging="252"/>
        <w:spacing w:after="0"/>
        <w:tabs>
          <w:tab w:leader="none" w:pos="2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existing and potential sources of indirect income to the Adviser from its relationship with the Company and the profitability of that relationship;</w:t>
      </w:r>
    </w:p>
    <w:p>
      <w:pPr>
        <w:spacing w:after="0" w:line="20" w:lineRule="exact"/>
        <w:rPr>
          <w:rFonts w:ascii="Arial" w:cs="Arial" w:eastAsia="Arial" w:hAnsi="Arial"/>
          <w:sz w:val="17"/>
          <w:szCs w:val="17"/>
          <w:color w:val="auto"/>
        </w:rPr>
      </w:pPr>
    </w:p>
    <w:p>
      <w:pPr>
        <w:ind w:right="260" w:firstLine="8"/>
        <w:spacing w:after="0" w:line="273" w:lineRule="auto"/>
        <w:tabs>
          <w:tab w:leader="none" w:pos="245"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information about the services to be performed and the personnel performing such services under the Advisory Agreement; (f) the organizational capability and financial condition of the Adviser and its affiliates; (g) the Adviser’s practices regarding the selection and compensation of brokers that may execute our portfolio transactions and the brokers’ provision of brokerage and research services to the Adviser; and (h) the possibility of obtaining similar services from other third-party service providers or continuing to operate as an internally managed BDC.</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55" w:name="page56"/>
    <w:bookmarkEnd w:id="55"/>
    <w:p>
      <w:pPr>
        <w:ind w:right="320" w:firstLine="439"/>
        <w:spacing w:after="0" w:line="308" w:lineRule="auto"/>
        <w:rPr>
          <w:sz w:val="20"/>
          <w:szCs w:val="20"/>
          <w:color w:val="auto"/>
        </w:rPr>
      </w:pPr>
      <w:r>
        <w:rPr>
          <w:rFonts w:ascii="Arial" w:cs="Arial" w:eastAsia="Arial" w:hAnsi="Arial"/>
          <w:sz w:val="17"/>
          <w:szCs w:val="17"/>
          <w:color w:val="auto"/>
        </w:rPr>
        <w:t>The Board, including a majority of independent directors, will oversee and monitor the Company’s investment performance and, beginning with the second anniversary of the effective date of the Advisory Agreement, will annually review the compensation we pay to the Adviser.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185" w:lineRule="exact"/>
        <w:rPr>
          <w:sz w:val="20"/>
          <w:szCs w:val="20"/>
          <w:color w:val="auto"/>
        </w:rPr>
      </w:pPr>
    </w:p>
    <w:p>
      <w:pPr>
        <w:ind w:right="140" w:firstLine="439"/>
        <w:spacing w:after="0" w:line="272" w:lineRule="auto"/>
        <w:rPr>
          <w:sz w:val="20"/>
          <w:szCs w:val="20"/>
          <w:color w:val="auto"/>
        </w:rPr>
      </w:pPr>
      <w:r>
        <w:rPr>
          <w:rFonts w:ascii="Arial" w:cs="Arial" w:eastAsia="Arial" w:hAnsi="Arial"/>
          <w:sz w:val="17"/>
          <w:szCs w:val="17"/>
          <w:color w:val="auto"/>
        </w:rPr>
        <w:t>Under the terms of the administration agreement (the “Administration Agreement”) between the Company and BC Partners Management LLC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The Company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the Company will reimburse the Administrator for any services performed for it by such affiliate or third party.</w:t>
      </w:r>
    </w:p>
    <w:p>
      <w:pPr>
        <w:spacing w:after="0" w:line="137" w:lineRule="exact"/>
        <w:rPr>
          <w:sz w:val="20"/>
          <w:szCs w:val="20"/>
          <w:color w:val="auto"/>
        </w:rPr>
      </w:pPr>
    </w:p>
    <w:p>
      <w:pPr>
        <w:ind w:firstLine="439"/>
        <w:spacing w:after="0" w:line="297" w:lineRule="auto"/>
        <w:rPr>
          <w:sz w:val="20"/>
          <w:szCs w:val="20"/>
          <w:color w:val="auto"/>
        </w:rPr>
      </w:pPr>
      <w:r>
        <w:rPr>
          <w:rFonts w:ascii="Arial" w:cs="Arial" w:eastAsia="Arial" w:hAnsi="Arial"/>
          <w:sz w:val="16"/>
          <w:szCs w:val="16"/>
          <w:color w:val="auto"/>
        </w:rPr>
        <w:t>Payments under the Administration Agreement are equal to an amount that reimburses the Administrator for its costs and expenses in performing its obligations and providing personnel and facilities (including rent, office equipment and utilities) for the Company’s use under the Administration Agreement, including an allocable portion of the compensation paid to the Company’s chief compliance officer and chief financial officer and their respective staff who provide services to the Company. The Board, including the independent directors, will review the general nature of the services provided by the Administrator as well as the related cost to the Company for those services and consider whether the cost is reasonable in light of the services provided.</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April 1, 2019, the Board approved the Administration Agreement with the Administrator. Unless earlier terminated as described below,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Agreement will remain in effect until April 1, 2021, a period of two years from the date it first became effective and will remain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effect from year-to-year thereafter if approved annually by a majority of the Board or by the holders of a Majority of the Outstanding Shares, and, in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case, a majority of the independent directors.</w:t>
      </w:r>
    </w:p>
    <w:p>
      <w:pPr>
        <w:spacing w:after="0" w:line="170" w:lineRule="exact"/>
        <w:rPr>
          <w:sz w:val="20"/>
          <w:szCs w:val="20"/>
          <w:color w:val="auto"/>
        </w:rPr>
      </w:pPr>
    </w:p>
    <w:p>
      <w:pPr>
        <w:ind w:right="180" w:firstLine="439"/>
        <w:spacing w:after="0" w:line="264" w:lineRule="auto"/>
        <w:rPr>
          <w:sz w:val="20"/>
          <w:szCs w:val="20"/>
          <w:color w:val="auto"/>
        </w:rPr>
      </w:pPr>
      <w:r>
        <w:rPr>
          <w:rFonts w:ascii="Arial" w:cs="Arial" w:eastAsia="Arial" w:hAnsi="Arial"/>
          <w:sz w:val="18"/>
          <w:szCs w:val="18"/>
          <w:color w:val="auto"/>
        </w:rPr>
        <w:t>The Company may terminate the Administration Agreement, without payment of any penalty, upon 60 days’ written notice. The decision to terminate the agreement may be made by a majority of the Board or the stockholders holding a Majority of the Outstanding Shares. In addition, the Adviser may terminate the Administration Agreement, without payment of any penalty, upon 60 days’ written notice.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Expenses under the Advisory and Administration Agreements</w:t>
      </w:r>
    </w:p>
    <w:p>
      <w:pPr>
        <w:spacing w:after="0" w:line="198"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Except as specifically provided below, all investment professionals and staffs of the Adviser, when and to the extent engaged in providing investment advisory and management services to the Company, and the compensation and routine overhead expenses (including rent, office equipment and utilities), of such personnel allocable to such services, is provided and paid for by the Adviser. The Company bears an allocable portion of the compensation paid by the Adviser (or its affiliates) to the Company’s chief compliance officer and chief financial officer and their respective staffs (based on a percentage of time such individuals devote, on an estimated basis, to our business affairs). The Company also bears all other costs and expenses of our operations, administration and transactions, including, but not limited to (i) investment advisory fees, including management fees and incentive fees, to the Adviser, pursuant to the Advisory Agreement; (ii) an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126" w:lineRule="exact"/>
        <w:rPr>
          <w:sz w:val="20"/>
          <w:szCs w:val="20"/>
          <w:color w:val="auto"/>
        </w:rPr>
      </w:pPr>
    </w:p>
    <w:p>
      <w:pPr>
        <w:ind w:left="880" w:hanging="440"/>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 of calculating the Company’s net asset value, including the cost of any third-party valuation services;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 of effecting any sales and repurchases of the Company’s common stock and other securities;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fees and expenses payable under any dealer manager or placement agent agreements, if 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56" w:name="page57"/>
    <w:bookmarkEnd w:id="56"/>
    <w:p>
      <w:pPr>
        <w:ind w:left="880" w:hanging="440"/>
        <w:spacing w:after="0"/>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administration fees payable under the Administration Agreement and any sub-administration agreements, including related expenses;</w:t>
      </w:r>
    </w:p>
    <w:p>
      <w:pPr>
        <w:spacing w:after="0" w:line="196" w:lineRule="exact"/>
        <w:rPr>
          <w:rFonts w:ascii="Arial" w:cs="Arial" w:eastAsia="Arial" w:hAnsi="Arial"/>
          <w:sz w:val="17"/>
          <w:szCs w:val="17"/>
          <w:color w:val="auto"/>
        </w:rPr>
      </w:pPr>
    </w:p>
    <w:p>
      <w:pPr>
        <w:ind w:left="880" w:hanging="440"/>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84" w:lineRule="exact"/>
        <w:rPr>
          <w:rFonts w:ascii="Arial" w:cs="Arial" w:eastAsia="Arial" w:hAnsi="Arial"/>
          <w:sz w:val="18"/>
          <w:szCs w:val="18"/>
          <w:color w:val="auto"/>
        </w:rPr>
      </w:pPr>
    </w:p>
    <w:p>
      <w:pPr>
        <w:ind w:left="880" w:right="480" w:hanging="440"/>
        <w:spacing w:after="0" w:line="277"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 and fees payable to rating agencies;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independent directors’ fees and expenses including certain travel expenses;</w:t>
      </w:r>
    </w:p>
    <w:p>
      <w:pPr>
        <w:spacing w:after="0" w:line="184"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140" w:lineRule="exact"/>
        <w:rPr>
          <w:rFonts w:ascii="Arial" w:cs="Arial" w:eastAsia="Arial" w:hAnsi="Arial"/>
          <w:sz w:val="18"/>
          <w:szCs w:val="18"/>
          <w:color w:val="auto"/>
        </w:rPr>
      </w:pPr>
    </w:p>
    <w:p>
      <w:pPr>
        <w:ind w:left="880" w:right="200" w:hanging="440"/>
        <w:spacing w:after="0" w:line="308" w:lineRule="auto"/>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106" w:lineRule="exact"/>
        <w:rPr>
          <w:rFonts w:ascii="Arial" w:cs="Arial" w:eastAsia="Arial" w:hAnsi="Arial"/>
          <w:sz w:val="17"/>
          <w:szCs w:val="17"/>
          <w:color w:val="auto"/>
        </w:rPr>
      </w:pPr>
    </w:p>
    <w:p>
      <w:pPr>
        <w:ind w:left="880" w:hanging="440"/>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research and market data;</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outside legal and consulting costs;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costs of winding up our affairs;</w:t>
      </w:r>
    </w:p>
    <w:p>
      <w:pPr>
        <w:spacing w:after="0" w:line="184" w:lineRule="exact"/>
        <w:rPr>
          <w:rFonts w:ascii="Arial" w:cs="Arial" w:eastAsia="Arial" w:hAnsi="Arial"/>
          <w:sz w:val="18"/>
          <w:szCs w:val="18"/>
          <w:color w:val="auto"/>
        </w:rPr>
      </w:pPr>
    </w:p>
    <w:p>
      <w:pPr>
        <w:ind w:left="880" w:right="420" w:hanging="440"/>
        <w:spacing w:after="0" w:line="277"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costs incurred by either the Administrator or us in connection with administering our business, including payments under the Administration Agreement;</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extraordinary expenses (such as litigation or indemnification);</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costs associated with reporting and compliance obligations under the 1940 Act and applicable federal and state securities laws;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costs associated with the Company’s legacy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Co-investment Exemptive Relief</w:t>
      </w:r>
    </w:p>
    <w:p>
      <w:pPr>
        <w:spacing w:after="0" w:line="225" w:lineRule="exact"/>
        <w:rPr>
          <w:sz w:val="20"/>
          <w:szCs w:val="20"/>
          <w:color w:val="auto"/>
        </w:rPr>
      </w:pPr>
    </w:p>
    <w:p>
      <w:pPr>
        <w:ind w:right="240" w:firstLine="439"/>
        <w:spacing w:after="0" w:line="286" w:lineRule="auto"/>
        <w:rPr>
          <w:sz w:val="20"/>
          <w:szCs w:val="20"/>
          <w:color w:val="auto"/>
        </w:rPr>
      </w:pPr>
      <w:r>
        <w:rPr>
          <w:rFonts w:ascii="Arial" w:cs="Arial" w:eastAsia="Arial" w:hAnsi="Arial"/>
          <w:sz w:val="17"/>
          <w:szCs w:val="17"/>
          <w:color w:val="auto"/>
        </w:rPr>
        <w:t>As a BDC, the Company is subject to certain regulatory restrictions in making its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ind w:right="120" w:firstLine="439"/>
        <w:spacing w:after="0" w:line="253" w:lineRule="auto"/>
        <w:rPr>
          <w:sz w:val="20"/>
          <w:szCs w:val="20"/>
          <w:color w:val="auto"/>
        </w:rPr>
      </w:pPr>
      <w:r>
        <w:rPr>
          <w:rFonts w:ascii="Arial" w:cs="Arial" w:eastAsia="Arial" w:hAnsi="Arial"/>
          <w:sz w:val="18"/>
          <w:szCs w:val="18"/>
          <w:color w:val="auto"/>
        </w:rPr>
        <w:t>On October 23, 2018, the SEC issued an order granting an application for exemptive relief to an affiliate of the Adviser that allows BDCs managed by the Adviser, including the Company, to co-invest, subject to the satisfaction of certain conditions, in certain private placement transactions, with other funds managed by the Advisers or its affiliates, including BCP Special Opportunities Fund I LP, BC Partners Lending Corporation and any future funds that are advised by the Adviser or its affiliated investment advisers. Under the terms of the exemptive order, in order for the Company to participate in a co-investment transaction a “required majority” (as defined in Section 57(o) of the 1940 Act) of the Company’s independent directors must conclude that (i) 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Trimaran Credit Facility</w:t>
      </w:r>
    </w:p>
    <w:p>
      <w:pPr>
        <w:spacing w:after="0" w:line="225" w:lineRule="exact"/>
        <w:rPr>
          <w:sz w:val="20"/>
          <w:szCs w:val="20"/>
          <w:color w:val="auto"/>
        </w:rPr>
      </w:pPr>
    </w:p>
    <w:p>
      <w:pPr>
        <w:ind w:right="40" w:firstLine="439"/>
        <w:spacing w:after="0" w:line="254" w:lineRule="auto"/>
        <w:rPr>
          <w:sz w:val="20"/>
          <w:szCs w:val="20"/>
          <w:color w:val="auto"/>
        </w:rPr>
      </w:pPr>
      <w:r>
        <w:rPr>
          <w:rFonts w:ascii="Arial" w:cs="Arial" w:eastAsia="Arial" w:hAnsi="Arial"/>
          <w:sz w:val="18"/>
          <w:szCs w:val="18"/>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which expired on November 20, 2017 and bore interest at an annual rate of 9.0%. On April 15, 2013, the Trimaran Credit Facility was amended and upsized from $20 million to $23 million. Outstanding borrowings on the Trimaran Credit Facility were callable by the Company at any time. The Trimaran Credit Facility was fully repaid and terminated in the fourth quarter of 2018. At June 30, 2019 and December 31, 2018, there were no loans outstanding under the Trimaran Credit Facility. For the three and six months ended June 30, 2018 the Company recognized interest income of approximately $113,000 and $229,000, related to the Trimaran Credit Facility.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7.</w:t>
            </w:r>
          </w:p>
        </w:tc>
        <w:tc>
          <w:tcPr>
            <w:tcW w:w="7360" w:type="dxa"/>
            <w:vAlign w:val="bottom"/>
          </w:tcPr>
          <w:p>
            <w:pPr>
              <w:ind w:left="140"/>
              <w:spacing w:after="0"/>
              <w:rPr>
                <w:sz w:val="20"/>
                <w:szCs w:val="20"/>
                <w:color w:val="auto"/>
              </w:rPr>
            </w:pPr>
            <w:r>
              <w:rPr>
                <w:rFonts w:ascii="Arial" w:cs="Arial" w:eastAsia="Arial" w:hAnsi="Arial"/>
                <w:sz w:val="18"/>
                <w:szCs w:val="18"/>
                <w:b w:val="1"/>
                <w:bCs w:val="1"/>
                <w:color w:val="auto"/>
              </w:rPr>
              <w:t>BORROWINGS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The Company’s debt obligations consist of the following:</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4"/>
        </w:trPr>
        <w:tc>
          <w:tcPr>
            <w:tcW w:w="30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As of</w:t>
            </w:r>
          </w:p>
        </w:tc>
        <w:tc>
          <w:tcPr>
            <w:tcW w:w="120" w:type="dxa"/>
            <w:vAlign w:val="bottom"/>
          </w:tcPr>
          <w:p>
            <w:pPr>
              <w:spacing w:after="0"/>
              <w:rPr>
                <w:sz w:val="24"/>
                <w:szCs w:val="24"/>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r>
      <w:tr>
        <w:trPr>
          <w:trHeight w:val="230"/>
        </w:trPr>
        <w:tc>
          <w:tcPr>
            <w:tcW w:w="30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June 30, 2019</w:t>
            </w:r>
          </w:p>
        </w:tc>
        <w:tc>
          <w:tcPr>
            <w:tcW w:w="120" w:type="dxa"/>
            <w:vAlign w:val="bottom"/>
          </w:tcPr>
          <w:p>
            <w:pPr>
              <w:spacing w:after="0"/>
              <w:rPr>
                <w:sz w:val="19"/>
                <w:szCs w:val="19"/>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2018</w:t>
            </w:r>
          </w:p>
        </w:tc>
      </w:tr>
      <w:tr>
        <w:trPr>
          <w:trHeight w:val="234"/>
        </w:trPr>
        <w:tc>
          <w:tcPr>
            <w:tcW w:w="30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6.125% Notes Due 2022 (net of offering costs of: 2019-$1,933,295; 2018 - $2,207,341)</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75,473,905</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75,199,858</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7660" w:type="dxa"/>
            <w:vAlign w:val="bottom"/>
            <w:gridSpan w:val="2"/>
          </w:tcPr>
          <w:p>
            <w:pPr>
              <w:spacing w:after="0"/>
              <w:rPr>
                <w:sz w:val="20"/>
                <w:szCs w:val="20"/>
                <w:color w:val="auto"/>
              </w:rPr>
            </w:pPr>
            <w:r>
              <w:rPr>
                <w:rFonts w:ascii="Arial" w:cs="Arial" w:eastAsia="Arial" w:hAnsi="Arial"/>
                <w:sz w:val="18"/>
                <w:szCs w:val="18"/>
                <w:color w:val="auto"/>
              </w:rPr>
              <w:t>Great Lakes KCAP Funding I, LLC Revolving Credit Facility (net of offering costs of:</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2019-$1,326,443; 2018 - $1,155,754)</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44,032,368</w:t>
            </w:r>
          </w:p>
        </w:tc>
        <w:tc>
          <w:tcPr>
            <w:tcW w:w="2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25,200,331</w:t>
            </w:r>
          </w:p>
        </w:tc>
        <w:tc>
          <w:tcPr>
            <w:tcW w:w="100" w:type="dxa"/>
            <w:vAlign w:val="bottom"/>
            <w:tcBorders>
              <w:bottom w:val="single" w:sz="8" w:color="CFF0FC"/>
            </w:tcBorders>
          </w:tcPr>
          <w:p>
            <w:pPr>
              <w:spacing w:after="0"/>
              <w:rPr>
                <w:sz w:val="20"/>
                <w:szCs w:val="20"/>
                <w:color w:val="auto"/>
              </w:rPr>
            </w:pPr>
          </w:p>
        </w:tc>
      </w:tr>
      <w:tr>
        <w:trPr>
          <w:trHeight w:val="223"/>
        </w:trPr>
        <w:tc>
          <w:tcPr>
            <w:tcW w:w="300" w:type="dxa"/>
            <w:vAlign w:val="bottom"/>
            <w:tcBorders>
              <w:bottom w:val="single" w:sz="8" w:color="CFF0FC"/>
            </w:tcBorders>
            <w:shd w:val="clear" w:color="auto" w:fill="CFF0FC"/>
          </w:tcPr>
          <w:p>
            <w:pPr>
              <w:spacing w:after="0"/>
              <w:rPr>
                <w:sz w:val="19"/>
                <w:szCs w:val="19"/>
                <w:color w:val="auto"/>
              </w:rPr>
            </w:pPr>
          </w:p>
        </w:tc>
        <w:tc>
          <w:tcPr>
            <w:tcW w:w="73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119,506,273</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100,400,189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439"/>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June 30, 2019 were 6.0% and 3.0 years, respectively, and as of December 31, 2018 were 6.0% and 3.6 years,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6.125% Notes Due 2022</w:t>
      </w:r>
    </w:p>
    <w:p>
      <w:pPr>
        <w:spacing w:after="0" w:line="185" w:lineRule="exact"/>
        <w:rPr>
          <w:sz w:val="20"/>
          <w:szCs w:val="20"/>
          <w:color w:val="auto"/>
        </w:rPr>
      </w:pPr>
    </w:p>
    <w:p>
      <w:pPr>
        <w:ind w:right="20" w:firstLine="439"/>
        <w:spacing w:after="0" w:line="288" w:lineRule="auto"/>
        <w:rPr>
          <w:sz w:val="20"/>
          <w:szCs w:val="20"/>
          <w:color w:val="auto"/>
        </w:rPr>
      </w:pPr>
      <w:r>
        <w:rPr>
          <w:rFonts w:ascii="Arial" w:cs="Arial" w:eastAsia="Arial" w:hAnsi="Arial"/>
          <w:sz w:val="16"/>
          <w:szCs w:val="16"/>
          <w:color w:val="auto"/>
        </w:rPr>
        <w:t>During the third quarter of 2017, the Company issued $77.4 million in aggregate principal amount of unsecured 6.125% Notes due 2022 (the 6.125% “Notes Due 2022”). The net proceeds for these Notes, after the payment of underwriting expenses, were approximately $74.6 million. Interest on the 6.125% Notes Due 2022 is paid quarterly in arrears on March 30, June 30, September 30 and December 30, at a rate of 6.125%. The 6.125% Notes Due 2022 mature on September 30, 2022 and are unsecured obligations of the Company. The 6.125% Notes Due 2022 are subject to redemption in whole or in part at any time or from time to time, at the option of the Company, on or after September 30, 2019,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6.125% Notes Due 2022, the Company is limited in its ability to make distributions in certain circumstances. The indenture governing the 6.125% Notes Due 2022 contains certain restrictive covenants, including compliance with certain provisions of the 1940 Act related to borrowing and dividends. At June 30, 2019, the Company was in compliance with all of its debt covenants.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ind w:right="140" w:firstLine="439"/>
        <w:spacing w:after="0" w:line="264" w:lineRule="auto"/>
        <w:rPr>
          <w:sz w:val="20"/>
          <w:szCs w:val="20"/>
          <w:color w:val="auto"/>
        </w:rPr>
      </w:pPr>
      <w:r>
        <w:rPr>
          <w:rFonts w:ascii="Arial" w:cs="Arial" w:eastAsia="Arial" w:hAnsi="Arial"/>
          <w:sz w:val="18"/>
          <w:szCs w:val="18"/>
          <w:color w:val="auto"/>
        </w:rPr>
        <w:t>For the three months ended June 30, 2019 and 2018, interest expense related to the 6.125% Notes Due 2022 was approximately $1.2 million and $1.2 million, respectively. For the six months ended June 30, 2019 and 2018 interest expense related to the 6.125% Notes Due 2022 was approximately $2.4 million and $2.4 million, respectively.</w:t>
      </w:r>
    </w:p>
    <w:p>
      <w:pPr>
        <w:spacing w:after="0" w:line="154" w:lineRule="exact"/>
        <w:rPr>
          <w:sz w:val="20"/>
          <w:szCs w:val="20"/>
          <w:color w:val="auto"/>
        </w:rPr>
      </w:pPr>
    </w:p>
    <w:p>
      <w:pPr>
        <w:jc w:val="both"/>
        <w:ind w:right="340" w:firstLine="439"/>
        <w:spacing w:after="0" w:line="259" w:lineRule="auto"/>
        <w:rPr>
          <w:sz w:val="20"/>
          <w:szCs w:val="20"/>
          <w:color w:val="auto"/>
        </w:rPr>
      </w:pPr>
      <w:r>
        <w:rPr>
          <w:rFonts w:ascii="Arial" w:cs="Arial" w:eastAsia="Arial" w:hAnsi="Arial"/>
          <w:sz w:val="18"/>
          <w:szCs w:val="18"/>
          <w:color w:val="auto"/>
        </w:rPr>
        <w:t>In connection with the issuance of the 6.125% Notes Due 2022, the Company incurred approximately $2.9 million of debt offering costs which are being amortized over the expected term of the facility on an effective yield method, of which approximately $1.9 million and $2.2 million remains to be amortized as of June 30, 2019 and December 31, 2018, respectively, and is included on the consolidated balance sheets as a reduction in the related debt liability.</w:t>
      </w:r>
    </w:p>
    <w:p>
      <w:pPr>
        <w:spacing w:after="0" w:line="146" w:lineRule="exact"/>
        <w:rPr>
          <w:sz w:val="20"/>
          <w:szCs w:val="20"/>
          <w:color w:val="auto"/>
        </w:rPr>
      </w:pPr>
    </w:p>
    <w:p>
      <w:pPr>
        <w:ind w:right="100" w:firstLine="439"/>
        <w:spacing w:after="0" w:line="302" w:lineRule="auto"/>
        <w:rPr>
          <w:sz w:val="20"/>
          <w:szCs w:val="20"/>
          <w:color w:val="auto"/>
        </w:rPr>
      </w:pPr>
      <w:r>
        <w:rPr>
          <w:rFonts w:ascii="Arial" w:cs="Arial" w:eastAsia="Arial" w:hAnsi="Arial"/>
          <w:sz w:val="16"/>
          <w:szCs w:val="16"/>
          <w:i w:val="1"/>
          <w:iCs w:val="1"/>
          <w:color w:val="auto"/>
        </w:rPr>
        <w:t xml:space="preserve">Fair Value of 6.125% Notes Due 2022. </w:t>
      </w:r>
      <w:r>
        <w:rPr>
          <w:rFonts w:ascii="Arial" w:cs="Arial" w:eastAsia="Arial" w:hAnsi="Arial"/>
          <w:sz w:val="16"/>
          <w:szCs w:val="16"/>
          <w:color w:val="auto"/>
        </w:rPr>
        <w:t>The 6.125% Notes Due 2022 were issued via public offering during the third quarter of 2017 and are carried at</w:t>
      </w:r>
      <w:r>
        <w:rPr>
          <w:rFonts w:ascii="Arial" w:cs="Arial" w:eastAsia="Arial" w:hAnsi="Arial"/>
          <w:sz w:val="16"/>
          <w:szCs w:val="16"/>
          <w:i w:val="1"/>
          <w:iCs w:val="1"/>
          <w:color w:val="auto"/>
        </w:rPr>
        <w:t xml:space="preserve"> </w:t>
      </w:r>
      <w:r>
        <w:rPr>
          <w:rFonts w:ascii="Arial" w:cs="Arial" w:eastAsia="Arial" w:hAnsi="Arial"/>
          <w:sz w:val="16"/>
          <w:szCs w:val="16"/>
          <w:color w:val="auto"/>
        </w:rPr>
        <w:t>cost, net of offering costs of $1.9 million and $2.2 million at June 30, 2019 and December 31, 2018. The fair value of the Company’s outstanding 6.125% Notes Due 2022 was approximately $77.9 million and $76.6 million at June 30, 2019 and December 31, 2018. The fair value was determined based on the closing price on June 30, 2019 for the 6.125% Notes Due 2022. The 6.125% Notes Due 2022 are categorized as Level I under the ASC 820 Fair Value.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Great Lakes KCAP Funding I, LLC</w:t>
      </w:r>
    </w:p>
    <w:p>
      <w:pPr>
        <w:spacing w:after="0" w:line="198" w:lineRule="exact"/>
        <w:rPr>
          <w:sz w:val="20"/>
          <w:szCs w:val="20"/>
          <w:color w:val="auto"/>
        </w:rPr>
      </w:pPr>
    </w:p>
    <w:p>
      <w:pPr>
        <w:ind w:right="120" w:firstLine="439"/>
        <w:spacing w:after="0" w:line="264" w:lineRule="auto"/>
        <w:rPr>
          <w:sz w:val="20"/>
          <w:szCs w:val="20"/>
          <w:color w:val="auto"/>
        </w:rPr>
      </w:pPr>
      <w:r>
        <w:rPr>
          <w:rFonts w:ascii="Arial" w:cs="Arial" w:eastAsia="Arial" w:hAnsi="Arial"/>
          <w:sz w:val="18"/>
          <w:szCs w:val="18"/>
          <w:color w:val="auto"/>
        </w:rPr>
        <w:t>On March 1, 2018, Great Lakes KCAP Funding I, LLC (“Funding”), a wholly-owned subsidiary of the Company, entered into a senior secured revolving credit facility (the “Revolving Credit Facility”) with certain institutional lenders, State Bank and Trust Company, as the administrative agent, lead arranger and bookrunner, CIBC Bank USA, as documentation agent and the Company, as the servicer.</w:t>
      </w:r>
    </w:p>
    <w:p>
      <w:pPr>
        <w:spacing w:after="0" w:line="141" w:lineRule="exact"/>
        <w:rPr>
          <w:sz w:val="20"/>
          <w:szCs w:val="20"/>
          <w:color w:val="auto"/>
        </w:rPr>
      </w:pPr>
    </w:p>
    <w:p>
      <w:pPr>
        <w:ind w:right="100" w:firstLine="439"/>
        <w:spacing w:after="0" w:line="302" w:lineRule="auto"/>
        <w:rPr>
          <w:sz w:val="20"/>
          <w:szCs w:val="20"/>
          <w:color w:val="auto"/>
        </w:rPr>
      </w:pPr>
      <w:r>
        <w:rPr>
          <w:rFonts w:ascii="Arial" w:cs="Arial" w:eastAsia="Arial" w:hAnsi="Arial"/>
          <w:sz w:val="16"/>
          <w:szCs w:val="16"/>
          <w:color w:val="auto"/>
        </w:rPr>
        <w:t>On April 1, 2019, the maximum commitment amount of the Revolving Credit Facility was increased to $67.5 million, subject to availability under the borrowing base. Borrowings under the Revolving Credit Facility bear interest at a rate per annum equal to (i) in the case of LIBOR rate loans, an adjusted LIBOR rate for the applicable interest period plus 3.25% or (ii) in the case of base rate loans, the prime rate plus 3.25%. Funding will pay a fee on any undrawn amounts of 0.375% per annum; provided that if 50% or less of the Revolving Credit Facility is drawn, the fee will be 0.50% per annum.</w:t>
      </w:r>
    </w:p>
    <w:p>
      <w:pPr>
        <w:spacing w:after="0" w:line="114" w:lineRule="exact"/>
        <w:rPr>
          <w:sz w:val="20"/>
          <w:szCs w:val="20"/>
          <w:color w:val="auto"/>
        </w:rPr>
      </w:pPr>
    </w:p>
    <w:p>
      <w:pPr>
        <w:ind w:right="280" w:firstLine="439"/>
        <w:spacing w:after="0" w:line="308" w:lineRule="auto"/>
        <w:rPr>
          <w:sz w:val="20"/>
          <w:szCs w:val="20"/>
          <w:color w:val="auto"/>
        </w:rPr>
      </w:pPr>
      <w:r>
        <w:rPr>
          <w:rFonts w:ascii="Arial" w:cs="Arial" w:eastAsia="Arial" w:hAnsi="Arial"/>
          <w:sz w:val="17"/>
          <w:szCs w:val="17"/>
          <w:color w:val="auto"/>
        </w:rPr>
        <w:t>The Company intends to use the proceeds from borrowings under the Revolving Credit Facility for general corporate purposes, including to acquire certain qualifying loans, and such other uses as permitted under the Loan and Security Agreement (the “Revolving Credit Agreement”).</w:t>
      </w:r>
    </w:p>
    <w:p>
      <w:pPr>
        <w:spacing w:after="0" w:line="120" w:lineRule="exact"/>
        <w:rPr>
          <w:sz w:val="20"/>
          <w:szCs w:val="20"/>
          <w:color w:val="auto"/>
        </w:rPr>
      </w:pPr>
    </w:p>
    <w:p>
      <w:pPr>
        <w:ind w:right="820" w:firstLine="439"/>
        <w:spacing w:after="0" w:line="277" w:lineRule="auto"/>
        <w:rPr>
          <w:sz w:val="20"/>
          <w:szCs w:val="20"/>
          <w:color w:val="auto"/>
        </w:rPr>
      </w:pPr>
      <w:r>
        <w:rPr>
          <w:rFonts w:ascii="Arial" w:cs="Arial" w:eastAsia="Arial" w:hAnsi="Arial"/>
          <w:sz w:val="18"/>
          <w:szCs w:val="18"/>
          <w:color w:val="auto"/>
        </w:rPr>
        <w:t>The maturity date is the earlier of: (a) March 1, 2022 and (b) the date upon which all loans shall become due and payable in full, whether by acceleration or otherwise, as a result of a default by the Company, as defined in the Revolving Credit Facility.</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Borrowings under the Revolving Credit Facility are repayable by the Company at any time.</w:t>
      </w:r>
    </w:p>
    <w:p>
      <w:pPr>
        <w:spacing w:after="0" w:line="185" w:lineRule="exact"/>
        <w:rPr>
          <w:sz w:val="20"/>
          <w:szCs w:val="20"/>
          <w:color w:val="auto"/>
        </w:rPr>
      </w:pPr>
    </w:p>
    <w:p>
      <w:pPr>
        <w:ind w:right="160" w:firstLine="439"/>
        <w:spacing w:after="0" w:line="257" w:lineRule="auto"/>
        <w:rPr>
          <w:sz w:val="20"/>
          <w:szCs w:val="20"/>
          <w:color w:val="auto"/>
        </w:rPr>
      </w:pPr>
      <w:r>
        <w:rPr>
          <w:rFonts w:ascii="Arial" w:cs="Arial" w:eastAsia="Arial" w:hAnsi="Arial"/>
          <w:sz w:val="18"/>
          <w:szCs w:val="18"/>
          <w:color w:val="auto"/>
        </w:rPr>
        <w:t>The Revolving Credit Facility is secured by all of the assets held by Funding, and the Company has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 At June 30, 2019 and December 31, 2018, Funding was in compliance with all of its debt covenants.</w:t>
      </w:r>
    </w:p>
    <w:p>
      <w:pPr>
        <w:spacing w:after="0" w:line="161" w:lineRule="exact"/>
        <w:rPr>
          <w:sz w:val="20"/>
          <w:szCs w:val="20"/>
          <w:color w:val="auto"/>
        </w:rPr>
      </w:pPr>
    </w:p>
    <w:p>
      <w:pPr>
        <w:ind w:right="260" w:firstLine="439"/>
        <w:spacing w:after="0" w:line="264" w:lineRule="auto"/>
        <w:rPr>
          <w:sz w:val="20"/>
          <w:szCs w:val="20"/>
          <w:color w:val="auto"/>
        </w:rPr>
      </w:pPr>
      <w:r>
        <w:rPr>
          <w:rFonts w:ascii="Arial" w:cs="Arial" w:eastAsia="Arial" w:hAnsi="Arial"/>
          <w:sz w:val="18"/>
          <w:szCs w:val="18"/>
          <w:color w:val="auto"/>
        </w:rPr>
        <w:t>As of June 30, 2019 and December 31, 2018, $45.4 million and $26.4 million principal amount of borrowings was outstanding under the Revolving Credit Facility. As of June 30, 2019 and December 31, 2018, assets with a fair value of $121.4 million and $76.2 million were pledged to the Revolving Credit Facility.</w:t>
      </w:r>
    </w:p>
    <w:p>
      <w:pPr>
        <w:spacing w:after="0" w:line="141" w:lineRule="exact"/>
        <w:rPr>
          <w:sz w:val="20"/>
          <w:szCs w:val="20"/>
          <w:color w:val="auto"/>
        </w:rPr>
      </w:pPr>
    </w:p>
    <w:p>
      <w:pPr>
        <w:ind w:right="120" w:firstLine="439"/>
        <w:spacing w:after="0" w:line="277" w:lineRule="auto"/>
        <w:rPr>
          <w:sz w:val="20"/>
          <w:szCs w:val="20"/>
          <w:color w:val="auto"/>
        </w:rPr>
      </w:pPr>
      <w:r>
        <w:rPr>
          <w:rFonts w:ascii="Arial" w:cs="Arial" w:eastAsia="Arial" w:hAnsi="Arial"/>
          <w:sz w:val="18"/>
          <w:szCs w:val="18"/>
          <w:color w:val="auto"/>
        </w:rPr>
        <w:t>Interest on borrowings under the Revolving Credit Facility is paid monthly. Borrowings under the Revolving Credit Facility are subject to redemption in whole or in part at any time or from time to time, at the option of the Funding.</w:t>
      </w:r>
    </w:p>
    <w:p>
      <w:pPr>
        <w:spacing w:after="0" w:line="130" w:lineRule="exact"/>
        <w:rPr>
          <w:sz w:val="20"/>
          <w:szCs w:val="20"/>
          <w:color w:val="auto"/>
        </w:rPr>
      </w:pPr>
    </w:p>
    <w:p>
      <w:pPr>
        <w:ind w:firstLine="439"/>
        <w:spacing w:after="0" w:line="264" w:lineRule="auto"/>
        <w:rPr>
          <w:sz w:val="20"/>
          <w:szCs w:val="20"/>
          <w:color w:val="auto"/>
        </w:rPr>
      </w:pPr>
      <w:r>
        <w:rPr>
          <w:rFonts w:ascii="Arial" w:cs="Arial" w:eastAsia="Arial" w:hAnsi="Arial"/>
          <w:sz w:val="18"/>
          <w:szCs w:val="18"/>
          <w:color w:val="auto"/>
        </w:rPr>
        <w:t>For the three months ended June 30, 2019 and 2018, interest and fees expense related to the Revolving Credit Facility was approximately $549,000 and $278,000. For the six months ended June 30, 2019 and 2018 interest and fees expense related to the Revolving Credit Facility was approximately $937,000 and $350,000, respectively.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01" w:right="299" w:bottom="1440" w:gutter="0" w:footer="0" w:header="0"/>
        </w:sectPr>
      </w:pPr>
    </w:p>
    <w:bookmarkStart w:id="59" w:name="page60"/>
    <w:bookmarkEnd w:id="59"/>
    <w:p>
      <w:pPr>
        <w:ind w:right="180" w:firstLine="439"/>
        <w:spacing w:after="0" w:line="264" w:lineRule="auto"/>
        <w:rPr>
          <w:sz w:val="20"/>
          <w:szCs w:val="20"/>
          <w:color w:val="auto"/>
        </w:rPr>
      </w:pPr>
      <w:r>
        <w:rPr>
          <w:rFonts w:ascii="Arial" w:cs="Arial" w:eastAsia="Arial" w:hAnsi="Arial"/>
          <w:sz w:val="18"/>
          <w:szCs w:val="18"/>
          <w:color w:val="auto"/>
        </w:rPr>
        <w:t>The Company incurred approximately $1.8 million of debt offering costs in connection with the Revolving Credit Facility, which are being amortized over the expected term of the Revolving Credit Facility on an effective yield method, of which approximately $1.3 million remains to be amortized as of June 30, 2019, and is included on the consolidated balance sheets as a reduction in the related debt liability.</w:t>
      </w:r>
    </w:p>
    <w:p>
      <w:pPr>
        <w:spacing w:after="0" w:line="154" w:lineRule="exact"/>
        <w:rPr>
          <w:sz w:val="20"/>
          <w:szCs w:val="20"/>
          <w:color w:val="auto"/>
        </w:rPr>
      </w:pPr>
    </w:p>
    <w:p>
      <w:pPr>
        <w:ind w:firstLine="439"/>
        <w:spacing w:after="0" w:line="302" w:lineRule="auto"/>
        <w:rPr>
          <w:sz w:val="20"/>
          <w:szCs w:val="20"/>
          <w:color w:val="auto"/>
        </w:rPr>
      </w:pPr>
      <w:r>
        <w:rPr>
          <w:rFonts w:ascii="Arial" w:cs="Arial" w:eastAsia="Arial" w:hAnsi="Arial"/>
          <w:sz w:val="16"/>
          <w:szCs w:val="16"/>
          <w:i w:val="1"/>
          <w:iCs w:val="1"/>
          <w:color w:val="auto"/>
        </w:rPr>
        <w:t xml:space="preserve">Fair Value of the Revolving Credit Facility. </w:t>
      </w:r>
      <w:r>
        <w:rPr>
          <w:rFonts w:ascii="Arial" w:cs="Arial" w:eastAsia="Arial" w:hAnsi="Arial"/>
          <w:sz w:val="16"/>
          <w:szCs w:val="16"/>
          <w:color w:val="auto"/>
        </w:rPr>
        <w:t>Borrowings under the Revolving Credit Facility are carried at cost, net of unamortized debt offering costs of</w:t>
      </w:r>
      <w:r>
        <w:rPr>
          <w:rFonts w:ascii="Arial" w:cs="Arial" w:eastAsia="Arial" w:hAnsi="Arial"/>
          <w:sz w:val="16"/>
          <w:szCs w:val="16"/>
          <w:i w:val="1"/>
          <w:iCs w:val="1"/>
          <w:color w:val="auto"/>
        </w:rPr>
        <w:t xml:space="preserve"> </w:t>
      </w:r>
      <w:r>
        <w:rPr>
          <w:rFonts w:ascii="Arial" w:cs="Arial" w:eastAsia="Arial" w:hAnsi="Arial"/>
          <w:sz w:val="16"/>
          <w:szCs w:val="16"/>
          <w:color w:val="auto"/>
        </w:rPr>
        <w:t>$1.3 million at June 30, 2019. The fair value of the Revolving Credit Facility borrowings was approximately $45.4 million and $26.4 million at June 30, 2019 and December 31, 2018. The fair value was determined based on an analysis of the value of the pledged collateral and the amount of over-collateralization supporting the repayment of these borrowings. The Revolving Credit Facility borrowings are categorized as Level III under the ASC 820 Fair Value.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7.375% Notes Due 2019</w:t>
      </w:r>
    </w:p>
    <w:p>
      <w:pPr>
        <w:spacing w:after="0" w:line="185" w:lineRule="exact"/>
        <w:rPr>
          <w:sz w:val="20"/>
          <w:szCs w:val="20"/>
          <w:color w:val="auto"/>
        </w:rPr>
      </w:pPr>
    </w:p>
    <w:p>
      <w:pPr>
        <w:ind w:right="60" w:firstLine="439"/>
        <w:spacing w:after="0" w:line="288"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“7.375% Notes Due 2019”). The net proceeds for these Notes, after the payment of underwriting expenses, were approximately $39.9 million. As of December 31, 2018, there were no 7.375% Notes Due 2019 outstanding. Interest on the 7.375% Notes Due 2019 was paid quarterly in arrears on March 30, June 30, September 30 and December 30, at a rate of 7.375%, commencing December 30, 2012. The 7.375% Notes Due 2019 had a maturity date of September 30, 2019 and were unsecured obligations of the Company. The 7.375% Notes Due 2019 were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7.375% Notes Due 2019, the Company was limited in its ability to make distributions in certain circumstances. The indenture governing the 7.375% Notes Due 2019 contains certain restrictive covenants, including compliance with certain provisions of the 1940 Act relating to borrowing and dividends.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three and six months ended June 30, 2018, interest expense related to the 7.375% Notes Due 2019 was approximately $129,000 and $565,000.</w:t>
      </w:r>
    </w:p>
    <w:p>
      <w:pPr>
        <w:spacing w:after="0" w:line="208" w:lineRule="exact"/>
        <w:rPr>
          <w:sz w:val="20"/>
          <w:szCs w:val="20"/>
          <w:color w:val="auto"/>
        </w:rPr>
      </w:pPr>
    </w:p>
    <w:p>
      <w:pPr>
        <w:ind w:right="120" w:firstLine="439"/>
        <w:spacing w:after="0" w:line="342" w:lineRule="auto"/>
        <w:rPr>
          <w:sz w:val="20"/>
          <w:szCs w:val="20"/>
          <w:color w:val="auto"/>
        </w:rPr>
      </w:pPr>
      <w:r>
        <w:rPr>
          <w:rFonts w:ascii="Arial" w:cs="Arial" w:eastAsia="Arial" w:hAnsi="Arial"/>
          <w:sz w:val="16"/>
          <w:szCs w:val="16"/>
          <w:color w:val="auto"/>
        </w:rPr>
        <w:t>During the second quarter of 2017, approximately $6.5 million par value of the 7.375% Notes Due 2019 was redeemed by the Company, resulting in a realized loss on extinguishment of approximately $107,000. The Company subsequently surrendered these notes to the Trustee for cancellation.</w:t>
      </w:r>
    </w:p>
    <w:p>
      <w:pPr>
        <w:spacing w:after="0" w:line="83" w:lineRule="exact"/>
        <w:rPr>
          <w:sz w:val="20"/>
          <w:szCs w:val="20"/>
          <w:color w:val="auto"/>
        </w:rPr>
      </w:pPr>
    </w:p>
    <w:p>
      <w:pPr>
        <w:ind w:right="380" w:firstLine="439"/>
        <w:spacing w:after="0" w:line="342" w:lineRule="auto"/>
        <w:rPr>
          <w:sz w:val="20"/>
          <w:szCs w:val="20"/>
          <w:color w:val="auto"/>
        </w:rPr>
      </w:pPr>
      <w:r>
        <w:rPr>
          <w:rFonts w:ascii="Arial" w:cs="Arial" w:eastAsia="Arial" w:hAnsi="Arial"/>
          <w:sz w:val="16"/>
          <w:szCs w:val="16"/>
          <w:color w:val="auto"/>
        </w:rPr>
        <w:t>During the first quarter of 2018, approximately $20 million par value of the 7.375% Notes Due 2019 was redeemed by the Company, resulting in a realized loss on extinguishment of approximately $169,000. The Company subsequently surrendered these notes to the Trustee for cancellation.</w:t>
      </w:r>
    </w:p>
    <w:p>
      <w:pPr>
        <w:spacing w:after="0" w:line="97" w:lineRule="exact"/>
        <w:rPr>
          <w:sz w:val="20"/>
          <w:szCs w:val="20"/>
          <w:color w:val="auto"/>
        </w:rPr>
      </w:pPr>
    </w:p>
    <w:p>
      <w:pPr>
        <w:ind w:right="60" w:firstLine="439"/>
        <w:spacing w:after="0" w:line="342" w:lineRule="auto"/>
        <w:rPr>
          <w:sz w:val="20"/>
          <w:szCs w:val="20"/>
          <w:color w:val="auto"/>
        </w:rPr>
      </w:pPr>
      <w:r>
        <w:rPr>
          <w:rFonts w:ascii="Arial" w:cs="Arial" w:eastAsia="Arial" w:hAnsi="Arial"/>
          <w:sz w:val="16"/>
          <w:szCs w:val="16"/>
          <w:color w:val="auto"/>
        </w:rPr>
        <w:t>During the fourth quarter of 2018, all of the remaining $7 million par value of the 7.375% Notes Due 2019 was redeemed by the Company, resulting in a realized loss on extinguishment of approximately $28,000. The Company subsequently surrendered these notes to the Trustee for cancellation.</w:t>
      </w:r>
    </w:p>
    <w:p>
      <w:pPr>
        <w:spacing w:after="0" w:line="79" w:lineRule="exact"/>
        <w:rPr>
          <w:sz w:val="20"/>
          <w:szCs w:val="20"/>
          <w:color w:val="auto"/>
        </w:rPr>
      </w:pPr>
    </w:p>
    <w:p>
      <w:pPr>
        <w:ind w:left="440" w:hanging="432"/>
        <w:spacing w:after="0"/>
        <w:tabs>
          <w:tab w:leader="none" w:pos="4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DISTRIBUTABLE TAXABLE INCOME</w:t>
      </w:r>
    </w:p>
    <w:p>
      <w:pPr>
        <w:spacing w:after="0" w:line="189" w:lineRule="exact"/>
        <w:rPr>
          <w:sz w:val="20"/>
          <w:szCs w:val="20"/>
          <w:color w:val="auto"/>
        </w:rPr>
      </w:pPr>
    </w:p>
    <w:p>
      <w:pPr>
        <w:ind w:firstLine="439"/>
        <w:spacing w:after="0" w:line="272" w:lineRule="auto"/>
        <w:rPr>
          <w:sz w:val="20"/>
          <w:szCs w:val="20"/>
          <w:color w:val="auto"/>
        </w:rPr>
      </w:pPr>
      <w:r>
        <w:rPr>
          <w:rFonts w:ascii="Arial" w:cs="Arial" w:eastAsia="Arial" w:hAnsi="Arial"/>
          <w:sz w:val="17"/>
          <w:szCs w:val="17"/>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2019).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60" w:name="page61"/>
    <w:bookmarkEnd w:id="60"/>
    <w:p>
      <w:pPr>
        <w:ind w:left="440"/>
        <w:spacing w:after="0"/>
        <w:rPr>
          <w:sz w:val="20"/>
          <w:szCs w:val="20"/>
          <w:color w:val="auto"/>
        </w:rPr>
      </w:pPr>
      <w:r>
        <w:rPr>
          <w:rFonts w:ascii="Arial" w:cs="Arial" w:eastAsia="Arial" w:hAnsi="Arial"/>
          <w:sz w:val="17"/>
          <w:szCs w:val="17"/>
          <w:color w:val="auto"/>
        </w:rPr>
        <w:t>The following reconciles net increase in net assets resulting from operations to taxable income for the six months ended June 30, 2019 and 2018:</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4"/>
              </w:rPr>
              <w:t>For the Six Months Ended June 30,</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(unaudited)</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(unaudited)</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(11,765,891)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1,297,622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Net change in unrealized (depreciation) appreciation from investments</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(5,169,945)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3,522,396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15,620,391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Book/tax differences on CLO equity investments</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384,914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(188,560)</w:t>
            </w: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Book/tax differences on CLO equity investments</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1,431,030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book/tax differences</w:t>
            </w:r>
          </w:p>
        </w:tc>
        <w:tc>
          <w:tcPr>
            <w:tcW w:w="1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962,187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556,816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Taxable (loss) income before deductions for distributions</w:t>
            </w:r>
          </w:p>
        </w:tc>
        <w:tc>
          <w:tcPr>
            <w:tcW w:w="13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1,462,686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5,357,918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Taxable (loss) income before deductions for distributions per weighted</w:t>
            </w: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average basic shares for the period</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20"/>
                <w:szCs w:val="20"/>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Taxable (loss) income before deductions for distributions per weighted</w:t>
            </w: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average diluted shares for the period</w:t>
            </w:r>
          </w:p>
        </w:tc>
        <w:tc>
          <w:tcPr>
            <w:tcW w:w="16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39"/>
        <w:spacing w:after="0" w:line="271" w:lineRule="auto"/>
        <w:rPr>
          <w:sz w:val="20"/>
          <w:szCs w:val="20"/>
          <w:color w:val="auto"/>
        </w:rPr>
      </w:pPr>
      <w:r>
        <w:rPr>
          <w:rFonts w:ascii="Arial" w:cs="Arial" w:eastAsia="Arial" w:hAnsi="Arial"/>
          <w:sz w:val="17"/>
          <w:szCs w:val="17"/>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three months ended June 30, 2019 and 2018, the Asset Manager Affiliates declared cash distributions of $0 and $800,000, respectively, to the Company. The Company recognized $0 and $300,000 of dividends from the Asset Manager Affiliates, as reflected in the Company’s statement of operations for the three and six months ended June 30, 2019 and 2018, respectively. For the quarter ended June 30, 2018 the difference of $500,000 between cash distributions received and the tax-basis earnings and profits of the distributing affiliate, are recorded as an adjustment to the cost basis in the Asset Manager Affiliate (i.e. tax-basis return of capital).</w:t>
      </w:r>
    </w:p>
    <w:p>
      <w:pPr>
        <w:spacing w:after="0" w:line="152" w:lineRule="exact"/>
        <w:rPr>
          <w:sz w:val="20"/>
          <w:szCs w:val="20"/>
          <w:color w:val="auto"/>
        </w:rPr>
      </w:pPr>
    </w:p>
    <w:p>
      <w:pPr>
        <w:ind w:right="20" w:firstLine="439"/>
        <w:spacing w:after="0" w:line="302" w:lineRule="auto"/>
        <w:rPr>
          <w:sz w:val="20"/>
          <w:szCs w:val="20"/>
          <w:color w:val="auto"/>
        </w:rPr>
      </w:pPr>
      <w:r>
        <w:rPr>
          <w:rFonts w:ascii="Arial" w:cs="Arial" w:eastAsia="Arial" w:hAnsi="Arial"/>
          <w:sz w:val="16"/>
          <w:szCs w:val="16"/>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14" w:lineRule="exact"/>
        <w:rPr>
          <w:sz w:val="20"/>
          <w:szCs w:val="20"/>
          <w:color w:val="auto"/>
        </w:rPr>
      </w:pPr>
    </w:p>
    <w:p>
      <w:pPr>
        <w:ind w:right="60" w:firstLine="439"/>
        <w:spacing w:after="0" w:line="277" w:lineRule="auto"/>
        <w:rPr>
          <w:sz w:val="20"/>
          <w:szCs w:val="20"/>
          <w:color w:val="auto"/>
        </w:rPr>
      </w:pPr>
      <w:r>
        <w:rPr>
          <w:rFonts w:ascii="Arial" w:cs="Arial" w:eastAsia="Arial" w:hAnsi="Arial"/>
          <w:sz w:val="18"/>
          <w:szCs w:val="18"/>
          <w:color w:val="auto"/>
        </w:rPr>
        <w:t>At June 30, 2019, the Company had a net capital loss carryforward of $100.2 million to offset net capital gains. This net capital loss carryforward is not subject to expiration.</w:t>
      </w:r>
    </w:p>
    <w:p>
      <w:pPr>
        <w:spacing w:after="0" w:line="130" w:lineRule="exact"/>
        <w:rPr>
          <w:sz w:val="20"/>
          <w:szCs w:val="20"/>
          <w:color w:val="auto"/>
        </w:rPr>
      </w:pPr>
    </w:p>
    <w:p>
      <w:pPr>
        <w:ind w:right="400" w:firstLine="439"/>
        <w:spacing w:after="0" w:line="277" w:lineRule="auto"/>
        <w:rPr>
          <w:sz w:val="20"/>
          <w:szCs w:val="20"/>
          <w:color w:val="auto"/>
        </w:rPr>
      </w:pPr>
      <w:r>
        <w:rPr>
          <w:rFonts w:ascii="Arial" w:cs="Arial" w:eastAsia="Arial" w:hAnsi="Arial"/>
          <w:sz w:val="18"/>
          <w:szCs w:val="18"/>
          <w:color w:val="auto"/>
        </w:rPr>
        <w:t>On March 20, 2019 the Company’s Board declared a distribution to shareholders of $0.10 per share for a total of $3.7 million. The record date was April 5, 2019 and the distribution was paid on April 26, 2019.</w:t>
      </w:r>
    </w:p>
    <w:p>
      <w:pPr>
        <w:spacing w:after="0" w:line="143" w:lineRule="exact"/>
        <w:rPr>
          <w:sz w:val="20"/>
          <w:szCs w:val="20"/>
          <w:color w:val="auto"/>
        </w:rPr>
      </w:pPr>
    </w:p>
    <w:p>
      <w:pPr>
        <w:ind w:right="60" w:firstLine="439"/>
        <w:spacing w:after="0" w:line="270" w:lineRule="auto"/>
        <w:rPr>
          <w:sz w:val="20"/>
          <w:szCs w:val="20"/>
          <w:color w:val="auto"/>
        </w:rPr>
      </w:pPr>
      <w:r>
        <w:rPr>
          <w:rFonts w:ascii="Arial" w:cs="Arial" w:eastAsia="Arial" w:hAnsi="Arial"/>
          <w:sz w:val="17"/>
          <w:szCs w:val="17"/>
          <w:color w:val="auto"/>
        </w:rPr>
        <w:t>ASC Topic 740 Accounting for Uncertainty in Income Taxes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1" w:name="page62"/>
    <w:bookmarkEnd w:id="61"/>
    <w:p>
      <w:pPr>
        <w:ind w:left="440" w:hanging="432"/>
        <w:spacing w:after="0"/>
        <w:tabs>
          <w:tab w:leader="none" w:pos="4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9" w:lineRule="exact"/>
        <w:rPr>
          <w:sz w:val="20"/>
          <w:szCs w:val="20"/>
          <w:color w:val="auto"/>
        </w:rPr>
      </w:pPr>
    </w:p>
    <w:p>
      <w:pPr>
        <w:ind w:right="220" w:firstLine="439"/>
        <w:spacing w:after="0" w:line="276" w:lineRule="auto"/>
        <w:rPr>
          <w:sz w:val="20"/>
          <w:szCs w:val="20"/>
          <w:color w:val="auto"/>
        </w:rPr>
      </w:pPr>
      <w:r>
        <w:rPr>
          <w:rFonts w:ascii="Arial" w:cs="Arial" w:eastAsia="Arial" w:hAnsi="Arial"/>
          <w:sz w:val="17"/>
          <w:szCs w:val="17"/>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June 30, 2019 and December 31, 2018, the Company had $33.2 million and $12.9 million outstanding commitments, respectively.</w:t>
      </w:r>
    </w:p>
    <w:p>
      <w:pPr>
        <w:spacing w:after="0" w:line="146" w:lineRule="exact"/>
        <w:rPr>
          <w:sz w:val="20"/>
          <w:szCs w:val="20"/>
          <w:color w:val="auto"/>
        </w:rPr>
      </w:pPr>
    </w:p>
    <w:p>
      <w:pPr>
        <w:ind w:right="160" w:firstLine="439"/>
        <w:spacing w:after="0" w:line="259" w:lineRule="auto"/>
        <w:rPr>
          <w:sz w:val="20"/>
          <w:szCs w:val="20"/>
          <w:color w:val="auto"/>
        </w:rPr>
      </w:pPr>
      <w:r>
        <w:rPr>
          <w:rFonts w:ascii="Arial" w:cs="Arial" w:eastAsia="Arial" w:hAnsi="Arial"/>
          <w:sz w:val="18"/>
          <w:szCs w:val="18"/>
          <w:color w:val="auto"/>
        </w:rPr>
        <w:t>The Company has made an aggregate commitment to the BCP Great Lakes Partnership of $50 million, subject to certain limitations (including that the Company is not obligated to fund capital calls if such funding would cause the Company to be out of compliance with certain provisions of the Investment Company Act of 1940). As of June 30, 2019 and December 31, 2018, the Company had a $32.3 million and $12.5 million, respectively unfunded commitment to the BCP Great Lakes Partnership, subject to the limitations noted above.</w:t>
      </w:r>
    </w:p>
    <w:p>
      <w:pPr>
        <w:spacing w:after="0" w:line="146" w:lineRule="exact"/>
        <w:rPr>
          <w:sz w:val="20"/>
          <w:szCs w:val="20"/>
          <w:color w:val="auto"/>
        </w:rPr>
      </w:pPr>
    </w:p>
    <w:p>
      <w:pPr>
        <w:ind w:right="200" w:firstLine="439"/>
        <w:spacing w:after="0" w:line="259" w:lineRule="auto"/>
        <w:rPr>
          <w:sz w:val="20"/>
          <w:szCs w:val="20"/>
          <w:color w:val="auto"/>
        </w:rPr>
      </w:pPr>
      <w:r>
        <w:rPr>
          <w:rFonts w:ascii="Arial" w:cs="Arial" w:eastAsia="Arial" w:hAnsi="Arial"/>
          <w:sz w:val="18"/>
          <w:szCs w:val="18"/>
          <w:color w:val="auto"/>
        </w:rPr>
        <w:t>In the fourth quarter of 2018, the Company undertook the commitments under a lease obligation for its office space. Such obligation was previously with Katonah Debt Advisors. During 2018, the Company and the Asset Manager Affiliates shared the cost of such lease pursuant to an Overhead Allocation agreement. The Company’s portion of rent expense was approximately $353 thousand and $221 thousand for the six months ended June 30, 2019 and 2018, respectively.</w:t>
      </w:r>
    </w:p>
    <w:p>
      <w:pPr>
        <w:spacing w:after="0" w:line="146" w:lineRule="exact"/>
        <w:rPr>
          <w:sz w:val="20"/>
          <w:szCs w:val="20"/>
          <w:color w:val="auto"/>
        </w:rPr>
      </w:pPr>
    </w:p>
    <w:p>
      <w:pPr>
        <w:ind w:right="280" w:firstLine="439"/>
        <w:spacing w:after="0" w:line="302" w:lineRule="auto"/>
        <w:rPr>
          <w:sz w:val="20"/>
          <w:szCs w:val="20"/>
          <w:color w:val="auto"/>
        </w:rPr>
      </w:pPr>
      <w:r>
        <w:rPr>
          <w:rFonts w:ascii="Arial" w:cs="Arial" w:eastAsia="Arial" w:hAnsi="Arial"/>
          <w:sz w:val="16"/>
          <w:szCs w:val="16"/>
          <w:color w:val="auto"/>
        </w:rPr>
        <w:t>Effective January 1, 2019, the Company adopted ASU 2016-02, “Leases (Topic 842)”. The right-of-use asset and lease liability related to the Company’s office lease were recognized at lease commencement by calculating the present value of lease payments over the lease term. The discount rate used in determining the lease liability was the Company’s estimated incremental borrowing rate of 6.03%. In calculating the initial operating lease liability, the effect of the discounting was approximately was approximately $626 thousand. The lease agreement expires on May 31, 2024.</w:t>
      </w:r>
    </w:p>
    <w:p>
      <w:pPr>
        <w:spacing w:after="0" w:line="127" w:lineRule="exact"/>
        <w:rPr>
          <w:sz w:val="20"/>
          <w:szCs w:val="20"/>
          <w:color w:val="auto"/>
        </w:rPr>
      </w:pPr>
    </w:p>
    <w:p>
      <w:pPr>
        <w:ind w:right="100" w:firstLine="439"/>
        <w:spacing w:after="0" w:line="276" w:lineRule="auto"/>
        <w:rPr>
          <w:sz w:val="20"/>
          <w:szCs w:val="20"/>
          <w:color w:val="auto"/>
        </w:rPr>
      </w:pPr>
      <w:r>
        <w:rPr>
          <w:rFonts w:ascii="Arial" w:cs="Arial" w:eastAsia="Arial" w:hAnsi="Arial"/>
          <w:sz w:val="17"/>
          <w:szCs w:val="17"/>
          <w:color w:val="auto"/>
        </w:rPr>
        <w:t>During the second quarter of 2019, the Company recognized an impairment to the operating lease right-of-use asset of approximately $1.4 million to reduce the right-of-use asset to its estimated fair market value. The remaining right of use asset will be amortized to expense in future periods as a component of Other general and administrative expenses. There was no impact to the lease liability as a result of this impairment. The Company intends to sublease its legacy office space, and the impairment charge was measured using a discounted cash flow analysis and recognized in the statement of operations during the second quarter of 2019 as a result of the Company’s estimated impact of entering into a sublease.</w:t>
      </w:r>
    </w:p>
    <w:p>
      <w:pPr>
        <w:spacing w:after="0" w:line="132" w:lineRule="exact"/>
        <w:rPr>
          <w:sz w:val="20"/>
          <w:szCs w:val="20"/>
          <w:color w:val="auto"/>
        </w:rPr>
      </w:pPr>
    </w:p>
    <w:p>
      <w:pPr>
        <w:ind w:right="360" w:firstLine="439"/>
        <w:spacing w:after="0" w:line="258" w:lineRule="auto"/>
        <w:rPr>
          <w:sz w:val="20"/>
          <w:szCs w:val="20"/>
          <w:color w:val="auto"/>
        </w:rPr>
      </w:pPr>
      <w:r>
        <w:rPr>
          <w:rFonts w:ascii="Arial" w:cs="Arial" w:eastAsia="Arial" w:hAnsi="Arial"/>
          <w:sz w:val="18"/>
          <w:szCs w:val="18"/>
          <w:color w:val="auto"/>
        </w:rPr>
        <w:t>Excluding the impairment charge, the total operating lease costs were approximately $149 thousand and $353 thousand for the three and six months ended June 30, 2019, respectively.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future minimum lease payments as of June 30, 2019: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Payments Due by Period</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Total Cash</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More than 5</w:t>
            </w:r>
          </w:p>
        </w:tc>
        <w:tc>
          <w:tcPr>
            <w:tcW w:w="120" w:type="dxa"/>
            <w:vAlign w:val="bottom"/>
          </w:tcPr>
          <w:p>
            <w:pPr>
              <w:spacing w:after="0"/>
              <w:rPr>
                <w:sz w:val="17"/>
                <w:szCs w:val="17"/>
                <w:color w:val="auto"/>
              </w:rPr>
            </w:pPr>
          </w:p>
        </w:tc>
      </w:tr>
      <w:tr>
        <w:trPr>
          <w:trHeight w:val="213"/>
        </w:trPr>
        <w:tc>
          <w:tcPr>
            <w:tcW w:w="2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Operating lease</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Flows</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5"/>
              </w:rPr>
              <w:t>years</w:t>
            </w:r>
          </w:p>
        </w:tc>
        <w:tc>
          <w:tcPr>
            <w:tcW w:w="120" w:type="dxa"/>
            <w:vAlign w:val="bottom"/>
            <w:tcBorders>
              <w:bottom w:val="single" w:sz="8" w:color="CFF0FC"/>
            </w:tcBorders>
          </w:tcPr>
          <w:p>
            <w:pPr>
              <w:spacing w:after="0"/>
              <w:rPr>
                <w:sz w:val="18"/>
                <w:szCs w:val="18"/>
                <w:color w:val="auto"/>
              </w:rPr>
            </w:pPr>
          </w:p>
        </w:tc>
      </w:tr>
      <w:tr>
        <w:trPr>
          <w:trHeight w:val="213"/>
        </w:trPr>
        <w:tc>
          <w:tcPr>
            <w:tcW w:w="2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Contractual cash flows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3,935,477</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400,218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800,436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800,436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800,436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800,436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333,515</w:t>
            </w:r>
          </w:p>
        </w:tc>
        <w:tc>
          <w:tcPr>
            <w:tcW w:w="120" w:type="dxa"/>
            <w:vAlign w:val="bottom"/>
            <w:shd w:val="clear" w:color="auto" w:fill="CFF0FC"/>
          </w:tcPr>
          <w:p>
            <w:pPr>
              <w:spacing w:after="0"/>
              <w:rPr>
                <w:sz w:val="18"/>
                <w:szCs w:val="18"/>
                <w:color w:val="auto"/>
              </w:rPr>
            </w:pPr>
          </w:p>
        </w:tc>
      </w:tr>
      <w:tr>
        <w:trPr>
          <w:trHeight w:val="213"/>
        </w:trPr>
        <w:tc>
          <w:tcPr>
            <w:tcW w:w="27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Discount effect on cash flows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520,017</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10"/>
        </w:trPr>
        <w:tc>
          <w:tcPr>
            <w:tcW w:w="2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Operating lease liability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3,415,460</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2" w:name="page63"/>
    <w:bookmarkEnd w:id="62"/>
    <w:p>
      <w:pPr>
        <w:ind w:left="440" w:hanging="432"/>
        <w:spacing w:after="0"/>
        <w:tabs>
          <w:tab w:leader="none" w:pos="4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88"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details the components of Stockholders’ Equity for the six months ended June 30, 2019 and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b w:val="1"/>
                <w:bCs w:val="1"/>
                <w:color w:val="auto"/>
                <w:w w:val="91"/>
              </w:rPr>
              <w:t>Six Months Ended June 30, 2019</w:t>
            </w: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96"/>
              </w:rPr>
              <w:t>Capital in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00"/>
              <w:spacing w:after="0" w:line="205" w:lineRule="exact"/>
              <w:rPr>
                <w:sz w:val="20"/>
                <w:szCs w:val="20"/>
                <w:color w:val="auto"/>
              </w:rPr>
            </w:pPr>
            <w:r>
              <w:rPr>
                <w:rFonts w:ascii="Arial" w:cs="Arial" w:eastAsia="Arial" w:hAnsi="Arial"/>
                <w:sz w:val="18"/>
                <w:szCs w:val="18"/>
                <w:b w:val="1"/>
                <w:bCs w:val="1"/>
                <w:color w:val="auto"/>
                <w:w w:val="92"/>
              </w:rPr>
              <w:t>Total</w:t>
            </w:r>
          </w:p>
        </w:tc>
        <w:tc>
          <w:tcPr>
            <w:tcW w:w="80" w:type="dxa"/>
            <w:vAlign w:val="bottom"/>
          </w:tcPr>
          <w:p>
            <w:pPr>
              <w:spacing w:after="0"/>
              <w:rPr>
                <w:sz w:val="17"/>
                <w:szCs w:val="17"/>
                <w:color w:val="auto"/>
              </w:rPr>
            </w:pPr>
          </w:p>
        </w:tc>
        <w:tc>
          <w:tcPr>
            <w:tcW w:w="1160" w:type="dxa"/>
            <w:vAlign w:val="bottom"/>
          </w:tcPr>
          <w:p>
            <w:pPr>
              <w:jc w:val="center"/>
              <w:ind w:right="10"/>
              <w:spacing w:after="0" w:line="205" w:lineRule="exact"/>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Excess</w:t>
            </w:r>
          </w:p>
        </w:tc>
        <w:tc>
          <w:tcPr>
            <w:tcW w:w="80" w:type="dxa"/>
            <w:vAlign w:val="bottom"/>
          </w:tcPr>
          <w:p>
            <w:pPr>
              <w:spacing w:after="0"/>
              <w:rPr>
                <w:sz w:val="18"/>
                <w:szCs w:val="18"/>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Distributable</w:t>
            </w:r>
          </w:p>
        </w:tc>
        <w:tc>
          <w:tcPr>
            <w:tcW w:w="8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Stockholders'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of Par Value</w:t>
            </w:r>
          </w:p>
        </w:tc>
        <w:tc>
          <w:tcPr>
            <w:tcW w:w="80" w:type="dxa"/>
            <w:vAlign w:val="bottom"/>
          </w:tcPr>
          <w:p>
            <w:pPr>
              <w:spacing w:after="0"/>
              <w:rPr>
                <w:sz w:val="20"/>
                <w:szCs w:val="20"/>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(loss) earnings</w:t>
            </w:r>
          </w:p>
        </w:tc>
        <w:tc>
          <w:tcPr>
            <w:tcW w:w="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Equity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373,268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306,784,387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(149,136,644)</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158,021,011</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Net investment loss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(2,195,187)</w:t>
            </w:r>
          </w:p>
        </w:tc>
        <w:tc>
          <w:tcPr>
            <w:tcW w:w="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(2,195,187)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 from investment transactions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(13,349,430)</w:t>
            </w: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(13,349,430)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Net change in unrealized appreciation on investments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4,627,045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4,627,045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Stockholders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(3,732,836)</w:t>
            </w: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(3,732,836)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Reinvested Dividends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56,334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56,489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258,936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March 31, 2019</w:t>
            </w:r>
          </w:p>
        </w:tc>
        <w:tc>
          <w:tcPr>
            <w:tcW w:w="1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373,317</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307,099,763</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(163,787,052</w:t>
            </w:r>
          </w:p>
        </w:tc>
        <w:tc>
          <w:tcPr>
            <w:tcW w:w="240" w:type="dxa"/>
            <w:vAlign w:val="bottom"/>
            <w:tcBorders>
              <w:bottom w:val="single" w:sz="8" w:color="CFF0FC"/>
            </w:tcBorders>
          </w:tcPr>
          <w:p>
            <w:pPr>
              <w:jc w:val="right"/>
              <w:ind w:right="1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143,686,028</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879,740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879,740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Net realized (losses) from investment transactions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(2,270,962)</w:t>
            </w:r>
          </w:p>
        </w:tc>
        <w:tc>
          <w:tcPr>
            <w:tcW w:w="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(2,270,962)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appreciation on investments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542,900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542,900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Distributions to Stockholders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(3,733,415)</w:t>
            </w:r>
          </w:p>
        </w:tc>
        <w:tc>
          <w:tcPr>
            <w:tcW w:w="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(3,733,415)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Reinvested Dividends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2019</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373,561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307,172,819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(168,368,789</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139,177,591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b w:val="1"/>
                <w:bCs w:val="1"/>
                <w:color w:val="auto"/>
                <w:w w:val="91"/>
              </w:rPr>
              <w:t>Six Months Ended June 30, 2018</w:t>
            </w: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96"/>
              </w:rPr>
              <w:t>Capital in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00"/>
              <w:spacing w:after="0" w:line="205" w:lineRule="exact"/>
              <w:rPr>
                <w:sz w:val="20"/>
                <w:szCs w:val="20"/>
                <w:color w:val="auto"/>
              </w:rPr>
            </w:pPr>
            <w:r>
              <w:rPr>
                <w:rFonts w:ascii="Arial" w:cs="Arial" w:eastAsia="Arial" w:hAnsi="Arial"/>
                <w:sz w:val="18"/>
                <w:szCs w:val="18"/>
                <w:b w:val="1"/>
                <w:bCs w:val="1"/>
                <w:color w:val="auto"/>
                <w:w w:val="92"/>
              </w:rPr>
              <w:t>Total</w:t>
            </w:r>
          </w:p>
        </w:tc>
        <w:tc>
          <w:tcPr>
            <w:tcW w:w="80" w:type="dxa"/>
            <w:vAlign w:val="bottom"/>
          </w:tcPr>
          <w:p>
            <w:pPr>
              <w:spacing w:after="0"/>
              <w:rPr>
                <w:sz w:val="17"/>
                <w:szCs w:val="17"/>
                <w:color w:val="auto"/>
              </w:rPr>
            </w:pPr>
          </w:p>
        </w:tc>
        <w:tc>
          <w:tcPr>
            <w:tcW w:w="1160" w:type="dxa"/>
            <w:vAlign w:val="bottom"/>
          </w:tcPr>
          <w:p>
            <w:pPr>
              <w:jc w:val="center"/>
              <w:ind w:right="10"/>
              <w:spacing w:after="0" w:line="205" w:lineRule="exact"/>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Excess</w:t>
            </w:r>
          </w:p>
        </w:tc>
        <w:tc>
          <w:tcPr>
            <w:tcW w:w="80" w:type="dxa"/>
            <w:vAlign w:val="bottom"/>
          </w:tcPr>
          <w:p>
            <w:pPr>
              <w:spacing w:after="0"/>
              <w:rPr>
                <w:sz w:val="18"/>
                <w:szCs w:val="18"/>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Distributable</w:t>
            </w:r>
          </w:p>
        </w:tc>
        <w:tc>
          <w:tcPr>
            <w:tcW w:w="8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Stockholders'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of Par Value</w:t>
            </w:r>
          </w:p>
        </w:tc>
        <w:tc>
          <w:tcPr>
            <w:tcW w:w="80" w:type="dxa"/>
            <w:vAlign w:val="bottom"/>
          </w:tcPr>
          <w:p>
            <w:pPr>
              <w:spacing w:after="0"/>
              <w:rPr>
                <w:sz w:val="20"/>
                <w:szCs w:val="20"/>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(loss) earnings</w:t>
            </w:r>
          </w:p>
        </w:tc>
        <w:tc>
          <w:tcPr>
            <w:tcW w:w="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Equity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Balance, January 1, 2018</w:t>
            </w:r>
          </w:p>
        </w:tc>
        <w:tc>
          <w:tcPr>
            <w:tcW w:w="1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373,392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329,789,716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(148,358,532)</w:t>
            </w:r>
          </w:p>
        </w:tc>
        <w:tc>
          <w:tcPr>
            <w:tcW w:w="2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181,804,576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 (loss)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2,460,742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2,460,742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Net realized (losses) from investment transactions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Realized loss from extinguishment of debt</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(169,074)</w:t>
            </w: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(169,074)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Net change in unrealized (depreciation) on investments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314,624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314,624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Stockholders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(3,716,297)</w:t>
            </w: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(3,716,297)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Reinvested Dividends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51,407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51,560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252,855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252,855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March 31, 2018</w:t>
            </w:r>
          </w:p>
        </w:tc>
        <w:tc>
          <w:tcPr>
            <w:tcW w:w="1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373,545</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330,093,978</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(149,465,436</w:t>
            </w:r>
          </w:p>
        </w:tc>
        <w:tc>
          <w:tcPr>
            <w:tcW w:w="240" w:type="dxa"/>
            <w:vAlign w:val="bottom"/>
            <w:tcBorders>
              <w:bottom w:val="single" w:sz="8" w:color="CFF0FC"/>
            </w:tcBorders>
          </w:tcPr>
          <w:p>
            <w:pPr>
              <w:jc w:val="right"/>
              <w:ind w:right="1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181,002,087</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 (loss)</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2,528,919</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2,528,919</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Net realized (losses) from investment transactions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(3,671)</w:t>
            </w:r>
          </w:p>
        </w:tc>
        <w:tc>
          <w:tcPr>
            <w:tcW w:w="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(3,671)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Realized loss from extinguishment of debt</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Net change in unrealized (depreciation) on investments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(3,837,020)</w:t>
            </w:r>
          </w:p>
        </w:tc>
        <w:tc>
          <w:tcPr>
            <w:tcW w:w="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(3,837,020)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Stockholders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(3,717,821)</w:t>
            </w: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(3,717,821)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Reinvested Dividends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50,381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50,539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Common stock withheld for payroll taxes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(85,807)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(85,807)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208,322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208,038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2018</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373,419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330,266,874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(154,495,029</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176,145,264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80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3" w:name="page64"/>
    <w:bookmarkEnd w:id="63"/>
    <w:p>
      <w:pPr>
        <w:ind w:right="80" w:firstLine="439"/>
        <w:spacing w:after="0" w:line="259" w:lineRule="auto"/>
        <w:rPr>
          <w:sz w:val="20"/>
          <w:szCs w:val="20"/>
          <w:color w:val="auto"/>
        </w:rPr>
      </w:pPr>
      <w:r>
        <w:rPr>
          <w:rFonts w:ascii="Arial" w:cs="Arial" w:eastAsia="Arial" w:hAnsi="Arial"/>
          <w:sz w:val="18"/>
          <w:szCs w:val="18"/>
          <w:color w:val="auto"/>
        </w:rPr>
        <w:t>During the six months ended June 30, 2019 and 2018, the Company issued 39,786 and 31,048 shares, respectively, of common stock under its dividend reinvestment plan. For the six months ended June 30, 2019, there were no grants of restricted stock, 10,571 shares were forfeited, and 113,382 shares vested. The total number of shares of the Company’s common stock outstanding as of June 30, 2019 and December 31, 2018 was 37,356,061 and 37,326,846, respectively.</w:t>
      </w:r>
    </w:p>
    <w:p>
      <w:pPr>
        <w:spacing w:after="0" w:line="142" w:lineRule="exact"/>
        <w:rPr>
          <w:sz w:val="20"/>
          <w:szCs w:val="20"/>
          <w:color w:val="auto"/>
        </w:rPr>
      </w:pPr>
    </w:p>
    <w:p>
      <w:pPr>
        <w:ind w:left="440" w:hanging="432"/>
        <w:spacing w:after="0"/>
        <w:tabs>
          <w:tab w:leader="none" w:pos="4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EQUITY COMPENSATION PLANS</w:t>
      </w:r>
    </w:p>
    <w:p>
      <w:pPr>
        <w:spacing w:after="0" w:line="189" w:lineRule="exact"/>
        <w:rPr>
          <w:sz w:val="20"/>
          <w:szCs w:val="20"/>
          <w:color w:val="auto"/>
        </w:rPr>
      </w:pPr>
    </w:p>
    <w:p>
      <w:pPr>
        <w:ind w:right="120" w:firstLine="439"/>
        <w:spacing w:after="0" w:line="255" w:lineRule="auto"/>
        <w:rPr>
          <w:sz w:val="20"/>
          <w:szCs w:val="20"/>
          <w:color w:val="auto"/>
        </w:rPr>
      </w:pPr>
      <w:r>
        <w:rPr>
          <w:rFonts w:ascii="Arial" w:cs="Arial" w:eastAsia="Arial" w:hAnsi="Arial"/>
          <w:sz w:val="18"/>
          <w:szCs w:val="18"/>
          <w:color w:val="auto"/>
        </w:rPr>
        <w:t>The Company had an equity incentive plan, established in 2006 and most recently amended, following approval by the Company’s Board and shareholders, on May 4, 2017 (the “Equity Incentive Plan”). The Company reserved 2,000,000 shares of common stock for issuance under the Equity Incentive Plan. In connection with the Closing, the Company terminated the Equity Incentive Plan and will no longer make grants pursuant to the plan. Prior to the Closing, restricted stock granted under the Equity Incentive Plan was granted at a price equal to the fair market value (market closing price) of the shares on the day such restricted stock is granted. Options granted under the Equity Incentive Plan were exercisable at a price equal to the fair market value (market closing price) of the shares on the day the option is granted.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ind w:right="260" w:firstLine="439"/>
        <w:spacing w:after="0" w:line="255" w:lineRule="auto"/>
        <w:rPr>
          <w:sz w:val="20"/>
          <w:szCs w:val="20"/>
          <w:color w:val="auto"/>
        </w:rPr>
      </w:pPr>
      <w:r>
        <w:rPr>
          <w:rFonts w:ascii="Arial" w:cs="Arial" w:eastAsia="Arial" w:hAnsi="Arial"/>
          <w:sz w:val="18"/>
          <w:szCs w:val="18"/>
          <w:color w:val="auto"/>
        </w:rPr>
        <w:t>The 2008 Non-Employee Director Plan was originally adopted by the Board and was approved by a vote of the Company’s shareholders at the 2008 Annual Shareholder Meeting (the “2008 Plan”). Effective June 10, 2011, the 2008 Plan was amended and restated in accordance with a resolution of the Board and approved by a vote of the Company’s shareholders at the 2011 Annual Shareholder Meeting (the “2011 Plan”). Effective May 4, 2017, the 2011 Plan was amended and restated in accordance with a resolution of the Board and approved by the Company’s shareholders at the 2017 Annual Shareholder Meeting (the “Non-Employee Director Plan”). In connection with the Closing, the Company terminated the 2008 Plan and will no longer make grants pursuant to the plan.</w:t>
      </w:r>
    </w:p>
    <w:p>
      <w:pPr>
        <w:spacing w:after="0" w:line="153" w:lineRule="exact"/>
        <w:rPr>
          <w:sz w:val="20"/>
          <w:szCs w:val="20"/>
          <w:color w:val="auto"/>
        </w:rPr>
      </w:pPr>
    </w:p>
    <w:p>
      <w:pPr>
        <w:ind w:right="80" w:firstLine="439"/>
        <w:spacing w:after="0" w:line="264" w:lineRule="auto"/>
        <w:rPr>
          <w:sz w:val="20"/>
          <w:szCs w:val="20"/>
          <w:color w:val="auto"/>
        </w:rPr>
      </w:pPr>
      <w:r>
        <w:rPr>
          <w:rFonts w:ascii="Arial" w:cs="Arial" w:eastAsia="Arial" w:hAnsi="Arial"/>
          <w:sz w:val="18"/>
          <w:szCs w:val="18"/>
          <w:color w:val="auto"/>
        </w:rPr>
        <w:t>Immediately prior to the Closing, by virtue of the Externalization and subject to the execution of an option cancellation agreement, each option to purchase shares of the Company’s common stock granted under the 2008 Plan that was outstanding immediately prior to the Externalization was cancelled in exchange for a payment in cash to the holder thereof.</w:t>
      </w:r>
    </w:p>
    <w:p>
      <w:pPr>
        <w:spacing w:after="0" w:line="154" w:lineRule="exact"/>
        <w:rPr>
          <w:sz w:val="20"/>
          <w:szCs w:val="20"/>
          <w:color w:val="auto"/>
        </w:rPr>
      </w:pPr>
    </w:p>
    <w:p>
      <w:pPr>
        <w:ind w:right="320" w:firstLine="439"/>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2018 through June 30, 2019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Exercise Price</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98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per Share</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Term (years)</w:t>
            </w: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Value</w:t>
            </w:r>
            <w:r>
              <w:rPr>
                <w:rFonts w:ascii="Arial" w:cs="Arial" w:eastAsia="Arial" w:hAnsi="Arial"/>
                <w:sz w:val="15"/>
                <w:szCs w:val="15"/>
                <w:b w:val="1"/>
                <w:bCs w:val="1"/>
                <w:color w:val="auto"/>
                <w:w w:val="92"/>
              </w:rPr>
              <w:t>1</w:t>
            </w:r>
          </w:p>
        </w:tc>
      </w:tr>
      <w:tr>
        <w:trPr>
          <w:trHeight w:val="22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January 1, 2018</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Expired unexercised</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Cancelled</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11.97</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December 31, 2018</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CFF0FC"/>
            </w:tcBorders>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3"/>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June 30,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FF0FC"/>
            </w:tcBorders>
            <w:gridSpan w:val="2"/>
          </w:tcPr>
          <w:p>
            <w:pPr>
              <w:ind w:left="840"/>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Total vested at June 30, 2019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left="5620" w:right="1260" w:hanging="5612"/>
        <w:spacing w:after="0" w:line="528" w:lineRule="auto"/>
        <w:tabs>
          <w:tab w:leader="none" w:pos="436" w:val="left"/>
        </w:tabs>
        <w:numPr>
          <w:ilvl w:val="0"/>
          <w:numId w:val="79"/>
        </w:numPr>
        <w:rPr>
          <w:rFonts w:ascii="Arial" w:cs="Arial" w:eastAsia="Arial" w:hAnsi="Arial"/>
          <w:sz w:val="15"/>
          <w:szCs w:val="15"/>
          <w:color w:val="auto"/>
        </w:rPr>
      </w:pPr>
      <w:r>
        <w:rPr>
          <w:rFonts w:ascii="Arial" w:cs="Arial" w:eastAsia="Arial" w:hAnsi="Arial"/>
          <w:sz w:val="18"/>
          <w:szCs w:val="18"/>
          <w:color w:val="auto"/>
        </w:rPr>
        <w:t>Represents the difference between the market value of shares of the Company on March 31, 2019 and the exercise price of the options.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ind w:firstLine="439"/>
        <w:spacing w:after="0" w:line="264"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three and six months ended June 30, 2019 and 2018, the Company did not recognize any non-cash compensation expense related to stock options. At June 30, 2019, the Company had no remaining compensation costs related to unvested stock based awards.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Awards of restricted stock granted under the Non-Employee Director Plan vest as follows: 50% of the shares vest on the grant date and the remaining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50% of the shares vest on the earlier of:</w:t>
      </w:r>
    </w:p>
    <w:p>
      <w:pPr>
        <w:spacing w:after="0" w:line="170" w:lineRule="exact"/>
        <w:rPr>
          <w:sz w:val="20"/>
          <w:szCs w:val="20"/>
          <w:color w:val="auto"/>
        </w:rPr>
      </w:pPr>
    </w:p>
    <w:p>
      <w:pPr>
        <w:ind w:left="660" w:hanging="213"/>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198" w:lineRule="exact"/>
        <w:rPr>
          <w:rFonts w:ascii="Arial" w:cs="Arial" w:eastAsia="Arial" w:hAnsi="Arial"/>
          <w:sz w:val="18"/>
          <w:szCs w:val="18"/>
          <w:color w:val="auto"/>
        </w:rPr>
      </w:pPr>
    </w:p>
    <w:p>
      <w:pPr>
        <w:ind w:left="720" w:hanging="273"/>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May 4, 2017, 6,000 shares of restricted stock were awarded to the Company’s Board.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May 3, 2018, 6,000 shares of restricted stock were awarded to the Company’s Board.</w:t>
      </w:r>
    </w:p>
    <w:p>
      <w:pPr>
        <w:spacing w:after="0" w:line="198" w:lineRule="exact"/>
        <w:rPr>
          <w:sz w:val="20"/>
          <w:szCs w:val="20"/>
          <w:color w:val="auto"/>
        </w:rPr>
      </w:pPr>
    </w:p>
    <w:p>
      <w:pPr>
        <w:jc w:val="both"/>
        <w:ind w:right="80" w:firstLine="439"/>
        <w:spacing w:after="0" w:line="264" w:lineRule="auto"/>
        <w:rPr>
          <w:sz w:val="20"/>
          <w:szCs w:val="20"/>
          <w:color w:val="auto"/>
        </w:rPr>
      </w:pPr>
      <w:r>
        <w:rPr>
          <w:rFonts w:ascii="Arial" w:cs="Arial" w:eastAsia="Arial" w:hAnsi="Arial"/>
          <w:sz w:val="18"/>
          <w:szCs w:val="18"/>
          <w:color w:val="auto"/>
        </w:rPr>
        <w:t>Immediately prior to the Closing all restrictions with respect to 3,000 shares of restricted stock outstanding and not previously forfeited under the Non-Employee Director Plan lapsed, and the holders of such restricted stock became entitled to receive a pro rata share of the payment due to stockholders of the Company pursuant to the Externalization Agreement.</w:t>
      </w:r>
    </w:p>
    <w:p>
      <w:pPr>
        <w:spacing w:after="0" w:line="141" w:lineRule="exact"/>
        <w:rPr>
          <w:sz w:val="20"/>
          <w:szCs w:val="20"/>
          <w:color w:val="auto"/>
        </w:rPr>
      </w:pPr>
    </w:p>
    <w:p>
      <w:pPr>
        <w:ind w:right="340" w:firstLine="439"/>
        <w:spacing w:after="0" w:line="279" w:lineRule="auto"/>
        <w:rPr>
          <w:sz w:val="20"/>
          <w:szCs w:val="20"/>
          <w:color w:val="auto"/>
        </w:rPr>
      </w:pPr>
      <w:r>
        <w:rPr>
          <w:rFonts w:ascii="Arial" w:cs="Arial" w:eastAsia="Arial" w:hAnsi="Arial"/>
          <w:sz w:val="17"/>
          <w:szCs w:val="17"/>
          <w:color w:val="auto"/>
        </w:rPr>
        <w:t>On June 16, 2015, the Company received exemptive relief to repurchase shares of its common stock from its employees in connection with certain equity compensation plan arrangements. During the year ended December 31, 2018, the Company repurchased 26,681 shares, of common stock at an aggregate cost of approximately $86,000, in connection with the vesting of employee’s restricted stock, which is reflected as a reduction in Stockholders’ Equity at cost. These shares are not available to be reissued under the Company’s Equity Incentive Plan.</w:t>
      </w:r>
    </w:p>
    <w:p>
      <w:pPr>
        <w:spacing w:after="0" w:line="131" w:lineRule="exact"/>
        <w:rPr>
          <w:sz w:val="20"/>
          <w:szCs w:val="20"/>
          <w:color w:val="auto"/>
        </w:rPr>
      </w:pPr>
    </w:p>
    <w:p>
      <w:pPr>
        <w:ind w:firstLine="439"/>
        <w:spacing w:after="0" w:line="342" w:lineRule="auto"/>
        <w:rPr>
          <w:sz w:val="20"/>
          <w:szCs w:val="20"/>
          <w:color w:val="auto"/>
        </w:rPr>
      </w:pPr>
      <w:r>
        <w:rPr>
          <w:rFonts w:ascii="Arial" w:cs="Arial" w:eastAsia="Arial" w:hAnsi="Arial"/>
          <w:sz w:val="16"/>
          <w:szCs w:val="16"/>
          <w:color w:val="auto"/>
        </w:rPr>
        <w:t>On June 23, 2015, the Company’s Board approved the grant of 190,166 shares, with a fair value of approximately $1.2 million, of restricted stock to the employees of the Company as partial compensation for their services. 25% of such awards will vest on each of the first four anniversaries of the grant date.</w:t>
      </w:r>
    </w:p>
    <w:p>
      <w:pPr>
        <w:spacing w:after="0" w:line="97" w:lineRule="exact"/>
        <w:rPr>
          <w:sz w:val="20"/>
          <w:szCs w:val="20"/>
          <w:color w:val="auto"/>
        </w:rPr>
      </w:pPr>
    </w:p>
    <w:p>
      <w:pPr>
        <w:ind w:right="260" w:firstLine="439"/>
        <w:spacing w:after="0" w:line="264" w:lineRule="auto"/>
        <w:rPr>
          <w:sz w:val="20"/>
          <w:szCs w:val="20"/>
          <w:color w:val="auto"/>
        </w:rPr>
      </w:pPr>
      <w:r>
        <w:rPr>
          <w:rFonts w:ascii="Arial" w:cs="Arial" w:eastAsia="Arial" w:hAnsi="Arial"/>
          <w:sz w:val="18"/>
          <w:szCs w:val="18"/>
          <w:color w:val="auto"/>
        </w:rPr>
        <w:t>On September 19, 2017, the Company’s Board approved the grant of 133,620 shares of restricted stock to the employees of the Company as partial compensation for their services. 50% of such awards were scheduled to vest on the third anniversary of the grant date and the remaining 50% of the shares were scheduled to vest on the fourth anniversary of the grant date.</w:t>
      </w:r>
    </w:p>
    <w:p>
      <w:pPr>
        <w:spacing w:after="0" w:line="141" w:lineRule="exact"/>
        <w:rPr>
          <w:sz w:val="20"/>
          <w:szCs w:val="20"/>
          <w:color w:val="auto"/>
        </w:rPr>
      </w:pPr>
    </w:p>
    <w:p>
      <w:pPr>
        <w:ind w:right="60" w:firstLine="439"/>
        <w:spacing w:after="0" w:line="286" w:lineRule="auto"/>
        <w:rPr>
          <w:sz w:val="20"/>
          <w:szCs w:val="20"/>
          <w:color w:val="auto"/>
        </w:rPr>
      </w:pPr>
      <w:r>
        <w:rPr>
          <w:rFonts w:ascii="Arial" w:cs="Arial" w:eastAsia="Arial" w:hAnsi="Arial"/>
          <w:sz w:val="17"/>
          <w:szCs w:val="17"/>
          <w:color w:val="auto"/>
        </w:rPr>
        <w:t>Immediately prior to the Closing, 110,382 shares of restricted stock outstanding and not previously forfeited under the Equity Incentive Plan and the 2008 Plan (as defined below) became fully vested, all restrictions with respect to such restricted stock lapsed, and the holders of such restricted stock became entitled to receive a pro rata share of the payment due to stockholders of the Company pursuant to the Externalization Agreement.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65" w:name="page66"/>
    <w:bookmarkEnd w:id="65"/>
    <w:p>
      <w:pPr>
        <w:ind w:right="240" w:firstLine="439"/>
        <w:spacing w:after="0" w:line="277" w:lineRule="auto"/>
        <w:rPr>
          <w:sz w:val="20"/>
          <w:szCs w:val="20"/>
          <w:color w:val="auto"/>
        </w:rPr>
      </w:pPr>
      <w:r>
        <w:rPr>
          <w:rFonts w:ascii="Arial" w:cs="Arial" w:eastAsia="Arial" w:hAnsi="Arial"/>
          <w:sz w:val="18"/>
          <w:szCs w:val="18"/>
          <w:color w:val="auto"/>
        </w:rPr>
        <w:t>Information with respect to restricted stock granted, exercised and forfeited under the Plan for the period January 1, 2018 through June 30, 2019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20" w:type="dxa"/>
            <w:vAlign w:val="bottom"/>
          </w:tcPr>
          <w:p>
            <w:pPr>
              <w:spacing w:after="0"/>
              <w:rPr>
                <w:sz w:val="18"/>
                <w:szCs w:val="18"/>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Non-vested</w:t>
            </w:r>
          </w:p>
        </w:tc>
      </w:tr>
      <w:tr>
        <w:trPr>
          <w:trHeight w:val="216"/>
        </w:trPr>
        <w:tc>
          <w:tcPr>
            <w:tcW w:w="9120" w:type="dxa"/>
            <w:vAlign w:val="bottom"/>
          </w:tcPr>
          <w:p>
            <w:pPr>
              <w:spacing w:after="0"/>
              <w:rPr>
                <w:sz w:val="18"/>
                <w:szCs w:val="18"/>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Restricted</w:t>
            </w:r>
          </w:p>
        </w:tc>
      </w:tr>
      <w:tr>
        <w:trPr>
          <w:trHeight w:val="234"/>
        </w:trPr>
        <w:tc>
          <w:tcPr>
            <w:tcW w:w="9120" w:type="dxa"/>
            <w:vAlign w:val="bottom"/>
          </w:tcPr>
          <w:p>
            <w:pPr>
              <w:spacing w:after="0"/>
              <w:rPr>
                <w:sz w:val="20"/>
                <w:szCs w:val="20"/>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r>
      <w:tr>
        <w:trPr>
          <w:trHeight w:val="223"/>
        </w:trPr>
        <w:tc>
          <w:tcPr>
            <w:tcW w:w="9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shares outstanding at January 1, 2018</w:t>
            </w:r>
          </w:p>
        </w:tc>
        <w:tc>
          <w:tcPr>
            <w:tcW w:w="2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Granted</w:t>
            </w:r>
          </w:p>
        </w:tc>
        <w:tc>
          <w:tcPr>
            <w:tcW w:w="218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9"/>
                <w:szCs w:val="19"/>
                <w:color w:val="auto"/>
              </w:rPr>
            </w:pPr>
          </w:p>
        </w:tc>
      </w:tr>
      <w:tr>
        <w:trPr>
          <w:trHeight w:val="230"/>
        </w:trPr>
        <w:tc>
          <w:tcPr>
            <w:tcW w:w="91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2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(122,878)</w:t>
            </w: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Forfeited</w:t>
            </w:r>
          </w:p>
        </w:tc>
        <w:tc>
          <w:tcPr>
            <w:tcW w:w="2300" w:type="dxa"/>
            <w:vAlign w:val="bottom"/>
            <w:gridSpan w:val="2"/>
          </w:tcPr>
          <w:p>
            <w:pPr>
              <w:jc w:val="right"/>
              <w:ind w:right="60"/>
              <w:spacing w:after="0"/>
              <w:rPr>
                <w:sz w:val="20"/>
                <w:szCs w:val="20"/>
                <w:color w:val="auto"/>
              </w:rPr>
            </w:pPr>
            <w:r>
              <w:rPr>
                <w:rFonts w:ascii="Arial" w:cs="Arial" w:eastAsia="Arial" w:hAnsi="Arial"/>
                <w:sz w:val="18"/>
                <w:szCs w:val="18"/>
                <w:color w:val="auto"/>
              </w:rPr>
              <w:t>(56,368)</w:t>
            </w:r>
          </w:p>
        </w:tc>
      </w:tr>
      <w:tr>
        <w:trPr>
          <w:trHeight w:val="223"/>
        </w:trPr>
        <w:tc>
          <w:tcPr>
            <w:tcW w:w="9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shares outstanding at December 31, 2018</w:t>
            </w:r>
          </w:p>
        </w:tc>
        <w:tc>
          <w:tcPr>
            <w:tcW w:w="2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Granted</w:t>
            </w:r>
          </w:p>
        </w:tc>
        <w:tc>
          <w:tcPr>
            <w:tcW w:w="2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91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2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(113,382)</w:t>
            </w: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Forfeited</w:t>
            </w:r>
          </w:p>
        </w:tc>
        <w:tc>
          <w:tcPr>
            <w:tcW w:w="2300" w:type="dxa"/>
            <w:vAlign w:val="bottom"/>
            <w:gridSpan w:val="2"/>
          </w:tcPr>
          <w:p>
            <w:pPr>
              <w:jc w:val="right"/>
              <w:ind w:right="60"/>
              <w:spacing w:after="0"/>
              <w:rPr>
                <w:sz w:val="20"/>
                <w:szCs w:val="20"/>
                <w:color w:val="auto"/>
              </w:rPr>
            </w:pPr>
            <w:r>
              <w:rPr>
                <w:rFonts w:ascii="Arial" w:cs="Arial" w:eastAsia="Arial" w:hAnsi="Arial"/>
                <w:sz w:val="18"/>
                <w:szCs w:val="18"/>
                <w:color w:val="auto"/>
              </w:rPr>
              <w:t>(10,571)</w:t>
            </w:r>
          </w:p>
        </w:tc>
      </w:tr>
      <w:tr>
        <w:trPr>
          <w:trHeight w:val="223"/>
        </w:trPr>
        <w:tc>
          <w:tcPr>
            <w:tcW w:w="9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Outstanding at June 30, 2019</w:t>
            </w:r>
          </w:p>
        </w:tc>
        <w:tc>
          <w:tcPr>
            <w:tcW w:w="2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39"/>
        <w:spacing w:after="0" w:line="255" w:lineRule="auto"/>
        <w:rPr>
          <w:sz w:val="20"/>
          <w:szCs w:val="20"/>
          <w:color w:val="auto"/>
        </w:rPr>
      </w:pPr>
      <w:r>
        <w:rPr>
          <w:rFonts w:ascii="Arial" w:cs="Arial" w:eastAsia="Arial" w:hAnsi="Arial"/>
          <w:sz w:val="18"/>
          <w:szCs w:val="18"/>
          <w:color w:val="auto"/>
        </w:rPr>
        <w:t>For the three and six months ended June 30, 2019, non-cash compensation expense related to restricted stock was approximately $0 and $259,000; all of which was expensed by the Company. For the three months ended June 30, 2018, non-cash compensation expense related to restricted stock was approximately $208,000; of this amount approximately $78,000 was expensed by the Company, and approximately $130,000 was a reimbursable expense allocated to the Asset Manager Affiliates. For the six months ended June 30, 2018, non-cash compensation expense related to restricted stock was approximately $461,000; of this amount approximately $186,000 was expensed by the Company, and approximately $275,000 was a reimbursable expense allocated to the Asset Manager Affiliates.</w:t>
      </w:r>
    </w:p>
    <w:p>
      <w:pPr>
        <w:spacing w:after="0" w:line="166" w:lineRule="exact"/>
        <w:rPr>
          <w:sz w:val="20"/>
          <w:szCs w:val="20"/>
          <w:color w:val="auto"/>
        </w:rPr>
      </w:pPr>
    </w:p>
    <w:p>
      <w:pPr>
        <w:ind w:right="180" w:firstLine="439"/>
        <w:spacing w:after="0" w:line="277" w:lineRule="auto"/>
        <w:rPr>
          <w:sz w:val="20"/>
          <w:szCs w:val="20"/>
          <w:color w:val="auto"/>
        </w:rPr>
      </w:pPr>
      <w:r>
        <w:rPr>
          <w:rFonts w:ascii="Arial" w:cs="Arial" w:eastAsia="Arial" w:hAnsi="Arial"/>
          <w:sz w:val="18"/>
          <w:szCs w:val="18"/>
          <w:color w:val="auto"/>
        </w:rPr>
        <w:t>Distributions are paid on all outstanding shares of restricted stock, whether or not vested. In general, shares of unvested restricted stock were forfeited upon the recipient’s termination of employment.</w:t>
      </w:r>
    </w:p>
    <w:p>
      <w:pPr>
        <w:spacing w:after="0" w:line="126" w:lineRule="exact"/>
        <w:rPr>
          <w:sz w:val="20"/>
          <w:szCs w:val="20"/>
          <w:color w:val="auto"/>
        </w:rPr>
      </w:pPr>
    </w:p>
    <w:p>
      <w:pPr>
        <w:ind w:left="440" w:hanging="432"/>
        <w:spacing w:after="0"/>
        <w:tabs>
          <w:tab w:leader="none" w:pos="4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OTHER EMPLOYEE COMPENSATION</w:t>
      </w:r>
    </w:p>
    <w:p>
      <w:pPr>
        <w:spacing w:after="0" w:line="189" w:lineRule="exact"/>
        <w:rPr>
          <w:sz w:val="20"/>
          <w:szCs w:val="20"/>
          <w:color w:val="auto"/>
        </w:rPr>
      </w:pPr>
    </w:p>
    <w:p>
      <w:pPr>
        <w:ind w:right="100" w:firstLine="439"/>
        <w:spacing w:after="0" w:line="255" w:lineRule="auto"/>
        <w:rPr>
          <w:sz w:val="20"/>
          <w:szCs w:val="20"/>
          <w:color w:val="auto"/>
        </w:rPr>
      </w:pPr>
      <w:r>
        <w:rPr>
          <w:rFonts w:ascii="Arial" w:cs="Arial" w:eastAsia="Arial" w:hAnsi="Arial"/>
          <w:sz w:val="18"/>
          <w:szCs w:val="18"/>
          <w:color w:val="auto"/>
        </w:rPr>
        <w:t>The Company adopted a 401(k) plan (“401K Plan”) effective January 1, 2007. The 401K Plan was open to all full time employees. The 401K Plan permits an employee to defer a portion of their total annual compensation up to the Internal Revenue Service annual maximum based on age and eligibility. The Company made contributions to the 401K Plan of up to 2% of the Internal Revenue Service’s annual maximum eligible compensation, which fully vests at the time of contribution. Approximately $9,000 was expensed during the three and six months ended June 30, 2019, respectively, related to the 401K Plan. Approximately $10,000 and $20,000 was expensed during the three and six months ended June 30, 2018, respectively, related to the 401K Plan. This Plan was terminated effective March 31, 2019.</w:t>
      </w:r>
    </w:p>
    <w:p>
      <w:pPr>
        <w:spacing w:after="0" w:line="153" w:lineRule="exact"/>
        <w:rPr>
          <w:sz w:val="20"/>
          <w:szCs w:val="20"/>
          <w:color w:val="auto"/>
        </w:rPr>
      </w:pPr>
    </w:p>
    <w:p>
      <w:pPr>
        <w:ind w:right="160" w:firstLine="439"/>
        <w:spacing w:after="0" w:line="254" w:lineRule="auto"/>
        <w:rPr>
          <w:sz w:val="20"/>
          <w:szCs w:val="20"/>
          <w:color w:val="auto"/>
        </w:rPr>
      </w:pPr>
      <w:r>
        <w:rPr>
          <w:rFonts w:ascii="Arial" w:cs="Arial" w:eastAsia="Arial" w:hAnsi="Arial"/>
          <w:sz w:val="18"/>
          <w:szCs w:val="18"/>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$47,000 and $72,000 was expensed during the three and six months ended June 30, 2018, related to the Profit-Sharing Plan. This Plan was terminated effective March 31, 2019, and no expense was recognized during the six months ended June 30, 2019.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6" w:name="page67"/>
    <w:bookmarkEnd w:id="66"/>
    <w:p>
      <w:pPr>
        <w:ind w:left="440" w:hanging="432"/>
        <w:spacing w:after="0"/>
        <w:tabs>
          <w:tab w:leader="none" w:pos="4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89" w:lineRule="exact"/>
        <w:rPr>
          <w:sz w:val="20"/>
          <w:szCs w:val="20"/>
          <w:color w:val="auto"/>
        </w:rPr>
      </w:pPr>
    </w:p>
    <w:p>
      <w:pPr>
        <w:ind w:right="220" w:firstLine="439"/>
        <w:spacing w:after="0" w:line="277" w:lineRule="auto"/>
        <w:rPr>
          <w:sz w:val="20"/>
          <w:szCs w:val="20"/>
          <w:color w:val="auto"/>
        </w:rPr>
      </w:pPr>
      <w:r>
        <w:rPr>
          <w:rFonts w:ascii="Arial" w:cs="Arial" w:eastAsia="Arial" w:hAnsi="Arial"/>
          <w:sz w:val="18"/>
          <w:szCs w:val="18"/>
          <w:color w:val="auto"/>
        </w:rPr>
        <w:t>On August 1</w:t>
      </w:r>
      <w:r>
        <w:rPr>
          <w:rFonts w:ascii="Arial" w:cs="Arial" w:eastAsia="Arial" w:hAnsi="Arial"/>
          <w:sz w:val="15"/>
          <w:szCs w:val="15"/>
          <w:color w:val="auto"/>
        </w:rPr>
        <w:t>st</w:t>
      </w:r>
      <w:r>
        <w:rPr>
          <w:rFonts w:ascii="Arial" w:cs="Arial" w:eastAsia="Arial" w:hAnsi="Arial"/>
          <w:sz w:val="18"/>
          <w:szCs w:val="18"/>
          <w:color w:val="auto"/>
        </w:rPr>
        <w:t xml:space="preserve"> 2019, OHA Investment Corporation (“OHAI”) and the Company announced that they entered into a definitive agreement under which OHAI will merge with and into the Company. The combined company will be externally managed by the Adviser.</w:t>
      </w:r>
    </w:p>
    <w:p>
      <w:pPr>
        <w:spacing w:after="0" w:line="143" w:lineRule="exact"/>
        <w:rPr>
          <w:sz w:val="20"/>
          <w:szCs w:val="20"/>
          <w:color w:val="auto"/>
        </w:rPr>
      </w:pPr>
    </w:p>
    <w:p>
      <w:pPr>
        <w:ind w:right="280" w:firstLine="439"/>
        <w:spacing w:after="0" w:line="277" w:lineRule="auto"/>
        <w:rPr>
          <w:sz w:val="20"/>
          <w:szCs w:val="20"/>
          <w:color w:val="auto"/>
        </w:rPr>
      </w:pPr>
      <w:r>
        <w:rPr>
          <w:rFonts w:ascii="Arial" w:cs="Arial" w:eastAsia="Arial" w:hAnsi="Arial"/>
          <w:sz w:val="18"/>
          <w:szCs w:val="18"/>
          <w:color w:val="auto"/>
        </w:rPr>
        <w:t>Following the transaction, current OHAI stockholders are expected to own approximately 16% of the combined company and OHAI’s credit facility will be paid off in full at the closing of the transaction.</w:t>
      </w:r>
    </w:p>
    <w:p>
      <w:pPr>
        <w:spacing w:after="0" w:line="130" w:lineRule="exact"/>
        <w:rPr>
          <w:sz w:val="20"/>
          <w:szCs w:val="20"/>
          <w:color w:val="auto"/>
        </w:rPr>
      </w:pPr>
    </w:p>
    <w:p>
      <w:pPr>
        <w:ind w:right="160" w:firstLine="439"/>
        <w:spacing w:after="0" w:line="264" w:lineRule="auto"/>
        <w:rPr>
          <w:sz w:val="20"/>
          <w:szCs w:val="20"/>
          <w:color w:val="auto"/>
        </w:rPr>
      </w:pPr>
      <w:r>
        <w:rPr>
          <w:rFonts w:ascii="Arial" w:cs="Arial" w:eastAsia="Arial" w:hAnsi="Arial"/>
          <w:sz w:val="18"/>
          <w:szCs w:val="18"/>
          <w:color w:val="auto"/>
        </w:rPr>
        <w:t>Pursuant to the merger agreement, if at any time within one year after the closing date of the transaction shares of the Company are trading at a price below 75% of its net asset value, the Company will initiate a share buyback program of up to $10 million to support the trading price of the combined entity for up to one year from the date such program is announced.</w:t>
      </w:r>
    </w:p>
    <w:p>
      <w:pPr>
        <w:spacing w:after="0" w:line="141" w:lineRule="exact"/>
        <w:rPr>
          <w:sz w:val="20"/>
          <w:szCs w:val="20"/>
          <w:color w:val="auto"/>
        </w:rPr>
      </w:pPr>
    </w:p>
    <w:p>
      <w:pPr>
        <w:ind w:right="100" w:firstLine="439"/>
        <w:spacing w:after="0" w:line="277" w:lineRule="auto"/>
        <w:rPr>
          <w:sz w:val="20"/>
          <w:szCs w:val="20"/>
          <w:color w:val="auto"/>
        </w:rPr>
      </w:pPr>
      <w:r>
        <w:rPr>
          <w:rFonts w:ascii="Arial" w:cs="Arial" w:eastAsia="Arial" w:hAnsi="Arial"/>
          <w:sz w:val="18"/>
          <w:szCs w:val="18"/>
          <w:color w:val="auto"/>
        </w:rPr>
        <w:t>Approval by the Company’s stockholders is not required for the merger transaction, and Oak Hill Advisors, L.P., the external advisor to OHAI, intends to vote its OHAI shares in favor of the transaction.</w:t>
      </w:r>
    </w:p>
    <w:p>
      <w:pPr>
        <w:spacing w:after="0" w:line="143"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Under the terms of the proposed transaction, OHAI’s stockholders will receive value per share (based on the net asset value per share of the Company’s stock and the aggregate value of cash consideration) of approximately 108% of OHAI’s net asset value per share at the time of the closing of the transaction from the Company and the Adviser. As of March 31, 2019, OHAI’s net asset value was $37.1 million, or $1.84 per share. In connection with the transaction, OHAI stockholders will receive a combination of (i) a minimum of $8 million in cash (approximately $0.40 per share) from the Company (as may be adjusted as described below); (ii) shares of the Company valued at 100% of the Company’s net asset value per share at the time of closing of the transaction in an aggregate number equal to OHAI’s net asset value at closing minus the $8 million Company cash merger consideration (as may be adjusted as described below); and (iii) an additional cash payment from the Adviser of $3 million in the aggregate, or approximately $0.15 per share.</w:t>
      </w:r>
    </w:p>
    <w:p>
      <w:pPr>
        <w:spacing w:after="0" w:line="127"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color w:val="auto"/>
        </w:rPr>
        <w:t>If the aggregate number of shares of the Company’s stock to be issued in connection with the merger would exceed 19.9% of the issued and outstanding shares of the Company’s common stock immediately prior to the transaction closing, then the cash consideration payable by the Company will be increased to the minimum extent necessary such that the aggregate number of shares of the Company’s common stock to be issued in connection with the merger does not exceed such threshold. The exact exchange ratio for the stock component of the merger will be determined by the net asset value of OHAI and the Company as of the closing, calculated as of 5:00 p.m. New York City time on the day prior to the closing of the transaction. In addition to approval by OHAI’s stockholders, the closing of the merger is subject to customary conditions. The parties currently expect the transaction to be completed in the fourth calendar quarter of 2019.</w:t>
      </w:r>
    </w:p>
    <w:p>
      <w:pPr>
        <w:spacing w:after="0" w:line="149" w:lineRule="exact"/>
        <w:rPr>
          <w:sz w:val="20"/>
          <w:szCs w:val="20"/>
          <w:color w:val="auto"/>
        </w:rPr>
      </w:pPr>
    </w:p>
    <w:p>
      <w:pPr>
        <w:ind w:right="100" w:firstLine="439"/>
        <w:spacing w:after="0" w:line="264" w:lineRule="auto"/>
        <w:rPr>
          <w:sz w:val="20"/>
          <w:szCs w:val="20"/>
          <w:color w:val="auto"/>
        </w:rPr>
      </w:pPr>
      <w:r>
        <w:rPr>
          <w:rFonts w:ascii="Arial" w:cs="Arial" w:eastAsia="Arial" w:hAnsi="Arial"/>
          <w:sz w:val="18"/>
          <w:szCs w:val="18"/>
          <w:color w:val="auto"/>
        </w:rPr>
        <w:t>The Company has evaluated events and transactions occurring subsequent to June 30, 2019 for items that should potentially be recognized or disclosed in these financial statements. Other than as described above, management has determined that there are no other material subsequent events that would require adjustment to, or disclosure in, these consolidated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right="560" w:firstLine="439"/>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Portman Ridge Finance Corporation’s condensed and consolidated financial statements and related notes included in this Quarterly Report on Form 10-Q.</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240" w:firstLine="439"/>
        <w:spacing w:after="0" w:line="277" w:lineRule="auto"/>
        <w:rPr>
          <w:sz w:val="20"/>
          <w:szCs w:val="20"/>
          <w:color w:val="auto"/>
        </w:rPr>
      </w:pPr>
      <w:r>
        <w:rPr>
          <w:rFonts w:ascii="Arial" w:cs="Arial" w:eastAsia="Arial" w:hAnsi="Arial"/>
          <w:sz w:val="18"/>
          <w:szCs w:val="18"/>
          <w:color w:val="auto"/>
        </w:rPr>
        <w:t>Effective April 1, 2019, we are an externally managed, non-diversified closed-end investment company that has elected to be regulated as a business development company (“BDC”) under the Investment Company Act of 1940, as amended (the “1940 Act”).</w:t>
      </w:r>
    </w:p>
    <w:p>
      <w:pPr>
        <w:spacing w:after="0" w:line="130" w:lineRule="exact"/>
        <w:rPr>
          <w:sz w:val="20"/>
          <w:szCs w:val="20"/>
          <w:color w:val="auto"/>
        </w:rPr>
      </w:pPr>
    </w:p>
    <w:p>
      <w:pPr>
        <w:ind w:firstLine="439"/>
        <w:spacing w:after="0" w:line="257" w:lineRule="auto"/>
        <w:rPr>
          <w:sz w:val="20"/>
          <w:szCs w:val="20"/>
          <w:color w:val="auto"/>
        </w:rPr>
      </w:pPr>
      <w:r>
        <w:rPr>
          <w:rFonts w:ascii="Arial" w:cs="Arial" w:eastAsia="Arial" w:hAnsi="Arial"/>
          <w:sz w:val="18"/>
          <w:szCs w:val="18"/>
          <w:color w:val="auto"/>
        </w:rPr>
        <w:t>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its debt investments.</w:t>
      </w:r>
    </w:p>
    <w:p>
      <w:pPr>
        <w:spacing w:after="0" w:line="161" w:lineRule="exact"/>
        <w:rPr>
          <w:sz w:val="20"/>
          <w:szCs w:val="20"/>
          <w:color w:val="auto"/>
        </w:rPr>
      </w:pPr>
    </w:p>
    <w:p>
      <w:pPr>
        <w:ind w:firstLine="439"/>
        <w:spacing w:after="0" w:line="273" w:lineRule="auto"/>
        <w:rPr>
          <w:sz w:val="20"/>
          <w:szCs w:val="20"/>
          <w:color w:val="auto"/>
        </w:rPr>
      </w:pPr>
      <w:r>
        <w:rPr>
          <w:rFonts w:ascii="Arial" w:cs="Arial" w:eastAsia="Arial" w:hAnsi="Arial"/>
          <w:sz w:val="17"/>
          <w:szCs w:val="17"/>
          <w:color w:val="auto"/>
        </w:rPr>
        <w:t>On November 8, 2018, we entered into an agreement with LibreMax Intermediate Holdings, LP (“LibreMax”) under which our wholly-owned subsidiary Commodore Holdings, LLC (“Commodore”) agreed to sell Katonah Debt Advisors, L.L.C. (“Katonah Debt Advisors”), Trimaran Advisors, L.L.C. (“Trimaran Advisors”), and Trimaran Advisors Management, L.L.C. (“Trimaran Advisors Management” and, together with Katonah Debt Advisors and Trimaran Advisors, the “Disposed Manager Affiliates”) to LibreMax for a cash purchase price of approximately $37.9 million (the “LibreMax Transaction”). In connection with the closing of the LibreMax Transaction on December 31, 2018, Commodore sold the Disposed Manager Affiliates, which manage collateralized loan obligation funds (“CLO Funds”), to LibreMax for a cash purchase price of approximately $37.9 million.</w:t>
      </w:r>
    </w:p>
    <w:p>
      <w:pPr>
        <w:spacing w:after="0" w:line="138"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color w:val="auto"/>
        </w:rPr>
        <w:t>As of June 30, 2019, our remaining asset management subsidiaries (the “Asset Manager Affiliates”) were comprised of Commodore, Katonah Management Holdings, LLC, Katonah X Management LLC (“Katonah X Management”), Katonah 2007-1 Management, LLC (“Katonah 2007-I Management”) and KCAP Management, LLC. Commodore, Katonah X Management and Katonah 2007-1 Management have no operations and are expected to be liquidated in the normal course.</w:t>
      </w:r>
    </w:p>
    <w:p>
      <w:pPr>
        <w:spacing w:after="0" w:line="146" w:lineRule="exact"/>
        <w:rPr>
          <w:sz w:val="20"/>
          <w:szCs w:val="20"/>
          <w:color w:val="auto"/>
        </w:rPr>
      </w:pPr>
    </w:p>
    <w:p>
      <w:pPr>
        <w:ind w:right="60" w:firstLine="439"/>
        <w:spacing w:after="0" w:line="293" w:lineRule="auto"/>
        <w:rPr>
          <w:sz w:val="20"/>
          <w:szCs w:val="20"/>
          <w:color w:val="auto"/>
        </w:rPr>
      </w:pPr>
      <w:r>
        <w:rPr>
          <w:rFonts w:ascii="Arial" w:cs="Arial" w:eastAsia="Arial" w:hAnsi="Arial"/>
          <w:sz w:val="16"/>
          <w:szCs w:val="16"/>
          <w:color w:val="auto"/>
        </w:rPr>
        <w:t>On December 14, 2018, we entered into a stock purchase and transaction agreement (the “Externalization Agreement”) with BC Partners Advisors L.P. (“BCP”), an affiliate of BC Partners LLP (“BC Partners”), pursuant to which our management function would be externalized (the “Externalization”) and Sierra Crest Investment Management LLC, an affiliate of BC Partners (the “Adviser”) would be appointed as our investment adviser, subject to our stockholders’ approval of the proposed investment advisory agreement between us and the Adviser (the “Advisory Agreement”). At a special meeting of our stockholders (the “Special Meeting”) held on February 19, 2019, our stockholders approved the Advisory Agreement. Upon closing of the Externalization (the “Closing”) on April 1, 2019, the Company commenced operations as an externally managed BDC managed by the Adviser.</w:t>
      </w:r>
    </w:p>
    <w:p>
      <w:pPr>
        <w:spacing w:after="0" w:line="138" w:lineRule="exact"/>
        <w:rPr>
          <w:sz w:val="20"/>
          <w:szCs w:val="20"/>
          <w:color w:val="auto"/>
        </w:rPr>
      </w:pPr>
    </w:p>
    <w:p>
      <w:pPr>
        <w:ind w:right="20" w:firstLine="439"/>
        <w:spacing w:after="0" w:line="272"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w:t>
      </w:r>
    </w:p>
    <w:p>
      <w:pPr>
        <w:spacing w:after="0" w:line="137" w:lineRule="exact"/>
        <w:rPr>
          <w:sz w:val="20"/>
          <w:szCs w:val="20"/>
          <w:color w:val="auto"/>
        </w:rPr>
      </w:pPr>
    </w:p>
    <w:p>
      <w:pPr>
        <w:ind w:right="180" w:firstLine="439"/>
        <w:spacing w:after="0" w:line="259" w:lineRule="auto"/>
        <w:rPr>
          <w:sz w:val="20"/>
          <w:szCs w:val="20"/>
          <w:color w:val="auto"/>
        </w:rPr>
      </w:pPr>
      <w:r>
        <w:rPr>
          <w:rFonts w:ascii="Arial" w:cs="Arial" w:eastAsia="Arial" w:hAnsi="Arial"/>
          <w:sz w:val="18"/>
          <w:szCs w:val="18"/>
          <w:color w:val="auto"/>
        </w:rPr>
        <w:t>Our investment in CLO Fund Securities are primarily managed by our formerly wholly-owned asset management subsidiaries Trimaran Advisors and Trimaran Advisors Management, L.L.C. From time-to-time we have also made investments in CLO Fund Securities managed by other asset managers. The CLO Funds typically invest in broadly syndicated loans, high-yield bonds and other credit instruments. Our investments in CLO Fund Securities are anticipated to provide us with recurring cash distributions.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8" w:name="page69"/>
    <w:bookmarkEnd w:id="68"/>
    <w:p>
      <w:pPr>
        <w:ind w:right="20" w:firstLine="439"/>
        <w:spacing w:after="0" w:line="276" w:lineRule="auto"/>
        <w:rPr>
          <w:sz w:val="20"/>
          <w:szCs w:val="20"/>
          <w:color w:val="auto"/>
        </w:rPr>
      </w:pPr>
      <w:r>
        <w:rPr>
          <w:rFonts w:ascii="Arial" w:cs="Arial" w:eastAsia="Arial" w:hAnsi="Arial"/>
          <w:sz w:val="17"/>
          <w:szCs w:val="17"/>
          <w:color w:val="auto"/>
        </w:rPr>
        <w:t>Subject to market conditions, we intend to grow our portfolio of assets by raising additional capital, including through the prudent use of leverage available to us. As a BDC, we are limited in the amount of leverage we can incur under the 1940 Act. Effective March 29, 2019, we are only allowed to borrow amounts such that our asset coverage, as defined in the 1940 Act, equals at least 150% after such borrowing. We will continue to be prohibited by the indentures governing our 6.125% Notes due 2022 (the “6.125% Notes due 2022”) from making distributions on our common stock if our asset coverage, as defined in the 1940 Act, falls below 200%. See Note 7 - “Borrowings” to our consolidated financial statements.</w:t>
      </w:r>
    </w:p>
    <w:p>
      <w:pPr>
        <w:spacing w:after="0" w:line="146" w:lineRule="exact"/>
        <w:rPr>
          <w:sz w:val="20"/>
          <w:szCs w:val="20"/>
          <w:color w:val="auto"/>
        </w:rPr>
      </w:pPr>
    </w:p>
    <w:p>
      <w:pPr>
        <w:ind w:right="160" w:firstLine="439"/>
        <w:spacing w:after="0" w:line="276" w:lineRule="auto"/>
        <w:rPr>
          <w:sz w:val="20"/>
          <w:szCs w:val="20"/>
          <w:color w:val="auto"/>
        </w:rPr>
      </w:pPr>
      <w:r>
        <w:rPr>
          <w:rFonts w:ascii="Arial" w:cs="Arial" w:eastAsia="Arial" w:hAnsi="Arial"/>
          <w:sz w:val="17"/>
          <w:szCs w:val="17"/>
          <w:color w:val="auto"/>
        </w:rPr>
        <w:t>We have elected to be treated for U.S. federal income tax purposes as a regulated investment company (“RIC”) under the Internal Revenue Code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As a RIC, we generally will not have to pay corporate-level U.S. federal income taxes on any income that we timely distribute to our stockholders.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Externalization Agreement</w:t>
      </w:r>
    </w:p>
    <w:p>
      <w:pPr>
        <w:spacing w:after="0" w:line="189" w:lineRule="exact"/>
        <w:rPr>
          <w:sz w:val="20"/>
          <w:szCs w:val="20"/>
          <w:color w:val="auto"/>
        </w:rPr>
      </w:pPr>
    </w:p>
    <w:p>
      <w:pPr>
        <w:ind w:right="20" w:firstLine="439"/>
        <w:spacing w:after="0" w:line="272" w:lineRule="auto"/>
        <w:rPr>
          <w:sz w:val="20"/>
          <w:szCs w:val="20"/>
          <w:color w:val="auto"/>
        </w:rPr>
      </w:pPr>
      <w:r>
        <w:rPr>
          <w:rFonts w:ascii="Arial" w:cs="Arial" w:eastAsia="Arial" w:hAnsi="Arial"/>
          <w:sz w:val="17"/>
          <w:szCs w:val="17"/>
          <w:color w:val="auto"/>
        </w:rPr>
        <w:t>Pursuant to the Externalization Agreement with BCP, the Adviser became our investment adviser in exchange for a cash payment from BCP, or its affiliate, of $25 million, or $0.669672 per share of our common stock, directly to our stockholders. In addition, the Adviser (or its affiliate) will use up to $10 million of the incentive fee actually paid to the Adviser prior to the second anniversary of the Closing to buy newly issued shares of our common stock at the most recently determined net asset value per share of our common stock at the time of such purchase. For the period of one year from the first day of the first quarter following the quarter in which the Closing occurred, the Adviser will permanently forego up to the full amount of the incentive fees earned by the Adviser without recourse against or reimbursement by us, to the extent necessary in order to achieve aggregate net investment income per share of our common stock for such one-year period to be at least equal to $0.40 per share, subject to certain adjustments.</w:t>
      </w:r>
    </w:p>
    <w:p>
      <w:pPr>
        <w:spacing w:after="0" w:line="151" w:lineRule="exact"/>
        <w:rPr>
          <w:sz w:val="20"/>
          <w:szCs w:val="20"/>
          <w:color w:val="auto"/>
        </w:rPr>
      </w:pPr>
    </w:p>
    <w:p>
      <w:pPr>
        <w:ind w:right="440" w:firstLine="439"/>
        <w:spacing w:after="0" w:line="277" w:lineRule="auto"/>
        <w:rPr>
          <w:sz w:val="20"/>
          <w:szCs w:val="20"/>
          <w:color w:val="auto"/>
        </w:rPr>
      </w:pPr>
      <w:r>
        <w:rPr>
          <w:rFonts w:ascii="Arial" w:cs="Arial" w:eastAsia="Arial" w:hAnsi="Arial"/>
          <w:sz w:val="18"/>
          <w:szCs w:val="18"/>
          <w:color w:val="auto"/>
        </w:rPr>
        <w:t>On the date of the Closing, we changed our name from KCAP Financial, Inc. to Portman Ridge Finance Corporation and on April 2, 2019, began trading on the NASDAQ Global Select Market under the symbol “PTMN.”</w:t>
      </w:r>
    </w:p>
    <w:p>
      <w:pPr>
        <w:spacing w:after="0" w:line="130" w:lineRule="exact"/>
        <w:rPr>
          <w:sz w:val="20"/>
          <w:szCs w:val="20"/>
          <w:color w:val="auto"/>
        </w:rPr>
      </w:pPr>
    </w:p>
    <w:p>
      <w:pPr>
        <w:ind w:right="120" w:firstLine="439"/>
        <w:spacing w:after="0" w:line="272" w:lineRule="auto"/>
        <w:rPr>
          <w:sz w:val="20"/>
          <w:szCs w:val="20"/>
          <w:color w:val="auto"/>
        </w:rPr>
      </w:pPr>
      <w:r>
        <w:rPr>
          <w:rFonts w:ascii="Arial" w:cs="Arial" w:eastAsia="Arial" w:hAnsi="Arial"/>
          <w:sz w:val="17"/>
          <w:szCs w:val="17"/>
          <w:color w:val="auto"/>
        </w:rPr>
        <w:t>On April 1, 2019, in connection with the Closing, all of our then-current directors resigned from their positions on our Board of Directors (the “Board”), with the exceptions of Dean Kehler and Christopher Lacovara. Prior to their resignations, the Board approved an increase in the size of the Board from seven members to eight members and appointed the following new individuals to serve on the Board: Graeme Dell; Alexander Duka; Ted Goldthorpe; George Grunebaum; David Moffitt; and Robert Warshauer. Additionally, in connection with the Closing all of the Company’s then-current officers resigned from their positions with the exceptions of Edward Gilpin and Daniel Gilligan. Effective as of the Closing, Ted Goldthorpe was appointed as President and Chief Executive Officer and Patrick Schafer was appointed as Chief Investment Officer of the Company. In May 2019, Mr. Gilligan resigned as Chief Compliance officer, and Andrew Devine was appointed Chief Compliance Officer.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Adviser</w:t>
      </w:r>
    </w:p>
    <w:p>
      <w:pPr>
        <w:spacing w:after="0" w:line="202" w:lineRule="exact"/>
        <w:rPr>
          <w:sz w:val="20"/>
          <w:szCs w:val="20"/>
          <w:color w:val="auto"/>
        </w:rPr>
      </w:pPr>
    </w:p>
    <w:p>
      <w:pPr>
        <w:jc w:val="both"/>
        <w:ind w:right="60" w:firstLine="439"/>
        <w:spacing w:after="0" w:line="312" w:lineRule="auto"/>
        <w:rPr>
          <w:sz w:val="20"/>
          <w:szCs w:val="20"/>
          <w:color w:val="auto"/>
        </w:rPr>
      </w:pPr>
      <w:r>
        <w:rPr>
          <w:rFonts w:ascii="Arial" w:cs="Arial" w:eastAsia="Arial" w:hAnsi="Arial"/>
          <w:sz w:val="16"/>
          <w:szCs w:val="16"/>
          <w:color w:val="auto"/>
        </w:rPr>
        <w:t>The Adviser is an affiliate of BC Partners. LibreMax owns a minority stake in the Adviser. Subject to the overall supervision of the Board,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spacing w:after="0" w:line="106" w:lineRule="exact"/>
        <w:rPr>
          <w:sz w:val="20"/>
          <w:szCs w:val="20"/>
          <w:color w:val="auto"/>
        </w:rPr>
      </w:pPr>
    </w:p>
    <w:p>
      <w:pPr>
        <w:ind w:firstLine="439"/>
        <w:spacing w:after="0" w:line="293" w:lineRule="auto"/>
        <w:rPr>
          <w:sz w:val="20"/>
          <w:szCs w:val="20"/>
          <w:color w:val="auto"/>
        </w:rPr>
      </w:pPr>
      <w:r>
        <w:rPr>
          <w:rFonts w:ascii="Arial" w:cs="Arial" w:eastAsia="Arial" w:hAnsi="Arial"/>
          <w:sz w:val="16"/>
          <w:szCs w:val="16"/>
          <w:color w:val="auto"/>
        </w:rPr>
        <w:t>The Adviser seeks to invest on our behalf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01" w:right="29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Advisory Agreement</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Adviser provides management services to us pursuant to the Advisory Agreement. Under the terms of the Investment Advisory Agreement,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Adviser is responsible for the following:</w:t>
      </w:r>
    </w:p>
    <w:p>
      <w:pPr>
        <w:spacing w:after="0" w:line="170" w:lineRule="exact"/>
        <w:rPr>
          <w:sz w:val="20"/>
          <w:szCs w:val="20"/>
          <w:color w:val="auto"/>
        </w:rPr>
      </w:pPr>
    </w:p>
    <w:p>
      <w:pPr>
        <w:ind w:left="880" w:hanging="440"/>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managing our assets in accordance with our investment objective, policies and restrictions;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determining the composition of our portfolio, the nature and timing of the changes to our portfolio and the manner of implementing such changes;</w:t>
      </w:r>
    </w:p>
    <w:p>
      <w:pPr>
        <w:spacing w:after="0" w:line="207" w:lineRule="exact"/>
        <w:rPr>
          <w:rFonts w:ascii="Arial" w:cs="Arial" w:eastAsia="Arial" w:hAnsi="Arial"/>
          <w:sz w:val="16"/>
          <w:szCs w:val="16"/>
          <w:color w:val="auto"/>
        </w:rPr>
      </w:pPr>
    </w:p>
    <w:p>
      <w:pPr>
        <w:ind w:left="880" w:hanging="440"/>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identifying, evaluating and negotiating the structure of our investments;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monitoring our investments;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determining the securities and other assets we will purchase, retain or sell;</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assisting the Board with its valuation of our assets;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directing investment professionals of the Adviser to provide managerial assistance to our portfolio companies;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performing due diligence on prospective portfolio companies;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exercising voting rights in respect of portfolio securities and other investments for us;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serving on, and exercising observer rights for, boards of directors and similar committees of our portfolio companies; and</w:t>
      </w:r>
    </w:p>
    <w:p>
      <w:pPr>
        <w:spacing w:after="0" w:line="184" w:lineRule="exact"/>
        <w:rPr>
          <w:rFonts w:ascii="Arial" w:cs="Arial" w:eastAsia="Arial" w:hAnsi="Arial"/>
          <w:sz w:val="18"/>
          <w:szCs w:val="18"/>
          <w:color w:val="auto"/>
        </w:rPr>
      </w:pPr>
    </w:p>
    <w:p>
      <w:pPr>
        <w:ind w:left="880" w:right="740" w:hanging="440"/>
        <w:spacing w:after="0" w:line="277"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providing us with such other investment advisory, research and related services as we may, from time to time, reasonably require for the investment of capital.</w:t>
      </w:r>
    </w:p>
    <w:p>
      <w:pPr>
        <w:spacing w:after="0" w:line="130" w:lineRule="exact"/>
        <w:rPr>
          <w:sz w:val="20"/>
          <w:szCs w:val="20"/>
          <w:color w:val="auto"/>
        </w:rPr>
      </w:pPr>
    </w:p>
    <w:p>
      <w:pPr>
        <w:ind w:right="100" w:firstLine="439"/>
        <w:spacing w:after="0" w:line="277" w:lineRule="auto"/>
        <w:rPr>
          <w:sz w:val="20"/>
          <w:szCs w:val="20"/>
          <w:color w:val="auto"/>
        </w:rPr>
      </w:pPr>
      <w:r>
        <w:rPr>
          <w:rFonts w:ascii="Arial" w:cs="Arial" w:eastAsia="Arial" w:hAnsi="Arial"/>
          <w:sz w:val="18"/>
          <w:szCs w:val="18"/>
          <w:color w:val="auto"/>
        </w:rPr>
        <w:t>The Adviser’s services under the Advisory Agreement are not exclusive, and it is free to furnish similar services to other entities so long as its services to us are not impaired.</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Term</w:t>
      </w:r>
    </w:p>
    <w:p>
      <w:pPr>
        <w:spacing w:after="0" w:line="198"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On April 1, 2019, the Company entered into the Advisory Agreement with the Adviser. Unless earlier terminated as described below, the Investment Advisory Agreement will remain in effect until April 1, 2021, a period of two years from the date it first became effective and will remain in effect from year-to-year thereafter if approved annually by a majority of the Board or by the holders of a majority of our outstanding shares, and, in each case, a majority of the independent directors.</w:t>
      </w:r>
    </w:p>
    <w:p>
      <w:pPr>
        <w:spacing w:after="0" w:line="146"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The Advisory Agreement will automatically terminate within the meaning of the 1940 Act and related SEC guidance and interpretations in the event of its assignment. In accordance with the 1940 Act, without payment of any penalty, we may terminate the Advisory Agreement with the Adviser upon 60 days’ written notice. The decision to terminate the agreement may be made by a majority our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Removal of Adviser</w:t>
      </w:r>
    </w:p>
    <w:p>
      <w:pPr>
        <w:spacing w:after="0" w:line="198" w:lineRule="exact"/>
        <w:rPr>
          <w:sz w:val="20"/>
          <w:szCs w:val="20"/>
          <w:color w:val="auto"/>
        </w:rPr>
      </w:pPr>
    </w:p>
    <w:p>
      <w:pPr>
        <w:ind w:right="140" w:firstLine="439"/>
        <w:spacing w:after="0" w:line="286" w:lineRule="auto"/>
        <w:rPr>
          <w:sz w:val="20"/>
          <w:szCs w:val="20"/>
          <w:color w:val="auto"/>
        </w:rPr>
      </w:pPr>
      <w:r>
        <w:rPr>
          <w:rFonts w:ascii="Arial" w:cs="Arial" w:eastAsia="Arial" w:hAnsi="Arial"/>
          <w:sz w:val="17"/>
          <w:szCs w:val="17"/>
          <w:color w:val="auto"/>
        </w:rPr>
        <w:t>The Adviser may be removed our Board or by the affirmative vote of a Majority of the Outstanding Shares. “Majority of the Outstanding Shares” means the lesser of (1) 67% or more of the outstanding shares of our common stock present at a meeting, if the holders of more than 50% of the outstanding shares of our common stock are present or represented by proxy or (2) a majority of outstanding shares of our common stock.</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97" w:right="259" w:bottom="1440" w:gutter="0" w:footer="0" w:header="0"/>
        </w:sectPr>
      </w:pPr>
    </w:p>
    <w:bookmarkStart w:id="70" w:name="page71"/>
    <w:bookmarkEnd w:id="70"/>
    <w:p>
      <w:pPr>
        <w:ind w:left="440"/>
        <w:spacing w:after="0"/>
        <w:rPr>
          <w:sz w:val="20"/>
          <w:szCs w:val="20"/>
          <w:color w:val="auto"/>
        </w:rPr>
      </w:pPr>
      <w:r>
        <w:rPr>
          <w:rFonts w:ascii="Arial" w:cs="Arial" w:eastAsia="Arial" w:hAnsi="Arial"/>
          <w:sz w:val="18"/>
          <w:szCs w:val="18"/>
          <w:b w:val="1"/>
          <w:bCs w:val="1"/>
          <w:i w:val="1"/>
          <w:iCs w:val="1"/>
          <w:color w:val="auto"/>
        </w:rPr>
        <w:t>Compensation of Adviser</w:t>
      </w:r>
    </w:p>
    <w:p>
      <w:pPr>
        <w:spacing w:after="0" w:line="198" w:lineRule="exact"/>
        <w:rPr>
          <w:sz w:val="20"/>
          <w:szCs w:val="20"/>
          <w:color w:val="auto"/>
        </w:rPr>
      </w:pPr>
    </w:p>
    <w:p>
      <w:pPr>
        <w:ind w:right="20" w:firstLine="439"/>
        <w:spacing w:after="0" w:line="287" w:lineRule="auto"/>
        <w:rPr>
          <w:sz w:val="20"/>
          <w:szCs w:val="20"/>
          <w:color w:val="auto"/>
        </w:rPr>
      </w:pPr>
      <w:r>
        <w:rPr>
          <w:rFonts w:ascii="Arial" w:cs="Arial" w:eastAsia="Arial" w:hAnsi="Arial"/>
          <w:sz w:val="16"/>
          <w:szCs w:val="16"/>
          <w:color w:val="auto"/>
        </w:rPr>
        <w:t>Pursuant to the terms of the Advisory Agreement, we pay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our gross assets, excluding cash and cash equivalents, but including assets purchased with borrowed amounts, as of the end of such calendar quarter. Subsequently, the Base Management Fee will be 1.50% of our average gross assets, excluding cash and cash equivalents, but including assets purchased with borrowed amounts, at the end of the two most recently completed calendar quarters; provided, however, that the Base Management Fee will be 1.00% of the Company’s average gross assets, excluding cash and cash equivalents, but including assets purchased with borrowed amounts, that exceed the product of (i) 200% and (ii) the value of our net asset value at the end of the most recently completed calendar quarter. The Incentive Fee consists of two parts: (1) a portion based on the Company’s pre-incentive fee net investment income (the “Income-Based Fee”) and (2) a portion based on the net capital gains received on our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pre-incentive fee net investment income with a 7.00% hurdle rate. The Capital Gains Fee is 17.50%.</w:t>
      </w:r>
    </w:p>
    <w:p>
      <w:pPr>
        <w:spacing w:after="0" w:line="128" w:lineRule="exact"/>
        <w:rPr>
          <w:sz w:val="20"/>
          <w:szCs w:val="20"/>
          <w:color w:val="auto"/>
        </w:rPr>
      </w:pPr>
    </w:p>
    <w:p>
      <w:pPr>
        <w:ind w:right="40" w:firstLine="439"/>
        <w:spacing w:after="0" w:line="291" w:lineRule="auto"/>
        <w:rPr>
          <w:sz w:val="20"/>
          <w:szCs w:val="20"/>
          <w:color w:val="auto"/>
        </w:rPr>
      </w:pPr>
      <w:r>
        <w:rPr>
          <w:rFonts w:ascii="Arial" w:cs="Arial" w:eastAsia="Arial" w:hAnsi="Arial"/>
          <w:sz w:val="16"/>
          <w:szCs w:val="16"/>
          <w:color w:val="auto"/>
        </w:rPr>
        <w:t>Pre-incentive fee net investment income means dividends (including reinvested dividends), interest and fee income accrued by us during the calendar quarter, minus operating expenses for the quarter (including the management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payment-in-kind(“PIK”) interest and zero coupon securities), accrued income that we may not have received in cash. The Adviser is not obligated to return the incentive fee it receives on PIK interest that is later determined to be uncollectible in cash. See “Item 1A. Risk Factors— Risks Related to the Adviser and its Affiliates.” Pre-incentive fee net investment income does not include any realized capital gains, realized capital losses or unrealized capital appreciation or depreciation.</w:t>
      </w:r>
    </w:p>
    <w:p>
      <w:pPr>
        <w:spacing w:after="0" w:line="127" w:lineRule="exact"/>
        <w:rPr>
          <w:sz w:val="20"/>
          <w:szCs w:val="20"/>
          <w:color w:val="auto"/>
        </w:rPr>
      </w:pPr>
    </w:p>
    <w:p>
      <w:pPr>
        <w:ind w:right="20" w:firstLine="439"/>
        <w:spacing w:after="0" w:line="253" w:lineRule="auto"/>
        <w:rPr>
          <w:sz w:val="20"/>
          <w:szCs w:val="20"/>
          <w:color w:val="auto"/>
        </w:rPr>
      </w:pPr>
      <w:r>
        <w:rPr>
          <w:rFonts w:ascii="Arial" w:cs="Arial" w:eastAsia="Arial" w:hAnsi="Arial"/>
          <w:sz w:val="18"/>
          <w:szCs w:val="18"/>
          <w:color w:val="auto"/>
        </w:rPr>
        <w:t>To determine the income incentive fee, pre-incentive fee net investment income is expressed as a rate of return on the value of our net assets at the end of the immediately preceding calendar quarter. Because of the structure of the incentive fee, it is possible that we may pay an incentive fee in a calendar quarter in which we incur a loss. For example, if we receive pre-incentive fee net investment income in excess of the quarterly hurdle rate, we will pay the applicable incentive fee even if we have incurred a loss in that calendar quarter due to realized capital losses and unrealized capital depreciation. In addition, because the quarterly hurdle rate is calculated based on our net assets, decreases in our net assets due to realized capital losses or unrealized capital depreciation in any given calendar quarter may increase the likelihood that the hurdle rate is reached and therefore the likelihood of us paying an incentive fee for the subsequent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Quarterly Subordinated Incentive Fee on</w:t>
            </w:r>
          </w:p>
        </w:tc>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Pre-Incentive Fee Net Investment Income</w:t>
            </w: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40" w:type="dxa"/>
            <w:vAlign w:val="bottom"/>
            <w:gridSpan w:val="5"/>
          </w:tcPr>
          <w:p>
            <w:pPr>
              <w:jc w:val="center"/>
              <w:ind w:left="530"/>
              <w:spacing w:after="0"/>
              <w:rPr>
                <w:sz w:val="20"/>
                <w:szCs w:val="20"/>
                <w:color w:val="auto"/>
              </w:rPr>
            </w:pPr>
            <w:r>
              <w:rPr>
                <w:rFonts w:ascii="Arial" w:cs="Arial" w:eastAsia="Arial" w:hAnsi="Arial"/>
                <w:sz w:val="18"/>
                <w:szCs w:val="18"/>
                <w:b w:val="1"/>
                <w:bCs w:val="1"/>
                <w:color w:val="auto"/>
                <w:w w:val="86"/>
              </w:rPr>
              <w:t>(expressed as a percentage of the value of net assets)</w:t>
            </w: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vMerge w:val="restart"/>
          </w:tcPr>
          <w:p>
            <w:pPr>
              <w:jc w:val="right"/>
              <w:ind w:right="2370"/>
              <w:spacing w:after="0"/>
              <w:rPr>
                <w:sz w:val="20"/>
                <w:szCs w:val="20"/>
                <w:color w:val="auto"/>
              </w:rPr>
            </w:pPr>
            <w:r>
              <w:rPr>
                <w:rFonts w:ascii="Arial" w:cs="Arial" w:eastAsia="Arial" w:hAnsi="Arial"/>
                <w:sz w:val="18"/>
                <w:szCs w:val="18"/>
                <w:color w:val="auto"/>
              </w:rPr>
              <w:t>0%</w:t>
            </w:r>
          </w:p>
        </w:tc>
        <w:tc>
          <w:tcPr>
            <w:tcW w:w="80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vMerge w:val="restart"/>
          </w:tcPr>
          <w:p>
            <w:pPr>
              <w:jc w:val="right"/>
              <w:ind w:right="3050"/>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3580" w:type="dxa"/>
            <w:vAlign w:val="bottom"/>
            <w:vMerge w:val="restart"/>
          </w:tcPr>
          <w:p>
            <w:pPr>
              <w:jc w:val="right"/>
              <w:ind w:right="2790"/>
              <w:spacing w:after="0"/>
              <w:rPr>
                <w:sz w:val="20"/>
                <w:szCs w:val="20"/>
                <w:color w:val="auto"/>
              </w:rPr>
            </w:pPr>
            <w:r>
              <w:rPr>
                <w:rFonts w:ascii="Arial" w:cs="Arial" w:eastAsia="Arial" w:hAnsi="Arial"/>
                <w:sz w:val="18"/>
                <w:szCs w:val="18"/>
                <w:color w:val="auto"/>
              </w:rPr>
              <w:t>2.121 %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000000"/>
          </w:tcPr>
          <w:p>
            <w:pPr>
              <w:spacing w:after="0"/>
              <w:rPr>
                <w:sz w:val="18"/>
                <w:szCs w:val="18"/>
                <w:color w:val="auto"/>
              </w:rPr>
            </w:pPr>
          </w:p>
        </w:tc>
        <w:tc>
          <w:tcPr>
            <w:tcW w:w="296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38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35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shd w:val="clear" w:color="auto" w:fill="000000"/>
          </w:tcPr>
          <w:p>
            <w:pPr>
              <w:spacing w:after="0"/>
              <w:rPr>
                <w:sz w:val="24"/>
                <w:szCs w:val="24"/>
                <w:color w:val="auto"/>
              </w:rPr>
            </w:pPr>
          </w:p>
        </w:tc>
        <w:tc>
          <w:tcPr>
            <w:tcW w:w="2960" w:type="dxa"/>
            <w:vAlign w:val="bottom"/>
          </w:tcPr>
          <w:p>
            <w:pPr>
              <w:jc w:val="right"/>
              <w:ind w:right="650"/>
              <w:spacing w:after="0"/>
              <w:rPr>
                <w:sz w:val="20"/>
                <w:szCs w:val="20"/>
                <w:color w:val="auto"/>
              </w:rPr>
            </w:pPr>
            <w:r>
              <w:rPr>
                <w:rFonts w:ascii="Arial" w:cs="Arial" w:eastAsia="Arial" w:hAnsi="Arial"/>
                <w:sz w:val="18"/>
                <w:szCs w:val="18"/>
                <w:color w:val="auto"/>
              </w:rPr>
              <w:t>← 0% →</w:t>
            </w:r>
          </w:p>
        </w:tc>
        <w:tc>
          <w:tcPr>
            <w:tcW w:w="8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5"/>
              </w:rPr>
              <w:t>← 100% →</w:t>
            </w: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tcPr>
          <w:p>
            <w:pPr>
              <w:jc w:val="right"/>
              <w:ind w:right="1310"/>
              <w:spacing w:after="0"/>
              <w:rPr>
                <w:sz w:val="20"/>
                <w:szCs w:val="20"/>
                <w:color w:val="auto"/>
              </w:rPr>
            </w:pPr>
            <w:r>
              <w:rPr>
                <w:rFonts w:ascii="Arial" w:cs="Arial" w:eastAsia="Arial" w:hAnsi="Arial"/>
                <w:sz w:val="18"/>
                <w:szCs w:val="18"/>
                <w:color w:val="auto"/>
              </w:rPr>
              <w:t>← 17.5% →</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20" w:type="dxa"/>
            <w:vAlign w:val="bottom"/>
            <w:shd w:val="clear" w:color="auto" w:fill="000000"/>
          </w:tcPr>
          <w:p>
            <w:pPr>
              <w:spacing w:after="0"/>
              <w:rPr>
                <w:sz w:val="24"/>
                <w:szCs w:val="24"/>
                <w:color w:val="auto"/>
              </w:rPr>
            </w:pPr>
          </w:p>
        </w:tc>
        <w:tc>
          <w:tcPr>
            <w:tcW w:w="2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1" w:name="page72"/>
    <w:bookmarkEnd w:id="71"/>
    <w:p>
      <w:pPr>
        <w:ind w:right="40" w:firstLine="439"/>
        <w:spacing w:after="0" w:line="272" w:lineRule="auto"/>
        <w:rPr>
          <w:sz w:val="20"/>
          <w:szCs w:val="20"/>
          <w:color w:val="auto"/>
        </w:rPr>
      </w:pPr>
      <w:r>
        <w:rPr>
          <w:rFonts w:ascii="Arial" w:cs="Arial" w:eastAsia="Arial" w:hAnsi="Arial"/>
          <w:sz w:val="17"/>
          <w:szCs w:val="17"/>
          <w:color w:val="auto"/>
        </w:rPr>
        <w:t>The second component of the incentive fee, the capital gains incentive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the Effective Date, less the aggregate amount of any previously paid capital gains incentive fee for prior periods. We will accrue, but will not pay, a capital gains incentive fee with respect to unrealized appreciation because a capital gains incentive fee would be owed to the Adviser if we were to sell the relevant investment and realize a capital gain. In no event will the capital gains incentive fee payable pursuant to the Investment Advisory Agreement be in excess of the amount permitted by the Investment Advisers Act of 1940, as amended (the “Advisers Act”) including Section 205 thereof.</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fees that are payable under the Investment Advisory Agreement for any partial period will be appropriately prorated.</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Limitations of Liability and Indemnification</w:t>
      </w:r>
    </w:p>
    <w:p>
      <w:pPr>
        <w:spacing w:after="0" w:line="185" w:lineRule="exact"/>
        <w:rPr>
          <w:sz w:val="20"/>
          <w:szCs w:val="20"/>
          <w:color w:val="auto"/>
        </w:rPr>
      </w:pPr>
    </w:p>
    <w:p>
      <w:pPr>
        <w:ind w:right="20" w:firstLine="439"/>
        <w:spacing w:after="0" w:line="269" w:lineRule="auto"/>
        <w:rPr>
          <w:sz w:val="20"/>
          <w:szCs w:val="20"/>
          <w:color w:val="auto"/>
        </w:rPr>
      </w:pPr>
      <w:r>
        <w:rPr>
          <w:rFonts w:ascii="Arial" w:cs="Arial" w:eastAsia="Arial" w:hAnsi="Arial"/>
          <w:sz w:val="17"/>
          <w:szCs w:val="17"/>
          <w:color w:val="auto"/>
        </w:rPr>
        <w:t>Under the Advisory Agreement, the Adviser, its officers, managers, partners, agents, employees, controlling persons, members and any other person or entity affiliated with the Adviser, including without limitation its managing member, will not be liable to us for acts or omissions performed in accordance with and pursuant to the Advisory Agreement, except those resulting from acts constituting criminal conduct, gross negligence, willful misfeasance, bad faith or reckless disregard of the duties that the Adviser owes to us under the Advisory Agreement. In addition, as part of the Advisory Agreement, we have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Board Approval of the Advisory Agreement</w:t>
      </w:r>
    </w:p>
    <w:p>
      <w:pPr>
        <w:spacing w:after="0" w:line="198" w:lineRule="exact"/>
        <w:rPr>
          <w:sz w:val="20"/>
          <w:szCs w:val="20"/>
          <w:color w:val="auto"/>
        </w:rPr>
      </w:pPr>
    </w:p>
    <w:p>
      <w:pPr>
        <w:ind w:firstLine="439"/>
        <w:spacing w:after="0" w:line="270" w:lineRule="auto"/>
        <w:rPr>
          <w:sz w:val="20"/>
          <w:szCs w:val="20"/>
          <w:color w:val="auto"/>
        </w:rPr>
      </w:pPr>
      <w:r>
        <w:rPr>
          <w:rFonts w:ascii="Arial" w:cs="Arial" w:eastAsia="Arial" w:hAnsi="Arial"/>
          <w:sz w:val="17"/>
          <w:szCs w:val="17"/>
          <w:color w:val="auto"/>
        </w:rPr>
        <w:t>On December 12, 2018, our then-current Board held an in-person meeting to consider and approve the Advisory Agreement and related matters. The Board of Directors was provided the information required to consider the Advisory Agreement, including: (a) the nature, quality and extent of the advisory and other services to be provided to us by the Adviser; (b) comparative data with respect to advisory fees or similar expenses paid by other BDCs with similar investment objectives; (c) our projected operating expenses and expense ratio compared to BDCs with similar investment objectives; (d) any existing and potential sources of indirect income to the Adviser from its relationship with us and the profitability of that relationship; (e) information about the services to be performed and the personnel performing such services under the Advisory Agreement; (f) the organizational capability and financial condition of the Adviser and its affiliates; (g) the Adviser’s practices regarding the selection and compensation of brokers that may execute our portfolio transactions and the brokers’ provision of brokerage and research services to the Adviser; and (h) the possibility of obtaining similar services from other third-party service providers or continuing to operate as an internally managed BDC.</w:t>
      </w:r>
    </w:p>
    <w:p>
      <w:pPr>
        <w:spacing w:after="0" w:line="141" w:lineRule="exact"/>
        <w:rPr>
          <w:sz w:val="20"/>
          <w:szCs w:val="20"/>
          <w:color w:val="auto"/>
        </w:rPr>
      </w:pPr>
    </w:p>
    <w:p>
      <w:pPr>
        <w:ind w:right="600" w:firstLine="439"/>
        <w:spacing w:after="0" w:line="308" w:lineRule="auto"/>
        <w:rPr>
          <w:sz w:val="20"/>
          <w:szCs w:val="20"/>
          <w:color w:val="auto"/>
        </w:rPr>
      </w:pPr>
      <w:r>
        <w:rPr>
          <w:rFonts w:ascii="Arial" w:cs="Arial" w:eastAsia="Arial" w:hAnsi="Arial"/>
          <w:sz w:val="17"/>
          <w:szCs w:val="17"/>
          <w:color w:val="auto"/>
        </w:rPr>
        <w:t>The Board, including a majority of independent directors, will oversee and monitor our investment performance and, beginning with the second anniversary of the effective date of the Advisory Agreement, will annually review the compensation we pay to the Adviser.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202" w:lineRule="exact"/>
        <w:rPr>
          <w:sz w:val="20"/>
          <w:szCs w:val="20"/>
          <w:color w:val="auto"/>
        </w:rPr>
      </w:pPr>
    </w:p>
    <w:p>
      <w:pPr>
        <w:ind w:right="400" w:firstLine="439"/>
        <w:spacing w:after="0" w:line="293" w:lineRule="auto"/>
        <w:rPr>
          <w:sz w:val="20"/>
          <w:szCs w:val="20"/>
          <w:color w:val="auto"/>
        </w:rPr>
      </w:pPr>
      <w:r>
        <w:rPr>
          <w:rFonts w:ascii="Arial" w:cs="Arial" w:eastAsia="Arial" w:hAnsi="Arial"/>
          <w:sz w:val="16"/>
          <w:szCs w:val="16"/>
          <w:color w:val="auto"/>
        </w:rPr>
        <w:t>Under the terms of the Administration Agreement between the Company and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We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we will reimburse the Administrator for any services performed for us by such affiliate or third party.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2" w:name="page73"/>
    <w:bookmarkEnd w:id="72"/>
    <w:p>
      <w:pPr>
        <w:ind w:right="60" w:firstLine="439"/>
        <w:spacing w:after="0" w:line="297" w:lineRule="auto"/>
        <w:rPr>
          <w:sz w:val="20"/>
          <w:szCs w:val="20"/>
          <w:color w:val="auto"/>
        </w:rPr>
      </w:pPr>
      <w:r>
        <w:rPr>
          <w:rFonts w:ascii="Arial" w:cs="Arial" w:eastAsia="Arial" w:hAnsi="Arial"/>
          <w:sz w:val="16"/>
          <w:szCs w:val="16"/>
          <w:color w:val="auto"/>
        </w:rPr>
        <w:t>Payments under the Administration Agreement are equal to an amount that reimburses the Administrator for its costs and expenses in performing its obligations and providing personnel and facilities (including rent, office equipment and utilities) for the Company’s use under the Administration Agreement, including our allocable portion of the compensation paid to our chief compliance officer and chief financial officer and their respective staff who provide services to us. The Board, including the independent directors, will review the general nature of the services provided by the Administrator as well as the related cost to the Company for those services and consider whether the cost is reasonable in light of the services provided.</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April 1, 2019, the Board approved the Administration Agreement with the Administrator. Unless earlier terminated as described below,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Agreement will remain in effect until April 1, 2021, a period of two years from the date it first became effective and will remain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effect from year-to-year thereafter if approved annually by a majority of the Board or by the holders of a Majority of the Outstanding Shares, and, in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case, a majority of the independent directors.</w:t>
      </w:r>
    </w:p>
    <w:p>
      <w:pPr>
        <w:spacing w:after="0" w:line="170" w:lineRule="exact"/>
        <w:rPr>
          <w:sz w:val="20"/>
          <w:szCs w:val="20"/>
          <w:color w:val="auto"/>
        </w:rPr>
      </w:pPr>
    </w:p>
    <w:p>
      <w:pPr>
        <w:ind w:right="100" w:firstLine="439"/>
        <w:spacing w:after="0" w:line="264" w:lineRule="auto"/>
        <w:rPr>
          <w:sz w:val="20"/>
          <w:szCs w:val="20"/>
          <w:color w:val="auto"/>
        </w:rPr>
      </w:pPr>
      <w:r>
        <w:rPr>
          <w:rFonts w:ascii="Arial" w:cs="Arial" w:eastAsia="Arial" w:hAnsi="Arial"/>
          <w:sz w:val="18"/>
          <w:szCs w:val="18"/>
          <w:color w:val="auto"/>
        </w:rPr>
        <w:t>We may terminate the Administration Agreement, without payment of any penalty, upon 60 days’ written notice. The decision to terminate the agreement may be made by a majority of the Board or the stockholders holding a Majority of the Outstanding Shares. In addition, the Adviser may terminate the Administration Agreement, without payment of any penalty, upon 60 days’ written notice.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02" w:lineRule="exact"/>
        <w:rPr>
          <w:sz w:val="20"/>
          <w:szCs w:val="20"/>
          <w:color w:val="auto"/>
        </w:rPr>
      </w:pPr>
    </w:p>
    <w:p>
      <w:pPr>
        <w:ind w:right="420" w:firstLine="439"/>
        <w:spacing w:after="0" w:line="312" w:lineRule="auto"/>
        <w:rPr>
          <w:sz w:val="20"/>
          <w:szCs w:val="20"/>
          <w:color w:val="auto"/>
        </w:rPr>
      </w:pPr>
      <w:r>
        <w:rPr>
          <w:rFonts w:ascii="Arial" w:cs="Arial" w:eastAsia="Arial" w:hAnsi="Arial"/>
          <w:sz w:val="16"/>
          <w:szCs w:val="16"/>
          <w:color w:val="auto"/>
        </w:rPr>
        <w:t>Our primary investments are: (1) lending to and investing in middle-market businesses through investments in senior secured loans, junior secured loans, subordinated/mezzanine debt investments, and other equity investments, which may include warrants, (2) our investments in our Asset Manager Affiliates, which manage portfolios of broadly syndicated loans, high-yield bonds and other credit instruments, and (3) CLO Fund Securities.</w:t>
      </w:r>
    </w:p>
    <w:p>
      <w:pPr>
        <w:spacing w:after="0" w:line="106" w:lineRule="exact"/>
        <w:rPr>
          <w:sz w:val="20"/>
          <w:szCs w:val="20"/>
          <w:color w:val="auto"/>
        </w:rPr>
      </w:pPr>
    </w:p>
    <w:p>
      <w:pPr>
        <w:ind w:right="360" w:firstLine="439"/>
        <w:spacing w:after="0" w:line="277" w:lineRule="auto"/>
        <w:rPr>
          <w:sz w:val="20"/>
          <w:szCs w:val="20"/>
          <w:color w:val="auto"/>
        </w:rPr>
      </w:pPr>
      <w:r>
        <w:rPr>
          <w:rFonts w:ascii="Arial" w:cs="Arial" w:eastAsia="Arial" w:hAnsi="Arial"/>
          <w:sz w:val="18"/>
          <w:szCs w:val="18"/>
          <w:color w:val="auto"/>
        </w:rPr>
        <w:t>Total portfolio investment activity (excluding activity in U.S. treasury bills and money market investments) for the six months ended June 30, 2019 (unaudited) and for the year ended December 31, 2018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Debt</w:t>
            </w:r>
          </w:p>
        </w:tc>
        <w:tc>
          <w:tcPr>
            <w:tcW w:w="160" w:type="dxa"/>
            <w:vAlign w:val="bottom"/>
          </w:tcPr>
          <w:p>
            <w:pPr>
              <w:spacing w:after="0"/>
              <w:rPr>
                <w:sz w:val="14"/>
                <w:szCs w:val="14"/>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CLO Fund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Asset</w:t>
            </w:r>
          </w:p>
        </w:tc>
        <w:tc>
          <w:tcPr>
            <w:tcW w:w="200" w:type="dxa"/>
            <w:vAlign w:val="bottom"/>
          </w:tcPr>
          <w:p>
            <w:pPr>
              <w:spacing w:after="0"/>
              <w:rPr>
                <w:sz w:val="14"/>
                <w:szCs w:val="14"/>
                <w:color w:val="auto"/>
              </w:rPr>
            </w:pPr>
          </w:p>
        </w:tc>
        <w:tc>
          <w:tcPr>
            <w:tcW w:w="12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Joint</w:t>
            </w:r>
          </w:p>
        </w:tc>
        <w:tc>
          <w:tcPr>
            <w:tcW w:w="200" w:type="dxa"/>
            <w:vAlign w:val="bottom"/>
          </w:tcPr>
          <w:p>
            <w:pPr>
              <w:spacing w:after="0"/>
              <w:rPr>
                <w:sz w:val="14"/>
                <w:szCs w:val="14"/>
                <w:color w:val="auto"/>
              </w:rPr>
            </w:pPr>
          </w:p>
        </w:tc>
        <w:tc>
          <w:tcPr>
            <w:tcW w:w="11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Manager</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Securities</w:t>
            </w:r>
          </w:p>
        </w:tc>
        <w:tc>
          <w:tcPr>
            <w:tcW w:w="16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Affiliates</w:t>
            </w:r>
          </w:p>
        </w:tc>
        <w:tc>
          <w:tcPr>
            <w:tcW w:w="200" w:type="dxa"/>
            <w:vAlign w:val="bottom"/>
          </w:tcPr>
          <w:p>
            <w:pPr>
              <w:spacing w:after="0"/>
              <w:rPr>
                <w:sz w:val="14"/>
                <w:szCs w:val="1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Ventures</w:t>
            </w:r>
          </w:p>
        </w:tc>
        <w:tc>
          <w:tcPr>
            <w:tcW w:w="20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Portfolio</w:t>
            </w:r>
          </w:p>
        </w:tc>
        <w:tc>
          <w:tcPr>
            <w:tcW w:w="0" w:type="dxa"/>
            <w:vAlign w:val="bottom"/>
          </w:tcPr>
          <w:p>
            <w:pPr>
              <w:spacing w:after="0"/>
              <w:rPr>
                <w:sz w:val="1"/>
                <w:szCs w:val="1"/>
                <w:color w:val="auto"/>
              </w:rPr>
            </w:pPr>
          </w:p>
        </w:tc>
      </w:tr>
      <w:tr>
        <w:trPr>
          <w:trHeight w:val="137"/>
        </w:trPr>
        <w:tc>
          <w:tcPr>
            <w:tcW w:w="23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Fair Value at December 31, 2017</w:t>
            </w:r>
          </w:p>
        </w:tc>
        <w:tc>
          <w:tcPr>
            <w:tcW w:w="3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2018 Activity:</w:t>
            </w:r>
          </w:p>
        </w:tc>
        <w:tc>
          <w:tcPr>
            <w:tcW w:w="48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118,197,479</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51,678,673</w:t>
            </w:r>
          </w:p>
        </w:tc>
        <w:tc>
          <w:tcPr>
            <w:tcW w:w="16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4,414,684</w:t>
            </w:r>
          </w:p>
        </w:tc>
        <w:tc>
          <w:tcPr>
            <w:tcW w:w="16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38,849,000</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21,516,000</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234,655,836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60"/>
              <w:spacing w:after="0"/>
              <w:rPr>
                <w:sz w:val="20"/>
                <w:szCs w:val="20"/>
                <w:color w:val="auto"/>
              </w:rPr>
            </w:pPr>
            <w:r>
              <w:rPr>
                <w:rFonts w:ascii="Arial" w:cs="Arial" w:eastAsia="Arial" w:hAnsi="Arial"/>
                <w:sz w:val="14"/>
                <w:szCs w:val="14"/>
                <w:color w:val="auto"/>
              </w:rPr>
              <w:t>Purchases / originations / draws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92,911,178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12,781,528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12,466,667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118,159,373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Pay-downs / pay-offs / sales</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(57,125,611)</w:t>
            </w:r>
          </w:p>
        </w:tc>
        <w:tc>
          <w:tcPr>
            <w:tcW w:w="1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(19,033,322)</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(1,093,244)</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(34,800,000)</w:t>
            </w:r>
          </w:p>
        </w:tc>
        <w:tc>
          <w:tcPr>
            <w:tcW w:w="2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(112,052,177)</w:t>
            </w:r>
          </w:p>
        </w:tc>
        <w:tc>
          <w:tcPr>
            <w:tcW w:w="0" w:type="dxa"/>
            <w:vAlign w:val="bottom"/>
          </w:tcPr>
          <w:p>
            <w:pPr>
              <w:spacing w:after="0"/>
              <w:rPr>
                <w:sz w:val="1"/>
                <w:szCs w:val="1"/>
                <w:color w:val="auto"/>
              </w:rPr>
            </w:pPr>
          </w:p>
        </w:tc>
      </w:tr>
      <w:tr>
        <w:trPr>
          <w:trHeight w:val="162"/>
        </w:trPr>
        <w:tc>
          <w:tcPr>
            <w:tcW w:w="2380" w:type="dxa"/>
            <w:vAlign w:val="bottom"/>
          </w:tcPr>
          <w:p>
            <w:pPr>
              <w:ind w:left="260"/>
              <w:spacing w:after="0"/>
              <w:rPr>
                <w:sz w:val="20"/>
                <w:szCs w:val="20"/>
                <w:color w:val="auto"/>
              </w:rPr>
            </w:pPr>
            <w:r>
              <w:rPr>
                <w:rFonts w:ascii="Arial" w:cs="Arial" w:eastAsia="Arial" w:hAnsi="Arial"/>
                <w:sz w:val="14"/>
                <w:szCs w:val="14"/>
                <w:color w:val="auto"/>
              </w:rPr>
              <w:t>Net accretion of interest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1,289,512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5,878,260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7,167,772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realized losses</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9,933</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(16,484,872)</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(16,474,939)</w:t>
            </w:r>
          </w:p>
        </w:tc>
        <w:tc>
          <w:tcPr>
            <w:tcW w:w="0" w:type="dxa"/>
            <w:vAlign w:val="bottom"/>
          </w:tcPr>
          <w:p>
            <w:pPr>
              <w:spacing w:after="0"/>
              <w:rPr>
                <w:sz w:val="1"/>
                <w:szCs w:val="1"/>
                <w:color w:val="auto"/>
              </w:rPr>
            </w:pPr>
          </w:p>
        </w:tc>
      </w:tr>
      <w:tr>
        <w:trPr>
          <w:trHeight w:val="162"/>
        </w:trPr>
        <w:tc>
          <w:tcPr>
            <w:tcW w:w="2380" w:type="dxa"/>
            <w:vAlign w:val="bottom"/>
          </w:tcPr>
          <w:p>
            <w:pPr>
              <w:ind w:left="260"/>
              <w:spacing w:after="0"/>
              <w:rPr>
                <w:sz w:val="20"/>
                <w:szCs w:val="20"/>
                <w:color w:val="auto"/>
              </w:rPr>
            </w:pPr>
            <w:r>
              <w:rPr>
                <w:rFonts w:ascii="Arial" w:cs="Arial" w:eastAsia="Arial" w:hAnsi="Arial"/>
                <w:sz w:val="14"/>
                <w:szCs w:val="14"/>
                <w:color w:val="auto"/>
              </w:rPr>
              <w:t>Increase (decrease) in fair value</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(7,420,747)</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9,504,733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(1,283,420)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(579,000)</w:t>
            </w:r>
          </w:p>
        </w:tc>
        <w:tc>
          <w:tcPr>
            <w:tcW w:w="2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(3,125,560)</w:t>
            </w:r>
          </w:p>
        </w:tc>
        <w:tc>
          <w:tcPr>
            <w:tcW w:w="2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(2,903,994)</w:t>
            </w:r>
          </w:p>
        </w:tc>
        <w:tc>
          <w:tcPr>
            <w:tcW w:w="0" w:type="dxa"/>
            <w:vAlign w:val="bottom"/>
          </w:tcPr>
          <w:p>
            <w:pPr>
              <w:spacing w:after="0"/>
              <w:rPr>
                <w:sz w:val="1"/>
                <w:szCs w:val="1"/>
                <w:color w:val="auto"/>
              </w:rPr>
            </w:pPr>
          </w:p>
        </w:tc>
      </w:tr>
      <w:tr>
        <w:trPr>
          <w:trHeight w:val="137"/>
        </w:trPr>
        <w:tc>
          <w:tcPr>
            <w:tcW w:w="23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Fair Value at December 31, 2018</w:t>
            </w:r>
          </w:p>
        </w:tc>
        <w:tc>
          <w:tcPr>
            <w:tcW w:w="3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2019 Activity:</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147,861,744</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44,325,000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2,038,020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3,470,000</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30,857,107</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228,551,871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60"/>
              <w:spacing w:after="0"/>
              <w:rPr>
                <w:sz w:val="20"/>
                <w:szCs w:val="20"/>
                <w:color w:val="auto"/>
              </w:rPr>
            </w:pPr>
            <w:r>
              <w:rPr>
                <w:rFonts w:ascii="Arial" w:cs="Arial" w:eastAsia="Arial" w:hAnsi="Arial"/>
                <w:sz w:val="14"/>
                <w:szCs w:val="14"/>
                <w:color w:val="auto"/>
              </w:rPr>
              <w:t>Purchases / originations / draws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59,767,608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8,728,000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5,230,000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73,725,608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Pay-downs / pay-offs / sales</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(26,714,436)</w:t>
            </w:r>
          </w:p>
        </w:tc>
        <w:tc>
          <w:tcPr>
            <w:tcW w:w="1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(8,863,189)</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(80,640)</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(35,658,265)</w:t>
            </w:r>
          </w:p>
        </w:tc>
        <w:tc>
          <w:tcPr>
            <w:tcW w:w="0" w:type="dxa"/>
            <w:vAlign w:val="bottom"/>
          </w:tcPr>
          <w:p>
            <w:pPr>
              <w:spacing w:after="0"/>
              <w:rPr>
                <w:sz w:val="1"/>
                <w:szCs w:val="1"/>
                <w:color w:val="auto"/>
              </w:rPr>
            </w:pPr>
          </w:p>
        </w:tc>
      </w:tr>
      <w:tr>
        <w:trPr>
          <w:trHeight w:val="162"/>
        </w:trPr>
        <w:tc>
          <w:tcPr>
            <w:tcW w:w="2380" w:type="dxa"/>
            <w:vAlign w:val="bottom"/>
          </w:tcPr>
          <w:p>
            <w:pPr>
              <w:ind w:left="260"/>
              <w:spacing w:after="0"/>
              <w:rPr>
                <w:sz w:val="20"/>
                <w:szCs w:val="20"/>
                <w:color w:val="auto"/>
              </w:rPr>
            </w:pPr>
            <w:r>
              <w:rPr>
                <w:rFonts w:ascii="Arial" w:cs="Arial" w:eastAsia="Arial" w:hAnsi="Arial"/>
                <w:sz w:val="14"/>
                <w:szCs w:val="14"/>
                <w:color w:val="auto"/>
              </w:rPr>
              <w:t>Net accretion of interest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113,618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3,278,804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3,392,422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realized gains (losses)</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(9,912,538)</w:t>
            </w:r>
          </w:p>
        </w:tc>
        <w:tc>
          <w:tcPr>
            <w:tcW w:w="1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(595,571)</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(1,642,282)</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(3,470,000)</w:t>
            </w:r>
          </w:p>
        </w:tc>
        <w:tc>
          <w:tcPr>
            <w:tcW w:w="2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(15,620,391)</w:t>
            </w:r>
          </w:p>
        </w:tc>
        <w:tc>
          <w:tcPr>
            <w:tcW w:w="0" w:type="dxa"/>
            <w:vAlign w:val="bottom"/>
          </w:tcPr>
          <w:p>
            <w:pPr>
              <w:spacing w:after="0"/>
              <w:rPr>
                <w:sz w:val="1"/>
                <w:szCs w:val="1"/>
                <w:color w:val="auto"/>
              </w:rPr>
            </w:pPr>
          </w:p>
        </w:tc>
      </w:tr>
      <w:tr>
        <w:trPr>
          <w:trHeight w:val="162"/>
        </w:trPr>
        <w:tc>
          <w:tcPr>
            <w:tcW w:w="2380" w:type="dxa"/>
            <w:vAlign w:val="bottom"/>
          </w:tcPr>
          <w:p>
            <w:pPr>
              <w:ind w:left="260"/>
              <w:spacing w:after="0"/>
              <w:rPr>
                <w:sz w:val="20"/>
                <w:szCs w:val="20"/>
                <w:color w:val="auto"/>
              </w:rPr>
            </w:pPr>
            <w:r>
              <w:rPr>
                <w:rFonts w:ascii="Arial" w:cs="Arial" w:eastAsia="Arial" w:hAnsi="Arial"/>
                <w:sz w:val="14"/>
                <w:szCs w:val="14"/>
                <w:color w:val="auto"/>
              </w:rPr>
              <w:t>Increase (decrease) in fair value</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4,205,770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1,861,437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(4,899,412)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4,002,150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5,169,945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Fair Value at June 30, 2019</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175,321,765</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40,006,481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4,143,686</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40,089,257</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259,561,189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3" w:name="page74"/>
    <w:bookmarkEnd w:id="73"/>
    <w:p>
      <w:pPr>
        <w:ind w:firstLine="439"/>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Company’s portfolio by security type at June 30, 2019 and December 31,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5"/>
          </w:tcPr>
          <w:p>
            <w:pPr>
              <w:jc w:val="center"/>
              <w:ind w:left="190"/>
              <w:spacing w:after="0"/>
              <w:rPr>
                <w:sz w:val="20"/>
                <w:szCs w:val="20"/>
                <w:color w:val="auto"/>
              </w:rPr>
            </w:pPr>
            <w:r>
              <w:rPr>
                <w:rFonts w:ascii="Arial" w:cs="Arial" w:eastAsia="Arial" w:hAnsi="Arial"/>
                <w:sz w:val="18"/>
                <w:szCs w:val="18"/>
                <w:b w:val="1"/>
                <w:bCs w:val="1"/>
                <w:color w:val="auto"/>
                <w:w w:val="89"/>
              </w:rPr>
              <w:t>June 30, 2019 (unaudited)</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jc w:val="center"/>
              <w:ind w:left="210"/>
              <w:spacing w:after="0"/>
              <w:rPr>
                <w:sz w:val="20"/>
                <w:szCs w:val="20"/>
                <w:color w:val="auto"/>
              </w:rPr>
            </w:pPr>
            <w:r>
              <w:rPr>
                <w:rFonts w:ascii="Arial" w:cs="Arial" w:eastAsia="Arial" w:hAnsi="Arial"/>
                <w:sz w:val="18"/>
                <w:szCs w:val="18"/>
                <w:b w:val="1"/>
                <w:bCs w:val="1"/>
                <w:color w:val="auto"/>
                <w:w w:val="90"/>
              </w:rPr>
              <w:t>December 31, 2018</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5"/>
        </w:trPr>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420"/>
              <w:spacing w:after="0" w:line="205" w:lineRule="exact"/>
              <w:rPr>
                <w:sz w:val="20"/>
                <w:szCs w:val="20"/>
                <w:color w:val="auto"/>
              </w:rPr>
            </w:pPr>
            <w:r>
              <w:rPr>
                <w:rFonts w:ascii="Arial" w:cs="Arial" w:eastAsia="Arial" w:hAnsi="Arial"/>
                <w:sz w:val="18"/>
                <w:szCs w:val="18"/>
                <w:b w:val="1"/>
                <w:bCs w:val="1"/>
                <w:color w:val="auto"/>
                <w:w w:val="91"/>
              </w:rPr>
              <w:t>Cost/Amortized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420"/>
              <w:spacing w:after="0" w:line="205" w:lineRule="exact"/>
              <w:rPr>
                <w:sz w:val="20"/>
                <w:szCs w:val="20"/>
                <w:color w:val="auto"/>
              </w:rPr>
            </w:pPr>
            <w:r>
              <w:rPr>
                <w:rFonts w:ascii="Arial" w:cs="Arial" w:eastAsia="Arial" w:hAnsi="Arial"/>
                <w:sz w:val="18"/>
                <w:szCs w:val="18"/>
                <w:b w:val="1"/>
                <w:bCs w:val="1"/>
                <w:color w:val="auto"/>
                <w:w w:val="91"/>
              </w:rPr>
              <w:t>Cost/Amortized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314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Cost</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r>
      <w:tr>
        <w:trPr>
          <w:trHeight w:val="223"/>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Short-term investments²</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27,443,091</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27,443,091</w:t>
            </w:r>
          </w:p>
        </w:tc>
        <w:tc>
          <w:tcPr>
            <w:tcW w:w="3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44,756,478</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44,756,478</w:t>
            </w: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Senior Secured Loan</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90,207,102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88,400,312</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86,040,921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77,616,209</w:t>
            </w: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Junior Secured Loan</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94,843,137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86,499,106</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76,223,561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70,245,535</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Senior Unsecured Bond</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468,494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422,347</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49,300,670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40,006,481</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55,480,626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44,325,000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16,482,841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4,143,686</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9,477,763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2,038,020</w:t>
            </w: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Asset Manager Affiliates³</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17,791,230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17,791,230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3,470,000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r>
      <w:tr>
        <w:trPr>
          <w:trHeight w:val="230"/>
        </w:trPr>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Joint Ventures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42,611,525</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40,089,257</w:t>
            </w:r>
          </w:p>
        </w:tc>
        <w:tc>
          <w:tcPr>
            <w:tcW w:w="3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37,381,525</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30,857,107</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tcPr>
          <w:p>
            <w:pPr>
              <w:spacing w:after="0"/>
              <w:rPr>
                <w:sz w:val="19"/>
                <w:szCs w:val="19"/>
                <w:color w:val="auto"/>
              </w:rPr>
            </w:pPr>
          </w:p>
        </w:tc>
      </w:tr>
      <w:tr>
        <w:trPr>
          <w:trHeight w:val="223"/>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339,148,090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287,004,280</w:t>
            </w:r>
          </w:p>
        </w:tc>
        <w:tc>
          <w:tcPr>
            <w:tcW w:w="3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327,152,104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273,308,349</w:t>
            </w: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3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left="440" w:hanging="432"/>
        <w:spacing w:after="0"/>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left="440" w:hanging="432"/>
        <w:spacing w:after="0"/>
        <w:tabs>
          <w:tab w:leader="none" w:pos="4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Includes money market accounts and U.S. treasury bills.</w:t>
      </w:r>
    </w:p>
    <w:p>
      <w:pPr>
        <w:spacing w:after="0" w:line="9" w:lineRule="exact"/>
        <w:rPr>
          <w:sz w:val="20"/>
          <w:szCs w:val="20"/>
          <w:color w:val="auto"/>
        </w:rPr>
      </w:pPr>
    </w:p>
    <w:p>
      <w:pPr>
        <w:ind w:left="440" w:hanging="432"/>
        <w:spacing w:after="0"/>
        <w:tabs>
          <w:tab w:leader="none" w:pos="4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ind w:right="580" w:firstLine="439"/>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June 30, 2019 and December 31, 2018,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ind w:left="540"/>
              <w:spacing w:after="0"/>
              <w:rPr>
                <w:sz w:val="20"/>
                <w:szCs w:val="20"/>
                <w:color w:val="auto"/>
              </w:rPr>
            </w:pPr>
            <w:r>
              <w:rPr>
                <w:rFonts w:ascii="Arial" w:cs="Arial" w:eastAsia="Arial" w:hAnsi="Arial"/>
                <w:sz w:val="18"/>
                <w:szCs w:val="18"/>
                <w:b w:val="1"/>
                <w:bCs w:val="1"/>
                <w:color w:val="auto"/>
                <w:w w:val="94"/>
              </w:rPr>
              <w:t>June 30, 2019 (unaudited)</w:t>
            </w: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rPr>
              <w:t>December 31, 2018</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5"/>
        </w:trPr>
        <w:tc>
          <w:tcPr>
            <w:tcW w:w="3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Cost/Amortized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Cost/Amortized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Industry Classification</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%¹</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Aerospace and Defense</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9,716,693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9,683,602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5,434,927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4,049,940</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15"/>
                <w:szCs w:val="15"/>
                <w:color w:val="auto"/>
              </w:rPr>
              <w:t>2</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3,470,000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4,912,500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4,912,500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Banking, Finance, Insurance &amp; Real Estate</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4,423,486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4,371,031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8,831,841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8,733,933</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7,955,058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7,751,149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5,963,334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5,796,506</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Capital Equipment</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10,875,350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9,600,382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10,888,432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9,831,391</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Chemicals, Plastics and Rubber</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4,834,600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4,729,312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4,862,063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4,801,645</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CLO Fund Securities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49,300,670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40,006,481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55,480,626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44,325,000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Construction &amp; Building</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1,532,559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1,508,846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1,400,223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1,394,163</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Consumer goods: Durable</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1,260,343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1,140,500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364,240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Consumer goods: Non-durable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1,434,568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1,440,525</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Electronics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6,635,456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6,646,229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3,007,500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3,007,500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Energy: Oil &amp; Gas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9,375,278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2,352,215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16,827,204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8,946,568</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Environmental Industries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4,027,753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3,977,333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8,371,180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6,939,794</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Forest Products &amp; Paper</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1,567,563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1,561,375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1,564,583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1,553,920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51,992,065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42,141,979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38,638,822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32,287,288</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High Tech Industries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32,909,730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32,661,019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23,971,435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23,662,459</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Hotel, Gaming &amp; Leisure</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42,611,525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40,089,257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37,381,525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30,857,107</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Media: Advertising, Printing &amp; Publishing</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3,109,188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2,474,184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6,113,852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5,590,863</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Services: Business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11,772,650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10,414,778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10,398,710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9,213,416</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Services: Consumer</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10,792,620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10,754,700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Telecommunications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11,931,992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11,662,500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8,351,775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8,343,919</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Textiles and Leather</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12,376,690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12,257,843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10,140,662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9,940,294</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Money Market Accounts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14,943,733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14,943,733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34,757,129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34,757,129</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Transportation: Cargo</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4,000,634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4,000,400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U.S. Government Obligations</w:t>
            </w:r>
          </w:p>
        </w:tc>
        <w:tc>
          <w:tcPr>
            <w:tcW w:w="4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12,499,358</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12,499,358</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9,999,349</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9,999,349</w:t>
            </w:r>
          </w:p>
        </w:tc>
        <w:tc>
          <w:tcPr>
            <w:tcW w:w="2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339,148,090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287,004,280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100%</w:t>
            </w:r>
          </w:p>
        </w:tc>
        <w:tc>
          <w:tcPr>
            <w:tcW w:w="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327,152,104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273,308,349</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3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hanging="432"/>
        <w:spacing w:after="0"/>
        <w:tabs>
          <w:tab w:leader="none" w:pos="440" w:val="left"/>
        </w:tabs>
        <w:numPr>
          <w:ilvl w:val="0"/>
          <w:numId w:val="87"/>
        </w:numPr>
        <w:rPr>
          <w:rFonts w:ascii="Arial" w:cs="Arial" w:eastAsia="Arial" w:hAnsi="Arial"/>
          <w:sz w:val="15"/>
          <w:szCs w:val="15"/>
          <w:color w:val="auto"/>
        </w:rPr>
      </w:pPr>
      <w:r>
        <w:rPr>
          <w:rFonts w:ascii="Arial" w:cs="Arial" w:eastAsia="Arial" w:hAnsi="Arial"/>
          <w:sz w:val="18"/>
          <w:szCs w:val="18"/>
          <w:color w:val="auto"/>
        </w:rPr>
        <w:t>Calculated as a percentage of total portfolio at fair value.</w:t>
      </w:r>
    </w:p>
    <w:p>
      <w:pPr>
        <w:spacing w:after="0" w:line="22" w:lineRule="exact"/>
        <w:rPr>
          <w:sz w:val="20"/>
          <w:szCs w:val="20"/>
          <w:color w:val="auto"/>
        </w:rPr>
      </w:pPr>
    </w:p>
    <w:p>
      <w:pPr>
        <w:ind w:left="440" w:hanging="432"/>
        <w:spacing w:after="0"/>
        <w:tabs>
          <w:tab w:leader="none" w:pos="440" w:val="left"/>
        </w:tabs>
        <w:numPr>
          <w:ilvl w:val="0"/>
          <w:numId w:val="88"/>
        </w:numPr>
        <w:rPr>
          <w:rFonts w:ascii="Arial" w:cs="Arial" w:eastAsia="Arial" w:hAnsi="Arial"/>
          <w:sz w:val="15"/>
          <w:szCs w:val="15"/>
          <w:color w:val="auto"/>
        </w:rPr>
      </w:pPr>
      <w:r>
        <w:rPr>
          <w:rFonts w:ascii="Arial" w:cs="Arial" w:eastAsia="Arial" w:hAnsi="Arial"/>
          <w:sz w:val="18"/>
          <w:szCs w:val="18"/>
          <w:color w:val="auto"/>
        </w:rPr>
        <w:t>Represents the equity investment in the Asset Manager Affiliates.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189" w:lineRule="exact"/>
        <w:rPr>
          <w:sz w:val="20"/>
          <w:szCs w:val="20"/>
          <w:color w:val="auto"/>
        </w:rPr>
      </w:pPr>
    </w:p>
    <w:p>
      <w:pPr>
        <w:ind w:right="60" w:firstLine="439"/>
        <w:spacing w:after="0" w:line="264" w:lineRule="auto"/>
        <w:rPr>
          <w:sz w:val="20"/>
          <w:szCs w:val="20"/>
          <w:color w:val="auto"/>
        </w:rPr>
      </w:pPr>
      <w:r>
        <w:rPr>
          <w:rFonts w:ascii="Arial" w:cs="Arial" w:eastAsia="Arial" w:hAnsi="Arial"/>
          <w:sz w:val="18"/>
          <w:szCs w:val="18"/>
          <w:color w:val="auto"/>
        </w:rPr>
        <w:t>At June 30, 2019 and December 31, 2018, the weighted average contractual interest rate on our loans and debt securities was approximately 9.6% and 10.0%, respectively. At June 30, 2019 and December 31, 2018, the weighted average contractual interest rate on our loans and debt securities, excluding non-accrual and partial non-accrual investments, was approximately 9.2% and 9.1%, respectively.</w:t>
      </w:r>
    </w:p>
    <w:p>
      <w:pPr>
        <w:spacing w:after="0" w:line="141" w:lineRule="exact"/>
        <w:rPr>
          <w:sz w:val="20"/>
          <w:szCs w:val="20"/>
          <w:color w:val="auto"/>
        </w:rPr>
      </w:pPr>
    </w:p>
    <w:p>
      <w:pPr>
        <w:jc w:val="both"/>
        <w:ind w:right="120" w:firstLine="439"/>
        <w:spacing w:after="0" w:line="286" w:lineRule="auto"/>
        <w:rPr>
          <w:sz w:val="20"/>
          <w:szCs w:val="20"/>
          <w:color w:val="auto"/>
        </w:rPr>
      </w:pPr>
      <w:r>
        <w:rPr>
          <w:rFonts w:ascii="Arial" w:cs="Arial" w:eastAsia="Arial" w:hAnsi="Arial"/>
          <w:sz w:val="17"/>
          <w:szCs w:val="17"/>
          <w:color w:val="auto"/>
        </w:rPr>
        <w:t>The investment portfolio (excluding the Company’s investment in Asset Manager Affiliates, CLO Fund Securities, and Joint Venture) at June 30, 2019 was spread across 19 different industries and 50 different entities with an average balance per entity of approximately $3.2 million. As of June 30, 2019 four of our investments were on non-accrual status. As of December 31, 2018 five of our investments were on non-accrual status.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5" w:name="page76"/>
    <w:bookmarkEnd w:id="75"/>
    <w:p>
      <w:pPr>
        <w:ind w:firstLine="439"/>
        <w:spacing w:after="0" w:line="293" w:lineRule="auto"/>
        <w:rPr>
          <w:sz w:val="20"/>
          <w:szCs w:val="20"/>
          <w:color w:val="auto"/>
        </w:rPr>
      </w:pPr>
      <w:r>
        <w:rPr>
          <w:rFonts w:ascii="Arial" w:cs="Arial" w:eastAsia="Arial" w:hAnsi="Arial"/>
          <w:sz w:val="16"/>
          <w:szCs w:val="16"/>
          <w:color w:val="auto"/>
        </w:rPr>
        <w:t>We may invest up to 30% of our investment portfolio in “non-qualifying” opportunistic investments such as high-yield bonds, debt and equity securities of CLO Funds, foreign investments, and distressed debt or equity securities of large cap public companies. At June 30, 2019 and December 31, 2018, the total amount of non-qualifying assets was approximately 26.4% and 28.0%, respectively. The majority of non-qualifying assets were foreign investments which were approximately 13.3% and 16.5%, respectively, of our total assets (including our investments in CLO Funds, which are typically domiciled outside the U.S. and represented approximately 13.1% and 15.5% of its total assets, respectively). The investments in our Debt Securities Portfolio are all or predominantly below investment grade, and therefore have speculative characteristics with respect to the issuer’s capacity to pay interest and repay principal.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189" w:lineRule="exact"/>
        <w:rPr>
          <w:sz w:val="20"/>
          <w:szCs w:val="20"/>
          <w:color w:val="auto"/>
        </w:rPr>
      </w:pPr>
    </w:p>
    <w:p>
      <w:pPr>
        <w:ind w:firstLine="439"/>
        <w:spacing w:after="0" w:line="289" w:lineRule="auto"/>
        <w:rPr>
          <w:sz w:val="20"/>
          <w:szCs w:val="20"/>
          <w:color w:val="auto"/>
        </w:rPr>
      </w:pPr>
      <w:r>
        <w:rPr>
          <w:rFonts w:ascii="Arial" w:cs="Arial" w:eastAsia="Arial" w:hAnsi="Arial"/>
          <w:sz w:val="16"/>
          <w:szCs w:val="16"/>
          <w:color w:val="auto"/>
        </w:rPr>
        <w:t>The Disposed Manager Affiliates manage CLO Funds that invest in broadly syndicated loans, high yield bonds and other credit instruments. The CLO Funds managed by the Disposed Asset Manager Affiliates consist primarily of credit instruments issued by corporations. In connection with the LibreMax Transaction, on December 31, 2018, our wholly-owned subsidiary Commodore Holdings, LLC sold the Disposed Manager Affiliates, which represented substantially all of our investment in the Asset Manager Affiliates, to LibreMax for a cash purchase price of approximately $37.9 million. Accordingly, certain CLO Fund investments were reclassified from CLO Funds managed by affiliates to CLO funds managed by non-affiliates on December 31, 2018. Effective April 1, 2019, as a result of the Externalization and related transactions, CLO Fund investments managed by LibreMax were assigned to CLO Funds managed by affiliates. As of June 30, 2019, our Asset Manager Affiliates had approximately $300 million of par value of assets under management, for which management fees were waived and thus were deemed to have no value. As of December 31, 2018, our Asset Manager Affiliates had approximately $300 million of par value of assets under management on which they earned management fees, and were valued at approximately $3.5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Fund Securities</w:t>
      </w:r>
    </w:p>
    <w:p>
      <w:pPr>
        <w:spacing w:after="0" w:line="202" w:lineRule="exact"/>
        <w:rPr>
          <w:sz w:val="20"/>
          <w:szCs w:val="20"/>
          <w:color w:val="auto"/>
        </w:rPr>
      </w:pPr>
    </w:p>
    <w:p>
      <w:pPr>
        <w:ind w:right="40" w:firstLine="439"/>
        <w:spacing w:after="0" w:line="259" w:lineRule="auto"/>
        <w:rPr>
          <w:sz w:val="20"/>
          <w:szCs w:val="20"/>
          <w:color w:val="auto"/>
        </w:rPr>
      </w:pPr>
      <w:r>
        <w:rPr>
          <w:rFonts w:ascii="Arial" w:cs="Arial" w:eastAsia="Arial" w:hAnsi="Arial"/>
          <w:sz w:val="18"/>
          <w:szCs w:val="18"/>
          <w:color w:val="auto"/>
        </w:rPr>
        <w:t>We have made minority investments in the subordinated securities or preferred shares of CLO Funds managed by the Disposed Manager Affiliates and may selectively invest in securities issued by CLO Funds managed by other asset management companies. As of June 30, 2019 and December 31, 2018, we had approximately $40.0 million and $44.3 million, respectively, invested in CLO Fund Securities, issued primarily by CLO Funds managed by the Disposed Manager Affiliates.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CLO Funds invest primarily in broadly syndicated non-investment grade loans, high-yield bonds and other credit instruments of corporate issuers.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assets in each of the CLO Fund Securities in which we have an investment are generally diversified secured or unsecured corporate debt.</w:t>
      </w:r>
    </w:p>
    <w:p>
      <w:pPr>
        <w:spacing w:after="0" w:line="193" w:lineRule="exact"/>
        <w:rPr>
          <w:sz w:val="20"/>
          <w:szCs w:val="20"/>
          <w:color w:val="auto"/>
        </w:rPr>
      </w:pPr>
    </w:p>
    <w:p>
      <w:pPr>
        <w:ind w:firstLine="439"/>
        <w:spacing w:after="0" w:line="286" w:lineRule="auto"/>
        <w:rPr>
          <w:sz w:val="20"/>
          <w:szCs w:val="20"/>
          <w:color w:val="auto"/>
        </w:rPr>
      </w:pPr>
      <w:r>
        <w:rPr>
          <w:rFonts w:ascii="Arial" w:cs="Arial" w:eastAsia="Arial" w:hAnsi="Arial"/>
          <w:sz w:val="16"/>
          <w:szCs w:val="16"/>
          <w:color w:val="auto"/>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The CLO Funds in which we invest have debt that ranks senior to our investment. For a more detailed discussion of the risks related to our investments in CLO Funds, please see “Risk Factors</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Risks Related to Our Investments — Our investments may be risky, and you could lose all or part of your investment.” in Part I, “Item 1A. Risk Factors” in our Annual Report on Form 10-K for the year ended December 31, 2018.</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76" w:name="page77"/>
    <w:bookmarkEnd w:id="76"/>
    <w:p>
      <w:pPr>
        <w:ind w:left="440"/>
        <w:spacing w:after="0"/>
        <w:rPr>
          <w:sz w:val="20"/>
          <w:szCs w:val="20"/>
          <w:color w:val="auto"/>
        </w:rPr>
      </w:pPr>
      <w:r>
        <w:rPr>
          <w:rFonts w:ascii="Arial" w:cs="Arial" w:eastAsia="Arial" w:hAnsi="Arial"/>
          <w:sz w:val="18"/>
          <w:szCs w:val="18"/>
          <w:color w:val="auto"/>
        </w:rPr>
        <w:t>Our CLO Fund Securities as of June 30, 2019 and December 31, 2018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June 30, 2019</w:t>
            </w:r>
            <w:r>
              <w:rPr>
                <w:rFonts w:ascii="Arial" w:cs="Arial" w:eastAsia="Arial" w:hAnsi="Arial"/>
                <w:sz w:val="15"/>
                <w:szCs w:val="15"/>
                <w:b w:val="1"/>
                <w:bCs w:val="1"/>
                <w:color w:val="auto"/>
              </w:rPr>
              <w:t>(3)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6"/>
          </w:tcPr>
          <w:p>
            <w:pPr>
              <w:ind w:left="380"/>
              <w:spacing w:after="0"/>
              <w:rPr>
                <w:sz w:val="20"/>
                <w:szCs w:val="20"/>
                <w:color w:val="auto"/>
              </w:rPr>
            </w:pPr>
            <w:r>
              <w:rPr>
                <w:rFonts w:ascii="Arial" w:cs="Arial" w:eastAsia="Arial" w:hAnsi="Arial"/>
                <w:sz w:val="18"/>
                <w:szCs w:val="18"/>
                <w:b w:val="1"/>
                <w:bCs w:val="1"/>
                <w:color w:val="auto"/>
              </w:rPr>
              <w:t>December 31, 2018</w:t>
            </w:r>
            <w:r>
              <w:rPr>
                <w:rFonts w:ascii="Arial" w:cs="Arial" w:eastAsia="Arial" w:hAnsi="Arial"/>
                <w:sz w:val="15"/>
                <w:szCs w:val="15"/>
                <w:b w:val="1"/>
                <w:bCs w:val="1"/>
                <w:color w:val="auto"/>
              </w:rPr>
              <w:t>2</w:t>
            </w:r>
          </w:p>
        </w:tc>
      </w:tr>
      <w:tr>
        <w:trPr>
          <w:trHeight w:val="205"/>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5"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93"/>
              </w:rPr>
              <w:t>Amortized</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Investment</w:t>
            </w: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5"/>
                <w:szCs w:val="15"/>
                <w:b w:val="1"/>
                <w:bCs w:val="1"/>
                <w:color w:val="auto"/>
              </w:rPr>
              <w:t>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Cost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3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Katonah III, Ltd.</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Income Notes</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1,287,155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369,280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1,287,155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369,280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3360" w:type="dxa"/>
            <w:vAlign w:val="bottom"/>
            <w:gridSpan w:val="2"/>
          </w:tcPr>
          <w:p>
            <w:pPr>
              <w:spacing w:after="0"/>
              <w:rPr>
                <w:sz w:val="20"/>
                <w:szCs w:val="20"/>
                <w:color w:val="auto"/>
              </w:rPr>
            </w:pPr>
            <w:r>
              <w:rPr>
                <w:rFonts w:ascii="Arial" w:cs="Arial" w:eastAsia="Arial" w:hAnsi="Arial"/>
                <w:sz w:val="18"/>
                <w:szCs w:val="18"/>
                <w:color w:val="auto"/>
              </w:rPr>
              <w:t>Catamaran CLO 2013- 1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20" w:type="dxa"/>
            <w:vAlign w:val="bottom"/>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6,374,855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7,159,028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6,378,611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7,016,733</w:t>
            </w:r>
          </w:p>
        </w:tc>
        <w:tc>
          <w:tcPr>
            <w:tcW w:w="120" w:type="dxa"/>
            <w:vAlign w:val="bottom"/>
          </w:tcPr>
          <w:p>
            <w:pPr>
              <w:spacing w:after="0"/>
              <w:rPr>
                <w:sz w:val="20"/>
                <w:szCs w:val="20"/>
                <w:color w:val="auto"/>
              </w:rPr>
            </w:pPr>
          </w:p>
        </w:tc>
      </w:tr>
      <w:tr>
        <w:trPr>
          <w:trHeight w:val="215"/>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Catamaran CLO 2014-1 Ltd.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10,283,225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8,649,726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11,740,622</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9,777,251</w:t>
            </w:r>
          </w:p>
        </w:tc>
        <w:tc>
          <w:tcPr>
            <w:tcW w:w="120" w:type="dxa"/>
            <w:vAlign w:val="bottom"/>
            <w:shd w:val="clear" w:color="auto" w:fill="CFF0FC"/>
          </w:tcPr>
          <w:p>
            <w:pPr>
              <w:spacing w:after="0"/>
              <w:rPr>
                <w:sz w:val="20"/>
                <w:szCs w:val="20"/>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Great Lakes KCAP F3C Senior LLC</w:t>
            </w:r>
          </w:p>
        </w:tc>
        <w:tc>
          <w:tcPr>
            <w:tcW w:w="1340" w:type="dxa"/>
            <w:vAlign w:val="bottom"/>
            <w:gridSpan w:val="2"/>
          </w:tcPr>
          <w:p>
            <w:pPr>
              <w:spacing w:after="0"/>
              <w:rPr>
                <w:sz w:val="20"/>
                <w:szCs w:val="20"/>
                <w:color w:val="auto"/>
              </w:rPr>
            </w:pPr>
            <w:r>
              <w:rPr>
                <w:rFonts w:ascii="Arial" w:cs="Arial" w:eastAsia="Arial" w:hAnsi="Arial"/>
                <w:sz w:val="18"/>
                <w:szCs w:val="18"/>
                <w:color w:val="auto"/>
              </w:rPr>
              <w:t>Class E Notes</w:t>
            </w:r>
          </w:p>
        </w:tc>
        <w:tc>
          <w:tcPr>
            <w:tcW w:w="1120" w:type="dxa"/>
            <w:vAlign w:val="bottom"/>
          </w:tcPr>
          <w:p>
            <w:pPr>
              <w:jc w:val="right"/>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4,407,106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4,473,840</w:t>
            </w:r>
          </w:p>
        </w:tc>
        <w:tc>
          <w:tcPr>
            <w:tcW w:w="120" w:type="dxa"/>
            <w:vAlign w:val="bottom"/>
          </w:tcPr>
          <w:p>
            <w:pPr>
              <w:spacing w:after="0"/>
              <w:rPr>
                <w:sz w:val="19"/>
                <w:szCs w:val="19"/>
                <w:color w:val="auto"/>
              </w:rPr>
            </w:pPr>
          </w:p>
        </w:tc>
      </w:tr>
      <w:tr>
        <w:trPr>
          <w:trHeight w:val="215"/>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Dryden 30 Senior Loan Fund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1,490,604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1,969,447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1,438,701</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1,913,925</w:t>
            </w:r>
          </w:p>
        </w:tc>
        <w:tc>
          <w:tcPr>
            <w:tcW w:w="120" w:type="dxa"/>
            <w:vAlign w:val="bottom"/>
            <w:shd w:val="clear" w:color="auto" w:fill="CFF0FC"/>
          </w:tcPr>
          <w:p>
            <w:pPr>
              <w:spacing w:after="0"/>
              <w:rPr>
                <w:sz w:val="20"/>
                <w:szCs w:val="20"/>
                <w:color w:val="auto"/>
              </w:rPr>
            </w:pPr>
          </w:p>
        </w:tc>
      </w:tr>
      <w:tr>
        <w:trPr>
          <w:trHeight w:val="215"/>
        </w:trPr>
        <w:tc>
          <w:tcPr>
            <w:tcW w:w="3360" w:type="dxa"/>
            <w:vAlign w:val="bottom"/>
            <w:gridSpan w:val="2"/>
          </w:tcPr>
          <w:p>
            <w:pPr>
              <w:spacing w:after="0"/>
              <w:rPr>
                <w:sz w:val="20"/>
                <w:szCs w:val="20"/>
                <w:color w:val="auto"/>
              </w:rPr>
            </w:pPr>
            <w:r>
              <w:rPr>
                <w:rFonts w:ascii="Arial" w:cs="Arial" w:eastAsia="Arial" w:hAnsi="Arial"/>
                <w:sz w:val="18"/>
                <w:szCs w:val="18"/>
                <w:color w:val="auto"/>
              </w:rPr>
              <w:t>Catamaran CLO 2014-2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6,224,838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2,428,469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6,314,484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2,158,200</w:t>
            </w:r>
          </w:p>
        </w:tc>
        <w:tc>
          <w:tcPr>
            <w:tcW w:w="120" w:type="dxa"/>
            <w:vAlign w:val="bottom"/>
          </w:tcPr>
          <w:p>
            <w:pPr>
              <w:spacing w:after="0"/>
              <w:rPr>
                <w:sz w:val="20"/>
                <w:szCs w:val="20"/>
                <w:color w:val="auto"/>
              </w:rPr>
            </w:pPr>
          </w:p>
        </w:tc>
      </w:tr>
      <w:tr>
        <w:trPr>
          <w:trHeight w:val="215"/>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Catamaran CLO 2015-1 Ltd.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4,240,369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3,164,550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4,353,347</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3,048,698</w:t>
            </w:r>
          </w:p>
        </w:tc>
        <w:tc>
          <w:tcPr>
            <w:tcW w:w="120" w:type="dxa"/>
            <w:vAlign w:val="bottom"/>
            <w:shd w:val="clear" w:color="auto" w:fill="CFF0FC"/>
          </w:tcPr>
          <w:p>
            <w:pPr>
              <w:spacing w:after="0"/>
              <w:rPr>
                <w:sz w:val="20"/>
                <w:szCs w:val="20"/>
                <w:color w:val="auto"/>
              </w:rPr>
            </w:pPr>
          </w:p>
        </w:tc>
      </w:tr>
      <w:tr>
        <w:trPr>
          <w:trHeight w:val="215"/>
        </w:trPr>
        <w:tc>
          <w:tcPr>
            <w:tcW w:w="3360" w:type="dxa"/>
            <w:vAlign w:val="bottom"/>
            <w:gridSpan w:val="2"/>
          </w:tcPr>
          <w:p>
            <w:pPr>
              <w:spacing w:after="0"/>
              <w:rPr>
                <w:sz w:val="20"/>
                <w:szCs w:val="20"/>
                <w:color w:val="auto"/>
              </w:rPr>
            </w:pPr>
            <w:r>
              <w:rPr>
                <w:rFonts w:ascii="Arial" w:cs="Arial" w:eastAsia="Arial" w:hAnsi="Arial"/>
                <w:sz w:val="18"/>
                <w:szCs w:val="18"/>
                <w:color w:val="auto"/>
              </w:rPr>
              <w:t>Catamaran CLO 2016-1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9,530,845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7,243,984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9,717,150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7,067,073</w:t>
            </w:r>
          </w:p>
        </w:tc>
        <w:tc>
          <w:tcPr>
            <w:tcW w:w="120" w:type="dxa"/>
            <w:vAlign w:val="bottom"/>
          </w:tcPr>
          <w:p>
            <w:pPr>
              <w:spacing w:after="0"/>
              <w:rPr>
                <w:sz w:val="20"/>
                <w:szCs w:val="20"/>
                <w:color w:val="auto"/>
              </w:rPr>
            </w:pPr>
          </w:p>
        </w:tc>
      </w:tr>
      <w:tr>
        <w:trPr>
          <w:trHeight w:val="215"/>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Catamaran CLO 2018-1 Ltd.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9,868,779</w:t>
            </w:r>
          </w:p>
        </w:tc>
        <w:tc>
          <w:tcPr>
            <w:tcW w:w="2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9,021,997</w:t>
            </w:r>
          </w:p>
        </w:tc>
        <w:tc>
          <w:tcPr>
            <w:tcW w:w="2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9,843,450</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8,500,000</w:t>
            </w:r>
          </w:p>
        </w:tc>
        <w:tc>
          <w:tcPr>
            <w:tcW w:w="120" w:type="dxa"/>
            <w:vAlign w:val="bottom"/>
            <w:shd w:val="clear" w:color="auto" w:fill="CFF0FC"/>
          </w:tcPr>
          <w:p>
            <w:pPr>
              <w:spacing w:after="0"/>
              <w:rPr>
                <w:sz w:val="20"/>
                <w:szCs w:val="20"/>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49,300,670</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40,006,481</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55,480,626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44,325,000</w:t>
            </w:r>
          </w:p>
        </w:tc>
        <w:tc>
          <w:tcPr>
            <w:tcW w:w="12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90"/>
        </w:numPr>
        <w:rPr>
          <w:rFonts w:ascii="Arial" w:cs="Arial" w:eastAsia="Arial" w:hAnsi="Arial"/>
          <w:sz w:val="15"/>
          <w:szCs w:val="15"/>
          <w:color w:val="auto"/>
        </w:rPr>
      </w:pPr>
      <w:r>
        <w:rPr>
          <w:rFonts w:ascii="Arial" w:cs="Arial" w:eastAsia="Arial" w:hAnsi="Arial"/>
          <w:sz w:val="18"/>
          <w:szCs w:val="18"/>
          <w:color w:val="auto"/>
        </w:rPr>
        <w:t>Represents percentage of class held at June 30, 2019.</w:t>
      </w:r>
    </w:p>
    <w:p>
      <w:pPr>
        <w:spacing w:after="0" w:line="22" w:lineRule="exact"/>
        <w:rPr>
          <w:sz w:val="20"/>
          <w:szCs w:val="20"/>
          <w:color w:val="auto"/>
        </w:rPr>
      </w:pPr>
    </w:p>
    <w:p>
      <w:pPr>
        <w:ind w:left="440" w:hanging="432"/>
        <w:spacing w:after="0"/>
        <w:tabs>
          <w:tab w:leader="none" w:pos="440" w:val="left"/>
        </w:tabs>
        <w:numPr>
          <w:ilvl w:val="0"/>
          <w:numId w:val="91"/>
        </w:numPr>
        <w:rPr>
          <w:rFonts w:ascii="Arial" w:cs="Arial" w:eastAsia="Arial" w:hAnsi="Arial"/>
          <w:sz w:val="14"/>
          <w:szCs w:val="14"/>
          <w:color w:val="auto"/>
        </w:rPr>
      </w:pPr>
      <w:r>
        <w:rPr>
          <w:rFonts w:ascii="Arial" w:cs="Arial" w:eastAsia="Arial" w:hAnsi="Arial"/>
          <w:sz w:val="17"/>
          <w:szCs w:val="17"/>
          <w:color w:val="auto"/>
        </w:rPr>
        <w:t>Other than KCAP F3C Senior Funding LLC, none of our CLO Fund securities investments were managed by affiliates as of December 31, 2018</w:t>
      </w:r>
    </w:p>
    <w:p>
      <w:pPr>
        <w:spacing w:after="0" w:line="21" w:lineRule="exact"/>
        <w:rPr>
          <w:sz w:val="20"/>
          <w:szCs w:val="20"/>
          <w:color w:val="auto"/>
        </w:rPr>
      </w:pPr>
    </w:p>
    <w:p>
      <w:pPr>
        <w:ind w:left="440" w:hanging="432"/>
        <w:spacing w:after="0"/>
        <w:tabs>
          <w:tab w:leader="none" w:pos="440" w:val="left"/>
        </w:tabs>
        <w:numPr>
          <w:ilvl w:val="0"/>
          <w:numId w:val="92"/>
        </w:numPr>
        <w:rPr>
          <w:rFonts w:ascii="Arial" w:cs="Arial" w:eastAsia="Arial" w:hAnsi="Arial"/>
          <w:sz w:val="15"/>
          <w:szCs w:val="15"/>
          <w:color w:val="auto"/>
        </w:rPr>
      </w:pPr>
      <w:r>
        <w:rPr>
          <w:rFonts w:ascii="Arial" w:cs="Arial" w:eastAsia="Arial" w:hAnsi="Arial"/>
          <w:sz w:val="18"/>
          <w:szCs w:val="18"/>
          <w:color w:val="auto"/>
        </w:rPr>
        <w:t>Other than Katonah III, Ltd and Dryden 30, all of our CLO Fund securities investments were managed by affiliates.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KCAP Freedom 3 LLC</w:t>
      </w:r>
    </w:p>
    <w:p>
      <w:pPr>
        <w:spacing w:after="0" w:line="202"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During the third quarter of 2017, we and Freedom 3 Opportunities LLC (“Freedom 3 Opportunities”), an affiliate of Freedom 3 Capital LLC, entered into an agreement to create KCAP Freedom 3 LLC (the “Joint Venture”). We contributed approximately $37 million and Freedom 3 Opportunities contributed approximately $25 million, in assets to the Joint Venture, which in turn used the assets to capitalize a new fund, Great Lakes KCAP F3C Senior Funding, L.L.C. (formerly known as KCAP F3C Senior Funding, L.L.C.) (the “Fund”) managed by KCAP Management, LLC, one of the Asset Manager Affiliates. In addition, the Fund used cash on hand and borrowings under a credit facility to purchase approximately $184 million of primarily middle-market loans from us and we used the proceeds from such sale to redeem approximately $147 million in debt issued by KCAP Senior Funding I, LLC (“KCAP Senior Funding”). The Fund invests primarily in middle-market loans and the Joint Venture partners may source middle-market loans from time-to-time for the Fund.</w:t>
      </w:r>
    </w:p>
    <w:p>
      <w:pPr>
        <w:spacing w:after="0" w:line="127" w:lineRule="exact"/>
        <w:rPr>
          <w:sz w:val="20"/>
          <w:szCs w:val="20"/>
          <w:color w:val="auto"/>
        </w:rPr>
      </w:pPr>
    </w:p>
    <w:p>
      <w:pPr>
        <w:ind w:right="140" w:firstLine="439"/>
        <w:spacing w:after="0" w:line="297" w:lineRule="auto"/>
        <w:rPr>
          <w:sz w:val="20"/>
          <w:szCs w:val="20"/>
          <w:color w:val="auto"/>
        </w:rPr>
      </w:pPr>
      <w:r>
        <w:rPr>
          <w:rFonts w:ascii="Arial" w:cs="Arial" w:eastAsia="Arial" w:hAnsi="Arial"/>
          <w:sz w:val="16"/>
          <w:szCs w:val="16"/>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us of approximately $12.6 million. $11.8 million of this distribution was a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ind w:right="80" w:firstLine="439"/>
        <w:spacing w:after="0" w:line="276" w:lineRule="auto"/>
        <w:rPr>
          <w:sz w:val="20"/>
          <w:szCs w:val="20"/>
          <w:color w:val="auto"/>
        </w:rPr>
      </w:pPr>
      <w:r>
        <w:rPr>
          <w:rFonts w:ascii="Arial" w:cs="Arial" w:eastAsia="Arial" w:hAnsi="Arial"/>
          <w:sz w:val="17"/>
          <w:szCs w:val="17"/>
          <w:color w:val="auto"/>
        </w:rPr>
        <w:t>We own a 60% equity investment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us and two of whom were selected by Freedom 3 Opportunities, and must be approved by at least one member appointed by us and one appointed by Freedom 3 Opportunities. In addition, certain matters may be approved by the Joint Venture’s investment committee, which is comprised of one member appointed by us and one member appointed by Freedom 3 Opportunities.</w:t>
      </w:r>
    </w:p>
    <w:p>
      <w:pPr>
        <w:spacing w:after="0" w:line="146" w:lineRule="exact"/>
        <w:rPr>
          <w:sz w:val="20"/>
          <w:szCs w:val="20"/>
          <w:color w:val="auto"/>
        </w:rPr>
      </w:pPr>
    </w:p>
    <w:p>
      <w:pPr>
        <w:ind w:right="60" w:firstLine="439"/>
        <w:spacing w:after="0" w:line="302"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we are now entitled to receive a preferred distribution in an amount equal to the fees waived by KCAP Management. The impact of these transactions was a reduction in the fair value of the Asset Manager Affiliates (realized loss) and increase the fair value of our investment in the Joint Venture (unrealized gain) during the first quarter of 2019.</w:t>
      </w:r>
    </w:p>
    <w:p>
      <w:pPr>
        <w:spacing w:after="0" w:line="114" w:lineRule="exact"/>
        <w:rPr>
          <w:sz w:val="20"/>
          <w:szCs w:val="20"/>
          <w:color w:val="auto"/>
        </w:rPr>
      </w:pPr>
    </w:p>
    <w:p>
      <w:pPr>
        <w:ind w:right="60" w:firstLine="439"/>
        <w:spacing w:after="0" w:line="302" w:lineRule="auto"/>
        <w:rPr>
          <w:sz w:val="20"/>
          <w:szCs w:val="20"/>
          <w:color w:val="auto"/>
        </w:rPr>
      </w:pPr>
      <w:r>
        <w:rPr>
          <w:rFonts w:ascii="Arial" w:cs="Arial" w:eastAsia="Arial" w:hAnsi="Arial"/>
          <w:sz w:val="16"/>
          <w:szCs w:val="16"/>
          <w:color w:val="auto"/>
        </w:rPr>
        <w:t>We have determined that the Joint Venture is an investment company under Accounting Standards Codification (“ASC”), Financial Services — Investment Companies (“ASC 946”), however, in accordance with such guidance, we will generally not consolidate our investment in a company other than a wholly owned investment company subsidiary or a controlled operating company whose business consists of providing services to us. We do not consolidate its interest in the Joint Venture because we do not control the Joint Venture due to allocation of the voting rights among the Joint Venture partners.</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Summarized Statement of Financial Condition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As of</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4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June 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920" w:type="dxa"/>
            <w:vAlign w:val="bottom"/>
            <w:tcBorders>
              <w:bottom w:val="single" w:sz="8" w:color="CFF0FC"/>
            </w:tcBorders>
          </w:tcPr>
          <w:p>
            <w:pPr>
              <w:spacing w:after="0"/>
              <w:rPr>
                <w:sz w:val="20"/>
                <w:szCs w:val="20"/>
                <w:color w:val="auto"/>
              </w:rPr>
            </w:pPr>
          </w:p>
        </w:tc>
        <w:tc>
          <w:tcPr>
            <w:tcW w:w="29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Investment at fair value</w:t>
            </w:r>
          </w:p>
        </w:tc>
        <w:tc>
          <w:tcPr>
            <w:tcW w:w="29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35,404,220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32,621,188</w:t>
            </w:r>
          </w:p>
        </w:tc>
        <w:tc>
          <w:tcPr>
            <w:tcW w:w="120" w:type="dxa"/>
            <w:vAlign w:val="bottom"/>
            <w:shd w:val="clear" w:color="auto" w:fill="CFF0FC"/>
          </w:tcPr>
          <w:p>
            <w:pPr>
              <w:spacing w:after="0"/>
              <w:rPr>
                <w:sz w:val="19"/>
                <w:szCs w:val="19"/>
                <w:color w:val="auto"/>
              </w:rPr>
            </w:pPr>
          </w:p>
        </w:tc>
      </w:tr>
      <w:tr>
        <w:trPr>
          <w:trHeight w:val="263"/>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9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35,404,220</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32,621,188</w:t>
            </w:r>
          </w:p>
        </w:tc>
        <w:tc>
          <w:tcPr>
            <w:tcW w:w="120" w:type="dxa"/>
            <w:vAlign w:val="bottom"/>
            <w:tcBorders>
              <w:bottom w:val="single" w:sz="8" w:color="CFF0FC"/>
            </w:tcBorders>
          </w:tcPr>
          <w:p>
            <w:pPr>
              <w:spacing w:after="0"/>
              <w:rPr>
                <w:sz w:val="22"/>
                <w:szCs w:val="22"/>
                <w:color w:val="auto"/>
              </w:rPr>
            </w:pPr>
          </w:p>
        </w:tc>
      </w:tr>
      <w:tr>
        <w:trPr>
          <w:trHeight w:val="21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9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704,728</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1,970,455</w:t>
            </w:r>
          </w:p>
        </w:tc>
        <w:tc>
          <w:tcPr>
            <w:tcW w:w="120" w:type="dxa"/>
            <w:vAlign w:val="bottom"/>
            <w:shd w:val="clear" w:color="auto" w:fill="CFF0FC"/>
          </w:tcPr>
          <w:p>
            <w:pPr>
              <w:spacing w:after="0"/>
              <w:rPr>
                <w:sz w:val="18"/>
                <w:szCs w:val="18"/>
                <w:color w:val="auto"/>
              </w:rPr>
            </w:pPr>
          </w:p>
        </w:tc>
      </w:tr>
      <w:tr>
        <w:trPr>
          <w:trHeight w:val="223"/>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w:t>
            </w:r>
          </w:p>
        </w:tc>
        <w:tc>
          <w:tcPr>
            <w:tcW w:w="29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34,699,492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30,650,733</w:t>
            </w:r>
          </w:p>
        </w:tc>
        <w:tc>
          <w:tcPr>
            <w:tcW w:w="120" w:type="dxa"/>
            <w:vAlign w:val="bottom"/>
            <w:tcBorders>
              <w:bottom w:val="single" w:sz="8" w:color="CFF0FC"/>
            </w:tcBorders>
          </w:tcPr>
          <w:p>
            <w:pPr>
              <w:spacing w:after="0"/>
              <w:rPr>
                <w:sz w:val="19"/>
                <w:szCs w:val="19"/>
                <w:color w:val="auto"/>
              </w:rPr>
            </w:pPr>
          </w:p>
        </w:tc>
      </w:tr>
      <w:tr>
        <w:trPr>
          <w:trHeight w:val="223"/>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29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35,404,220</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32,621,188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Summarized Statement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520" w:type="dxa"/>
            <w:vAlign w:val="bottom"/>
            <w:gridSpan w:val="7"/>
          </w:tcPr>
          <w:p>
            <w:pPr>
              <w:ind w:left="20"/>
              <w:spacing w:after="0"/>
              <w:rPr>
                <w:sz w:val="20"/>
                <w:szCs w:val="20"/>
                <w:color w:val="auto"/>
              </w:rPr>
            </w:pPr>
            <w:r>
              <w:rPr>
                <w:rFonts w:ascii="Arial" w:cs="Arial" w:eastAsia="Arial" w:hAnsi="Arial"/>
                <w:sz w:val="18"/>
                <w:szCs w:val="18"/>
                <w:b w:val="1"/>
                <w:bCs w:val="1"/>
                <w:color w:val="auto"/>
                <w:w w:val="97"/>
              </w:rPr>
              <w:t>Three Months Ended June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0"/>
              </w:rPr>
              <w:t>Six Months Ended June 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40" w:type="dxa"/>
            <w:vAlign w:val="bottom"/>
            <w:tcBorders>
              <w:bottom w:val="single" w:sz="8" w:color="CFF0FC"/>
            </w:tcBorders>
          </w:tcPr>
          <w:p>
            <w:pPr>
              <w:spacing w:after="0"/>
              <w:rPr>
                <w:sz w:val="20"/>
                <w:szCs w:val="20"/>
                <w:color w:val="auto"/>
              </w:rPr>
            </w:pPr>
          </w:p>
        </w:tc>
        <w:tc>
          <w:tcPr>
            <w:tcW w:w="20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1,008,338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1,221,996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2,159,724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2,417,814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0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18,992</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53,761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2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1,006,859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1,189,998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2,140,732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2,364,053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Unrealized appreciation on investments</w:t>
            </w: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(1,278,063)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(1,068,857)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4,048,759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(564,936)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(271,204</w:t>
            </w:r>
          </w:p>
        </w:tc>
        <w:tc>
          <w:tcPr>
            <w:tcW w:w="16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121,141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6,189,492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1,799,117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60" w:type="dxa"/>
            <w:vAlign w:val="bottom"/>
            <w:vMerge w:val="restart"/>
          </w:tcPr>
          <w:p>
            <w:pPr>
              <w:jc w:val="right"/>
              <w:ind w:right="410"/>
              <w:spacing w:after="0"/>
              <w:rPr>
                <w:sz w:val="20"/>
                <w:szCs w:val="20"/>
                <w:color w:val="auto"/>
              </w:rPr>
            </w:pPr>
            <w:r>
              <w:rPr>
                <w:rFonts w:ascii="Arial" w:cs="Arial" w:eastAsia="Arial" w:hAnsi="Arial"/>
                <w:sz w:val="18"/>
                <w:szCs w:val="18"/>
                <w:color w:val="auto"/>
              </w:rPr>
              <w:t>78</w:t>
            </w: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01" w:right="21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jc w:val="center"/>
              <w:ind w:right="425"/>
              <w:spacing w:after="0"/>
              <w:rPr>
                <w:sz w:val="20"/>
                <w:szCs w:val="20"/>
                <w:color w:val="auto"/>
              </w:rPr>
            </w:pPr>
            <w:r>
              <w:rPr>
                <w:rFonts w:ascii="Arial" w:cs="Arial" w:eastAsia="Arial" w:hAnsi="Arial"/>
                <w:sz w:val="18"/>
                <w:szCs w:val="18"/>
                <w:b w:val="1"/>
                <w:bCs w:val="1"/>
                <w:color w:val="auto"/>
                <w:w w:val="88"/>
              </w:rPr>
              <w:t>Percentage</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jc w:val="center"/>
              <w:ind w:right="425"/>
              <w:spacing w:after="0"/>
              <w:rPr>
                <w:sz w:val="20"/>
                <w:szCs w:val="20"/>
                <w:color w:val="auto"/>
              </w:rPr>
            </w:pPr>
            <w:r>
              <w:rPr>
                <w:rFonts w:ascii="Arial" w:cs="Arial" w:eastAsia="Arial" w:hAnsi="Arial"/>
                <w:sz w:val="18"/>
                <w:szCs w:val="18"/>
                <w:b w:val="1"/>
                <w:bCs w:val="1"/>
                <w:color w:val="auto"/>
                <w:w w:val="92"/>
              </w:rPr>
              <w:t>Ownership</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jc w:val="center"/>
              <w:ind w:right="425"/>
              <w:spacing w:after="0"/>
              <w:rPr>
                <w:sz w:val="20"/>
                <w:szCs w:val="20"/>
                <w:color w:val="auto"/>
              </w:rPr>
            </w:pPr>
            <w:r>
              <w:rPr>
                <w:rFonts w:ascii="Arial" w:cs="Arial" w:eastAsia="Arial" w:hAnsi="Arial"/>
                <w:sz w:val="18"/>
                <w:szCs w:val="18"/>
                <w:b w:val="1"/>
                <w:bCs w:val="1"/>
                <w:color w:val="auto"/>
                <w:w w:val="89"/>
              </w:rPr>
              <w:t>by Joint</w:t>
            </w: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160" w:type="dxa"/>
            <w:vAlign w:val="bottom"/>
          </w:tcPr>
          <w:p>
            <w:pPr>
              <w:spacing w:after="0"/>
              <w:rPr>
                <w:sz w:val="20"/>
                <w:szCs w:val="20"/>
                <w:color w:val="auto"/>
              </w:rPr>
            </w:pPr>
          </w:p>
        </w:tc>
        <w:tc>
          <w:tcPr>
            <w:tcW w:w="360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760" w:type="dxa"/>
            <w:vAlign w:val="bottom"/>
            <w:gridSpan w:val="3"/>
          </w:tcPr>
          <w:p>
            <w:pPr>
              <w:jc w:val="center"/>
              <w:ind w:right="425"/>
              <w:spacing w:after="0"/>
              <w:rPr>
                <w:sz w:val="20"/>
                <w:szCs w:val="20"/>
                <w:color w:val="auto"/>
              </w:rPr>
            </w:pPr>
            <w:r>
              <w:rPr>
                <w:rFonts w:ascii="Arial" w:cs="Arial" w:eastAsia="Arial" w:hAnsi="Arial"/>
                <w:sz w:val="18"/>
                <w:szCs w:val="18"/>
                <w:b w:val="1"/>
                <w:bCs w:val="1"/>
                <w:color w:val="auto"/>
                <w:w w:val="92"/>
              </w:rPr>
              <w:t>Venture</w:t>
            </w:r>
          </w:p>
        </w:tc>
        <w:tc>
          <w:tcPr>
            <w:tcW w:w="1360" w:type="dxa"/>
            <w:vAlign w:val="bottom"/>
            <w:gridSpan w:val="2"/>
          </w:tcPr>
          <w:p>
            <w:pPr>
              <w:ind w:left="28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Great Lakes KCAP F3C Senior, LLC</w:t>
            </w:r>
            <w:r>
              <w:rPr>
                <w:rFonts w:ascii="Arial" w:cs="Arial" w:eastAsia="Arial" w:hAnsi="Arial"/>
                <w:sz w:val="15"/>
                <w:szCs w:val="15"/>
                <w:color w:val="auto"/>
                <w:w w:val="95"/>
              </w:rPr>
              <w:t>(1)(2)</w:t>
            </w:r>
          </w:p>
        </w:tc>
        <w:tc>
          <w:tcPr>
            <w:tcW w:w="160" w:type="dxa"/>
            <w:vAlign w:val="bottom"/>
            <w:tcBorders>
              <w:top w:val="single" w:sz="8" w:color="CFF0FC"/>
            </w:tcBorders>
            <w:shd w:val="clear" w:color="auto" w:fill="CFF0FC"/>
          </w:tcPr>
          <w:p>
            <w:pPr>
              <w:spacing w:after="0"/>
              <w:rPr>
                <w:sz w:val="18"/>
                <w:szCs w:val="18"/>
                <w:color w:val="auto"/>
              </w:rPr>
            </w:pPr>
          </w:p>
        </w:tc>
        <w:tc>
          <w:tcPr>
            <w:tcW w:w="3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Securities, effective interest</w:t>
            </w:r>
          </w:p>
        </w:tc>
        <w:tc>
          <w:tcPr>
            <w:tcW w:w="1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5"/>
                <w:szCs w:val="15"/>
                <w:color w:val="auto"/>
              </w:rPr>
              <w:t>(3)</w:t>
            </w:r>
          </w:p>
        </w:tc>
        <w:tc>
          <w:tcPr>
            <w:tcW w:w="376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13.9%, 12/29 maturity</w:t>
            </w:r>
          </w:p>
        </w:tc>
        <w:tc>
          <w:tcPr>
            <w:tcW w:w="1760" w:type="dxa"/>
            <w:vAlign w:val="bottom"/>
            <w:gridSpan w:val="3"/>
            <w:shd w:val="clear" w:color="auto" w:fill="CFF0FC"/>
          </w:tcPr>
          <w:p>
            <w:pPr>
              <w:jc w:val="right"/>
              <w:ind w:right="5"/>
              <w:spacing w:after="0"/>
              <w:rPr>
                <w:sz w:val="20"/>
                <w:szCs w:val="20"/>
                <w:color w:val="auto"/>
              </w:rPr>
            </w:pPr>
            <w:r>
              <w:rPr>
                <w:rFonts w:ascii="Arial" w:cs="Arial" w:eastAsia="Arial" w:hAnsi="Arial"/>
                <w:sz w:val="18"/>
                <w:szCs w:val="18"/>
                <w:color w:val="auto"/>
              </w:rPr>
              <w:t>100.0%  $</w:t>
            </w:r>
          </w:p>
        </w:tc>
        <w:tc>
          <w:tcPr>
            <w:tcW w:w="1100" w:type="dxa"/>
            <w:vAlign w:val="bottom"/>
            <w:shd w:val="clear" w:color="auto" w:fill="CFF0FC"/>
          </w:tcPr>
          <w:p>
            <w:pPr>
              <w:ind w:left="280"/>
              <w:spacing w:after="0"/>
              <w:rPr>
                <w:sz w:val="20"/>
                <w:szCs w:val="20"/>
                <w:color w:val="auto"/>
              </w:rPr>
            </w:pPr>
            <w:r>
              <w:rPr>
                <w:rFonts w:ascii="Arial" w:cs="Arial" w:eastAsia="Arial" w:hAnsi="Arial"/>
                <w:sz w:val="18"/>
                <w:szCs w:val="18"/>
                <w:color w:val="auto"/>
                <w:w w:val="88"/>
              </w:rPr>
              <w:t>41,370,653</w:t>
            </w:r>
          </w:p>
        </w:tc>
        <w:tc>
          <w:tcPr>
            <w:tcW w:w="26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35,404,220</w:t>
            </w:r>
          </w:p>
        </w:tc>
        <w:tc>
          <w:tcPr>
            <w:tcW w:w="100" w:type="dxa"/>
            <w:vAlign w:val="bottom"/>
            <w:shd w:val="clear" w:color="auto" w:fill="CFF0FC"/>
          </w:tcPr>
          <w:p>
            <w:pPr>
              <w:spacing w:after="0"/>
              <w:rPr>
                <w:sz w:val="20"/>
                <w:szCs w:val="20"/>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w w:val="88"/>
              </w:rPr>
              <w:t>41,370,653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35,404,220</w:t>
            </w:r>
          </w:p>
        </w:tc>
        <w:tc>
          <w:tcPr>
            <w:tcW w:w="100" w:type="dxa"/>
            <w:vAlign w:val="bottom"/>
          </w:tcPr>
          <w:p>
            <w:pPr>
              <w:spacing w:after="0"/>
              <w:rPr>
                <w:sz w:val="19"/>
                <w:szCs w:val="19"/>
                <w:color w:val="auto"/>
              </w:rPr>
            </w:pPr>
          </w:p>
        </w:tc>
      </w:tr>
    </w:tbl>
    <w:p>
      <w:pPr>
        <w:spacing w:after="0" w:line="377" w:lineRule="exact"/>
        <w:rPr>
          <w:sz w:val="20"/>
          <w:szCs w:val="20"/>
          <w:color w:val="auto"/>
        </w:rPr>
      </w:pPr>
    </w:p>
    <w:p>
      <w:pPr>
        <w:jc w:val="both"/>
        <w:ind w:left="440" w:right="80" w:hanging="432"/>
        <w:spacing w:after="0" w:line="254" w:lineRule="auto"/>
        <w:tabs>
          <w:tab w:leader="none" w:pos="4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left="440" w:right="80" w:hanging="432"/>
        <w:spacing w:after="0" w:line="250" w:lineRule="auto"/>
        <w:tabs>
          <w:tab w:leader="none" w:pos="4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ind w:left="440" w:hanging="432"/>
        <w:spacing w:after="0"/>
        <w:tabs>
          <w:tab w:leader="none" w:pos="4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Formerly known as KCAP F3C Senior Funding, LLC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Ownership</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by Joint</w:t>
            </w:r>
          </w:p>
        </w:tc>
        <w:tc>
          <w:tcPr>
            <w:tcW w:w="16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400" w:type="dxa"/>
            <w:vAlign w:val="bottom"/>
            <w:gridSpan w:val="2"/>
          </w:tcPr>
          <w:p>
            <w:pPr>
              <w:ind w:left="1180"/>
              <w:spacing w:after="0"/>
              <w:rPr>
                <w:sz w:val="20"/>
                <w:szCs w:val="20"/>
                <w:color w:val="auto"/>
              </w:rPr>
            </w:pPr>
            <w:r>
              <w:rPr>
                <w:rFonts w:ascii="Arial" w:cs="Arial" w:eastAsia="Arial" w:hAnsi="Arial"/>
                <w:sz w:val="18"/>
                <w:szCs w:val="18"/>
                <w:b w:val="1"/>
                <w:bCs w:val="1"/>
                <w:color w:val="auto"/>
              </w:rPr>
              <w:t>Investment</w:t>
            </w: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Venture</w:t>
            </w:r>
          </w:p>
        </w:tc>
        <w:tc>
          <w:tcPr>
            <w:tcW w:w="160" w:type="dxa"/>
            <w:vAlign w:val="bottom"/>
          </w:tcPr>
          <w:p>
            <w:pPr>
              <w:spacing w:after="0"/>
              <w:rPr>
                <w:sz w:val="20"/>
                <w:szCs w:val="20"/>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KCAP F3C Senior Funding, LLC </w:t>
            </w:r>
            <w:r>
              <w:rPr>
                <w:rFonts w:ascii="Arial" w:cs="Arial" w:eastAsia="Arial" w:hAnsi="Arial"/>
                <w:sz w:val="15"/>
                <w:szCs w:val="15"/>
                <w:color w:val="auto"/>
              </w:rPr>
              <w:t>(1)(2)</w:t>
            </w:r>
          </w:p>
        </w:tc>
        <w:tc>
          <w:tcPr>
            <w:tcW w:w="160" w:type="dxa"/>
            <w:vAlign w:val="bottom"/>
            <w:tcBorders>
              <w:top w:val="single" w:sz="8" w:color="CFF0FC"/>
            </w:tcBorders>
            <w:shd w:val="clear" w:color="auto" w:fill="CFF0FC"/>
          </w:tcPr>
          <w:p>
            <w:pPr>
              <w:spacing w:after="0"/>
              <w:rPr>
                <w:sz w:val="18"/>
                <w:szCs w:val="18"/>
                <w:color w:val="auto"/>
              </w:rPr>
            </w:pPr>
          </w:p>
        </w:tc>
        <w:tc>
          <w:tcPr>
            <w:tcW w:w="3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6"/>
              </w:rPr>
              <w:t>Subordinated Securities, effective interest</w:t>
            </w:r>
          </w:p>
        </w:tc>
        <w:tc>
          <w:tcPr>
            <w:tcW w:w="1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3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11.5%, 12/29 maturity</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ind w:left="300"/>
              <w:spacing w:after="0"/>
              <w:rPr>
                <w:sz w:val="20"/>
                <w:szCs w:val="20"/>
                <w:color w:val="auto"/>
              </w:rPr>
            </w:pPr>
            <w:r>
              <w:rPr>
                <w:rFonts w:ascii="Arial" w:cs="Arial" w:eastAsia="Arial" w:hAnsi="Arial"/>
                <w:sz w:val="18"/>
                <w:szCs w:val="18"/>
                <w:color w:val="auto"/>
                <w:w w:val="90"/>
              </w:rPr>
              <w:t>42,636,380</w:t>
            </w:r>
          </w:p>
        </w:tc>
        <w:tc>
          <w:tcPr>
            <w:tcW w:w="2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32,621,188</w:t>
            </w:r>
          </w:p>
        </w:tc>
        <w:tc>
          <w:tcPr>
            <w:tcW w:w="120" w:type="dxa"/>
            <w:vAlign w:val="bottom"/>
            <w:shd w:val="clear" w:color="auto" w:fill="CFF0FC"/>
          </w:tcPr>
          <w:p>
            <w:pPr>
              <w:spacing w:after="0"/>
              <w:rPr>
                <w:sz w:val="20"/>
                <w:szCs w:val="20"/>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3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90"/>
              </w:rPr>
              <w:t>42,636,380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32,621,188</w:t>
            </w:r>
          </w:p>
        </w:tc>
        <w:tc>
          <w:tcPr>
            <w:tcW w:w="120" w:type="dxa"/>
            <w:vAlign w:val="bottom"/>
          </w:tcPr>
          <w:p>
            <w:pPr>
              <w:spacing w:after="0"/>
              <w:rPr>
                <w:sz w:val="19"/>
                <w:szCs w:val="19"/>
                <w:color w:val="auto"/>
              </w:rPr>
            </w:pPr>
          </w:p>
        </w:tc>
      </w:tr>
    </w:tbl>
    <w:p>
      <w:pPr>
        <w:spacing w:after="0" w:line="202" w:lineRule="exact"/>
        <w:rPr>
          <w:sz w:val="20"/>
          <w:szCs w:val="20"/>
          <w:color w:val="auto"/>
        </w:rPr>
      </w:pPr>
    </w:p>
    <w:p>
      <w:pPr>
        <w:jc w:val="both"/>
        <w:ind w:left="440" w:right="80" w:hanging="432"/>
        <w:spacing w:after="0" w:line="254" w:lineRule="auto"/>
        <w:tabs>
          <w:tab w:leader="none" w:pos="4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left="440" w:right="80" w:hanging="432"/>
        <w:spacing w:after="0" w:line="261" w:lineRule="auto"/>
        <w:tabs>
          <w:tab w:leader="none" w:pos="4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BCP Great Lakes Partnership LP</w:t>
      </w:r>
    </w:p>
    <w:p>
      <w:pPr>
        <w:spacing w:after="0" w:line="189" w:lineRule="exact"/>
        <w:rPr>
          <w:sz w:val="20"/>
          <w:szCs w:val="20"/>
          <w:color w:val="auto"/>
        </w:rPr>
      </w:pPr>
    </w:p>
    <w:p>
      <w:pPr>
        <w:ind w:right="40" w:firstLine="439"/>
        <w:spacing w:after="0" w:line="259" w:lineRule="auto"/>
        <w:rPr>
          <w:sz w:val="20"/>
          <w:szCs w:val="20"/>
          <w:color w:val="auto"/>
        </w:rPr>
      </w:pPr>
      <w:r>
        <w:rPr>
          <w:rFonts w:ascii="Arial" w:cs="Arial" w:eastAsia="Arial" w:hAnsi="Arial"/>
          <w:sz w:val="18"/>
          <w:szCs w:val="18"/>
          <w:color w:val="auto"/>
        </w:rPr>
        <w:t>BCP Great Lakes Partnership LP (the “BCP Great Lakes Partnership”) has invested in BCP Great Lakes Holdings LP, a vehicle formed as a co-investment vehicle to facilitate the participation of certain co-investors to invest, directly or indirectly, in BCP Great Lakes Funding, LLC. The investment strategy of BCP Great Lakes Funding, LLC is to underwrite and hold senior, secured unitranche loans made to middle-market companies. The Company does not pay any advisory fees in connection with its investment in the BCP Great Lakes Partnership.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ind w:right="80" w:firstLine="439"/>
        <w:spacing w:after="0" w:line="297" w:lineRule="auto"/>
        <w:rPr>
          <w:sz w:val="20"/>
          <w:szCs w:val="20"/>
          <w:color w:val="auto"/>
        </w:rPr>
      </w:pPr>
      <w:r>
        <w:rPr>
          <w:rFonts w:ascii="Arial" w:cs="Arial" w:eastAsia="Arial" w:hAnsi="Arial"/>
          <w:sz w:val="16"/>
          <w:szCs w:val="16"/>
          <w:color w:val="auto"/>
        </w:rPr>
        <w:t>The fair value of the Company’s investment in the BCP Great Lakes Partnership at June 30, 2019 and December 31, 2018 was $17.7 million and $12.5 million. Fair value has been determined utilizing the practical expedient pursuant to ASC 820-10. Pursuant to the terms of the BCP Great Lakes Fund LP Amended and Restated Exempted Limited Partnership Agreement (the “BCP Great Lakes Partnership Agreement”) , the Company generally may not sell, exchange, assign, pledge or otherwise transfer its interest, in whole or in part, without the prior written consent of the General Partner which consent may be given or withheld in its sole and absolute discretion, and may be conditioned upon repayment of its share of indebtedness incurred by the partnership.</w:t>
      </w:r>
    </w:p>
    <w:p>
      <w:pPr>
        <w:spacing w:after="0" w:line="131"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In March 2019, the Company increased its aggregate commitment to the BCP Great Lakes Partnership to $50 million, subject to certain limitations (including that the Company is not obligated to fund capital calls if such funding would cause the Company to be out of compliance with certain provisions of the Investment Company Act of 1940). As of June 30, 2019 and December 31, 2018, the Company has a $32.3 million and $12.5 million, respectively unfunded commitment to the BCP Great Lakes Partnership.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firstLine="439"/>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Set forth below is a discussion of our results of operations for the three and six months ended June 30, 2019 and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5" w:lineRule="exact"/>
        <w:rPr>
          <w:sz w:val="20"/>
          <w:szCs w:val="20"/>
          <w:color w:val="auto"/>
        </w:rPr>
      </w:pPr>
    </w:p>
    <w:p>
      <w:pPr>
        <w:ind w:right="460" w:firstLine="439"/>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30"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60" w:lineRule="exact"/>
        <w:rPr>
          <w:sz w:val="20"/>
          <w:szCs w:val="20"/>
          <w:color w:val="auto"/>
        </w:rPr>
      </w:pPr>
    </w:p>
    <w:p>
      <w:pPr>
        <w:ind w:firstLine="439"/>
        <w:spacing w:after="0" w:line="286"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 securities (typically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subordinated securities) of CLO Funds. We distinguish CLO Funds managed by its Asset Manager Affiliates as “CLO Fund Securities Managed by Affiliates”, in our consolidated financial statements. Since the Asset Manager Affiliates were owned throughout 2018 and sold on December 31, 2018, investment income on these CLO Fund securities is reflected on the statement of operations for the year of 2018 as “managed by affiliates”, while on the consolidated balance sheet at December 31, 2018 these investments are reflected as “managed by non-affiliates”. Effective April1, 2019, as a result of the Externalization and related transactions, CLO Fund investments managed by LibreMax were assigned to CLO Funds managed by affiliates. CLO Funds invest primarily in broadly syndicated non-investment grade loans, high-yield bonds and other credit instruments of corporate issuers.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80" w:name="page81"/>
    <w:bookmarkEnd w:id="80"/>
    <w:p>
      <w:pPr>
        <w:ind w:firstLine="439"/>
        <w:spacing w:after="0" w:line="291" w:lineRule="auto"/>
        <w:rPr>
          <w:sz w:val="20"/>
          <w:szCs w:val="20"/>
          <w:color w:val="auto"/>
        </w:rPr>
      </w:pPr>
      <w:r>
        <w:rPr>
          <w:rFonts w:ascii="Arial" w:cs="Arial" w:eastAsia="Arial" w:hAnsi="Arial"/>
          <w:sz w:val="16"/>
          <w:szCs w:val="16"/>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generally accepted accounting principles (“GAAP”) statement of operations differs from both the tax–basis investment income and from the cash distributions actually received by the Company during the period. As a RIC, we anticipate a timely distribution of our tax-basis taxable income.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185" w:lineRule="exact"/>
        <w:rPr>
          <w:sz w:val="20"/>
          <w:szCs w:val="20"/>
          <w:color w:val="auto"/>
        </w:rPr>
      </w:pPr>
    </w:p>
    <w:p>
      <w:pPr>
        <w:ind w:right="160" w:firstLine="439"/>
        <w:spacing w:after="0" w:line="273"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Substantially all of the investment in the Asset Manager Affiliates was sold on December 31, 2018. Prior</w:t>
      </w:r>
      <w:r>
        <w:rPr>
          <w:rFonts w:ascii="Arial" w:cs="Arial" w:eastAsia="Arial" w:hAnsi="Arial"/>
          <w:sz w:val="17"/>
          <w:szCs w:val="17"/>
          <w:i w:val="1"/>
          <w:iCs w:val="1"/>
          <w:color w:val="auto"/>
        </w:rPr>
        <w:t xml:space="preserve"> </w:t>
      </w:r>
      <w:r>
        <w:rPr>
          <w:rFonts w:ascii="Arial" w:cs="Arial" w:eastAsia="Arial" w:hAnsi="Arial"/>
          <w:sz w:val="17"/>
          <w:szCs w:val="17"/>
          <w:color w:val="auto"/>
        </w:rPr>
        <w:t>thereto, we have received cash distributions from the Asset Manager Affiliates, which manage CLO Funds that invest primarily in broadly syndicated non-investment grade loans, high yield bonds and other credit instruments issued by corporations. As managers of CLO Funds, the Asset Manager Affiliates receive contractual and recurring management fees from the CLO Funds for their management and advisory services. In addition, the Asset Manager Affiliates may also earn income related to net interest on assets accumulated for future CLO issuances on which they have taken a first loss position in connection with loan warehouse arrangements for their future CLO Funds.</w:t>
      </w:r>
    </w:p>
    <w:p>
      <w:pPr>
        <w:spacing w:after="0" w:line="138" w:lineRule="exact"/>
        <w:rPr>
          <w:sz w:val="20"/>
          <w:szCs w:val="20"/>
          <w:color w:val="auto"/>
        </w:rPr>
      </w:pPr>
    </w:p>
    <w:p>
      <w:pPr>
        <w:ind w:right="40" w:firstLine="439"/>
        <w:spacing w:after="0" w:line="288" w:lineRule="auto"/>
        <w:rPr>
          <w:sz w:val="20"/>
          <w:szCs w:val="20"/>
          <w:color w:val="auto"/>
        </w:rPr>
      </w:pPr>
      <w:r>
        <w:rPr>
          <w:rFonts w:ascii="Arial" w:cs="Arial" w:eastAsia="Arial" w:hAnsi="Arial"/>
          <w:sz w:val="16"/>
          <w:szCs w:val="16"/>
          <w:color w:val="auto"/>
        </w:rPr>
        <w:t>As a result of tax-basis goodwill amortization and certain other tax-related adjustments, portions of distributions received may be deemed return of capital. The fair value of our investment in our Asset Manager Affiliates was de minimis at June 30, 2019. There were no distributions from the Asset Manager Affiliates during the first two quarters of 2019. For the six months ended June 30, 2018, we recognized dividend income of $620,000 from the Asset Manager Affiliates, while cash distributions received were approximately $1.6 million. The difference between cash distributions received and the tax-basis earnings and profits is recorded as an adjustment to the cost basis of the Asset Manager Affiliates investments. For interim periods, we estimate the tax attributes of any distributions as being either from tax-basis earnings and profits (i.e. dividend income) or return of capital (i.e. adjustment to our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The aggregate of par value of assets under management by our Asset Manager Affiliates was $300 million as of June 30, 2019 and December 31, 2018.</w:t>
      </w:r>
    </w:p>
    <w:p>
      <w:pPr>
        <w:spacing w:after="0" w:line="142" w:lineRule="exact"/>
        <w:rPr>
          <w:sz w:val="20"/>
          <w:szCs w:val="20"/>
          <w:color w:val="auto"/>
        </w:rPr>
      </w:pPr>
    </w:p>
    <w:p>
      <w:pPr>
        <w:ind w:right="80" w:firstLine="439"/>
        <w:spacing w:after="0" w:line="254" w:lineRule="auto"/>
        <w:rPr>
          <w:sz w:val="20"/>
          <w:szCs w:val="20"/>
          <w:color w:val="auto"/>
        </w:rPr>
      </w:pPr>
      <w:r>
        <w:rPr>
          <w:rFonts w:ascii="Arial" w:cs="Arial" w:eastAsia="Arial" w:hAnsi="Arial"/>
          <w:sz w:val="18"/>
          <w:szCs w:val="18"/>
          <w:i w:val="1"/>
          <w:iCs w:val="1"/>
          <w:color w:val="auto"/>
        </w:rPr>
        <w:t xml:space="preserve">Investment in Joint Ventures. </w:t>
      </w:r>
      <w:r>
        <w:rPr>
          <w:rFonts w:ascii="Arial" w:cs="Arial" w:eastAsia="Arial" w:hAnsi="Arial"/>
          <w:sz w:val="18"/>
          <w:szCs w:val="18"/>
          <w:color w:val="auto"/>
        </w:rPr>
        <w:t>For the three months ended June 30, 2019 and 2018, the Company recognized $1.3 million and $0.7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in investment income from its investment in the Joint Ventures. For the six months ended June 30, 2019 and 2018, the Company recognized $2.2 million and $1.4 million, respectively, in investment income from its investment in the Joint Ventures. As of June 30, 2019 and December 31, 2018, the fair value of our investment in Joint Ventures was approximately $40.1 million and $30.9 million, respectively. For interim periods, we recognize investment income on its investment in the Joint Ventures based upon our share of estimated earnings and profits of the Joint Venture. The final determination of the tax attributes of distributions from Joint Ventures is made on an annual (full calendar year) basis at year-end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152" w:lineRule="exact"/>
        <w:rPr>
          <w:sz w:val="20"/>
          <w:szCs w:val="20"/>
          <w:color w:val="auto"/>
        </w:rPr>
      </w:pPr>
    </w:p>
    <w:p>
      <w:pPr>
        <w:ind w:right="220" w:firstLine="439"/>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98" w:lineRule="exact"/>
        <w:rPr>
          <w:sz w:val="20"/>
          <w:szCs w:val="20"/>
          <w:color w:val="auto"/>
        </w:rPr>
      </w:pPr>
    </w:p>
    <w:p>
      <w:pPr>
        <w:ind w:right="460" w:firstLine="439"/>
        <w:spacing w:after="0" w:line="312" w:lineRule="auto"/>
        <w:rPr>
          <w:sz w:val="20"/>
          <w:szCs w:val="20"/>
          <w:color w:val="auto"/>
        </w:rPr>
      </w:pPr>
      <w:r>
        <w:rPr>
          <w:rFonts w:ascii="Arial" w:cs="Arial" w:eastAsia="Arial" w:hAnsi="Arial"/>
          <w:sz w:val="16"/>
          <w:szCs w:val="16"/>
          <w:color w:val="auto"/>
        </w:rPr>
        <w:t>Investment income for the three months ended June 30, 2019 and 2018 was approximately $6.9 million and $6.8 million, respectively. Of these amounts, approximately $3.8 million and $4.3 million, respectively was attributable to interest income on our Debt Securities Portfolio. The decrease in interest income on our Debt Securities Portfolio was primarily the result of additional investments placed on non-accrual status since the prior period.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81" w:name="page82"/>
    <w:bookmarkEnd w:id="81"/>
    <w:p>
      <w:pPr>
        <w:ind w:right="620" w:firstLine="439"/>
        <w:spacing w:after="0" w:line="308" w:lineRule="auto"/>
        <w:rPr>
          <w:sz w:val="20"/>
          <w:szCs w:val="20"/>
          <w:color w:val="auto"/>
        </w:rPr>
      </w:pPr>
      <w:r>
        <w:rPr>
          <w:rFonts w:ascii="Arial" w:cs="Arial" w:eastAsia="Arial" w:hAnsi="Arial"/>
          <w:sz w:val="17"/>
          <w:szCs w:val="17"/>
          <w:color w:val="auto"/>
        </w:rPr>
        <w:t>Investment income for the six months ended June 30, 2019 and 2018 was approximately $12.7 million and $13.7 million, respectively. Of these amounts, approximately $6.8 million and $8.0 million, respectively was attributable to interest income on our Debt Securities Portfolio.</w:t>
      </w:r>
    </w:p>
    <w:p>
      <w:pPr>
        <w:spacing w:after="0" w:line="120" w:lineRule="exact"/>
        <w:rPr>
          <w:sz w:val="20"/>
          <w:szCs w:val="20"/>
          <w:color w:val="auto"/>
        </w:rPr>
      </w:pPr>
    </w:p>
    <w:p>
      <w:pPr>
        <w:ind w:right="60" w:firstLine="439"/>
        <w:spacing w:after="0" w:line="264" w:lineRule="auto"/>
        <w:rPr>
          <w:sz w:val="20"/>
          <w:szCs w:val="20"/>
          <w:color w:val="auto"/>
        </w:rPr>
      </w:pPr>
      <w:r>
        <w:rPr>
          <w:rFonts w:ascii="Arial" w:cs="Arial" w:eastAsia="Arial" w:hAnsi="Arial"/>
          <w:sz w:val="18"/>
          <w:szCs w:val="18"/>
          <w:color w:val="auto"/>
        </w:rPr>
        <w:t>At June 30, 2019 and December 31, 2018, the weighted average contractual interest rate on our loans and debt securities was approximately 9.6% and 10.0%, respectively. At June 30, 2019 and December 31, 2018, the weighted average contractual interest rate on our loans and debt securities, excluding non-accrual and partial non-accrual investments, was approximately 9.2% and 9.1%, respectively.</w:t>
      </w:r>
    </w:p>
    <w:p>
      <w:pPr>
        <w:spacing w:after="0" w:line="141"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46" w:lineRule="exact"/>
        <w:rPr>
          <w:sz w:val="20"/>
          <w:szCs w:val="20"/>
          <w:color w:val="auto"/>
        </w:rPr>
      </w:pPr>
    </w:p>
    <w:p>
      <w:pPr>
        <w:ind w:right="80" w:firstLine="439"/>
        <w:spacing w:after="0" w:line="289" w:lineRule="auto"/>
        <w:rPr>
          <w:sz w:val="20"/>
          <w:szCs w:val="20"/>
          <w:color w:val="auto"/>
        </w:rPr>
      </w:pPr>
      <w:r>
        <w:rPr>
          <w:rFonts w:ascii="Arial" w:cs="Arial" w:eastAsia="Arial" w:hAnsi="Arial"/>
          <w:sz w:val="16"/>
          <w:szCs w:val="16"/>
          <w:color w:val="auto"/>
        </w:rPr>
        <w:t>For the three months ended June 30, 2019 and 2018, approximately $1.7 million and $1.5 million, respectively, of investment income was attributable to investments in CLO Fund Securities. For the six months ended June 30, 2019 and 2018, approximately $3.5 million and $3.4 million, respectively, of investment income was attributable to investments in CLO Fund Securities. On a tax basis, the Company recognized $3.9 million and $3.3 million of taxable distributable income on distributions from our CLO Fund Securities during the six months ended June 30, 2019 and 2018, respectively.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89" w:lineRule="exact"/>
        <w:rPr>
          <w:sz w:val="20"/>
          <w:szCs w:val="20"/>
          <w:color w:val="auto"/>
        </w:rPr>
      </w:pPr>
    </w:p>
    <w:p>
      <w:pPr>
        <w:ind w:right="20" w:firstLine="439"/>
        <w:spacing w:after="0" w:line="269" w:lineRule="auto"/>
        <w:rPr>
          <w:sz w:val="20"/>
          <w:szCs w:val="20"/>
          <w:color w:val="auto"/>
        </w:rPr>
      </w:pPr>
      <w:r>
        <w:rPr>
          <w:rFonts w:ascii="Arial" w:cs="Arial" w:eastAsia="Arial" w:hAnsi="Arial"/>
          <w:sz w:val="17"/>
          <w:szCs w:val="17"/>
          <w:color w:val="auto"/>
        </w:rPr>
        <w:t>Through March 31, 2019 we were internally managed, and directly incurred the cost of management and operations. As a result, we paid no investment management fees or other fees to an external advisor. Our expenses consisted primarily of interest expense on outstanding borrowings, compensation expense and general and administrative expenses, including professional fees. Interest and compensation expense are typically our largest expenses each period. Since the Closing, we have been externally managed and no longer have any employees. However, in connection with the Advisory Agreement, we pay the Adviser certain investment advisory fees and reimburse the Adviser and Administrator for certain expenses incurred in connection with the services they provide. We bear our allocable portion of the compensation paid by the Adviser (or its affiliates) to our chief compliance officer and chief financial officer and their respective staffs (based on a percentage of time such individuals devote, on an estimated basis, to our business affairs). We also bear all other costs and expenses of our operations, administration and transactions, including, but not limited to (i) investment advisory fees, including management fees and incentive fees, to the Adviser, pursuant to the Advisory Agreement; (ii) our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142" w:lineRule="exact"/>
        <w:rPr>
          <w:sz w:val="20"/>
          <w:szCs w:val="20"/>
          <w:color w:val="auto"/>
        </w:rPr>
      </w:pPr>
    </w:p>
    <w:p>
      <w:pPr>
        <w:ind w:left="880" w:hanging="440"/>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cost of effecting any sales and repurchases of our common stock and other securities;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fees and expenses payable under any dealer manager or placement agent agreements, if any;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administration fees payable under the Administration Agreement and any sub-administration agreements, including related expenses;</w:t>
      </w:r>
    </w:p>
    <w:p>
      <w:pPr>
        <w:spacing w:after="0" w:line="236"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82" w:name="page83"/>
    <w:bookmarkEnd w:id="82"/>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84" w:lineRule="exact"/>
        <w:rPr>
          <w:rFonts w:ascii="Arial" w:cs="Arial" w:eastAsia="Arial" w:hAnsi="Arial"/>
          <w:sz w:val="18"/>
          <w:szCs w:val="18"/>
          <w:color w:val="auto"/>
        </w:rPr>
      </w:pPr>
    </w:p>
    <w:p>
      <w:pPr>
        <w:ind w:left="880" w:right="480" w:hanging="440"/>
        <w:spacing w:after="0" w:line="277"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 and fees payable to rating agencies;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independent directors’ fees and expenses including certain travel expenses;</w:t>
      </w:r>
    </w:p>
    <w:p>
      <w:pPr>
        <w:spacing w:after="0" w:line="184"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140" w:lineRule="exact"/>
        <w:rPr>
          <w:rFonts w:ascii="Arial" w:cs="Arial" w:eastAsia="Arial" w:hAnsi="Arial"/>
          <w:sz w:val="18"/>
          <w:szCs w:val="18"/>
          <w:color w:val="auto"/>
        </w:rPr>
      </w:pPr>
    </w:p>
    <w:p>
      <w:pPr>
        <w:ind w:left="880" w:right="200" w:hanging="440"/>
        <w:spacing w:after="0" w:line="308" w:lineRule="auto"/>
        <w:tabs>
          <w:tab w:leader="none" w:pos="8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106" w:lineRule="exact"/>
        <w:rPr>
          <w:rFonts w:ascii="Arial" w:cs="Arial" w:eastAsia="Arial" w:hAnsi="Arial"/>
          <w:sz w:val="17"/>
          <w:szCs w:val="17"/>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research and market data;</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outside legal and consulting costs;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costs of winding up our affairs;</w:t>
      </w:r>
    </w:p>
    <w:p>
      <w:pPr>
        <w:spacing w:after="0" w:line="184" w:lineRule="exact"/>
        <w:rPr>
          <w:rFonts w:ascii="Arial" w:cs="Arial" w:eastAsia="Arial" w:hAnsi="Arial"/>
          <w:sz w:val="18"/>
          <w:szCs w:val="18"/>
          <w:color w:val="auto"/>
        </w:rPr>
      </w:pPr>
    </w:p>
    <w:p>
      <w:pPr>
        <w:ind w:left="880" w:right="420" w:hanging="440"/>
        <w:spacing w:after="0" w:line="277"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costs incurred by either the Administrator or us in connection with administering our business, including payments under the Administration Agreement;</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extraordinary expenses (such as litigation or indemnification);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costs associated with reporting and compliance obligations under the 1940 Act and applicable federal and state securities laws.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Management Fees. </w:t>
      </w:r>
      <w:r>
        <w:rPr>
          <w:rFonts w:ascii="Arial" w:cs="Arial" w:eastAsia="Arial" w:hAnsi="Arial"/>
          <w:sz w:val="16"/>
          <w:szCs w:val="16"/>
          <w:color w:val="auto"/>
        </w:rPr>
        <w:t>Management fees for the three and six months ended June 30, 2019 were approximately $1.0 million and $1.0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incentive fees earned during the second quarter of 2019.</w:t>
      </w:r>
    </w:p>
    <w:p>
      <w:pPr>
        <w:spacing w:after="0" w:line="184" w:lineRule="exact"/>
        <w:rPr>
          <w:sz w:val="20"/>
          <w:szCs w:val="20"/>
          <w:color w:val="auto"/>
        </w:rPr>
      </w:pPr>
    </w:p>
    <w:p>
      <w:pPr>
        <w:ind w:right="40" w:firstLine="439"/>
        <w:spacing w:after="0" w:line="264"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the Company’s borrowings. These amounts are capitalized and amortized ratably over the expected term of the borrowing.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ind w:right="120" w:firstLine="439"/>
        <w:spacing w:after="0" w:line="257" w:lineRule="auto"/>
        <w:rPr>
          <w:sz w:val="20"/>
          <w:szCs w:val="20"/>
          <w:color w:val="auto"/>
        </w:rPr>
      </w:pPr>
      <w:r>
        <w:rPr>
          <w:rFonts w:ascii="Arial" w:cs="Arial" w:eastAsia="Arial" w:hAnsi="Arial"/>
          <w:sz w:val="18"/>
          <w:szCs w:val="18"/>
          <w:i w:val="1"/>
          <w:iCs w:val="1"/>
          <w:color w:val="auto"/>
        </w:rPr>
        <w:t>Compensation Expense</w:t>
      </w:r>
      <w:r>
        <w:rPr>
          <w:rFonts w:ascii="Arial" w:cs="Arial" w:eastAsia="Arial" w:hAnsi="Arial"/>
          <w:sz w:val="18"/>
          <w:szCs w:val="18"/>
          <w:color w:val="auto"/>
        </w:rPr>
        <w:t>. Prior to the Closing of the Externalization on April 1, 2019, compensation expense included base salaries, bonuses, stock</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benefits and employer-related payroll costs. The largest components of total compensation costs are base salaries and bonuses; generally, base salaries are expensed as incurred and annual bonus expenses are estimated and accrued. Our compensation arrangements with our employees contained a profit sharing and/or performance-based bonus component. Following the Closing, we no longer have any employees and therefore do not have any related expenses.</w:t>
      </w:r>
    </w:p>
    <w:p>
      <w:pPr>
        <w:spacing w:after="0" w:line="161" w:lineRule="exact"/>
        <w:rPr>
          <w:sz w:val="20"/>
          <w:szCs w:val="20"/>
          <w:color w:val="auto"/>
        </w:rPr>
      </w:pPr>
    </w:p>
    <w:p>
      <w:pPr>
        <w:ind w:firstLine="439"/>
        <w:spacing w:after="0" w:line="264" w:lineRule="auto"/>
        <w:rPr>
          <w:sz w:val="20"/>
          <w:szCs w:val="20"/>
          <w:color w:val="auto"/>
        </w:rPr>
      </w:pPr>
      <w:r>
        <w:rPr>
          <w:rFonts w:ascii="Arial" w:cs="Arial" w:eastAsia="Arial" w:hAnsi="Arial"/>
          <w:sz w:val="18"/>
          <w:szCs w:val="18"/>
          <w:i w:val="1"/>
          <w:iCs w:val="1"/>
          <w:color w:val="auto"/>
        </w:rPr>
        <w:t>Professional Fees, Administrative services expense and General Administrative Expenses</w:t>
      </w:r>
      <w:r>
        <w:rPr>
          <w:rFonts w:ascii="Arial" w:cs="Arial" w:eastAsia="Arial" w:hAnsi="Arial"/>
          <w:sz w:val="18"/>
          <w:szCs w:val="18"/>
          <w:color w:val="auto"/>
        </w:rPr>
        <w:t>. The balance of our expenses includes professional fees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legal, accounting, valuation and other professional services), insurance costs, Administrative services expense under the Administration Agreement and general administrative and other costs.</w:t>
      </w:r>
    </w:p>
    <w:p>
      <w:pPr>
        <w:spacing w:after="0" w:line="141" w:lineRule="exact"/>
        <w:rPr>
          <w:sz w:val="20"/>
          <w:szCs w:val="20"/>
          <w:color w:val="auto"/>
        </w:rPr>
      </w:pPr>
    </w:p>
    <w:p>
      <w:pPr>
        <w:jc w:val="both"/>
        <w:ind w:right="160" w:firstLine="439"/>
        <w:spacing w:after="0" w:line="264" w:lineRule="auto"/>
        <w:rPr>
          <w:sz w:val="20"/>
          <w:szCs w:val="20"/>
          <w:color w:val="auto"/>
        </w:rPr>
      </w:pPr>
      <w:r>
        <w:rPr>
          <w:rFonts w:ascii="Arial" w:cs="Arial" w:eastAsia="Arial" w:hAnsi="Arial"/>
          <w:sz w:val="18"/>
          <w:szCs w:val="18"/>
          <w:color w:val="auto"/>
        </w:rPr>
        <w:t>Total expenses for the three months ended June 30, 2019 and 2018 were approximately $6.0 million and $4.3 million, respectively. During the second quarter of 2019, the Company recognized a non-cash impairment charge of approximately $1.4 million to write down the value of the right-of-use asset for the lease of office space formerly occupied by the Company prior to the Externalization.</w:t>
      </w:r>
    </w:p>
    <w:p>
      <w:pPr>
        <w:spacing w:after="0" w:line="141" w:lineRule="exact"/>
        <w:rPr>
          <w:sz w:val="20"/>
          <w:szCs w:val="20"/>
          <w:color w:val="auto"/>
        </w:rPr>
      </w:pPr>
    </w:p>
    <w:p>
      <w:pPr>
        <w:ind w:right="280" w:firstLine="439"/>
        <w:spacing w:after="0" w:line="277" w:lineRule="auto"/>
        <w:rPr>
          <w:sz w:val="20"/>
          <w:szCs w:val="20"/>
          <w:color w:val="auto"/>
        </w:rPr>
      </w:pPr>
      <w:r>
        <w:rPr>
          <w:rFonts w:ascii="Arial" w:cs="Arial" w:eastAsia="Arial" w:hAnsi="Arial"/>
          <w:sz w:val="18"/>
          <w:szCs w:val="18"/>
          <w:color w:val="auto"/>
        </w:rPr>
        <w:t>For the three months ended June 30, 2019 and 2018, interest expense and amortization on debt issuance costs for the period was approximately $2.0 million and $1.8 million, respectively, on average debt outstanding of $121 million and $110 million, respectively.</w:t>
      </w:r>
    </w:p>
    <w:p>
      <w:pPr>
        <w:spacing w:after="0" w:line="143" w:lineRule="exact"/>
        <w:rPr>
          <w:sz w:val="20"/>
          <w:szCs w:val="20"/>
          <w:color w:val="auto"/>
        </w:rPr>
      </w:pPr>
    </w:p>
    <w:p>
      <w:pPr>
        <w:ind w:right="60" w:firstLine="439"/>
        <w:spacing w:after="0" w:line="279" w:lineRule="auto"/>
        <w:rPr>
          <w:sz w:val="20"/>
          <w:szCs w:val="20"/>
          <w:color w:val="auto"/>
        </w:rPr>
      </w:pPr>
      <w:r>
        <w:rPr>
          <w:rFonts w:ascii="Arial" w:cs="Arial" w:eastAsia="Arial" w:hAnsi="Arial"/>
          <w:sz w:val="17"/>
          <w:szCs w:val="17"/>
          <w:color w:val="auto"/>
        </w:rPr>
        <w:t>Total expenses for the six months ended June 30, 2018 and 2018 were approximately $14.0 million and $8.7 million, respectively. For the six months ended June 30, 2019, we incurred approximately $3.4 million in total expenses in connection with the Externalization and approximately $1.4 million related to the lease impairment. For the six months ended June 30, 2018 and 2018, interest expense and amortization on debt issuance costs for the period was approximately $3.8 million and $3.7 million, respectively, on average debt outstanding of $113 million and $109 million, respectively.</w:t>
      </w:r>
    </w:p>
    <w:p>
      <w:pPr>
        <w:spacing w:after="0" w:line="131" w:lineRule="exact"/>
        <w:rPr>
          <w:sz w:val="20"/>
          <w:szCs w:val="20"/>
          <w:color w:val="auto"/>
        </w:rPr>
      </w:pPr>
    </w:p>
    <w:p>
      <w:pPr>
        <w:ind w:right="60" w:firstLine="439"/>
        <w:spacing w:after="0" w:line="255" w:lineRule="auto"/>
        <w:rPr>
          <w:sz w:val="20"/>
          <w:szCs w:val="20"/>
          <w:color w:val="auto"/>
        </w:rPr>
      </w:pPr>
      <w:r>
        <w:rPr>
          <w:rFonts w:ascii="Arial" w:cs="Arial" w:eastAsia="Arial" w:hAnsi="Arial"/>
          <w:sz w:val="18"/>
          <w:szCs w:val="18"/>
          <w:color w:val="auto"/>
        </w:rPr>
        <w:t>For the three months ended June 30, 2019 and 2018, approximately $0 and $1.0 million of expenses were attributable to employee compensation, including salaries, bonuses, employee benefits, payroll taxes and stock-based compensation expense, respectively. Since April 1, 2019, as a result of the Externalization, the Company has no longer has employees and does not incur employee compensation costs. For the three months ended June 30, 2019 and 2018, respectively, professional fees and insurance expenses totaled approximately $0.9 million and $1.0 million. For the three months ended June 30, 2019, Administrative services expense was approximately $0.4 million. Other general and administrative costs, which include rent expense on the Company’s lease obligation, and other administrative expenses, totaled approximately $0.3 million and $480,000 for the three months ended June 30, 2019 and 2018, respectively.</w:t>
      </w:r>
    </w:p>
    <w:p>
      <w:pPr>
        <w:spacing w:after="0" w:line="176" w:lineRule="exact"/>
        <w:rPr>
          <w:sz w:val="20"/>
          <w:szCs w:val="20"/>
          <w:color w:val="auto"/>
        </w:rPr>
      </w:pPr>
    </w:p>
    <w:p>
      <w:pPr>
        <w:ind w:right="320" w:firstLine="439"/>
        <w:spacing w:after="0" w:line="264" w:lineRule="auto"/>
        <w:rPr>
          <w:sz w:val="20"/>
          <w:szCs w:val="20"/>
          <w:color w:val="auto"/>
        </w:rPr>
      </w:pPr>
      <w:r>
        <w:rPr>
          <w:rFonts w:ascii="Arial" w:cs="Arial" w:eastAsia="Arial" w:hAnsi="Arial"/>
          <w:sz w:val="18"/>
          <w:szCs w:val="18"/>
          <w:color w:val="auto"/>
        </w:rPr>
        <w:t>During the second quarter of 2019, the Company recorded an impairment charge of approximately $1.4 million to write down the lease right-of-use asset for office space previously occupied by the Company. The impairment charge is recorded as a separate line item within the expense section of the consolidated statement of operations.</w:t>
      </w:r>
    </w:p>
    <w:p>
      <w:pPr>
        <w:spacing w:after="0" w:line="154" w:lineRule="exact"/>
        <w:rPr>
          <w:sz w:val="20"/>
          <w:szCs w:val="20"/>
          <w:color w:val="auto"/>
        </w:rPr>
      </w:pPr>
    </w:p>
    <w:p>
      <w:pPr>
        <w:ind w:right="220" w:firstLine="439"/>
        <w:spacing w:after="0" w:line="286" w:lineRule="auto"/>
        <w:rPr>
          <w:sz w:val="20"/>
          <w:szCs w:val="20"/>
          <w:color w:val="auto"/>
        </w:rPr>
      </w:pPr>
      <w:r>
        <w:rPr>
          <w:rFonts w:ascii="Arial" w:cs="Arial" w:eastAsia="Arial" w:hAnsi="Arial"/>
          <w:sz w:val="17"/>
          <w:szCs w:val="17"/>
          <w:color w:val="auto"/>
        </w:rPr>
        <w:t>For the six months ended June 30, 2019, approximately $3.7 million and $2.2 million of expenses were attributable to employee compensation, including salaries, bonuses, employee benefits, payroll taxes and stock-based compensation expense, respectively. For the six months ended June 30, 2019, we incurred approximately $2.2 million in compensation expense (primarily severance) in connection with the Externalization.</w:t>
      </w:r>
    </w:p>
    <w:p>
      <w:pPr>
        <w:spacing w:after="0" w:line="125"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For the six months ended June 30, 2019, professional fees and insurance expenses totaled approximately $2.6 million and $1.8 million respectively. For the six months ended June 30, 2019, the Company incurred approximately $1.0 million of professional fees in connection with the Externalization. For the six months ended June 30, 2019, Administrative services expense was approximately $0.4 million. Other general and administrative costs, rent expense on the Company’s lease obligation, technology and other office and administrative expenses, totaled approximately $1.1 million and $982,000 for the six months ended June 30, 2019 and 2018, respectively. For the six months ended June 30, 2019, we incurred approximately $187,000 in administrative costs in connection with the Externalization.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84" w:name="page85"/>
    <w:bookmarkEnd w:id="84"/>
    <w:p>
      <w:pPr>
        <w:ind w:left="440"/>
        <w:spacing w:after="0"/>
        <w:rPr>
          <w:sz w:val="20"/>
          <w:szCs w:val="20"/>
          <w:color w:val="auto"/>
        </w:rPr>
      </w:pPr>
      <w:r>
        <w:rPr>
          <w:rFonts w:ascii="Arial" w:cs="Arial" w:eastAsia="Arial" w:hAnsi="Arial"/>
          <w:sz w:val="18"/>
          <w:szCs w:val="18"/>
          <w:b w:val="1"/>
          <w:bCs w:val="1"/>
          <w:i w:val="1"/>
          <w:iCs w:val="1"/>
          <w:color w:val="auto"/>
        </w:rPr>
        <w:t>Net Investment Income and Net Realized Gains (Losses)</w:t>
      </w:r>
    </w:p>
    <w:p>
      <w:pPr>
        <w:spacing w:after="0" w:line="198" w:lineRule="exact"/>
        <w:rPr>
          <w:sz w:val="20"/>
          <w:szCs w:val="20"/>
          <w:color w:val="auto"/>
        </w:rPr>
      </w:pPr>
    </w:p>
    <w:p>
      <w:pPr>
        <w:ind w:right="200" w:firstLine="439"/>
        <w:spacing w:after="0" w:line="257" w:lineRule="auto"/>
        <w:rPr>
          <w:sz w:val="20"/>
          <w:szCs w:val="20"/>
          <w:color w:val="auto"/>
        </w:rPr>
      </w:pPr>
      <w:r>
        <w:rPr>
          <w:rFonts w:ascii="Arial" w:cs="Arial" w:eastAsia="Arial" w:hAnsi="Arial"/>
          <w:sz w:val="18"/>
          <w:szCs w:val="18"/>
          <w:color w:val="auto"/>
        </w:rPr>
        <w:t>Net (loss) investment income and net realized gains (losses) represents the change in stockholder’s equity before net unrealized appreciation or depreciation on investments. For the three months ended June 30, 2019, net investment loss and net realized losses were approximately ($1.4) million, or ($0.04) per share. For the three months ended June 30, 2018, net investment income and net realized gains were approximately $2.5 million, or $0.07 per share. Net investment (loss) income represents the income earned on our investments less operating and interest expense before net realized gains or losses and unrealized appreciation or depreciation on investments.</w:t>
      </w:r>
    </w:p>
    <w:p>
      <w:pPr>
        <w:spacing w:after="0" w:line="148" w:lineRule="exact"/>
        <w:rPr>
          <w:sz w:val="20"/>
          <w:szCs w:val="20"/>
          <w:color w:val="auto"/>
        </w:rPr>
      </w:pPr>
    </w:p>
    <w:p>
      <w:pPr>
        <w:ind w:right="20" w:firstLine="439"/>
        <w:spacing w:after="0" w:line="259" w:lineRule="auto"/>
        <w:rPr>
          <w:sz w:val="20"/>
          <w:szCs w:val="20"/>
          <w:color w:val="auto"/>
        </w:rPr>
      </w:pPr>
      <w:r>
        <w:rPr>
          <w:rFonts w:ascii="Arial" w:cs="Arial" w:eastAsia="Arial" w:hAnsi="Arial"/>
          <w:sz w:val="18"/>
          <w:szCs w:val="18"/>
          <w:color w:val="auto"/>
        </w:rPr>
        <w:t>For the six months ended June 30, 2019, net investment loss and net realized losses were approximately ($16.9) million, or ($0.45) per share. For the six months ended June 30, 2018, net investment income and net realized gains were approximately $5.0 million, or $0.13 per share. Net investment (loss) income represents the income earned on our investments less operating and interest expense before net realized gains or losses and unrealized appreciation or depreciation on investments.</w:t>
      </w:r>
    </w:p>
    <w:p>
      <w:pPr>
        <w:spacing w:after="0" w:line="146" w:lineRule="exact"/>
        <w:rPr>
          <w:sz w:val="20"/>
          <w:szCs w:val="20"/>
          <w:color w:val="auto"/>
        </w:rPr>
      </w:pPr>
    </w:p>
    <w:p>
      <w:pPr>
        <w:ind w:right="40" w:firstLine="439"/>
        <w:spacing w:after="0" w:line="297" w:lineRule="auto"/>
        <w:rPr>
          <w:sz w:val="20"/>
          <w:szCs w:val="20"/>
          <w:color w:val="auto"/>
        </w:rPr>
      </w:pPr>
      <w:r>
        <w:rPr>
          <w:rFonts w:ascii="Arial" w:cs="Arial" w:eastAsia="Arial" w:hAnsi="Arial"/>
          <w:sz w:val="16"/>
          <w:szCs w:val="16"/>
          <w:color w:val="auto"/>
        </w:rPr>
        <w:t>Investments are carried at fair value, with changes in fair value recorded as unrealized appreciation (depreciation) in the statement of operations. When an investment is sold or liquidated, any previously recognized unrealized appreciation/depreciation is reversed and a corresponding amount is recognized as realized gain (loss). For the six months ended June 30, 2019, GAAP-basis net investment loss was approximately $(1.3) million or $(0.04) per share, while tax-basis distributable income was approximately $1.5 million or $0.04 per share. For the six months ended June 30, 2018, GAAP-basis net investment income was approximately $5.0 million or $0.13 per basic share, while tax-basis distributable income was approximately $5.4 million or $0.14 per share.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189" w:lineRule="exact"/>
        <w:rPr>
          <w:sz w:val="20"/>
          <w:szCs w:val="20"/>
          <w:color w:val="auto"/>
        </w:rPr>
      </w:pPr>
    </w:p>
    <w:p>
      <w:pPr>
        <w:ind w:right="180" w:firstLine="439"/>
        <w:spacing w:after="0" w:line="291" w:lineRule="auto"/>
        <w:rPr>
          <w:sz w:val="20"/>
          <w:szCs w:val="20"/>
          <w:color w:val="auto"/>
        </w:rPr>
      </w:pPr>
      <w:r>
        <w:rPr>
          <w:rFonts w:ascii="Arial" w:cs="Arial" w:eastAsia="Arial" w:hAnsi="Arial"/>
          <w:sz w:val="16"/>
          <w:szCs w:val="16"/>
          <w:color w:val="auto"/>
        </w:rPr>
        <w:t>During the three months ended June 30, 2019, our total investments had net unrealized appreciation of approximately $543 thousand. Included in the net unrealized appreciation are unrealized depreciation on CLO Fund Securities of approximately $599 thousand unrealized depreciation and on equity securities of approximately $152 thousand, an unrealized depreciation of $1.3 million on our Joint Ventures investment and unrealized appreciation on our debt securities of $2.3 million. During the three months ended June 30, 2018, our total investments had net unrealized depreciation of approximately $3.8 million. Included in the net unrealized depreciation are unrealized depreciation on CLO Fund Securities of approximately $941 thousand unrealized appreciation and on equity securities of approximately $227 thousand, as well as unrealized depreciation of the Asset Manager Affiliates of $1.3 million thousand, an unrealized loss of $676 thousand on our Joint Ventures investment and unrealized depreciation on our debt securities of $682 thousand.</w:t>
      </w:r>
    </w:p>
    <w:p>
      <w:pPr>
        <w:spacing w:after="0" w:line="127" w:lineRule="exact"/>
        <w:rPr>
          <w:sz w:val="20"/>
          <w:szCs w:val="20"/>
          <w:color w:val="auto"/>
        </w:rPr>
      </w:pPr>
    </w:p>
    <w:p>
      <w:pPr>
        <w:ind w:firstLine="439"/>
        <w:spacing w:after="0" w:line="271" w:lineRule="auto"/>
        <w:rPr>
          <w:sz w:val="20"/>
          <w:szCs w:val="20"/>
          <w:color w:val="auto"/>
        </w:rPr>
      </w:pPr>
      <w:r>
        <w:rPr>
          <w:rFonts w:ascii="Arial" w:cs="Arial" w:eastAsia="Arial" w:hAnsi="Arial"/>
          <w:sz w:val="17"/>
          <w:szCs w:val="17"/>
          <w:color w:val="auto"/>
        </w:rPr>
        <w:t>During the six months ended June 30, 2019, our total investments had net unrealized appreciation of approximately$5.2 million. Included in the net unrealized gain for the six months ended June 30, 2019, are unrealized appreciation on CLO Fund Securities of approximately $1.9 million, net unrealized depreciation on equity securities of approximately $4.9 million, no unrealized on the Asset Manager Affiliates, as well as an unrealized gain of $4.0 million on our Joint Ventures investment and unrealized appreciation on our debt securities of approximately $4.2 million. During the six months ended June 30, 2018, our total investments had net unrealized depreciation of approximately $3.5 million. Included in the net unrealized loss are unrealized depreciation on CLO Fund Securities of approximately $813 thousand unrealized appreciation and on equity securities of approximately $164 thousand, as well as unrealized depreciation of the Asset Manager Affiliates of $1.0 million, an unrealized loss of $425 thousand on our Joint Ventures investment and unrealized depreciation on our debt securities of $1.1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189" w:lineRule="exact"/>
        <w:rPr>
          <w:sz w:val="20"/>
          <w:szCs w:val="20"/>
          <w:color w:val="auto"/>
        </w:rPr>
      </w:pPr>
    </w:p>
    <w:p>
      <w:pPr>
        <w:ind w:right="260" w:firstLine="439"/>
        <w:spacing w:after="0" w:line="342" w:lineRule="auto"/>
        <w:rPr>
          <w:sz w:val="20"/>
          <w:szCs w:val="20"/>
          <w:color w:val="auto"/>
        </w:rPr>
      </w:pPr>
      <w:r>
        <w:rPr>
          <w:rFonts w:ascii="Arial" w:cs="Arial" w:eastAsia="Arial" w:hAnsi="Arial"/>
          <w:sz w:val="16"/>
          <w:szCs w:val="16"/>
          <w:color w:val="auto"/>
        </w:rPr>
        <w:t>The net decrease in stockholders’ equity resulting from operations for the three months ended June 30, 2019 was ($0.8) million, or $(0.02) per basic share. Net decrease in stockholders’ equity resulting from operations for the three months ended June 30, 2018 was ($1.3) million, or $(0.04) per share.</w:t>
      </w:r>
    </w:p>
    <w:p>
      <w:pPr>
        <w:spacing w:after="0" w:line="83" w:lineRule="exact"/>
        <w:rPr>
          <w:sz w:val="20"/>
          <w:szCs w:val="20"/>
          <w:color w:val="auto"/>
        </w:rPr>
      </w:pPr>
    </w:p>
    <w:p>
      <w:pPr>
        <w:ind w:right="320" w:firstLine="439"/>
        <w:spacing w:after="0" w:line="342" w:lineRule="auto"/>
        <w:rPr>
          <w:sz w:val="20"/>
          <w:szCs w:val="20"/>
          <w:color w:val="auto"/>
        </w:rPr>
      </w:pPr>
      <w:r>
        <w:rPr>
          <w:rFonts w:ascii="Arial" w:cs="Arial" w:eastAsia="Arial" w:hAnsi="Arial"/>
          <w:sz w:val="16"/>
          <w:szCs w:val="16"/>
          <w:color w:val="auto"/>
        </w:rPr>
        <w:t>The net decrease in stockholders’ equity resulting from operations for the six months ended June 30, 2019 was ($11.8) million, or $(0.32) per basic share. Net increase in stockholders’ equity resulting from operations for the six months ended June 30, 2018 was $1.3 million, or $0.03 per share.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01" w:right="29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02" w:lineRule="exact"/>
        <w:rPr>
          <w:sz w:val="20"/>
          <w:szCs w:val="20"/>
          <w:color w:val="auto"/>
        </w:rPr>
      </w:pPr>
    </w:p>
    <w:p>
      <w:pPr>
        <w:ind w:right="60" w:firstLine="439"/>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2019 and December 31, 2018 the fair value of investments and cash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Investments at Fair Value</w:t>
            </w: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June 30, 2019</w:t>
            </w: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December 31, 2018</w:t>
            </w:r>
          </w:p>
        </w:tc>
        <w:tc>
          <w:tcPr>
            <w:tcW w:w="100" w:type="dxa"/>
            <w:vAlign w:val="bottom"/>
          </w:tcPr>
          <w:p>
            <w:pPr>
              <w:spacing w:after="0"/>
              <w:rPr>
                <w:sz w:val="19"/>
                <w:szCs w:val="19"/>
                <w:color w:val="auto"/>
              </w:rPr>
            </w:pPr>
          </w:p>
        </w:tc>
      </w:tr>
      <w:tr>
        <w:trPr>
          <w:trHeight w:val="223"/>
        </w:trPr>
        <w:tc>
          <w:tcPr>
            <w:tcW w:w="7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236,828</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5,417,125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3,467,338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3,907,341</w:t>
            </w:r>
          </w:p>
        </w:tc>
        <w:tc>
          <w:tcPr>
            <w:tcW w:w="100" w:type="dxa"/>
            <w:vAlign w:val="bottom"/>
          </w:tcPr>
          <w:p>
            <w:pPr>
              <w:spacing w:after="0"/>
              <w:rPr>
                <w:sz w:val="19"/>
                <w:szCs w:val="19"/>
                <w:color w:val="auto"/>
              </w:rPr>
            </w:pP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Short-term investments</w:t>
            </w:r>
            <w:r>
              <w:rPr>
                <w:rFonts w:ascii="Arial" w:cs="Arial" w:eastAsia="Arial" w:hAnsi="Arial"/>
                <w:sz w:val="15"/>
                <w:szCs w:val="15"/>
                <w:color w:val="auto"/>
              </w:rPr>
              <w:t>2</w:t>
            </w: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27,443,091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44,756,478</w:t>
            </w:r>
          </w:p>
        </w:tc>
        <w:tc>
          <w:tcPr>
            <w:tcW w:w="100" w:type="dxa"/>
            <w:vAlign w:val="bottom"/>
            <w:shd w:val="clear" w:color="auto" w:fill="CFF0FC"/>
          </w:tcPr>
          <w:p>
            <w:pPr>
              <w:spacing w:after="0"/>
              <w:rPr>
                <w:sz w:val="19"/>
                <w:szCs w:val="19"/>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Senior Secured Loan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88,400,312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77,616,209</w:t>
            </w:r>
          </w:p>
        </w:tc>
        <w:tc>
          <w:tcPr>
            <w:tcW w:w="100" w:type="dxa"/>
            <w:vAlign w:val="bottom"/>
          </w:tcPr>
          <w:p>
            <w:pPr>
              <w:spacing w:after="0"/>
              <w:rPr>
                <w:sz w:val="19"/>
                <w:szCs w:val="19"/>
                <w:color w:val="auto"/>
              </w:rPr>
            </w:pP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Junior Secured Loan</w:t>
            </w: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86,499,106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70,245,535</w:t>
            </w:r>
          </w:p>
        </w:tc>
        <w:tc>
          <w:tcPr>
            <w:tcW w:w="100" w:type="dxa"/>
            <w:vAlign w:val="bottom"/>
            <w:shd w:val="clear" w:color="auto" w:fill="CFF0FC"/>
          </w:tcPr>
          <w:p>
            <w:pPr>
              <w:spacing w:after="0"/>
              <w:rPr>
                <w:sz w:val="19"/>
                <w:szCs w:val="19"/>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Senior Unsecured Bond</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422,347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CLO Fund Securities</w:t>
            </w: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40,006,481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44,325,000</w:t>
            </w:r>
          </w:p>
        </w:tc>
        <w:tc>
          <w:tcPr>
            <w:tcW w:w="100" w:type="dxa"/>
            <w:vAlign w:val="bottom"/>
            <w:shd w:val="clear" w:color="auto" w:fill="CFF0FC"/>
          </w:tcPr>
          <w:p>
            <w:pPr>
              <w:spacing w:after="0"/>
              <w:rPr>
                <w:sz w:val="19"/>
                <w:szCs w:val="19"/>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4,143,686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2,038,020</w:t>
            </w:r>
          </w:p>
        </w:tc>
        <w:tc>
          <w:tcPr>
            <w:tcW w:w="100" w:type="dxa"/>
            <w:vAlign w:val="bottom"/>
          </w:tcPr>
          <w:p>
            <w:pPr>
              <w:spacing w:after="0"/>
              <w:rPr>
                <w:sz w:val="19"/>
                <w:szCs w:val="19"/>
                <w:color w:val="auto"/>
              </w:rPr>
            </w:pP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40,089,257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30,857,107</w:t>
            </w:r>
          </w:p>
        </w:tc>
        <w:tc>
          <w:tcPr>
            <w:tcW w:w="100" w:type="dxa"/>
            <w:vAlign w:val="bottom"/>
            <w:shd w:val="clear" w:color="auto" w:fill="CFF0FC"/>
          </w:tcPr>
          <w:p>
            <w:pPr>
              <w:spacing w:after="0"/>
              <w:rPr>
                <w:sz w:val="19"/>
                <w:szCs w:val="19"/>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Asset Manager Affiliates</w:t>
            </w:r>
          </w:p>
        </w:tc>
        <w:tc>
          <w:tcPr>
            <w:tcW w:w="16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3,470,000</w:t>
            </w:r>
          </w:p>
        </w:tc>
        <w:tc>
          <w:tcPr>
            <w:tcW w:w="100" w:type="dxa"/>
            <w:vAlign w:val="bottom"/>
          </w:tcPr>
          <w:p>
            <w:pPr>
              <w:spacing w:after="0"/>
              <w:rPr>
                <w:sz w:val="19"/>
                <w:szCs w:val="19"/>
                <w:color w:val="auto"/>
              </w:rPr>
            </w:pPr>
          </w:p>
        </w:tc>
      </w:tr>
      <w:tr>
        <w:trPr>
          <w:trHeight w:val="223"/>
        </w:trPr>
        <w:tc>
          <w:tcPr>
            <w:tcW w:w="76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290,708,446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282,632,815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39"/>
        <w:spacing w:after="0" w:line="297" w:lineRule="auto"/>
        <w:rPr>
          <w:sz w:val="20"/>
          <w:szCs w:val="20"/>
          <w:color w:val="auto"/>
        </w:rPr>
      </w:pPr>
      <w:r>
        <w:rPr>
          <w:rFonts w:ascii="Arial" w:cs="Arial" w:eastAsia="Arial" w:hAnsi="Arial"/>
          <w:sz w:val="16"/>
          <w:szCs w:val="16"/>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150% after such borrowing. As of June 30, 2019, we had approximately $123 million of par value of outstanding borrowings and our asset coverage ratio of total assets to total borrowings was 211%, compliant with the minimum asset coverage level of 150% generally required for a BDC by the 1940 Act. We may also borrow amounts of up to 5% of the value of our total assets for temporary purposes.</w:t>
      </w:r>
    </w:p>
    <w:p>
      <w:pPr>
        <w:spacing w:after="0" w:line="118"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The recently enacted Small Business Credit Availability Act (the “SBCA”) has modified the 1940 Act by allowing a BDC to increase the maximum amount of leverage it may incur from an asset coverage ratio of 200% to an asset coverage ratio of 150%, if certain requirements are met. On March 29, 2018, the Board , including a “required majority” (as such term is defined in Section 57(o) of the 1940 Act) of its Board, approved the modified asset coverage requirements set forth in Section 61(a)(2) of the 1940 Act, as amended by the SBCA. As a result, the Company’s asset coverage requirements for senior securities changed from 200% to 150%, effective as of March 29, 2019. We will continue to be prohibited by the indentures governing our 6.125% Notes (each, as defined and discussed in Note 6- “Borrowings”) from making distributions on our common stock if our asset coverage, as defined in the 1940 Act, falls below 200%.</w:t>
      </w:r>
    </w:p>
    <w:p>
      <w:pPr>
        <w:spacing w:after="0" w:line="162" w:lineRule="exact"/>
        <w:rPr>
          <w:sz w:val="20"/>
          <w:szCs w:val="20"/>
          <w:color w:val="auto"/>
        </w:rPr>
      </w:pPr>
    </w:p>
    <w:p>
      <w:pPr>
        <w:ind w:right="340" w:firstLine="439"/>
        <w:spacing w:after="0" w:line="291" w:lineRule="auto"/>
        <w:rPr>
          <w:sz w:val="20"/>
          <w:szCs w:val="20"/>
          <w:color w:val="auto"/>
        </w:rPr>
      </w:pPr>
      <w:r>
        <w:rPr>
          <w:rFonts w:ascii="Arial" w:cs="Arial" w:eastAsia="Arial" w:hAnsi="Arial"/>
          <w:sz w:val="16"/>
          <w:szCs w:val="16"/>
          <w:color w:val="auto"/>
        </w:rPr>
        <w:t>During the third quarter of 2017, the company issued $77.4 million aggregate principal amount of 6.125% Notes due 2022 (the “6.125% Notes Due 2022”). The net proceeds for the 6.125% Notes Due 2022, after the payment of underwriting expenses, were approximately $74.6 million. Interest on the</w:t>
      </w:r>
    </w:p>
    <w:p>
      <w:pPr>
        <w:ind w:right="40"/>
        <w:spacing w:after="0" w:line="252" w:lineRule="auto"/>
        <w:rPr>
          <w:sz w:val="20"/>
          <w:szCs w:val="20"/>
          <w:color w:val="auto"/>
        </w:rPr>
      </w:pPr>
      <w:r>
        <w:rPr>
          <w:rFonts w:ascii="Arial" w:cs="Arial" w:eastAsia="Arial" w:hAnsi="Arial"/>
          <w:sz w:val="18"/>
          <w:szCs w:val="18"/>
          <w:color w:val="auto"/>
        </w:rPr>
        <w:t>6.125% Notes Due 2022 is paid quarterly in arrears on March 30, June 30, September 30 and December 30, at a rate of 6.125% commencing September 30, 2017. The 6.125% Notes Due 2022 mature on September 30, 2022, and are senior unsecured obligations. In addition, due to the asset coverage requirement currently applicable to us as a BDC and a covenant that we agreed to in connection with the issuance of the 6.125% Notes Due 2022, the Company is limited in its ability to make distributions if its asset coverage, as defined in the 1940 Act, is below 200% at the time of the declaration of the distribution. As a result, despite the SBCA, we will continue to be prohibited by the indenture governing the 6.125% Notes Due 2022 from making distributions on its common stock if its asset coverage, as defined in the 1940 Act, falls below 200%. At June 30, 2019, we were in compliance with all of our debt covenants. The indenture governing the 6.125% Notes Due 2022 contains certain restrictive covenants, including compliance with certain provisions of the 1940 Act relating to borrowing and dividends.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86" w:name="page87"/>
    <w:bookmarkEnd w:id="86"/>
    <w:p>
      <w:pPr>
        <w:ind w:right="20" w:firstLine="439"/>
        <w:spacing w:after="0" w:line="253" w:lineRule="auto"/>
        <w:rPr>
          <w:sz w:val="20"/>
          <w:szCs w:val="20"/>
          <w:color w:val="auto"/>
        </w:rPr>
      </w:pPr>
      <w:r>
        <w:rPr>
          <w:rFonts w:ascii="Arial" w:cs="Arial" w:eastAsia="Arial" w:hAnsi="Arial"/>
          <w:sz w:val="18"/>
          <w:szCs w:val="18"/>
          <w:color w:val="auto"/>
        </w:rPr>
        <w:t>On March 1, 2018, Great Lakes KCAP Funding I, LLC (“Funding”), our wholly owned subsidiary, entered into a senior secured revolving credit facility (the “Revolving Credit Facility”) with certain institutional lenders, State Bank and Trust Company, as the administrative agent, lead arranger and bookrunner, CIBC Bank USA, as documentation agent and us, as the servicer. The maximum commitment amount of the Revolving Credit Facility was increased on March 27, 2019 to $57.5 million, and on April 1, 2019 to $67.5 million, subject to availability under the borrowing base. Borrowings under the Revolving Credit Facility bear interest at a rate per annum equal to (i) in the case of LIBOR rate loans, an adjusted LIBOR rate for the applicable interest period plus 3.25% or (ii) in the case of base rate loans, the prime rate plus 3.25%. Funding will pay a fee on any undrawn amounts of 0.375% per annum; provided that if 50% or less of the Revolving Credit Facility is drawn, the fee will be 0.50% per annum. We intend to use the proceeds from borrowings under the Revolving Credit Facility for general corporate purposes, including to acquire certain qualifying loans, and such other uses as permitted under the Loan and Security Agreement.</w:t>
      </w:r>
    </w:p>
    <w:p>
      <w:pPr>
        <w:spacing w:after="0" w:line="170" w:lineRule="exact"/>
        <w:rPr>
          <w:sz w:val="20"/>
          <w:szCs w:val="20"/>
          <w:color w:val="auto"/>
        </w:rPr>
      </w:pPr>
    </w:p>
    <w:p>
      <w:pPr>
        <w:ind w:right="320" w:firstLine="439"/>
        <w:spacing w:after="0" w:line="271" w:lineRule="auto"/>
        <w:rPr>
          <w:sz w:val="20"/>
          <w:szCs w:val="20"/>
          <w:color w:val="auto"/>
        </w:rPr>
      </w:pPr>
      <w:r>
        <w:rPr>
          <w:rFonts w:ascii="Arial" w:cs="Arial" w:eastAsia="Arial" w:hAnsi="Arial"/>
          <w:sz w:val="17"/>
          <w:szCs w:val="17"/>
          <w:color w:val="auto"/>
        </w:rPr>
        <w:t>The maturity date is the earliest of: (a) March 1, 2022 and (b) the date upon which all loans shall become due and payable in full, whether by acceleration or otherwise. The Revolving Credit Facility is secured by all of the assets held by Funding, and we have pledged our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 At June 30, 2019, Funding was in compliance with all of its debt covenants. As of June 30, 2019, $43.9 million principal amount of borrowings was outstanding under the Revolving Credit Facility. Interest on borrowings under the Revolving Credit Facility is paid monthly. Borrowings under the Revolving Credit Facility are subject to redemption in whole or in part at any time or from time to time, at the option of the Funding.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Ventures</w:t>
      </w:r>
    </w:p>
    <w:p>
      <w:pPr>
        <w:spacing w:after="0" w:line="189" w:lineRule="exact"/>
        <w:rPr>
          <w:sz w:val="20"/>
          <w:szCs w:val="20"/>
          <w:color w:val="auto"/>
        </w:rPr>
      </w:pPr>
    </w:p>
    <w:p>
      <w:pPr>
        <w:ind w:right="240" w:firstLine="439"/>
        <w:spacing w:after="0" w:line="277" w:lineRule="auto"/>
        <w:rPr>
          <w:sz w:val="20"/>
          <w:szCs w:val="20"/>
          <w:color w:val="auto"/>
        </w:rPr>
      </w:pPr>
      <w:r>
        <w:rPr>
          <w:rFonts w:ascii="Arial" w:cs="Arial" w:eastAsia="Arial" w:hAnsi="Arial"/>
          <w:sz w:val="18"/>
          <w:szCs w:val="18"/>
          <w:color w:val="auto"/>
        </w:rPr>
        <w:t>During the third quarter of 2017, we entered into an agreement with Freedom 3 Opportunities, an affiliate of Freedom 3 Capital LLC, entered into an agreement to create the Joint Venture See “Investment in Joint Venture,” above for further information.</w:t>
      </w:r>
    </w:p>
    <w:p>
      <w:pPr>
        <w:spacing w:after="0" w:line="143" w:lineRule="exact"/>
        <w:rPr>
          <w:sz w:val="20"/>
          <w:szCs w:val="20"/>
          <w:color w:val="auto"/>
        </w:rPr>
      </w:pPr>
    </w:p>
    <w:p>
      <w:pPr>
        <w:ind w:right="40" w:firstLine="439"/>
        <w:spacing w:after="0" w:line="255" w:lineRule="auto"/>
        <w:rPr>
          <w:sz w:val="20"/>
          <w:szCs w:val="20"/>
          <w:color w:val="auto"/>
        </w:rPr>
      </w:pPr>
      <w:r>
        <w:rPr>
          <w:rFonts w:ascii="Arial" w:cs="Arial" w:eastAsia="Arial" w:hAnsi="Arial"/>
          <w:sz w:val="18"/>
          <w:szCs w:val="18"/>
          <w:color w:val="auto"/>
        </w:rPr>
        <w:t>In connection with the Externalization, during the first quarter of 2019, KCAP Management agreed to waive management fees it is otherwise entitled to receive for managing Great Lakes KCAP FC3 Senior, LLC (formerly known as KCAP F3C Senior Funding, LLC). In addition, the Joint Venture was restructured such that the Company is now entitled to receive a preferred distribution in an amount equal to the fees waived by KCAP Management. The impact of these transactions is a reduction in the fair value of the Asset Manager Affiliates and increase the fair value of the Company’s investment in the Joint Venture. The reduction in the fair value of the Asset Manager Affiliates was recognized as a realized loss on the Statement of Operations during the first quarter of 2019. The increase in the fair value our investment in the Joint Venture was recognized as an unrealized gain in the Statement of Operations during the first quarter of 2019.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Great Lakes and Asset Purchase Letter Agreement</w:t>
      </w:r>
    </w:p>
    <w:p>
      <w:pPr>
        <w:spacing w:after="0" w:line="189" w:lineRule="exact"/>
        <w:rPr>
          <w:sz w:val="20"/>
          <w:szCs w:val="20"/>
          <w:color w:val="auto"/>
        </w:rPr>
      </w:pPr>
    </w:p>
    <w:p>
      <w:pPr>
        <w:ind w:right="60" w:firstLine="439"/>
        <w:spacing w:after="0" w:line="279" w:lineRule="auto"/>
        <w:rPr>
          <w:sz w:val="20"/>
          <w:szCs w:val="20"/>
          <w:color w:val="auto"/>
        </w:rPr>
      </w:pPr>
      <w:r>
        <w:rPr>
          <w:rFonts w:ascii="Arial" w:cs="Arial" w:eastAsia="Arial" w:hAnsi="Arial"/>
          <w:sz w:val="17"/>
          <w:szCs w:val="17"/>
          <w:color w:val="auto"/>
        </w:rPr>
        <w:t>We have invested in BCP Great Lakes Fund LP (the “BCP Great Lakes Partnership”), which in turn has invested in BCP Great Lakes Holdings LP, a vehicle formed as a co-investment vehicle to facilitate the participation of certain co-investors to invest, directly or indirectly, in Great Lakes Funding LLC. The investment strategy of BCP Great Lakes Funding, LLC is to underwrite and hold senior, secured unitranche loans made to middle-market companies. We do not pay any advisory fees in connection with our investment in the BCP Great Lakes Partnership.</w:t>
      </w:r>
    </w:p>
    <w:p>
      <w:pPr>
        <w:spacing w:after="0" w:line="144" w:lineRule="exact"/>
        <w:rPr>
          <w:sz w:val="20"/>
          <w:szCs w:val="20"/>
          <w:color w:val="auto"/>
        </w:rPr>
      </w:pPr>
    </w:p>
    <w:p>
      <w:pPr>
        <w:ind w:firstLine="439"/>
        <w:spacing w:after="0" w:line="276" w:lineRule="auto"/>
        <w:rPr>
          <w:sz w:val="20"/>
          <w:szCs w:val="20"/>
          <w:color w:val="auto"/>
        </w:rPr>
      </w:pPr>
      <w:r>
        <w:rPr>
          <w:rFonts w:ascii="Arial" w:cs="Arial" w:eastAsia="Arial" w:hAnsi="Arial"/>
          <w:sz w:val="17"/>
          <w:szCs w:val="17"/>
          <w:color w:val="auto"/>
        </w:rPr>
        <w:t>The fair value of our investment in the BCP Great Lakes Partnership at June 30, 2019 was $17.7 million. Fair value has been determined utilizing the practical expedient pursuant to ASC 820-10. Pursuant to the terms of the BGP Great Lakes Fund LP Amended and Restated Exempted Limited Partnership Agreement (the “BCP Great Lakes Partnership Agreement”), we generally may not sell, exchange, assign, pledge or otherwise transfer its interest, in whole or in part, without the prior written consent of the General Partner which consent may be given or withheld in its sole and absolute discretion, and may be conditioned upon repayment of its share of indebtedness incurred by the BCP Great Lakes Partnership.</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87" w:name="page88"/>
    <w:bookmarkEnd w:id="87"/>
    <w:p>
      <w:pPr>
        <w:ind w:firstLine="439"/>
        <w:spacing w:after="0" w:line="312" w:lineRule="auto"/>
        <w:rPr>
          <w:sz w:val="20"/>
          <w:szCs w:val="20"/>
          <w:color w:val="auto"/>
        </w:rPr>
      </w:pPr>
      <w:r>
        <w:rPr>
          <w:rFonts w:ascii="Arial" w:cs="Arial" w:eastAsia="Arial" w:hAnsi="Arial"/>
          <w:sz w:val="16"/>
          <w:szCs w:val="16"/>
          <w:color w:val="auto"/>
        </w:rPr>
        <w:t>In March 2019, we increased its aggregate commitment to the BCP Great Lakes Partnership to $50 million, subject to certain limitations (including that we are not obligated to fund capital calls if such funding would cause us to be out of compliance with certain provisions of the Investment Company Act of 1940). As of June 30, 2019, we had a $32.3 million unfunded commitment to the BCP Great Lakes Partnership, subject to the limitations noted above.</w:t>
      </w:r>
    </w:p>
    <w:p>
      <w:pPr>
        <w:spacing w:after="0" w:line="120" w:lineRule="exact"/>
        <w:rPr>
          <w:sz w:val="20"/>
          <w:szCs w:val="20"/>
          <w:color w:val="auto"/>
        </w:rPr>
      </w:pPr>
    </w:p>
    <w:p>
      <w:pPr>
        <w:ind w:right="20" w:firstLine="439"/>
        <w:spacing w:after="0" w:line="257" w:lineRule="auto"/>
        <w:rPr>
          <w:sz w:val="20"/>
          <w:szCs w:val="20"/>
          <w:color w:val="auto"/>
        </w:rPr>
      </w:pPr>
      <w:r>
        <w:rPr>
          <w:rFonts w:ascii="Arial" w:cs="Arial" w:eastAsia="Arial" w:hAnsi="Arial"/>
          <w:sz w:val="18"/>
          <w:szCs w:val="18"/>
          <w:color w:val="auto"/>
        </w:rPr>
        <w:t>On December 12, 2018, we and BCP entered into a letter agreement (the “Asset Purchase Letter Agreement”) pursuant to which we and BCP each agreed to use commercially reasonable efforts to effect the sale by BCP (or its affiliates or advisory clients of its affiliates), in one or more transactions, of certain assets held by BCP (or its affiliates or advisory clients thereof) that, taken together, have an aggregate principal amount of approximately $75 million, less $25 million of aggregate amount of capital contributions made by us to the BCP Great Lakes Partnership. In the second quarter of 2019 BCP’s obligation was satisfied.</w:t>
      </w:r>
    </w:p>
    <w:p>
      <w:pPr>
        <w:spacing w:after="0" w:line="148" w:lineRule="exact"/>
        <w:rPr>
          <w:sz w:val="20"/>
          <w:szCs w:val="20"/>
          <w:color w:val="auto"/>
        </w:rPr>
      </w:pPr>
    </w:p>
    <w:p>
      <w:pPr>
        <w:ind w:right="20" w:firstLine="439"/>
        <w:spacing w:after="0" w:line="271" w:lineRule="auto"/>
        <w:rPr>
          <w:sz w:val="20"/>
          <w:szCs w:val="20"/>
          <w:color w:val="auto"/>
        </w:rPr>
      </w:pPr>
      <w:r>
        <w:rPr>
          <w:rFonts w:ascii="Arial" w:cs="Arial" w:eastAsia="Arial" w:hAnsi="Arial"/>
          <w:sz w:val="17"/>
          <w:szCs w:val="17"/>
          <w:color w:val="auto"/>
        </w:rPr>
        <w:t>Subject to prevailing market conditions, we intend to grow our portfolio of assets by raising additional capital, including through the prudent use of leverage available to us. However, we may face difficulty in obtaining a new debt and equity financing as a result of current market conditions. In this regard, because our common stock has traded at a price below our current net asset value per share and we are limited in our ability to sell our common stock at a price below net asset value per share without stockholder approval (which we currently do not have), we have been and may continue to be limited in our ability to raise equity capital. See “Part I. Item 1. Business — Regulation — Common Stock”.” of our Annual Report on Form 10-K for the year ended December 31, 2018. From time to time, we may seek to retire, repurchase, or exchange debt securities in open market purchases or by other means dependent on market conditions, liquidity, contractual obligations, and other matters. In addition, we evaluate strategic opportunities available to us, including mergers, divestures, spin-offs, joint ventures and other similar transactions from time to time.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02" w:lineRule="exact"/>
        <w:rPr>
          <w:sz w:val="20"/>
          <w:szCs w:val="20"/>
          <w:color w:val="auto"/>
        </w:rPr>
      </w:pPr>
    </w:p>
    <w:p>
      <w:pPr>
        <w:ind w:right="300" w:firstLine="439"/>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130" w:lineRule="exact"/>
        <w:rPr>
          <w:sz w:val="20"/>
          <w:szCs w:val="20"/>
          <w:color w:val="auto"/>
        </w:rPr>
      </w:pPr>
    </w:p>
    <w:p>
      <w:pPr>
        <w:ind w:left="880" w:hanging="440"/>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184" w:lineRule="exact"/>
        <w:rPr>
          <w:rFonts w:ascii="Arial" w:cs="Arial" w:eastAsia="Arial" w:hAnsi="Arial"/>
          <w:sz w:val="18"/>
          <w:szCs w:val="18"/>
          <w:color w:val="auto"/>
        </w:rPr>
      </w:pPr>
    </w:p>
    <w:p>
      <w:pPr>
        <w:ind w:left="880" w:right="480" w:hanging="440"/>
        <w:spacing w:after="0" w:line="277" w:lineRule="auto"/>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130" w:lineRule="exact"/>
        <w:rPr>
          <w:sz w:val="20"/>
          <w:szCs w:val="20"/>
          <w:color w:val="auto"/>
        </w:rPr>
      </w:pPr>
    </w:p>
    <w:p>
      <w:pPr>
        <w:ind w:right="140" w:firstLine="439"/>
        <w:spacing w:after="0" w:line="277"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130" w:lineRule="exact"/>
        <w:rPr>
          <w:sz w:val="20"/>
          <w:szCs w:val="20"/>
          <w:color w:val="auto"/>
        </w:rPr>
      </w:pPr>
    </w:p>
    <w:p>
      <w:pPr>
        <w:ind w:right="380" w:firstLine="439"/>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is based primarily on our evaluation of our net investment income and distributable taxable income.</w:t>
      </w:r>
    </w:p>
    <w:p>
      <w:pPr>
        <w:spacing w:after="0" w:line="143" w:lineRule="exact"/>
        <w:rPr>
          <w:sz w:val="20"/>
          <w:szCs w:val="20"/>
          <w:color w:val="auto"/>
        </w:rPr>
      </w:pPr>
    </w:p>
    <w:p>
      <w:pPr>
        <w:ind w:right="40" w:firstLine="439"/>
        <w:spacing w:after="0" w:line="297" w:lineRule="auto"/>
        <w:rPr>
          <w:sz w:val="20"/>
          <w:szCs w:val="20"/>
          <w:color w:val="auto"/>
        </w:rPr>
      </w:pPr>
      <w:r>
        <w:rPr>
          <w:rFonts w:ascii="Arial" w:cs="Arial" w:eastAsia="Arial" w:hAnsi="Arial"/>
          <w:sz w:val="16"/>
          <w:szCs w:val="16"/>
          <w:color w:val="auto"/>
        </w:rPr>
        <w:t>On March 29, 2018, our Board, including a “required majority” (as such term is defined in Section 57(o) of the 1940 Act) of the Board, approved the modified asset coverage requirements set forth in Section 61(a)(2) of the 1940 Act, as amended by the SBCA. As a result, our asset coverage requirement for senior securities changed from 200% to 150%, effective as of March 29, 2019. However, despite the SBCA, we will continue to be prohibited by the indentures governing our 6.125% Notes Due 2022 from making distributions on our common stock if our asset coverage, as defined in the 1940 Act, falls below 200%. In any such event, we would be prohibited from making distributions required in order to maintain our status as a RIC.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88" w:name="page89"/>
    <w:bookmarkEnd w:id="88"/>
    <w:p>
      <w:pPr>
        <w:ind w:left="440"/>
        <w:spacing w:after="0"/>
        <w:rPr>
          <w:sz w:val="20"/>
          <w:szCs w:val="20"/>
          <w:color w:val="auto"/>
        </w:rPr>
      </w:pPr>
      <w:r>
        <w:rPr>
          <w:rFonts w:ascii="Arial" w:cs="Arial" w:eastAsia="Arial" w:hAnsi="Arial"/>
          <w:sz w:val="18"/>
          <w:szCs w:val="18"/>
          <w:color w:val="auto"/>
        </w:rPr>
        <w:t>The following table sets forth the quarterly distributions paid by us since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Declaration</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Record</w:t>
            </w:r>
          </w:p>
        </w:tc>
        <w:tc>
          <w:tcPr>
            <w:tcW w:w="1280" w:type="dxa"/>
            <w:vAlign w:val="bottom"/>
          </w:tcPr>
          <w:p>
            <w:pPr>
              <w:spacing w:after="0"/>
              <w:rPr>
                <w:sz w:val="18"/>
                <w:szCs w:val="18"/>
                <w:color w:val="auto"/>
              </w:rPr>
            </w:pPr>
          </w:p>
        </w:tc>
      </w:tr>
      <w:tr>
        <w:trPr>
          <w:trHeight w:val="234"/>
        </w:trPr>
        <w:tc>
          <w:tcPr>
            <w:tcW w:w="5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Distribution</w:t>
            </w:r>
          </w:p>
        </w:tc>
        <w:tc>
          <w:tcPr>
            <w:tcW w:w="220" w:type="dxa"/>
            <w:vAlign w:val="bottom"/>
          </w:tcPr>
          <w:p>
            <w:pPr>
              <w:spacing w:after="0"/>
              <w:rPr>
                <w:sz w:val="20"/>
                <w:szCs w:val="20"/>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Date</w:t>
            </w: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Pay Date</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0.10</w:t>
            </w:r>
          </w:p>
        </w:tc>
        <w:tc>
          <w:tcPr>
            <w:tcW w:w="1520" w:type="dxa"/>
            <w:vAlign w:val="bottom"/>
            <w:gridSpan w:val="2"/>
          </w:tcPr>
          <w:p>
            <w:pPr>
              <w:jc w:val="center"/>
              <w:ind w:left="650"/>
              <w:spacing w:after="0"/>
              <w:rPr>
                <w:sz w:val="20"/>
                <w:szCs w:val="20"/>
                <w:color w:val="auto"/>
              </w:rPr>
            </w:pPr>
            <w:r>
              <w:rPr>
                <w:rFonts w:ascii="Arial" w:cs="Arial" w:eastAsia="Arial" w:hAnsi="Arial"/>
                <w:sz w:val="18"/>
                <w:szCs w:val="18"/>
                <w:color w:val="auto"/>
                <w:w w:val="92"/>
              </w:rPr>
              <w:t>3/20/2019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4/5/2019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4/26/2019</w:t>
            </w: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First quarter</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640" w:type="dxa"/>
            <w:vAlign w:val="bottom"/>
            <w:gridSpan w:val="3"/>
            <w:shd w:val="clear" w:color="auto" w:fill="CFF0FC"/>
          </w:tcPr>
          <w:p>
            <w:pPr>
              <w:jc w:val="center"/>
              <w:ind w:left="530"/>
              <w:spacing w:after="0"/>
              <w:rPr>
                <w:sz w:val="20"/>
                <w:szCs w:val="20"/>
                <w:color w:val="auto"/>
              </w:rPr>
            </w:pPr>
            <w:r>
              <w:rPr>
                <w:rFonts w:ascii="Arial" w:cs="Arial" w:eastAsia="Arial" w:hAnsi="Arial"/>
                <w:sz w:val="18"/>
                <w:szCs w:val="18"/>
                <w:color w:val="auto"/>
                <w:w w:val="91"/>
              </w:rPr>
              <w:t>12/12/2018</w:t>
            </w:r>
            <w:r>
              <w:rPr>
                <w:rFonts w:ascii="Arial" w:cs="Arial" w:eastAsia="Arial" w:hAnsi="Arial"/>
                <w:sz w:val="15"/>
                <w:szCs w:val="15"/>
                <w:color w:val="auto"/>
                <w:w w:val="91"/>
              </w:rPr>
              <w:t>1</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1/31/2019</w:t>
            </w: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declared in 2019</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Borders>
              <w:bottom w:val="single" w:sz="8" w:color="CFF0FC"/>
            </w:tcBorders>
          </w:tcPr>
          <w:p>
            <w:pPr>
              <w:spacing w:after="0"/>
              <w:rPr>
                <w:sz w:val="22"/>
                <w:szCs w:val="22"/>
                <w:color w:val="auto"/>
              </w:rPr>
            </w:pPr>
          </w:p>
        </w:tc>
        <w:tc>
          <w:tcPr>
            <w:tcW w:w="13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80" w:type="dxa"/>
            <w:vAlign w:val="bottom"/>
            <w:tcBorders>
              <w:bottom w:val="single" w:sz="8" w:color="CFF0FC"/>
            </w:tcBorders>
          </w:tcPr>
          <w:p>
            <w:pPr>
              <w:spacing w:after="0"/>
              <w:rPr>
                <w:sz w:val="22"/>
                <w:szCs w:val="22"/>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Fourth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0.10</w:t>
            </w:r>
          </w:p>
        </w:tc>
        <w:tc>
          <w:tcPr>
            <w:tcW w:w="1520" w:type="dxa"/>
            <w:vAlign w:val="bottom"/>
            <w:gridSpan w:val="2"/>
          </w:tcPr>
          <w:p>
            <w:pPr>
              <w:jc w:val="center"/>
              <w:ind w:left="650"/>
              <w:spacing w:after="0"/>
              <w:rPr>
                <w:sz w:val="20"/>
                <w:szCs w:val="20"/>
                <w:color w:val="auto"/>
              </w:rPr>
            </w:pPr>
            <w:r>
              <w:rPr>
                <w:rFonts w:ascii="Arial" w:cs="Arial" w:eastAsia="Arial" w:hAnsi="Arial"/>
                <w:sz w:val="18"/>
                <w:szCs w:val="18"/>
                <w:color w:val="auto"/>
                <w:w w:val="92"/>
              </w:rPr>
              <w:t>9/18/2018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10/9/2018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10/29/2018</w:t>
            </w: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Third quarter</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520" w:type="dxa"/>
            <w:vAlign w:val="bottom"/>
            <w:gridSpan w:val="2"/>
            <w:shd w:val="clear" w:color="auto" w:fill="CFF0FC"/>
          </w:tcPr>
          <w:p>
            <w:pPr>
              <w:jc w:val="center"/>
              <w:ind w:left="650"/>
              <w:spacing w:after="0"/>
              <w:rPr>
                <w:sz w:val="20"/>
                <w:szCs w:val="20"/>
                <w:color w:val="auto"/>
              </w:rPr>
            </w:pPr>
            <w:r>
              <w:rPr>
                <w:rFonts w:ascii="Arial" w:cs="Arial" w:eastAsia="Arial" w:hAnsi="Arial"/>
                <w:sz w:val="18"/>
                <w:szCs w:val="18"/>
                <w:color w:val="auto"/>
                <w:w w:val="92"/>
              </w:rPr>
              <w:t>6/19/2018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7/27/2018</w:t>
            </w: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0.10</w:t>
            </w:r>
          </w:p>
        </w:tc>
        <w:tc>
          <w:tcPr>
            <w:tcW w:w="1520" w:type="dxa"/>
            <w:vAlign w:val="bottom"/>
            <w:gridSpan w:val="2"/>
          </w:tcPr>
          <w:p>
            <w:pPr>
              <w:jc w:val="center"/>
              <w:ind w:left="650"/>
              <w:spacing w:after="0"/>
              <w:rPr>
                <w:sz w:val="20"/>
                <w:szCs w:val="20"/>
                <w:color w:val="auto"/>
              </w:rPr>
            </w:pPr>
            <w:r>
              <w:rPr>
                <w:rFonts w:ascii="Arial" w:cs="Arial" w:eastAsia="Arial" w:hAnsi="Arial"/>
                <w:sz w:val="18"/>
                <w:szCs w:val="18"/>
                <w:color w:val="auto"/>
                <w:w w:val="92"/>
              </w:rPr>
              <w:t>3/20/2018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4/6/2018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4/27/2018</w:t>
            </w: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First quarter</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640" w:type="dxa"/>
            <w:vAlign w:val="bottom"/>
            <w:gridSpan w:val="3"/>
            <w:shd w:val="clear" w:color="auto" w:fill="CFF0FC"/>
          </w:tcPr>
          <w:p>
            <w:pPr>
              <w:jc w:val="center"/>
              <w:ind w:left="530"/>
              <w:spacing w:after="0"/>
              <w:rPr>
                <w:sz w:val="20"/>
                <w:szCs w:val="20"/>
                <w:color w:val="auto"/>
              </w:rPr>
            </w:pPr>
            <w:r>
              <w:rPr>
                <w:rFonts w:ascii="Arial" w:cs="Arial" w:eastAsia="Arial" w:hAnsi="Arial"/>
                <w:sz w:val="18"/>
                <w:szCs w:val="18"/>
                <w:color w:val="auto"/>
                <w:w w:val="91"/>
              </w:rPr>
              <w:t>12/13/2017</w:t>
            </w:r>
            <w:r>
              <w:rPr>
                <w:rFonts w:ascii="Arial" w:cs="Arial" w:eastAsia="Arial" w:hAnsi="Arial"/>
                <w:sz w:val="15"/>
                <w:szCs w:val="15"/>
                <w:color w:val="auto"/>
                <w:w w:val="91"/>
              </w:rPr>
              <w:t>1</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1/25/2018</w:t>
            </w: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declared in 2018</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CFF0FC"/>
            </w:tcBorders>
          </w:tcPr>
          <w:p>
            <w:pPr>
              <w:spacing w:after="0"/>
              <w:rPr>
                <w:sz w:val="22"/>
                <w:szCs w:val="22"/>
                <w:color w:val="auto"/>
              </w:rPr>
            </w:pPr>
          </w:p>
        </w:tc>
        <w:tc>
          <w:tcPr>
            <w:tcW w:w="13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80" w:type="dxa"/>
            <w:vAlign w:val="bottom"/>
            <w:tcBorders>
              <w:bottom w:val="single" w:sz="8" w:color="CFF0FC"/>
            </w:tcBorders>
          </w:tcPr>
          <w:p>
            <w:pPr>
              <w:spacing w:after="0"/>
              <w:rPr>
                <w:sz w:val="22"/>
                <w:szCs w:val="22"/>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Fourth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0.12</w:t>
            </w:r>
          </w:p>
        </w:tc>
        <w:tc>
          <w:tcPr>
            <w:tcW w:w="1520" w:type="dxa"/>
            <w:vAlign w:val="bottom"/>
            <w:gridSpan w:val="2"/>
          </w:tcPr>
          <w:p>
            <w:pPr>
              <w:jc w:val="center"/>
              <w:ind w:left="650"/>
              <w:spacing w:after="0"/>
              <w:rPr>
                <w:sz w:val="20"/>
                <w:szCs w:val="20"/>
                <w:color w:val="auto"/>
              </w:rPr>
            </w:pPr>
            <w:r>
              <w:rPr>
                <w:rFonts w:ascii="Arial" w:cs="Arial" w:eastAsia="Arial" w:hAnsi="Arial"/>
                <w:sz w:val="18"/>
                <w:szCs w:val="18"/>
                <w:color w:val="auto"/>
                <w:w w:val="92"/>
              </w:rPr>
              <w:t>9/22/2017</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10/10/2017</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10/26/2017</w:t>
            </w: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Third quarter</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520" w:type="dxa"/>
            <w:vAlign w:val="bottom"/>
            <w:gridSpan w:val="2"/>
            <w:shd w:val="clear" w:color="auto" w:fill="CFF0FC"/>
          </w:tcPr>
          <w:p>
            <w:pPr>
              <w:jc w:val="center"/>
              <w:ind w:left="650"/>
              <w:spacing w:after="0"/>
              <w:rPr>
                <w:sz w:val="20"/>
                <w:szCs w:val="20"/>
                <w:color w:val="auto"/>
              </w:rPr>
            </w:pPr>
            <w:r>
              <w:rPr>
                <w:rFonts w:ascii="Arial" w:cs="Arial" w:eastAsia="Arial" w:hAnsi="Arial"/>
                <w:sz w:val="18"/>
                <w:szCs w:val="18"/>
                <w:color w:val="auto"/>
                <w:w w:val="92"/>
              </w:rPr>
              <w:t>6/20/2017</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7/7/2017</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7/27/2017</w:t>
            </w: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0.12</w:t>
            </w:r>
          </w:p>
        </w:tc>
        <w:tc>
          <w:tcPr>
            <w:tcW w:w="1520" w:type="dxa"/>
            <w:vAlign w:val="bottom"/>
            <w:gridSpan w:val="2"/>
          </w:tcPr>
          <w:p>
            <w:pPr>
              <w:jc w:val="center"/>
              <w:ind w:left="650"/>
              <w:spacing w:after="0"/>
              <w:rPr>
                <w:sz w:val="20"/>
                <w:szCs w:val="20"/>
                <w:color w:val="auto"/>
              </w:rPr>
            </w:pPr>
            <w:r>
              <w:rPr>
                <w:rFonts w:ascii="Arial" w:cs="Arial" w:eastAsia="Arial" w:hAnsi="Arial"/>
                <w:sz w:val="18"/>
                <w:szCs w:val="18"/>
                <w:color w:val="auto"/>
                <w:w w:val="92"/>
              </w:rPr>
              <w:t>3/21/2017</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4/7/2017</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4/28/2017</w:t>
            </w: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First quarter</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640" w:type="dxa"/>
            <w:vAlign w:val="bottom"/>
            <w:gridSpan w:val="3"/>
            <w:shd w:val="clear" w:color="auto" w:fill="CFF0FC"/>
          </w:tcPr>
          <w:p>
            <w:pPr>
              <w:jc w:val="center"/>
              <w:ind w:left="530"/>
              <w:spacing w:after="0"/>
              <w:rPr>
                <w:sz w:val="20"/>
                <w:szCs w:val="20"/>
                <w:color w:val="auto"/>
              </w:rPr>
            </w:pPr>
            <w:r>
              <w:rPr>
                <w:rFonts w:ascii="Arial" w:cs="Arial" w:eastAsia="Arial" w:hAnsi="Arial"/>
                <w:sz w:val="18"/>
                <w:szCs w:val="18"/>
                <w:color w:val="auto"/>
                <w:w w:val="91"/>
              </w:rPr>
              <w:t>12/14/2016</w:t>
            </w:r>
            <w:r>
              <w:rPr>
                <w:rFonts w:ascii="Arial" w:cs="Arial" w:eastAsia="Arial" w:hAnsi="Arial"/>
                <w:sz w:val="15"/>
                <w:szCs w:val="15"/>
                <w:color w:val="auto"/>
                <w:w w:val="91"/>
              </w:rPr>
              <w:t>1</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1/6/2017</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1/27/2017</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declared in 2017</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98"/>
        </w:numPr>
        <w:rPr>
          <w:rFonts w:ascii="Arial" w:cs="Arial" w:eastAsia="Arial" w:hAnsi="Arial"/>
          <w:sz w:val="15"/>
          <w:szCs w:val="15"/>
          <w:color w:val="auto"/>
        </w:rPr>
      </w:pPr>
      <w:r>
        <w:rPr>
          <w:rFonts w:ascii="Arial" w:cs="Arial" w:eastAsia="Arial" w:hAnsi="Arial"/>
          <w:sz w:val="18"/>
          <w:szCs w:val="18"/>
          <w:color w:val="auto"/>
        </w:rPr>
        <w:t>Since the record date of this distribution is subsequent to year-end, it is a subsequent year tax event.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180" w:firstLine="439"/>
        <w:spacing w:after="0" w:line="297" w:lineRule="auto"/>
        <w:rPr>
          <w:sz w:val="20"/>
          <w:szCs w:val="20"/>
          <w:color w:val="auto"/>
        </w:rPr>
      </w:pPr>
      <w:r>
        <w:rPr>
          <w:rFonts w:ascii="Arial" w:cs="Arial" w:eastAsia="Arial" w:hAnsi="Arial"/>
          <w:sz w:val="16"/>
          <w:szCs w:val="16"/>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June 30, 2019 and December 31, 2018, the Company had approximately $33.2 million and $12.9 million commitments to fund investments,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June 30,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7"/>
          </w:tcPr>
          <w:p>
            <w:pPr>
              <w:jc w:val="right"/>
              <w:ind w:right="730"/>
              <w:spacing w:after="0"/>
              <w:rPr>
                <w:sz w:val="20"/>
                <w:szCs w:val="20"/>
                <w:color w:val="auto"/>
              </w:rPr>
            </w:pPr>
            <w:r>
              <w:rPr>
                <w:rFonts w:ascii="Arial" w:cs="Arial" w:eastAsia="Arial" w:hAnsi="Arial"/>
                <w:sz w:val="18"/>
                <w:szCs w:val="18"/>
                <w:b w:val="1"/>
                <w:bCs w:val="1"/>
                <w:color w:val="auto"/>
              </w:rPr>
              <w:t>Payments Due by Period</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88"/>
              </w:rPr>
              <w:t>Less than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7"/>
                <w:szCs w:val="17"/>
                <w:color w:val="auto"/>
              </w:rPr>
            </w:pPr>
          </w:p>
        </w:tc>
      </w:t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0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one year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1 - 3 years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3 - 5 years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5 years</w:t>
            </w:r>
          </w:p>
        </w:tc>
      </w:tr>
      <w:tr>
        <w:trPr>
          <w:trHeight w:val="223"/>
        </w:trPr>
        <w:tc>
          <w:tcPr>
            <w:tcW w:w="5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122,766,011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45,358,811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77,407,200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Obligations under long-term lease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3,935,477</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400,218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1,600,872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1,600,872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333,515</w:t>
            </w:r>
          </w:p>
        </w:tc>
        <w:tc>
          <w:tcPr>
            <w:tcW w:w="100" w:type="dxa"/>
            <w:vAlign w:val="bottom"/>
          </w:tcPr>
          <w:p>
            <w:pPr>
              <w:spacing w:after="0"/>
              <w:rPr>
                <w:sz w:val="20"/>
                <w:szCs w:val="20"/>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right="100" w:firstLine="439"/>
        <w:spacing w:after="0" w:line="276"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contained elsewhere herein: Significant Accounting Policies — Investments</w:t>
      </w:r>
      <w:r>
        <w:rPr>
          <w:rFonts w:ascii="Arial" w:cs="Arial" w:eastAsia="Arial" w:hAnsi="Arial"/>
          <w:sz w:val="17"/>
          <w:szCs w:val="17"/>
          <w:i w:val="1"/>
          <w:iCs w:val="1"/>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89" w:name="page90"/>
    <w:bookmarkEnd w:id="89"/>
    <w:p>
      <w:pPr>
        <w:ind w:left="44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98" w:lineRule="exact"/>
        <w:rPr>
          <w:sz w:val="20"/>
          <w:szCs w:val="20"/>
          <w:color w:val="auto"/>
        </w:rPr>
      </w:pPr>
    </w:p>
    <w:p>
      <w:pPr>
        <w:ind w:right="640" w:firstLine="439"/>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30" w:lineRule="exact"/>
        <w:rPr>
          <w:sz w:val="20"/>
          <w:szCs w:val="20"/>
          <w:color w:val="auto"/>
        </w:rPr>
      </w:pPr>
    </w:p>
    <w:p>
      <w:pPr>
        <w:ind w:right="80" w:firstLine="439"/>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pursuant to procedures approved by our Board.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determined values may differ significantly from the values that would have been used had a ready market existed for the investments, and the differences could be material.</w:t>
      </w:r>
    </w:p>
    <w:p>
      <w:pPr>
        <w:spacing w:after="0" w:line="153" w:lineRule="exact"/>
        <w:rPr>
          <w:sz w:val="20"/>
          <w:szCs w:val="20"/>
          <w:color w:val="auto"/>
        </w:rPr>
      </w:pPr>
    </w:p>
    <w:p>
      <w:pPr>
        <w:ind w:right="180" w:firstLine="439"/>
        <w:spacing w:after="0" w:line="259" w:lineRule="auto"/>
        <w:rPr>
          <w:sz w:val="20"/>
          <w:szCs w:val="20"/>
          <w:color w:val="auto"/>
        </w:rPr>
      </w:pPr>
      <w:r>
        <w:rPr>
          <w:rFonts w:ascii="Arial" w:cs="Arial" w:eastAsia="Arial" w:hAnsi="Arial"/>
          <w:sz w:val="18"/>
          <w:szCs w:val="18"/>
          <w:color w:val="auto"/>
        </w:rPr>
        <w:t>Pursuant to ASC 946: Financial Services — Investment Companies (“ASC 946”), we reflect our investments on our balance sheet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60" w:lineRule="exact"/>
        <w:rPr>
          <w:sz w:val="20"/>
          <w:szCs w:val="20"/>
          <w:color w:val="auto"/>
        </w:rPr>
      </w:pPr>
    </w:p>
    <w:p>
      <w:pPr>
        <w:ind w:right="240" w:firstLine="439"/>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130" w:lineRule="exact"/>
        <w:rPr>
          <w:sz w:val="20"/>
          <w:szCs w:val="20"/>
          <w:color w:val="auto"/>
        </w:rPr>
      </w:pPr>
    </w:p>
    <w:p>
      <w:pPr>
        <w:ind w:right="160" w:firstLine="439"/>
        <w:spacing w:after="0" w:line="287" w:lineRule="auto"/>
        <w:rPr>
          <w:sz w:val="20"/>
          <w:szCs w:val="20"/>
          <w:color w:val="auto"/>
        </w:rPr>
      </w:pPr>
      <w:r>
        <w:rPr>
          <w:rFonts w:ascii="Arial" w:cs="Arial" w:eastAsia="Arial" w:hAnsi="Arial"/>
          <w:sz w:val="16"/>
          <w:szCs w:val="16"/>
          <w:color w:val="auto"/>
        </w:rPr>
        <w:t>We follow the provisions of ASC 820: Fair Value Measurements and Disclosures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132" w:lineRule="exact"/>
        <w:rPr>
          <w:sz w:val="20"/>
          <w:szCs w:val="20"/>
          <w:color w:val="auto"/>
        </w:rPr>
      </w:pPr>
    </w:p>
    <w:p>
      <w:pPr>
        <w:ind w:right="100" w:firstLine="439"/>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43" w:lineRule="exact"/>
        <w:rPr>
          <w:sz w:val="20"/>
          <w:szCs w:val="20"/>
          <w:color w:val="auto"/>
        </w:rPr>
      </w:pPr>
    </w:p>
    <w:p>
      <w:pPr>
        <w:ind w:left="880" w:hanging="440"/>
        <w:spacing w:after="0" w:line="312" w:lineRule="auto"/>
        <w:tabs>
          <w:tab w:leader="none" w:pos="8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Level I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06" w:lineRule="exact"/>
        <w:rPr>
          <w:rFonts w:ascii="Arial" w:cs="Arial" w:eastAsia="Arial" w:hAnsi="Arial"/>
          <w:sz w:val="16"/>
          <w:szCs w:val="16"/>
          <w:color w:val="auto"/>
        </w:rPr>
      </w:pPr>
    </w:p>
    <w:p>
      <w:pPr>
        <w:ind w:left="880" w:right="120" w:hanging="440"/>
        <w:spacing w:after="0" w:line="297" w:lineRule="auto"/>
        <w:tabs>
          <w:tab w:leader="none" w:pos="8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0" w:name="page91"/>
    <w:bookmarkEnd w:id="90"/>
    <w:p>
      <w:pPr>
        <w:ind w:left="880" w:right="80" w:hanging="440"/>
        <w:spacing w:after="0" w:line="255"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49" w:lineRule="exact"/>
        <w:rPr>
          <w:sz w:val="20"/>
          <w:szCs w:val="20"/>
          <w:color w:val="auto"/>
        </w:rPr>
      </w:pPr>
    </w:p>
    <w:p>
      <w:pPr>
        <w:ind w:right="40" w:firstLine="439"/>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We assess of the significance of a particular input to the fair value measurement in its entirety requires judgment, and the Company considers factors specific to the investment. The majority of our investments are classified as Level III. We evaluate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Our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55" w:lineRule="exact"/>
        <w:rPr>
          <w:sz w:val="20"/>
          <w:szCs w:val="20"/>
          <w:color w:val="auto"/>
        </w:rPr>
      </w:pPr>
    </w:p>
    <w:p>
      <w:pPr>
        <w:ind w:firstLine="439"/>
        <w:spacing w:after="0" w:line="286" w:lineRule="auto"/>
        <w:rPr>
          <w:sz w:val="20"/>
          <w:szCs w:val="20"/>
          <w:color w:val="auto"/>
        </w:rPr>
      </w:pPr>
      <w:r>
        <w:rPr>
          <w:rFonts w:ascii="Arial" w:cs="Arial" w:eastAsia="Arial" w:hAnsi="Arial"/>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25" w:lineRule="exact"/>
        <w:rPr>
          <w:sz w:val="20"/>
          <w:szCs w:val="20"/>
          <w:color w:val="auto"/>
        </w:rPr>
      </w:pPr>
    </w:p>
    <w:p>
      <w:pPr>
        <w:ind w:right="20" w:firstLine="439"/>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32" w:lineRule="exact"/>
        <w:rPr>
          <w:sz w:val="20"/>
          <w:szCs w:val="20"/>
          <w:color w:val="auto"/>
        </w:rPr>
      </w:pPr>
    </w:p>
    <w:p>
      <w:pPr>
        <w:ind w:firstLine="439"/>
        <w:spacing w:after="0" w:line="297" w:lineRule="auto"/>
        <w:rPr>
          <w:sz w:val="20"/>
          <w:szCs w:val="20"/>
          <w:color w:val="auto"/>
        </w:rPr>
      </w:pPr>
      <w:r>
        <w:rPr>
          <w:rFonts w:ascii="Arial" w:cs="Arial" w:eastAsia="Arial" w:hAnsi="Arial"/>
          <w:sz w:val="16"/>
          <w:szCs w:val="16"/>
          <w:color w:val="auto"/>
        </w:rPr>
        <w:t>Our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carry investments in joint ventures at fair value based upon the fair value of the investments held by the joint venture.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1" w:name="page92"/>
    <w:bookmarkEnd w:id="91"/>
    <w:p>
      <w:pPr>
        <w:ind w:firstLine="439"/>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55" w:lineRule="exact"/>
        <w:rPr>
          <w:sz w:val="20"/>
          <w:szCs w:val="20"/>
          <w:color w:val="auto"/>
        </w:rPr>
      </w:pPr>
    </w:p>
    <w:p>
      <w:pPr>
        <w:ind w:right="80" w:firstLine="439"/>
        <w:spacing w:after="0" w:line="276"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32" w:lineRule="exact"/>
        <w:rPr>
          <w:sz w:val="20"/>
          <w:szCs w:val="20"/>
          <w:color w:val="auto"/>
        </w:rPr>
      </w:pPr>
    </w:p>
    <w:p>
      <w:pPr>
        <w:ind w:right="120" w:firstLine="439"/>
        <w:spacing w:after="0" w:line="264" w:lineRule="auto"/>
        <w:rPr>
          <w:sz w:val="20"/>
          <w:szCs w:val="20"/>
          <w:color w:val="auto"/>
        </w:rPr>
      </w:pPr>
      <w:r>
        <w:rPr>
          <w:rFonts w:ascii="Arial" w:cs="Arial" w:eastAsia="Arial" w:hAnsi="Arial"/>
          <w:sz w:val="18"/>
          <w:szCs w:val="18"/>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41"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160" w:lineRule="exact"/>
        <w:rPr>
          <w:sz w:val="20"/>
          <w:szCs w:val="20"/>
          <w:color w:val="auto"/>
        </w:rPr>
      </w:pPr>
    </w:p>
    <w:p>
      <w:pPr>
        <w:ind w:left="440" w:right="1160"/>
        <w:spacing w:after="0" w:line="454" w:lineRule="auto"/>
        <w:rPr>
          <w:sz w:val="20"/>
          <w:szCs w:val="20"/>
          <w:color w:val="auto"/>
        </w:rPr>
      </w:pPr>
      <w:r>
        <w:rPr>
          <w:rFonts w:ascii="Arial" w:cs="Arial" w:eastAsia="Arial" w:hAnsi="Arial"/>
          <w:sz w:val="18"/>
          <w:szCs w:val="18"/>
          <w:color w:val="auto"/>
        </w:rPr>
        <w:t xml:space="preserve">Our Board may consider other methods of valuation to determine the fair value of investments as appropriate in conformity with GAAP. </w:t>
      </w:r>
      <w:r>
        <w:rPr>
          <w:rFonts w:ascii="Arial" w:cs="Arial" w:eastAsia="Arial" w:hAnsi="Arial"/>
          <w:sz w:val="18"/>
          <w:szCs w:val="18"/>
          <w:b w:val="1"/>
          <w:bCs w:val="1"/>
          <w:i w:val="1"/>
          <w:iCs w:val="1"/>
          <w:color w:val="auto"/>
        </w:rPr>
        <w:t>Interest Income</w:t>
      </w:r>
    </w:p>
    <w:p>
      <w:pPr>
        <w:ind w:firstLine="439"/>
        <w:spacing w:after="0" w:line="272" w:lineRule="auto"/>
        <w:rPr>
          <w:sz w:val="20"/>
          <w:szCs w:val="20"/>
          <w:color w:val="auto"/>
        </w:rPr>
      </w:pPr>
      <w:r>
        <w:rPr>
          <w:rFonts w:ascii="Arial" w:cs="Arial" w:eastAsia="Arial" w:hAnsi="Arial"/>
          <w:sz w:val="17"/>
          <w:szCs w:val="17"/>
          <w:color w:val="auto"/>
        </w:rPr>
        <w:t>Interest income, including amortization of premium and accretion of discount and accrual of payment-in-kind (“PIK”) interest,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June 30, 2019, four of our investments were on non-accrual status.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2" w:name="page93"/>
    <w:bookmarkEnd w:id="92"/>
    <w:p>
      <w:pPr>
        <w:ind w:left="440"/>
        <w:spacing w:after="0"/>
        <w:rPr>
          <w:sz w:val="20"/>
          <w:szCs w:val="20"/>
          <w:color w:val="auto"/>
        </w:rPr>
      </w:pPr>
      <w:r>
        <w:rPr>
          <w:rFonts w:ascii="Arial" w:cs="Arial" w:eastAsia="Arial" w:hAnsi="Arial"/>
          <w:sz w:val="18"/>
          <w:szCs w:val="18"/>
          <w:b w:val="1"/>
          <w:bCs w:val="1"/>
          <w:i w:val="1"/>
          <w:iCs w:val="1"/>
          <w:color w:val="auto"/>
        </w:rPr>
        <w:t>Investment Income on CLO Fund Securities</w:t>
      </w:r>
    </w:p>
    <w:p>
      <w:pPr>
        <w:spacing w:after="0" w:line="198" w:lineRule="exact"/>
        <w:rPr>
          <w:sz w:val="20"/>
          <w:szCs w:val="20"/>
          <w:color w:val="auto"/>
        </w:rPr>
      </w:pPr>
    </w:p>
    <w:p>
      <w:pPr>
        <w:ind w:right="40" w:firstLine="439"/>
        <w:spacing w:after="0" w:line="270"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141" w:lineRule="exact"/>
        <w:rPr>
          <w:sz w:val="20"/>
          <w:szCs w:val="20"/>
          <w:color w:val="auto"/>
        </w:rPr>
      </w:pPr>
    </w:p>
    <w:p>
      <w:pPr>
        <w:ind w:right="20" w:firstLine="439"/>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38" w:lineRule="exact"/>
        <w:rPr>
          <w:sz w:val="20"/>
          <w:szCs w:val="20"/>
          <w:color w:val="auto"/>
        </w:rPr>
      </w:pPr>
    </w:p>
    <w:p>
      <w:pPr>
        <w:ind w:right="120" w:firstLine="439"/>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Great Lakes KCAP F3C Senior, L.L.C., interest is earned at a fixed spread relative to the LIBOR index.</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Distributions from Asset Manager Affiliates</w:t>
      </w:r>
    </w:p>
    <w:p>
      <w:pPr>
        <w:spacing w:after="0" w:line="185" w:lineRule="exact"/>
        <w:rPr>
          <w:sz w:val="20"/>
          <w:szCs w:val="20"/>
          <w:color w:val="auto"/>
        </w:rPr>
      </w:pPr>
    </w:p>
    <w:p>
      <w:pPr>
        <w:ind w:firstLine="439"/>
        <w:spacing w:after="0" w:line="273" w:lineRule="auto"/>
        <w:rPr>
          <w:sz w:val="20"/>
          <w:szCs w:val="20"/>
          <w:color w:val="auto"/>
        </w:rPr>
      </w:pPr>
      <w:r>
        <w:rPr>
          <w:rFonts w:ascii="Arial" w:cs="Arial" w:eastAsia="Arial" w:hAnsi="Arial"/>
          <w:sz w:val="17"/>
          <w:szCs w:val="17"/>
          <w:color w:val="auto"/>
        </w:rPr>
        <w:t>We record distributions from our Asset Manager Affiliates on the declaration date, which represents the ex-dividend date. Distributions in excess of tax-basis earnings and profits are recorded as tax-basis return of capital. For interim periods, the Company estimates the tax attributes of any distributions as being either from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198" w:lineRule="exact"/>
        <w:rPr>
          <w:sz w:val="20"/>
          <w:szCs w:val="20"/>
          <w:color w:val="auto"/>
        </w:rPr>
      </w:pPr>
    </w:p>
    <w:p>
      <w:pPr>
        <w:ind w:right="220" w:firstLine="439"/>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Fee Income</w:t>
      </w:r>
    </w:p>
    <w:p>
      <w:pPr>
        <w:spacing w:after="0" w:line="185"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3" w:name="page94"/>
    <w:bookmarkEnd w:id="93"/>
    <w:p>
      <w:pPr>
        <w:ind w:left="44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198" w:lineRule="exact"/>
        <w:rPr>
          <w:sz w:val="20"/>
          <w:szCs w:val="20"/>
          <w:color w:val="auto"/>
        </w:rPr>
      </w:pPr>
    </w:p>
    <w:p>
      <w:pPr>
        <w:ind w:right="100" w:firstLine="439"/>
        <w:spacing w:after="0" w:line="297" w:lineRule="auto"/>
        <w:rPr>
          <w:sz w:val="20"/>
          <w:szCs w:val="20"/>
          <w:color w:val="auto"/>
        </w:rPr>
      </w:pPr>
      <w:r>
        <w:rPr>
          <w:rFonts w:ascii="Arial" w:cs="Arial" w:eastAsia="Arial" w:hAnsi="Arial"/>
          <w:sz w:val="16"/>
          <w:szCs w:val="16"/>
          <w:color w:val="auto"/>
        </w:rPr>
        <w:t>As a result of the Closing we will no longer issue stock options or restricted stock under the Equity Incentive Plan or the 2008 Non-Employee Director Plan. The 1940 Act does not permit externally managed investment companies and BDCs to issue or have outstanding options or restricted stock granted to directors and employees. Immediately prior to the Closing, by virtue of the Externalization and subject to the execution of an option cancellation agreement, each option to purchase shares of the Company’s common stock granted under the Company’s 2008 Non-Employee Director Plan that was outstanding immediately prior to the Externalization (each, a “Company Stock Option”) was cancelled in exchange for the payment in cash to the holder thereof.</w:t>
      </w:r>
    </w:p>
    <w:p>
      <w:pPr>
        <w:spacing w:after="0" w:line="118" w:lineRule="exact"/>
        <w:rPr>
          <w:sz w:val="20"/>
          <w:szCs w:val="20"/>
          <w:color w:val="auto"/>
        </w:rPr>
      </w:pPr>
    </w:p>
    <w:p>
      <w:pPr>
        <w:ind w:right="400" w:firstLine="439"/>
        <w:spacing w:after="0" w:line="259" w:lineRule="auto"/>
        <w:rPr>
          <w:sz w:val="20"/>
          <w:szCs w:val="20"/>
          <w:color w:val="auto"/>
        </w:rPr>
      </w:pPr>
      <w:r>
        <w:rPr>
          <w:rFonts w:ascii="Arial" w:cs="Arial" w:eastAsia="Arial" w:hAnsi="Arial"/>
          <w:sz w:val="18"/>
          <w:szCs w:val="18"/>
          <w:color w:val="auto"/>
        </w:rPr>
        <w:t>Immediately prior to the Closing, each restricted share of the Company (the “Company Restricted Share”) outstanding and not previously forfeited under the Company’s Equity Incentive Plan and the Company’s Non-Employee Director Plan became fully vested, all restrictions with respect to such Company Restricted Shares lapsed, and the holders of such Company Restricted Shares became entitled to receive a pro rata share of the Stockholder Payment.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198" w:lineRule="exact"/>
        <w:rPr>
          <w:sz w:val="20"/>
          <w:szCs w:val="20"/>
          <w:color w:val="auto"/>
        </w:rPr>
      </w:pPr>
    </w:p>
    <w:p>
      <w:pPr>
        <w:ind w:right="60" w:firstLine="439"/>
        <w:spacing w:after="0" w:line="257"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185" w:lineRule="exact"/>
        <w:rPr>
          <w:sz w:val="20"/>
          <w:szCs w:val="20"/>
          <w:color w:val="auto"/>
        </w:rPr>
      </w:pPr>
    </w:p>
    <w:p>
      <w:pPr>
        <w:ind w:firstLine="439"/>
        <w:spacing w:after="0" w:line="264" w:lineRule="auto"/>
        <w:rPr>
          <w:sz w:val="20"/>
          <w:szCs w:val="20"/>
          <w:color w:val="auto"/>
        </w:rPr>
      </w:pPr>
      <w:r>
        <w:rPr>
          <w:rFonts w:ascii="Arial" w:cs="Arial" w:eastAsia="Arial" w:hAnsi="Arial"/>
          <w:sz w:val="18"/>
          <w:szCs w:val="18"/>
          <w:color w:val="auto"/>
        </w:rPr>
        <w:t>The amount of our declared distributions, as evaluated by management and approved by our Board, is based primarily on our evaluation of net investment income and distributable taxable income. The following table sets forth the quarterly distributions paid by us for the 2019, 2018 and 2017 calendar years.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Declaration</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Record</w:t>
            </w:r>
          </w:p>
        </w:tc>
        <w:tc>
          <w:tcPr>
            <w:tcW w:w="1280" w:type="dxa"/>
            <w:vAlign w:val="bottom"/>
          </w:tcPr>
          <w:p>
            <w:pPr>
              <w:spacing w:after="0"/>
              <w:rPr>
                <w:sz w:val="18"/>
                <w:szCs w:val="18"/>
                <w:color w:val="auto"/>
              </w:rPr>
            </w:pPr>
          </w:p>
        </w:tc>
      </w:tr>
      <w:tr>
        <w:trPr>
          <w:trHeight w:val="234"/>
        </w:trPr>
        <w:tc>
          <w:tcPr>
            <w:tcW w:w="5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Distribution</w:t>
            </w:r>
          </w:p>
        </w:tc>
        <w:tc>
          <w:tcPr>
            <w:tcW w:w="220" w:type="dxa"/>
            <w:vAlign w:val="bottom"/>
          </w:tcPr>
          <w:p>
            <w:pPr>
              <w:spacing w:after="0"/>
              <w:rPr>
                <w:sz w:val="20"/>
                <w:szCs w:val="20"/>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Date</w:t>
            </w: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Pay Date</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0.10</w:t>
            </w:r>
          </w:p>
        </w:tc>
        <w:tc>
          <w:tcPr>
            <w:tcW w:w="1520" w:type="dxa"/>
            <w:vAlign w:val="bottom"/>
            <w:gridSpan w:val="2"/>
          </w:tcPr>
          <w:p>
            <w:pPr>
              <w:jc w:val="center"/>
              <w:ind w:left="650"/>
              <w:spacing w:after="0"/>
              <w:rPr>
                <w:sz w:val="20"/>
                <w:szCs w:val="20"/>
                <w:color w:val="auto"/>
              </w:rPr>
            </w:pPr>
            <w:r>
              <w:rPr>
                <w:rFonts w:ascii="Arial" w:cs="Arial" w:eastAsia="Arial" w:hAnsi="Arial"/>
                <w:sz w:val="18"/>
                <w:szCs w:val="18"/>
                <w:color w:val="auto"/>
                <w:w w:val="92"/>
              </w:rPr>
              <w:t>3/20/2019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4/5/2019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4/26/2019</w:t>
            </w: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First quarter</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640" w:type="dxa"/>
            <w:vAlign w:val="bottom"/>
            <w:gridSpan w:val="3"/>
            <w:shd w:val="clear" w:color="auto" w:fill="CFF0FC"/>
          </w:tcPr>
          <w:p>
            <w:pPr>
              <w:jc w:val="center"/>
              <w:ind w:left="530"/>
              <w:spacing w:after="0"/>
              <w:rPr>
                <w:sz w:val="20"/>
                <w:szCs w:val="20"/>
                <w:color w:val="auto"/>
              </w:rPr>
            </w:pPr>
            <w:r>
              <w:rPr>
                <w:rFonts w:ascii="Arial" w:cs="Arial" w:eastAsia="Arial" w:hAnsi="Arial"/>
                <w:sz w:val="18"/>
                <w:szCs w:val="18"/>
                <w:color w:val="auto"/>
                <w:w w:val="91"/>
              </w:rPr>
              <w:t>12/12/2018</w:t>
            </w:r>
            <w:r>
              <w:rPr>
                <w:rFonts w:ascii="Arial" w:cs="Arial" w:eastAsia="Arial" w:hAnsi="Arial"/>
                <w:sz w:val="15"/>
                <w:szCs w:val="15"/>
                <w:color w:val="auto"/>
                <w:w w:val="91"/>
              </w:rPr>
              <w:t>1</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1/31/2019</w:t>
            </w: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declared in 2019</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Borders>
              <w:bottom w:val="single" w:sz="8" w:color="CFF0FC"/>
            </w:tcBorders>
          </w:tcPr>
          <w:p>
            <w:pPr>
              <w:spacing w:after="0"/>
              <w:rPr>
                <w:sz w:val="22"/>
                <w:szCs w:val="22"/>
                <w:color w:val="auto"/>
              </w:rPr>
            </w:pPr>
          </w:p>
        </w:tc>
        <w:tc>
          <w:tcPr>
            <w:tcW w:w="13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80" w:type="dxa"/>
            <w:vAlign w:val="bottom"/>
            <w:tcBorders>
              <w:bottom w:val="single" w:sz="8" w:color="CFF0FC"/>
            </w:tcBorders>
          </w:tcPr>
          <w:p>
            <w:pPr>
              <w:spacing w:after="0"/>
              <w:rPr>
                <w:sz w:val="22"/>
                <w:szCs w:val="22"/>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Fourth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0.10</w:t>
            </w:r>
          </w:p>
        </w:tc>
        <w:tc>
          <w:tcPr>
            <w:tcW w:w="1520" w:type="dxa"/>
            <w:vAlign w:val="bottom"/>
            <w:gridSpan w:val="2"/>
          </w:tcPr>
          <w:p>
            <w:pPr>
              <w:jc w:val="center"/>
              <w:ind w:left="650"/>
              <w:spacing w:after="0"/>
              <w:rPr>
                <w:sz w:val="20"/>
                <w:szCs w:val="20"/>
                <w:color w:val="auto"/>
              </w:rPr>
            </w:pPr>
            <w:r>
              <w:rPr>
                <w:rFonts w:ascii="Arial" w:cs="Arial" w:eastAsia="Arial" w:hAnsi="Arial"/>
                <w:sz w:val="18"/>
                <w:szCs w:val="18"/>
                <w:color w:val="auto"/>
                <w:w w:val="92"/>
              </w:rPr>
              <w:t>9/18/2018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10/9/2018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10/29/2018</w:t>
            </w: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Third quarter</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520" w:type="dxa"/>
            <w:vAlign w:val="bottom"/>
            <w:gridSpan w:val="2"/>
            <w:shd w:val="clear" w:color="auto" w:fill="CFF0FC"/>
          </w:tcPr>
          <w:p>
            <w:pPr>
              <w:jc w:val="center"/>
              <w:ind w:left="650"/>
              <w:spacing w:after="0"/>
              <w:rPr>
                <w:sz w:val="20"/>
                <w:szCs w:val="20"/>
                <w:color w:val="auto"/>
              </w:rPr>
            </w:pPr>
            <w:r>
              <w:rPr>
                <w:rFonts w:ascii="Arial" w:cs="Arial" w:eastAsia="Arial" w:hAnsi="Arial"/>
                <w:sz w:val="18"/>
                <w:szCs w:val="18"/>
                <w:color w:val="auto"/>
                <w:w w:val="92"/>
              </w:rPr>
              <w:t>6/19/2018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7/27/2018</w:t>
            </w: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0.10</w:t>
            </w:r>
          </w:p>
        </w:tc>
        <w:tc>
          <w:tcPr>
            <w:tcW w:w="1520" w:type="dxa"/>
            <w:vAlign w:val="bottom"/>
            <w:gridSpan w:val="2"/>
          </w:tcPr>
          <w:p>
            <w:pPr>
              <w:jc w:val="center"/>
              <w:ind w:left="650"/>
              <w:spacing w:after="0"/>
              <w:rPr>
                <w:sz w:val="20"/>
                <w:szCs w:val="20"/>
                <w:color w:val="auto"/>
              </w:rPr>
            </w:pPr>
            <w:r>
              <w:rPr>
                <w:rFonts w:ascii="Arial" w:cs="Arial" w:eastAsia="Arial" w:hAnsi="Arial"/>
                <w:sz w:val="18"/>
                <w:szCs w:val="18"/>
                <w:color w:val="auto"/>
                <w:w w:val="92"/>
              </w:rPr>
              <w:t>3/20/2018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4/6/2018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4/27/2018</w:t>
            </w: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First quarter</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640" w:type="dxa"/>
            <w:vAlign w:val="bottom"/>
            <w:gridSpan w:val="3"/>
            <w:shd w:val="clear" w:color="auto" w:fill="CFF0FC"/>
          </w:tcPr>
          <w:p>
            <w:pPr>
              <w:jc w:val="center"/>
              <w:ind w:left="530"/>
              <w:spacing w:after="0"/>
              <w:rPr>
                <w:sz w:val="20"/>
                <w:szCs w:val="20"/>
                <w:color w:val="auto"/>
              </w:rPr>
            </w:pPr>
            <w:r>
              <w:rPr>
                <w:rFonts w:ascii="Arial" w:cs="Arial" w:eastAsia="Arial" w:hAnsi="Arial"/>
                <w:sz w:val="18"/>
                <w:szCs w:val="18"/>
                <w:color w:val="auto"/>
                <w:w w:val="91"/>
              </w:rPr>
              <w:t>12/13/2017</w:t>
            </w:r>
            <w:r>
              <w:rPr>
                <w:rFonts w:ascii="Arial" w:cs="Arial" w:eastAsia="Arial" w:hAnsi="Arial"/>
                <w:sz w:val="15"/>
                <w:szCs w:val="15"/>
                <w:color w:val="auto"/>
                <w:w w:val="91"/>
              </w:rPr>
              <w:t>1</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1/5/2018</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1/25/2018</w:t>
            </w: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declared in 2018</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CFF0FC"/>
            </w:tcBorders>
          </w:tcPr>
          <w:p>
            <w:pPr>
              <w:spacing w:after="0"/>
              <w:rPr>
                <w:sz w:val="22"/>
                <w:szCs w:val="22"/>
                <w:color w:val="auto"/>
              </w:rPr>
            </w:pPr>
          </w:p>
        </w:tc>
        <w:tc>
          <w:tcPr>
            <w:tcW w:w="13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80" w:type="dxa"/>
            <w:vAlign w:val="bottom"/>
            <w:tcBorders>
              <w:bottom w:val="single" w:sz="8" w:color="CFF0FC"/>
            </w:tcBorders>
          </w:tcPr>
          <w:p>
            <w:pPr>
              <w:spacing w:after="0"/>
              <w:rPr>
                <w:sz w:val="22"/>
                <w:szCs w:val="22"/>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Fourth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0.12</w:t>
            </w:r>
          </w:p>
        </w:tc>
        <w:tc>
          <w:tcPr>
            <w:tcW w:w="1520" w:type="dxa"/>
            <w:vAlign w:val="bottom"/>
            <w:gridSpan w:val="2"/>
          </w:tcPr>
          <w:p>
            <w:pPr>
              <w:jc w:val="center"/>
              <w:ind w:left="650"/>
              <w:spacing w:after="0"/>
              <w:rPr>
                <w:sz w:val="20"/>
                <w:szCs w:val="20"/>
                <w:color w:val="auto"/>
              </w:rPr>
            </w:pPr>
            <w:r>
              <w:rPr>
                <w:rFonts w:ascii="Arial" w:cs="Arial" w:eastAsia="Arial" w:hAnsi="Arial"/>
                <w:sz w:val="18"/>
                <w:szCs w:val="18"/>
                <w:color w:val="auto"/>
                <w:w w:val="92"/>
              </w:rPr>
              <w:t>9/22/2017</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10/10/2017</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10/26/2017</w:t>
            </w: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Third quarter</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520" w:type="dxa"/>
            <w:vAlign w:val="bottom"/>
            <w:gridSpan w:val="2"/>
            <w:shd w:val="clear" w:color="auto" w:fill="CFF0FC"/>
          </w:tcPr>
          <w:p>
            <w:pPr>
              <w:jc w:val="center"/>
              <w:ind w:left="650"/>
              <w:spacing w:after="0"/>
              <w:rPr>
                <w:sz w:val="20"/>
                <w:szCs w:val="20"/>
                <w:color w:val="auto"/>
              </w:rPr>
            </w:pPr>
            <w:r>
              <w:rPr>
                <w:rFonts w:ascii="Arial" w:cs="Arial" w:eastAsia="Arial" w:hAnsi="Arial"/>
                <w:sz w:val="18"/>
                <w:szCs w:val="18"/>
                <w:color w:val="auto"/>
                <w:w w:val="92"/>
              </w:rPr>
              <w:t>6/20/2017</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7/7/2017</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7/27/2017</w:t>
            </w: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0.12</w:t>
            </w:r>
          </w:p>
        </w:tc>
        <w:tc>
          <w:tcPr>
            <w:tcW w:w="1520" w:type="dxa"/>
            <w:vAlign w:val="bottom"/>
            <w:gridSpan w:val="2"/>
          </w:tcPr>
          <w:p>
            <w:pPr>
              <w:jc w:val="center"/>
              <w:ind w:left="650"/>
              <w:spacing w:after="0"/>
              <w:rPr>
                <w:sz w:val="20"/>
                <w:szCs w:val="20"/>
                <w:color w:val="auto"/>
              </w:rPr>
            </w:pPr>
            <w:r>
              <w:rPr>
                <w:rFonts w:ascii="Arial" w:cs="Arial" w:eastAsia="Arial" w:hAnsi="Arial"/>
                <w:sz w:val="18"/>
                <w:szCs w:val="18"/>
                <w:color w:val="auto"/>
                <w:w w:val="92"/>
              </w:rPr>
              <w:t>3/21/2017</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4/7/2017</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4/28/2017</w:t>
            </w: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First quarter</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640" w:type="dxa"/>
            <w:vAlign w:val="bottom"/>
            <w:gridSpan w:val="3"/>
            <w:shd w:val="clear" w:color="auto" w:fill="CFF0FC"/>
          </w:tcPr>
          <w:p>
            <w:pPr>
              <w:jc w:val="center"/>
              <w:ind w:left="530"/>
              <w:spacing w:after="0"/>
              <w:rPr>
                <w:sz w:val="20"/>
                <w:szCs w:val="20"/>
                <w:color w:val="auto"/>
              </w:rPr>
            </w:pPr>
            <w:r>
              <w:rPr>
                <w:rFonts w:ascii="Arial" w:cs="Arial" w:eastAsia="Arial" w:hAnsi="Arial"/>
                <w:sz w:val="18"/>
                <w:szCs w:val="18"/>
                <w:color w:val="auto"/>
                <w:w w:val="91"/>
              </w:rPr>
              <w:t>12/14/2016</w:t>
            </w:r>
            <w:r>
              <w:rPr>
                <w:rFonts w:ascii="Arial" w:cs="Arial" w:eastAsia="Arial" w:hAnsi="Arial"/>
                <w:sz w:val="15"/>
                <w:szCs w:val="15"/>
                <w:color w:val="auto"/>
                <w:w w:val="91"/>
              </w:rPr>
              <w:t>1</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1/6/2017</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1/27/2017</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declared in 2017</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3800" w:hanging="5612"/>
        <w:spacing w:after="0" w:line="778" w:lineRule="auto"/>
        <w:tabs>
          <w:tab w:leader="none" w:pos="436" w:val="left"/>
        </w:tabs>
        <w:numPr>
          <w:ilvl w:val="0"/>
          <w:numId w:val="101"/>
        </w:numPr>
        <w:rPr>
          <w:rFonts w:ascii="Arial" w:cs="Arial" w:eastAsia="Arial" w:hAnsi="Arial"/>
          <w:sz w:val="15"/>
          <w:szCs w:val="15"/>
          <w:color w:val="auto"/>
        </w:rPr>
      </w:pPr>
      <w:r>
        <w:rPr>
          <w:rFonts w:ascii="Arial" w:cs="Arial" w:eastAsia="Arial" w:hAnsi="Arial"/>
          <w:sz w:val="18"/>
          <w:szCs w:val="18"/>
          <w:color w:val="auto"/>
        </w:rPr>
        <w:t>Since the record date of this distribution is subsequent to year-end, it is a subsequent year tax event.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4" w:name="page95"/>
    <w:bookmarkEnd w:id="94"/>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ind w:right="40" w:firstLine="439"/>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ind w:right="200" w:firstLine="439"/>
        <w:spacing w:after="0" w:line="276" w:lineRule="auto"/>
        <w:rPr>
          <w:sz w:val="20"/>
          <w:szCs w:val="20"/>
          <w:color w:val="auto"/>
        </w:rPr>
      </w:pPr>
      <w:r>
        <w:rPr>
          <w:rFonts w:ascii="Arial" w:cs="Arial" w:eastAsia="Arial" w:hAnsi="Arial"/>
          <w:sz w:val="17"/>
          <w:szCs w:val="17"/>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32" w:lineRule="exact"/>
        <w:rPr>
          <w:sz w:val="20"/>
          <w:szCs w:val="20"/>
          <w:color w:val="auto"/>
        </w:rPr>
      </w:pPr>
    </w:p>
    <w:p>
      <w:pPr>
        <w:ind w:right="120" w:firstLine="439"/>
        <w:spacing w:after="0" w:line="257" w:lineRule="auto"/>
        <w:rPr>
          <w:sz w:val="20"/>
          <w:szCs w:val="20"/>
          <w:color w:val="auto"/>
        </w:rPr>
      </w:pPr>
      <w:r>
        <w:rPr>
          <w:rFonts w:ascii="Arial" w:cs="Arial" w:eastAsia="Arial" w:hAnsi="Arial"/>
          <w:sz w:val="18"/>
          <w:szCs w:val="18"/>
          <w:color w:val="auto"/>
        </w:rPr>
        <w:t>Our investment income is affected by fluctuations in various interest rates, including LIBOR and prime rates. As of June 30, 2019, approximately 78% of our Debt Securities Portfolio were either floating rate with a spread to an interest rate index such as LIBOR or the prime rate. 75% of these floating rate loans contain LIBOR floors ranging between 1.00% and 1.50%. We generally expect that future portfolio investments will predominately be floating rate investments. As of June 30, 2019, we had $121.3 million (par value) of borrowings outstanding at a current weighted average rate of 6.0%, of which $77.4 million par value had a fixed rate and $43.9 million par value has a floating rate.</w:t>
      </w:r>
    </w:p>
    <w:p>
      <w:pPr>
        <w:spacing w:after="0" w:line="161" w:lineRule="exact"/>
        <w:rPr>
          <w:sz w:val="20"/>
          <w:szCs w:val="20"/>
          <w:color w:val="auto"/>
        </w:rPr>
      </w:pPr>
    </w:p>
    <w:p>
      <w:pPr>
        <w:ind w:right="180" w:firstLine="439"/>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6.125% Notes Due 2022 would remain the same, given that this debt is at a fixed rate, while the interest rate on borrowings under the Great Lakes KCAP Funding I, LLC Revolving Credit Facility would fluctuate with changes in interest rates.</w:t>
      </w:r>
    </w:p>
    <w:p>
      <w:pPr>
        <w:spacing w:after="0" w:line="146" w:lineRule="exact"/>
        <w:rPr>
          <w:sz w:val="20"/>
          <w:szCs w:val="20"/>
          <w:color w:val="auto"/>
        </w:rPr>
      </w:pPr>
    </w:p>
    <w:p>
      <w:pPr>
        <w:jc w:val="both"/>
        <w:ind w:right="220" w:firstLine="439"/>
        <w:spacing w:after="0" w:line="264"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141" w:lineRule="exact"/>
        <w:rPr>
          <w:sz w:val="20"/>
          <w:szCs w:val="20"/>
          <w:color w:val="auto"/>
        </w:rPr>
      </w:pPr>
    </w:p>
    <w:p>
      <w:pPr>
        <w:ind w:right="500" w:firstLine="439"/>
        <w:spacing w:after="0" w:line="264"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June 30, 2019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40" w:type="dxa"/>
            <w:vAlign w:val="bottom"/>
            <w:gridSpan w:val="10"/>
          </w:tcPr>
          <w:p>
            <w:pPr>
              <w:jc w:val="center"/>
              <w:ind w:right="440"/>
              <w:spacing w:after="0"/>
              <w:rPr>
                <w:sz w:val="20"/>
                <w:szCs w:val="20"/>
                <w:color w:val="auto"/>
              </w:rPr>
            </w:pPr>
            <w:r>
              <w:rPr>
                <w:rFonts w:ascii="Arial" w:cs="Arial" w:eastAsia="Arial" w:hAnsi="Arial"/>
                <w:sz w:val="18"/>
                <w:szCs w:val="18"/>
                <w:b w:val="1"/>
                <w:bCs w:val="1"/>
                <w:color w:val="auto"/>
                <w:w w:val="90"/>
              </w:rPr>
              <w:t>Impact on net investment income from</w:t>
            </w:r>
          </w:p>
        </w:tc>
        <w:tc>
          <w:tcPr>
            <w:tcW w:w="20" w:type="dxa"/>
            <w:vAlign w:val="bottom"/>
          </w:tcPr>
          <w:p>
            <w:pPr>
              <w:spacing w:after="0"/>
              <w:rPr>
                <w:sz w:val="18"/>
                <w:szCs w:val="18"/>
                <w:color w:val="auto"/>
              </w:rPr>
            </w:pPr>
          </w:p>
        </w:tc>
      </w:tr>
      <w:tr>
        <w:trPr>
          <w:trHeight w:val="234"/>
        </w:trPr>
        <w:tc>
          <w:tcPr>
            <w:tcW w:w="3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8"/>
          </w:tcPr>
          <w:p>
            <w:pPr>
              <w:jc w:val="center"/>
              <w:ind w:left="590"/>
              <w:spacing w:after="0"/>
              <w:rPr>
                <w:sz w:val="20"/>
                <w:szCs w:val="20"/>
                <w:color w:val="auto"/>
              </w:rPr>
            </w:pPr>
            <w:r>
              <w:rPr>
                <w:rFonts w:ascii="Arial" w:cs="Arial" w:eastAsia="Arial" w:hAnsi="Arial"/>
                <w:sz w:val="18"/>
                <w:szCs w:val="18"/>
                <w:b w:val="1"/>
                <w:bCs w:val="1"/>
                <w:color w:val="auto"/>
                <w:w w:val="89"/>
              </w:rPr>
              <w:t>a change in interest rates at:</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680" w:type="dxa"/>
            <w:vAlign w:val="bottom"/>
            <w:tcBorders>
              <w:bottom w:val="single" w:sz="8" w:color="CFF0FC"/>
            </w:tcBorders>
          </w:tcPr>
          <w:p>
            <w:pPr>
              <w:spacing w:after="0"/>
              <w:rPr>
                <w:sz w:val="19"/>
                <w:szCs w:val="19"/>
                <w:color w:val="auto"/>
              </w:rPr>
            </w:pPr>
          </w:p>
        </w:tc>
        <w:tc>
          <w:tcPr>
            <w:tcW w:w="3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rPr>
              <w:t>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Increase in interest rate</w:t>
            </w:r>
          </w:p>
        </w:tc>
        <w:tc>
          <w:tcPr>
            <w:tcW w:w="3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1,248,164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2,496,328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3,744,492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Decrease in interest rate</w:t>
            </w:r>
          </w:p>
        </w:tc>
        <w:tc>
          <w:tcPr>
            <w:tcW w:w="3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(1,246,177)</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(2,494,341)</w:t>
            </w: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(3,019,315)</w:t>
            </w:r>
          </w:p>
        </w:tc>
        <w:tc>
          <w:tcPr>
            <w:tcW w:w="20" w:type="dxa"/>
            <w:vAlign w:val="bottom"/>
          </w:tcPr>
          <w:p>
            <w:pPr>
              <w:spacing w:after="0"/>
              <w:rPr>
                <w:sz w:val="20"/>
                <w:szCs w:val="20"/>
                <w:color w:val="auto"/>
              </w:rPr>
            </w:pPr>
          </w:p>
        </w:tc>
      </w:tr>
      <w:tr>
        <w:trPr>
          <w:trHeight w:val="647"/>
        </w:trPr>
        <w:tc>
          <w:tcPr>
            <w:tcW w:w="3680" w:type="dxa"/>
            <w:vAlign w:val="bottom"/>
          </w:tcPr>
          <w:p>
            <w:pPr>
              <w:spacing w:after="0"/>
              <w:rPr>
                <w:sz w:val="24"/>
                <w:szCs w:val="24"/>
                <w:color w:val="auto"/>
              </w:rPr>
            </w:pPr>
          </w:p>
        </w:tc>
        <w:tc>
          <w:tcPr>
            <w:tcW w:w="3100" w:type="dxa"/>
            <w:vAlign w:val="bottom"/>
          </w:tcPr>
          <w:p>
            <w:pPr>
              <w:jc w:val="right"/>
              <w:ind w:right="890"/>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5" w:name="page96"/>
    <w:bookmarkEnd w:id="95"/>
    <w:p>
      <w:pPr>
        <w:ind w:right="40" w:firstLine="439"/>
        <w:spacing w:after="0" w:line="264" w:lineRule="auto"/>
        <w:rPr>
          <w:sz w:val="20"/>
          <w:szCs w:val="20"/>
          <w:color w:val="auto"/>
        </w:rPr>
      </w:pPr>
      <w:r>
        <w:rPr>
          <w:rFonts w:ascii="Arial" w:cs="Arial" w:eastAsia="Arial" w:hAnsi="Arial"/>
          <w:sz w:val="18"/>
          <w:szCs w:val="18"/>
          <w:color w:val="auto"/>
        </w:rPr>
        <w:t>As shown above, net investment income assuming a 1% increase in interest rates would increase by approximately $1.2 million on an annualized basis. If the increase in rates was more significant, such as 2% or 3%, the net effect on net investment income would be an increase of approximately $2.5 million and $3.7 million, respectively.</w:t>
      </w:r>
    </w:p>
    <w:p>
      <w:pPr>
        <w:spacing w:after="0" w:line="141" w:lineRule="exact"/>
        <w:rPr>
          <w:sz w:val="20"/>
          <w:szCs w:val="20"/>
          <w:color w:val="auto"/>
        </w:rPr>
      </w:pPr>
    </w:p>
    <w:p>
      <w:pPr>
        <w:ind w:right="340" w:firstLine="439"/>
        <w:spacing w:after="0" w:line="312" w:lineRule="auto"/>
        <w:rPr>
          <w:sz w:val="20"/>
          <w:szCs w:val="20"/>
          <w:color w:val="auto"/>
        </w:rPr>
      </w:pPr>
      <w:r>
        <w:rPr>
          <w:rFonts w:ascii="Arial" w:cs="Arial" w:eastAsia="Arial" w:hAnsi="Arial"/>
          <w:sz w:val="16"/>
          <w:szCs w:val="16"/>
          <w:color w:val="auto"/>
        </w:rPr>
        <w:t>On an annualized basis, a decrease in interest rates of 1%, 2% and 3% would result in a decrease in net investment income of approximately $1.2 million, $1.5 million and $3.0 million, respectively. The negative impact of a 3% decline in interest rates is less severe than the impact of a 2% decline in interest rates due to the impact of interest rate floors on certain of our floating rate investments, as there is no floor on our floating rate debt facility</w:t>
      </w:r>
    </w:p>
    <w:p>
      <w:pPr>
        <w:spacing w:after="0" w:line="120"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hold any derivative financial instruments for hedging purposes as of June 30, 2019.</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198" w:lineRule="exact"/>
        <w:rPr>
          <w:sz w:val="20"/>
          <w:szCs w:val="20"/>
          <w:color w:val="auto"/>
        </w:rPr>
      </w:pPr>
    </w:p>
    <w:p>
      <w:pPr>
        <w:ind w:firstLine="439"/>
        <w:spacing w:after="0" w:line="253" w:lineRule="auto"/>
        <w:rPr>
          <w:sz w:val="20"/>
          <w:szCs w:val="20"/>
          <w:color w:val="auto"/>
        </w:rPr>
      </w:pPr>
      <w:r>
        <w:rPr>
          <w:rFonts w:ascii="Arial" w:cs="Arial" w:eastAsia="Arial" w:hAnsi="Arial"/>
          <w:sz w:val="18"/>
          <w:szCs w:val="18"/>
          <w:color w:val="auto"/>
        </w:rPr>
        <w:t>We carry our investments at fair value, as determined in good faith by our Board pursuant to a valuation methodology approved by our Board. Investments for which market quotations are generally readily available are generally valued at such market quotations. Investments for which there is not a readily available market value are valued at fair value as determined in good faith by our Board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54" w:lineRule="exact"/>
        <w:rPr>
          <w:sz w:val="20"/>
          <w:szCs w:val="20"/>
          <w:color w:val="auto"/>
        </w:rPr>
      </w:pPr>
    </w:p>
    <w:p>
      <w:pPr>
        <w:ind w:right="320" w:firstLine="439"/>
        <w:spacing w:after="0" w:line="276"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Board. Each quarter, the independent valuation firm will perform third party valuations on the Company’s material investments in illiquid securities such that they are reviewed at least once during a trailing 12-month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2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6" w:name="page97"/>
    <w:bookmarkEnd w:id="96"/>
    <w:p>
      <w:pPr>
        <w:spacing w:after="0"/>
        <w:tabs>
          <w:tab w:leader="none" w:pos="13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Controls and Procedures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8" w:lineRule="exact"/>
        <w:rPr>
          <w:sz w:val="20"/>
          <w:szCs w:val="20"/>
          <w:color w:val="auto"/>
        </w:rPr>
      </w:pPr>
    </w:p>
    <w:p>
      <w:pPr>
        <w:ind w:firstLine="439"/>
        <w:spacing w:after="0" w:line="271" w:lineRule="auto"/>
        <w:rPr>
          <w:sz w:val="20"/>
          <w:szCs w:val="20"/>
          <w:color w:val="auto"/>
        </w:rPr>
      </w:pPr>
      <w:r>
        <w:rPr>
          <w:rFonts w:ascii="Arial" w:cs="Arial" w:eastAsia="Arial" w:hAnsi="Arial"/>
          <w:sz w:val="17"/>
          <w:szCs w:val="17"/>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Securities Exchange Act of 1934, as amended (the “Exchange Act”)) as of the end of the period covered by this report. Based upon that evaluation, the Company’s CEO and CFO have concluded that the Company’s disclosure controls and procedures are effective to ensure that information required to be disclosed by us in reports that we file or submit under the Exchange Acts recorded, processed, summarized, and reported within the time periods specified in the SEC’s rules and forms, and that information required to be disclosed by us in the reports that we file or submit under the Exchange Act is accumulated and communicated to our management, including our CEO and CFO, as appropriate to allow timely decisions regarding required disclosures as of the end of the period covered by this report.</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20" w:firstLine="439"/>
        <w:spacing w:after="0" w:line="291" w:lineRule="auto"/>
        <w:rPr>
          <w:sz w:val="20"/>
          <w:szCs w:val="20"/>
          <w:color w:val="auto"/>
        </w:rPr>
      </w:pPr>
      <w:r>
        <w:rPr>
          <w:rFonts w:ascii="Arial" w:cs="Arial" w:eastAsia="Arial" w:hAnsi="Arial"/>
          <w:sz w:val="16"/>
          <w:szCs w:val="16"/>
          <w:color w:val="auto"/>
        </w:rPr>
        <w:t>On April 1, 2019 we entered into the Advisory Agreement and became an externally-managed BDC managed by Sierra Crest Investment Management LLC, our Adviser. In connection with the Externalization, we terminated the employment of all of our existing employees and began operating under operational policies and procedures established by the Adviser. We historically relied on our employees for all of our business functions, including investment origination, monitoring, portfolio servicing, accounting and management functions, all of which are now performed by the Adviser. Certain former employees of KCAP Financial, Inc. who historically had significant roles with respect to our internal control over financial reporting were hired by the Adviser and are currently employed by the Adviser in order to provide continuing services to us, including services related to our internal control over financial reporting. We consider the changes described above to be material changes in our internal control over financial reporting.</w:t>
      </w:r>
    </w:p>
    <w:p>
      <w:pPr>
        <w:spacing w:after="0" w:line="140" w:lineRule="exact"/>
        <w:rPr>
          <w:sz w:val="20"/>
          <w:szCs w:val="20"/>
          <w:color w:val="auto"/>
        </w:rPr>
      </w:pPr>
    </w:p>
    <w:p>
      <w:pPr>
        <w:ind w:right="560" w:firstLine="439"/>
        <w:spacing w:after="0" w:line="277" w:lineRule="auto"/>
        <w:rPr>
          <w:sz w:val="20"/>
          <w:szCs w:val="20"/>
          <w:color w:val="auto"/>
        </w:rPr>
      </w:pPr>
      <w:r>
        <w:rPr>
          <w:rFonts w:ascii="Arial" w:cs="Arial" w:eastAsia="Arial" w:hAnsi="Arial"/>
          <w:sz w:val="18"/>
          <w:szCs w:val="18"/>
          <w:color w:val="auto"/>
        </w:rPr>
        <w:t>Other than as described above, there were no changes in our internal control over financial reporting during the second quarter of 2019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is not currently a party to any material legal proceedings.</w:t>
      </w:r>
    </w:p>
    <w:p>
      <w:pPr>
        <w:spacing w:after="0" w:line="19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firstLine="439"/>
        <w:spacing w:after="0" w:line="264" w:lineRule="auto"/>
        <w:rPr>
          <w:sz w:val="20"/>
          <w:szCs w:val="20"/>
          <w:color w:val="auto"/>
        </w:rPr>
      </w:pPr>
      <w:r>
        <w:rPr>
          <w:rFonts w:ascii="Arial" w:cs="Arial" w:eastAsia="Arial" w:hAnsi="Arial"/>
          <w:sz w:val="18"/>
          <w:szCs w:val="18"/>
          <w:color w:val="auto"/>
        </w:rPr>
        <w:t>There have been no material changes from the risk factors previously disclosed in Part I, “Item 1A. Risk Factors” in our Annual Report on Form 10-K for the year ended December 31, 2018, as supplemented by the risk factors previously described in Part II “Item 1A. Risk Factors” in our Quarterly Report on Form 10-Q for the three months ended March 31, 2019.</w:t>
      </w:r>
    </w:p>
    <w:p>
      <w:pPr>
        <w:spacing w:after="0" w:line="13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right="160" w:firstLine="439"/>
        <w:spacing w:after="0" w:line="312" w:lineRule="auto"/>
        <w:rPr>
          <w:sz w:val="20"/>
          <w:szCs w:val="20"/>
          <w:color w:val="auto"/>
        </w:rPr>
      </w:pPr>
      <w:r>
        <w:rPr>
          <w:rFonts w:ascii="Arial" w:cs="Arial" w:eastAsia="Arial" w:hAnsi="Arial"/>
          <w:sz w:val="16"/>
          <w:szCs w:val="16"/>
          <w:color w:val="auto"/>
        </w:rPr>
        <w:t>While we did not engage in any sales of unregistered securities during the six months ended June 30, 2019, we issued a total of 39,786 shares of common stock under our dividend reinvestment plan (“DRIP”). This issuance was not subject to the registration requirements of the Securities Act of 1933. For the six months ended June 30, 2019, the aggregate value of the shares of our common stock issued under our DRIP was approximately $56,000.</w:t>
      </w:r>
    </w:p>
    <w:p>
      <w:pPr>
        <w:spacing w:after="0" w:line="10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Reference is made to the Exhibit List filed as a part of this report beginning on page E-1. Each of such exhibits is incorporated by reference herein.</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300" w:type="dxa"/>
            <w:vAlign w:val="bottom"/>
            <w:gridSpan w:val="18"/>
          </w:tcPr>
          <w:p>
            <w:pPr>
              <w:ind w:left="6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020" w:type="dxa"/>
            <w:vAlign w:val="bottom"/>
            <w:gridSpan w:val="6"/>
          </w:tcPr>
          <w:p>
            <w:pPr>
              <w:spacing w:after="0"/>
              <w:rPr>
                <w:sz w:val="20"/>
                <w:szCs w:val="20"/>
                <w:color w:val="auto"/>
              </w:rPr>
            </w:pPr>
            <w:r>
              <w:rPr>
                <w:rFonts w:ascii="Arial" w:cs="Arial" w:eastAsia="Arial" w:hAnsi="Arial"/>
                <w:sz w:val="18"/>
                <w:szCs w:val="18"/>
                <w:b w:val="1"/>
                <w:bCs w:val="1"/>
                <w:color w:val="auto"/>
              </w:rPr>
              <w:t>Exhibit</w:t>
            </w:r>
          </w:p>
        </w:tc>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020" w:type="dxa"/>
            <w:vAlign w:val="bottom"/>
            <w:gridSpan w:val="6"/>
          </w:tcPr>
          <w:p>
            <w:pPr>
              <w:spacing w:after="0"/>
              <w:rPr>
                <w:sz w:val="20"/>
                <w:szCs w:val="20"/>
                <w:color w:val="auto"/>
              </w:rPr>
            </w:pPr>
            <w:r>
              <w:rPr>
                <w:rFonts w:ascii="Arial" w:cs="Arial" w:eastAsia="Arial" w:hAnsi="Arial"/>
                <w:sz w:val="18"/>
                <w:szCs w:val="18"/>
                <w:b w:val="1"/>
                <w:bCs w:val="1"/>
                <w:color w:val="auto"/>
              </w:rPr>
              <w:t>Number</w:t>
            </w:r>
          </w:p>
        </w:tc>
        <w:tc>
          <w:tcPr>
            <w:tcW w:w="2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300" w:type="dxa"/>
            <w:vAlign w:val="bottom"/>
            <w:gridSpan w:val="18"/>
          </w:tcPr>
          <w:p>
            <w:pPr>
              <w:ind w:left="140"/>
              <w:spacing w:after="0"/>
              <w:rPr>
                <w:sz w:val="20"/>
                <w:szCs w:val="20"/>
                <w:color w:val="auto"/>
              </w:rPr>
            </w:pPr>
            <w:r>
              <w:rPr>
                <w:rFonts w:ascii="Arial" w:cs="Arial" w:eastAsia="Arial" w:hAnsi="Arial"/>
                <w:sz w:val="18"/>
                <w:szCs w:val="18"/>
                <w:b w:val="1"/>
                <w:bCs w:val="1"/>
                <w:color w:val="auto"/>
              </w:rPr>
              <w:t>Description of Document</w:t>
            </w:r>
          </w:p>
        </w:tc>
      </w:tr>
      <w:tr>
        <w:trPr>
          <w:trHeight w:val="291"/>
        </w:trPr>
        <w:tc>
          <w:tcPr>
            <w:tcW w:w="320" w:type="dxa"/>
            <w:vAlign w:val="bottom"/>
            <w:tcBorders>
              <w:top w:val="single" w:sz="8" w:color="auto"/>
            </w:tcBorders>
            <w:gridSpan w:val="2"/>
          </w:tcPr>
          <w:p>
            <w:pPr>
              <w:spacing w:after="0"/>
              <w:rPr>
                <w:rFonts w:ascii="Arial" w:cs="Arial" w:eastAsia="Arial" w:hAnsi="Arial"/>
                <w:sz w:val="18"/>
                <w:szCs w:val="18"/>
                <w:color w:val="0000EE"/>
              </w:rPr>
            </w:pPr>
            <w:hyperlink r:id="rId128">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0" w:type="dxa"/>
            <w:vAlign w:val="bottom"/>
            <w:tcBorders>
              <w:top w:val="single" w:sz="8" w:color="auto"/>
            </w:tcBorders>
            <w:gridSpan w:val="20"/>
          </w:tcPr>
          <w:p>
            <w:pPr>
              <w:spacing w:after="0"/>
              <w:rPr>
                <w:rFonts w:ascii="Arial" w:cs="Arial" w:eastAsia="Arial" w:hAnsi="Arial"/>
                <w:sz w:val="18"/>
                <w:szCs w:val="18"/>
                <w:color w:val="0000EE"/>
                <w:w w:val="92"/>
              </w:rPr>
            </w:pPr>
            <w:hyperlink r:id="rId128">
              <w:r>
                <w:rPr>
                  <w:rFonts w:ascii="Arial" w:cs="Arial" w:eastAsia="Arial" w:hAnsi="Arial"/>
                  <w:sz w:val="18"/>
                  <w:szCs w:val="18"/>
                  <w:color w:val="0000EE"/>
                  <w:w w:val="92"/>
                </w:rPr>
                <w:t>Form of Certificate of Incorporation of Company (incorporated by reference to the exhibit included in Pre-Effective Amendment No. 1 on Form</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N-2, as filed on October 6, 2006 (File No. 333-136714)).</w:t>
              </w:r>
            </w:hyperlink>
          </w:p>
        </w:tc>
      </w:tr>
      <w:tr>
        <w:trPr>
          <w:trHeight w:val="20"/>
        </w:trPr>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360" w:type="dxa"/>
            <w:vAlign w:val="bottom"/>
            <w:tcBorders>
              <w:bottom w:val="single" w:sz="8" w:color="0000EE"/>
            </w:tcBorders>
            <w:gridSpan w:val="3"/>
          </w:tcPr>
          <w:p>
            <w:pPr>
              <w:spacing w:after="0"/>
              <w:rPr>
                <w:rFonts w:ascii="Arial" w:cs="Arial" w:eastAsia="Arial" w:hAnsi="Arial"/>
                <w:sz w:val="18"/>
                <w:szCs w:val="18"/>
                <w:color w:val="0000EE"/>
                <w:w w:val="84"/>
              </w:rPr>
            </w:pPr>
            <w:hyperlink r:id="rId129">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1.1</w:t>
              </w:r>
            </w:hyperlink>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0" w:type="dxa"/>
            <w:vAlign w:val="bottom"/>
            <w:tcBorders>
              <w:bottom w:val="single" w:sz="8" w:color="0000EE"/>
            </w:tcBorders>
            <w:gridSpan w:val="20"/>
          </w:tcPr>
          <w:p>
            <w:pPr>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Certificate of Amendment to Certificate of Incorporation of Portman Ridge Finance Corporation (incorporated by reference to Exhibit 3.1 of the</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0" w:type="dxa"/>
            <w:vAlign w:val="bottom"/>
            <w:gridSpan w:val="20"/>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Current Report on Form 8-K, as filed on April 2, 2019 (File No. 814-00735)).</w:t>
              </w:r>
            </w:hyperlink>
          </w:p>
        </w:tc>
      </w:tr>
      <w:tr>
        <w:trPr>
          <w:trHeight w:val="20"/>
        </w:trPr>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3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40" w:type="dxa"/>
            <w:vAlign w:val="bottom"/>
            <w:tcBorders>
              <w:bottom w:val="single" w:sz="8" w:color="0000EE"/>
            </w:tcBorders>
            <w:gridSpan w:val="14"/>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Second Amended and Restated Bylaws of KCAP Financial, Inc., dated as of December 12, 2018 (incorporated by reference to Exhibit 3.1 of</w:t>
              </w:r>
            </w:hyperlink>
          </w:p>
        </w:tc>
        <w:tc>
          <w:tcPr>
            <w:tcW w:w="260" w:type="dxa"/>
            <w:vAlign w:val="bottom"/>
            <w:gridSpan w:val="6"/>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0" w:type="dxa"/>
            <w:vAlign w:val="bottom"/>
            <w:gridSpan w:val="20"/>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the Current Report on Form 8-K, as filed on December 14, 2018 (File No. 814-0735)).</w:t>
              </w:r>
            </w:hyperlink>
          </w:p>
        </w:tc>
      </w:tr>
      <w:tr>
        <w:trPr>
          <w:trHeight w:val="20"/>
        </w:trPr>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360" w:type="dxa"/>
            <w:vAlign w:val="bottom"/>
            <w:tcBorders>
              <w:bottom w:val="single" w:sz="8" w:color="0000EE"/>
            </w:tcBorders>
            <w:gridSpan w:val="3"/>
          </w:tcPr>
          <w:p>
            <w:pPr>
              <w:spacing w:after="0"/>
              <w:rPr>
                <w:rFonts w:ascii="Arial" w:cs="Arial" w:eastAsia="Arial" w:hAnsi="Arial"/>
                <w:sz w:val="18"/>
                <w:szCs w:val="18"/>
                <w:color w:val="0000EE"/>
                <w:w w:val="84"/>
              </w:rPr>
            </w:pPr>
            <w:hyperlink r:id="rId131">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2.1</w:t>
              </w:r>
            </w:hyperlink>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80" w:type="dxa"/>
            <w:vAlign w:val="bottom"/>
            <w:tcBorders>
              <w:bottom w:val="single" w:sz="8" w:color="0000EE"/>
            </w:tcBorders>
            <w:gridSpan w:val="18"/>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Amendment No. 1 to the Second Amended and Restated Bylaws of Portman Ridge Finance Corporation (incorporated by reference to Exhibit</w:t>
              </w:r>
            </w:hyperlink>
          </w:p>
        </w:tc>
        <w:tc>
          <w:tcPr>
            <w:tcW w:w="120" w:type="dxa"/>
            <w:vAlign w:val="bottom"/>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3.</w:t>
              </w:r>
              <w:r>
                <w:rPr>
                  <w:rFonts w:ascii="Arial" w:cs="Arial" w:eastAsia="Arial" w:hAnsi="Arial"/>
                  <w:sz w:val="18"/>
                  <w:szCs w:val="18"/>
                  <w:u w:val="single" w:color="auto"/>
                  <w:color w:val="0000EE"/>
                  <w:w w:val="92"/>
                </w:rPr>
                <w:t>2</w:t>
              </w:r>
              <w:r>
                <w:rPr>
                  <w:rFonts w:ascii="Arial" w:cs="Arial" w:eastAsia="Arial" w:hAnsi="Arial"/>
                  <w:sz w:val="18"/>
                  <w:szCs w:val="18"/>
                  <w:color w:val="0000EE"/>
                  <w:w w:val="92"/>
                </w:rPr>
                <w:t xml:space="preserve"> of the Current Report on Form 8-K, as filed on April 2, 2019 (File No. 814-00735)).</w:t>
              </w:r>
            </w:hyperlink>
          </w:p>
        </w:tc>
        <w:tc>
          <w:tcPr>
            <w:tcW w:w="4060" w:type="dxa"/>
            <w:vAlign w:val="bottom"/>
            <w:gridSpan w:val="15"/>
          </w:tcPr>
          <w:p>
            <w:pPr>
              <w:spacing w:after="0"/>
              <w:rPr>
                <w:sz w:val="17"/>
                <w:szCs w:val="17"/>
                <w:color w:val="auto"/>
              </w:rPr>
            </w:pPr>
          </w:p>
        </w:tc>
      </w:tr>
      <w:tr>
        <w:trPr>
          <w:trHeight w:val="318"/>
        </w:trPr>
        <w:tc>
          <w:tcPr>
            <w:tcW w:w="360" w:type="dxa"/>
            <w:vAlign w:val="bottom"/>
            <w:gridSpan w:val="3"/>
          </w:tcPr>
          <w:p>
            <w:pPr>
              <w:spacing w:after="0"/>
              <w:rPr>
                <w:rFonts w:ascii="Arial" w:cs="Arial" w:eastAsia="Arial" w:hAnsi="Arial"/>
                <w:sz w:val="18"/>
                <w:szCs w:val="18"/>
                <w:color w:val="0000EE"/>
                <w:w w:val="96"/>
              </w:rPr>
            </w:pPr>
            <w:hyperlink r:id="rId132">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1</w:t>
              </w:r>
            </w:hyperlink>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0" w:type="dxa"/>
            <w:vAlign w:val="bottom"/>
            <w:gridSpan w:val="20"/>
          </w:tcPr>
          <w:p>
            <w:pPr>
              <w:spacing w:after="0"/>
              <w:rPr>
                <w:rFonts w:ascii="Arial" w:cs="Arial" w:eastAsia="Arial" w:hAnsi="Arial"/>
                <w:sz w:val="18"/>
                <w:szCs w:val="18"/>
                <w:color w:val="0000EE"/>
                <w:w w:val="99"/>
              </w:rPr>
            </w:pPr>
            <w:hyperlink r:id="rId132">
              <w:r>
                <w:rPr>
                  <w:rFonts w:ascii="Arial" w:cs="Arial" w:eastAsia="Arial" w:hAnsi="Arial"/>
                  <w:sz w:val="18"/>
                  <w:szCs w:val="18"/>
                  <w:color w:val="0000EE"/>
                  <w:w w:val="99"/>
                </w:rPr>
                <w:t>Investment Advisory Agreement, dated April 1, 2019, by and between the Company and Sierra Crest Investment Management LLC</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(incorporated by reference to Exhibit 10.1 of the Current Report on Form 8-K, as filed on April 2, 2019 (File No. 814-00735)).</w:t>
              </w:r>
            </w:hyperlink>
          </w:p>
        </w:tc>
        <w:tc>
          <w:tcPr>
            <w:tcW w:w="360" w:type="dxa"/>
            <w:vAlign w:val="bottom"/>
            <w:tcBorders>
              <w:top w:val="single" w:sz="8" w:color="0000EE"/>
            </w:tcBorders>
          </w:tcPr>
          <w:p>
            <w:pPr>
              <w:spacing w:after="0"/>
              <w:rPr>
                <w:sz w:val="17"/>
                <w:szCs w:val="17"/>
                <w:color w:val="auto"/>
              </w:rPr>
            </w:pPr>
          </w:p>
        </w:tc>
        <w:tc>
          <w:tcPr>
            <w:tcW w:w="900" w:type="dxa"/>
            <w:vAlign w:val="bottom"/>
            <w:gridSpan w:val="10"/>
          </w:tcPr>
          <w:p>
            <w:pPr>
              <w:spacing w:after="0"/>
              <w:rPr>
                <w:sz w:val="17"/>
                <w:szCs w:val="17"/>
                <w:color w:val="auto"/>
              </w:rPr>
            </w:pPr>
          </w:p>
        </w:tc>
      </w:tr>
      <w:tr>
        <w:trPr>
          <w:trHeight w:val="318"/>
        </w:trPr>
        <w:tc>
          <w:tcPr>
            <w:tcW w:w="360" w:type="dxa"/>
            <w:vAlign w:val="bottom"/>
            <w:gridSpan w:val="3"/>
          </w:tcPr>
          <w:p>
            <w:pPr>
              <w:spacing w:after="0"/>
              <w:rPr>
                <w:rFonts w:ascii="Arial" w:cs="Arial" w:eastAsia="Arial" w:hAnsi="Arial"/>
                <w:sz w:val="18"/>
                <w:szCs w:val="18"/>
                <w:color w:val="0000EE"/>
                <w:w w:val="96"/>
              </w:rPr>
            </w:pPr>
            <w:hyperlink r:id="rId133">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2</w:t>
              </w:r>
            </w:hyperlink>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0" w:type="dxa"/>
            <w:vAlign w:val="bottom"/>
            <w:gridSpan w:val="20"/>
          </w:tcPr>
          <w:p>
            <w:pPr>
              <w:spacing w:after="0"/>
              <w:rPr>
                <w:rFonts w:ascii="Arial" w:cs="Arial" w:eastAsia="Arial" w:hAnsi="Arial"/>
                <w:sz w:val="18"/>
                <w:szCs w:val="18"/>
                <w:color w:val="0000EE"/>
                <w:w w:val="95"/>
              </w:rPr>
            </w:pPr>
            <w:hyperlink r:id="rId133">
              <w:r>
                <w:rPr>
                  <w:rFonts w:ascii="Arial" w:cs="Arial" w:eastAsia="Arial" w:hAnsi="Arial"/>
                  <w:sz w:val="18"/>
                  <w:szCs w:val="18"/>
                  <w:color w:val="0000EE"/>
                  <w:w w:val="95"/>
                </w:rPr>
                <w:t>Incentive Fee Letter Agreement, dated April 1, 2019, by and between the Company and BC Partners Management LLC (incorporated by</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reference to Exhibit 10.2 of the Current Report on Form 8-K, as filed on April 2, 2019 (File No. 814-00735)).</w:t>
              </w:r>
            </w:hyperlink>
          </w:p>
        </w:tc>
        <w:tc>
          <w:tcPr>
            <w:tcW w:w="1940" w:type="dxa"/>
            <w:vAlign w:val="bottom"/>
            <w:tcBorders>
              <w:top w:val="single" w:sz="8" w:color="0000EE"/>
            </w:tcBorders>
            <w:gridSpan w:val="5"/>
          </w:tcPr>
          <w:p>
            <w:pPr>
              <w:spacing w:after="0"/>
              <w:rPr>
                <w:sz w:val="17"/>
                <w:szCs w:val="17"/>
                <w:color w:val="auto"/>
              </w:rPr>
            </w:pPr>
          </w:p>
        </w:tc>
        <w:tc>
          <w:tcPr>
            <w:tcW w:w="560" w:type="dxa"/>
            <w:vAlign w:val="bottom"/>
            <w:gridSpan w:val="8"/>
          </w:tcPr>
          <w:p>
            <w:pPr>
              <w:spacing w:after="0"/>
              <w:rPr>
                <w:sz w:val="17"/>
                <w:szCs w:val="17"/>
                <w:color w:val="auto"/>
              </w:rPr>
            </w:pPr>
          </w:p>
        </w:tc>
      </w:tr>
      <w:tr>
        <w:trPr>
          <w:trHeight w:val="318"/>
        </w:trPr>
        <w:tc>
          <w:tcPr>
            <w:tcW w:w="360" w:type="dxa"/>
            <w:vAlign w:val="bottom"/>
            <w:gridSpan w:val="3"/>
          </w:tcPr>
          <w:p>
            <w:pPr>
              <w:spacing w:after="0"/>
              <w:rPr>
                <w:rFonts w:ascii="Arial" w:cs="Arial" w:eastAsia="Arial" w:hAnsi="Arial"/>
                <w:sz w:val="18"/>
                <w:szCs w:val="18"/>
                <w:color w:val="0000EE"/>
                <w:w w:val="96"/>
              </w:rPr>
            </w:pPr>
            <w:hyperlink r:id="rId134">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3</w:t>
              </w:r>
            </w:hyperlink>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0" w:type="dxa"/>
            <w:vAlign w:val="bottom"/>
            <w:gridSpan w:val="20"/>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Administration Agreement, dated April 1, 2019, by and between the Company and BC Partners Management LLC (incorporated by reference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Exhibit 10.3 of the Current Report on Form 8-K, as filed on April 2, 2019 (File No. 814-00735)).</w:t>
              </w:r>
            </w:hyperlink>
          </w:p>
        </w:tc>
        <w:tc>
          <w:tcPr>
            <w:tcW w:w="338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360" w:type="dxa"/>
            <w:vAlign w:val="bottom"/>
            <w:gridSpan w:val="3"/>
          </w:tcPr>
          <w:p>
            <w:pPr>
              <w:spacing w:after="0"/>
              <w:rPr>
                <w:rFonts w:ascii="Arial" w:cs="Arial" w:eastAsia="Arial" w:hAnsi="Arial"/>
                <w:sz w:val="18"/>
                <w:szCs w:val="18"/>
                <w:color w:val="0000EE"/>
                <w:w w:val="96"/>
              </w:rPr>
            </w:pPr>
            <w:hyperlink r:id="rId135">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4</w:t>
              </w:r>
            </w:hyperlink>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0" w:type="dxa"/>
            <w:vAlign w:val="bottom"/>
            <w:gridSpan w:val="20"/>
          </w:tcPr>
          <w:p>
            <w:pP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Second Amendment to Loan and Security Agreement, dated as of March 27, 2019, by and among Great Lakes KCAP Funding I, LLC, KCAP</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Financial, Inc., the financial institutions party to the Agreement from time to time as lenders, Cadence Bank, N.A., CIBC Bank USA</w:t>
              </w:r>
            </w:hyperlink>
          </w:p>
        </w:tc>
        <w:tc>
          <w:tcPr>
            <w:tcW w:w="660" w:type="dxa"/>
            <w:vAlign w:val="bottom"/>
            <w:tcBorders>
              <w:top w:val="single" w:sz="8" w:color="0000EE"/>
            </w:tcBorders>
            <w:gridSpan w:val="5"/>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(incorporated by reference to Exhibit 10.1 of the Current Report on Form 8-K, as filed on April 2, 2019 (File No. 814-00735)).</w:t>
              </w:r>
            </w:hyperlink>
          </w:p>
        </w:tc>
        <w:tc>
          <w:tcPr>
            <w:tcW w:w="1260" w:type="dxa"/>
            <w:vAlign w:val="bottom"/>
            <w:gridSpan w:val="11"/>
          </w:tcPr>
          <w:p>
            <w:pPr>
              <w:spacing w:after="0"/>
              <w:rPr>
                <w:sz w:val="17"/>
                <w:szCs w:val="17"/>
                <w:color w:val="auto"/>
              </w:rPr>
            </w:pPr>
          </w:p>
        </w:tc>
      </w:tr>
      <w:tr>
        <w:trPr>
          <w:trHeight w:val="318"/>
        </w:trPr>
        <w:tc>
          <w:tcPr>
            <w:tcW w:w="360" w:type="dxa"/>
            <w:vAlign w:val="bottom"/>
            <w:gridSpan w:val="3"/>
          </w:tcPr>
          <w:p>
            <w:pPr>
              <w:spacing w:after="0"/>
              <w:rPr>
                <w:rFonts w:ascii="Arial" w:cs="Arial" w:eastAsia="Arial" w:hAnsi="Arial"/>
                <w:sz w:val="18"/>
                <w:szCs w:val="18"/>
                <w:color w:val="0000EE"/>
                <w:w w:val="96"/>
              </w:rPr>
            </w:pPr>
            <w:hyperlink r:id="rId136">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5</w:t>
              </w:r>
            </w:hyperlink>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0" w:type="dxa"/>
            <w:vAlign w:val="bottom"/>
            <w:gridSpan w:val="20"/>
          </w:tcPr>
          <w:p>
            <w:pPr>
              <w:spacing w:after="0"/>
              <w:rPr>
                <w:rFonts w:ascii="Arial" w:cs="Arial" w:eastAsia="Arial" w:hAnsi="Arial"/>
                <w:sz w:val="18"/>
                <w:szCs w:val="18"/>
                <w:color w:val="0000EE"/>
                <w:w w:val="96"/>
              </w:rPr>
            </w:pPr>
            <w:hyperlink r:id="rId136">
              <w:r>
                <w:rPr>
                  <w:rFonts w:ascii="Arial" w:cs="Arial" w:eastAsia="Arial" w:hAnsi="Arial"/>
                  <w:sz w:val="18"/>
                  <w:szCs w:val="18"/>
                  <w:color w:val="0000EE"/>
                  <w:w w:val="96"/>
                </w:rPr>
                <w:t>Third Amendment to Loan and Security Agreement, dated as of April 1, 2019, by and among Great Lakes KCAP Funding I, LLC, KCAP</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Financial, Inc., the financial institutions party to the Agreement from time to time as lenders, Cadence Bank, N.A., CIBC Bank USA</w:t>
              </w:r>
            </w:hyperlink>
          </w:p>
        </w:tc>
        <w:tc>
          <w:tcPr>
            <w:tcW w:w="360" w:type="dxa"/>
            <w:vAlign w:val="bottom"/>
            <w:tcBorders>
              <w:top w:val="single" w:sz="8" w:color="0000EE"/>
            </w:tcBorders>
            <w:gridSpan w:val="2"/>
          </w:tcPr>
          <w:p>
            <w:pPr>
              <w:spacing w:after="0"/>
              <w:rPr>
                <w:sz w:val="17"/>
                <w:szCs w:val="17"/>
                <w:color w:val="auto"/>
              </w:rPr>
            </w:pPr>
          </w:p>
        </w:tc>
        <w:tc>
          <w:tcPr>
            <w:tcW w:w="480" w:type="dxa"/>
            <w:vAlign w:val="bottom"/>
            <w:gridSpan w:val="7"/>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(incorporated by reference to Exhibit 10.2 of the Current Report on Form 8-K, as filed on April 2, 2019 (File No. 814-00735))</w:t>
              </w:r>
            </w:hyperlink>
          </w:p>
        </w:tc>
        <w:tc>
          <w:tcPr>
            <w:tcW w:w="1300" w:type="dxa"/>
            <w:vAlign w:val="bottom"/>
            <w:gridSpan w:val="12"/>
          </w:tcPr>
          <w:p>
            <w:pPr>
              <w:spacing w:after="0"/>
              <w:rPr>
                <w:sz w:val="17"/>
                <w:szCs w:val="17"/>
                <w:color w:val="auto"/>
              </w:rPr>
            </w:pPr>
          </w:p>
        </w:tc>
      </w:tr>
      <w:tr>
        <w:trPr>
          <w:trHeight w:val="318"/>
        </w:trPr>
        <w:tc>
          <w:tcPr>
            <w:tcW w:w="500" w:type="dxa"/>
            <w:vAlign w:val="bottom"/>
            <w:gridSpan w:val="4"/>
          </w:tcPr>
          <w:p>
            <w:pPr>
              <w:spacing w:after="0"/>
              <w:rPr>
                <w:rFonts w:ascii="Arial" w:cs="Arial" w:eastAsia="Arial" w:hAnsi="Arial"/>
                <w:sz w:val="18"/>
                <w:szCs w:val="18"/>
                <w:color w:val="0000EE"/>
                <w:w w:val="97"/>
              </w:rPr>
            </w:pPr>
            <w:hyperlink w:anchor="page101">
              <w:r>
                <w:rPr>
                  <w:rFonts w:ascii="Arial" w:cs="Arial" w:eastAsia="Arial" w:hAnsi="Arial"/>
                  <w:sz w:val="18"/>
                  <w:szCs w:val="18"/>
                  <w:color w:val="0000EE"/>
                  <w:w w:val="97"/>
                </w:rPr>
                <w:t>31.</w:t>
              </w:r>
              <w:r>
                <w:rPr>
                  <w:rFonts w:ascii="Arial" w:cs="Arial" w:eastAsia="Arial" w:hAnsi="Arial"/>
                  <w:sz w:val="18"/>
                  <w:szCs w:val="18"/>
                  <w:u w:val="single" w:color="auto"/>
                  <w:color w:val="0000EE"/>
                  <w:w w:val="97"/>
                </w:rPr>
                <w:t>1**</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0" w:type="dxa"/>
            <w:vAlign w:val="bottom"/>
            <w:gridSpan w:val="20"/>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Certification of Chief Executive Officer Pursuant to Rule 13a-14(a) under the Securities Exchange Act of 1934, as adopted pursuant to Section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302 of the Sarbanes-Oxley Act of 2002.</w:t>
              </w:r>
            </w:hyperlink>
          </w:p>
        </w:tc>
        <w:tc>
          <w:tcPr>
            <w:tcW w:w="7400" w:type="dxa"/>
            <w:vAlign w:val="bottom"/>
            <w:tcBorders>
              <w:top w:val="single" w:sz="8" w:color="0000EE"/>
            </w:tcBorders>
            <w:gridSpan w:val="17"/>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318"/>
        </w:trPr>
        <w:tc>
          <w:tcPr>
            <w:tcW w:w="50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102">
              <w:r>
                <w:rPr>
                  <w:rFonts w:ascii="Arial" w:cs="Arial" w:eastAsia="Arial" w:hAnsi="Arial"/>
                  <w:sz w:val="18"/>
                  <w:szCs w:val="18"/>
                  <w:color w:val="0000EE"/>
                  <w:w w:val="97"/>
                </w:rPr>
                <w:t>31.</w:t>
              </w:r>
              <w:r>
                <w:rPr>
                  <w:rFonts w:ascii="Arial" w:cs="Arial" w:eastAsia="Arial" w:hAnsi="Arial"/>
                  <w:sz w:val="18"/>
                  <w:szCs w:val="18"/>
                  <w:u w:val="single" w:color="auto"/>
                  <w:color w:val="0000EE"/>
                  <w:w w:val="97"/>
                </w:rPr>
                <w:t>2**</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02">
              <w:r>
                <w:rPr>
                  <w:rFonts w:ascii="Arial" w:cs="Arial" w:eastAsia="Arial" w:hAnsi="Arial"/>
                  <w:sz w:val="18"/>
                  <w:szCs w:val="18"/>
                  <w:color w:val="0000EE"/>
                  <w:w w:val="90"/>
                </w:rPr>
                <w:t>Certification of Chief Financial Officer Pursuant to Rule 13a-14(a) under the Securities Exchange Act of 1934, as adopted pursuant to Section</w:t>
              </w:r>
            </w:hyperlink>
          </w:p>
        </w:tc>
        <w:tc>
          <w:tcPr>
            <w:tcW w:w="160" w:type="dxa"/>
            <w:vAlign w:val="bottom"/>
            <w:gridSpan w:val="3"/>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302 of the Sarbanes-Oxley Act of 2002.</w:t>
              </w:r>
            </w:hyperlink>
          </w:p>
        </w:tc>
        <w:tc>
          <w:tcPr>
            <w:tcW w:w="7520" w:type="dxa"/>
            <w:vAlign w:val="bottom"/>
            <w:gridSpan w:val="19"/>
          </w:tcPr>
          <w:p>
            <w:pPr>
              <w:spacing w:after="0"/>
              <w:rPr>
                <w:sz w:val="17"/>
                <w:szCs w:val="17"/>
                <w:color w:val="auto"/>
              </w:rPr>
            </w:pPr>
          </w:p>
        </w:tc>
      </w:tr>
      <w:tr>
        <w:trPr>
          <w:trHeight w:val="318"/>
        </w:trPr>
        <w:tc>
          <w:tcPr>
            <w:tcW w:w="50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103">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1**</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Certification of Chief Executive Officer Pursuant to 18 U. S. C. 1350, as adopted pursuant to Section 906 of the Sarbanes-Oxley Act of 2002.</w:t>
              </w:r>
            </w:hyperlink>
          </w:p>
        </w:tc>
        <w:tc>
          <w:tcPr>
            <w:tcW w:w="200" w:type="dxa"/>
            <w:vAlign w:val="bottom"/>
            <w:gridSpan w:val="5"/>
          </w:tcPr>
          <w:p>
            <w:pPr>
              <w:spacing w:after="0"/>
              <w:rPr>
                <w:sz w:val="24"/>
                <w:szCs w:val="24"/>
                <w:color w:val="auto"/>
              </w:rPr>
            </w:pPr>
          </w:p>
        </w:tc>
      </w:tr>
      <w:tr>
        <w:trPr>
          <w:trHeight w:val="318"/>
        </w:trPr>
        <w:tc>
          <w:tcPr>
            <w:tcW w:w="500" w:type="dxa"/>
            <w:vAlign w:val="bottom"/>
            <w:gridSpan w:val="4"/>
          </w:tcPr>
          <w:p>
            <w:pPr>
              <w:spacing w:after="0"/>
              <w:rPr>
                <w:rFonts w:ascii="Arial" w:cs="Arial" w:eastAsia="Arial" w:hAnsi="Arial"/>
                <w:sz w:val="18"/>
                <w:szCs w:val="18"/>
                <w:color w:val="0000EE"/>
                <w:w w:val="97"/>
              </w:rPr>
            </w:pPr>
            <w:hyperlink w:anchor="page104">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2**</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0" w:type="dxa"/>
            <w:vAlign w:val="bottom"/>
            <w:gridSpan w:val="20"/>
          </w:tcPr>
          <w:p>
            <w:pPr>
              <w:spacing w:after="0"/>
              <w:rPr>
                <w:rFonts w:ascii="Arial" w:cs="Arial" w:eastAsia="Arial" w:hAnsi="Arial"/>
                <w:sz w:val="18"/>
                <w:szCs w:val="18"/>
                <w:color w:val="0000EE"/>
                <w:w w:val="93"/>
              </w:rPr>
            </w:pPr>
            <w:hyperlink w:anchor="page104">
              <w:r>
                <w:rPr>
                  <w:rFonts w:ascii="Arial" w:cs="Arial" w:eastAsia="Arial" w:hAnsi="Arial"/>
                  <w:sz w:val="18"/>
                  <w:szCs w:val="18"/>
                  <w:color w:val="0000EE"/>
                  <w:w w:val="93"/>
                </w:rPr>
                <w:t>Certification of Chief Financial Officer Pursuant to 18 U. S. C. 1350, as adopted pursuant to Section 906 of the Sarbanes-Oxley Act of 2002.</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hanging="432"/>
        <w:spacing w:after="0"/>
        <w:tabs>
          <w:tab w:leader="none" w:pos="4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Submitted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640" w:firstLine="4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PORTMAN RIDGE FINANCE CORPORATION</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6, 2019</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Edward Goldthorpe</w:t>
            </w:r>
          </w:p>
        </w:tc>
      </w:tr>
      <w:tr>
        <w:trPr>
          <w:trHeight w:val="195"/>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Pr>
          <w:p>
            <w:pPr>
              <w:jc w:val="center"/>
              <w:spacing w:after="0" w:line="195" w:lineRule="exact"/>
              <w:rPr>
                <w:sz w:val="20"/>
                <w:szCs w:val="20"/>
                <w:color w:val="auto"/>
              </w:rPr>
            </w:pPr>
            <w:r>
              <w:rPr>
                <w:rFonts w:ascii="Arial" w:cs="Arial" w:eastAsia="Arial" w:hAnsi="Arial"/>
                <w:sz w:val="18"/>
                <w:szCs w:val="18"/>
                <w:color w:val="auto"/>
                <w:w w:val="91"/>
              </w:rPr>
              <w:t>Edward Goldthorpe</w:t>
            </w:r>
          </w:p>
        </w:tc>
      </w:tr>
      <w:tr>
        <w:trPr>
          <w:trHeight w:val="216"/>
        </w:trPr>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230"/>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6, 2019</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Pr>
          <w:p>
            <w:pPr>
              <w:jc w:val="center"/>
              <w:spacing w:after="0"/>
              <w:rPr>
                <w:sz w:val="20"/>
                <w:szCs w:val="20"/>
                <w:color w:val="auto"/>
              </w:rPr>
            </w:pPr>
            <w:r>
              <w:rPr>
                <w:rFonts w:ascii="Arial" w:cs="Arial" w:eastAsia="Arial" w:hAnsi="Arial"/>
                <w:sz w:val="18"/>
                <w:szCs w:val="18"/>
                <w:color w:val="auto"/>
                <w:w w:val="94"/>
              </w:rPr>
              <w:t>/s/ Edward U. Gilpin</w:t>
            </w:r>
          </w:p>
        </w:tc>
      </w:tr>
    </w:tbl>
    <w:p>
      <w:pPr>
        <w:jc w:val="center"/>
        <w:ind w:left="6280"/>
        <w:spacing w:after="0"/>
        <w:rPr>
          <w:sz w:val="20"/>
          <w:szCs w:val="20"/>
          <w:color w:val="auto"/>
        </w:rPr>
      </w:pPr>
      <w:r>
        <w:rPr>
          <w:rFonts w:ascii="Arial" w:cs="Arial" w:eastAsia="Arial" w:hAnsi="Arial"/>
          <w:sz w:val="18"/>
          <w:szCs w:val="18"/>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Edward Goldthorpe, certify that:</w:t>
      </w:r>
    </w:p>
    <w:p>
      <w:pPr>
        <w:spacing w:after="0" w:line="117" w:lineRule="exact"/>
        <w:rPr>
          <w:sz w:val="20"/>
          <w:szCs w:val="20"/>
          <w:color w:val="auto"/>
        </w:rPr>
      </w:pPr>
    </w:p>
    <w:p>
      <w:pPr>
        <w:ind w:left="640" w:hanging="177"/>
        <w:spacing w:after="0"/>
        <w:tabs>
          <w:tab w:leader="none" w:pos="6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June 30, 2019 of Portman Ridge Finance Corporation (the “registrant”);</w:t>
      </w:r>
    </w:p>
    <w:p>
      <w:pPr>
        <w:spacing w:after="0" w:line="140" w:lineRule="exact"/>
        <w:rPr>
          <w:rFonts w:ascii="Arial" w:cs="Arial" w:eastAsia="Arial" w:hAnsi="Arial"/>
          <w:sz w:val="16"/>
          <w:szCs w:val="16"/>
          <w:color w:val="auto"/>
        </w:rPr>
      </w:pPr>
    </w:p>
    <w:p>
      <w:pPr>
        <w:ind w:right="240" w:firstLine="463"/>
        <w:spacing w:after="0" w:line="342" w:lineRule="auto"/>
        <w:tabs>
          <w:tab w:leader="none" w:pos="63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463"/>
        <w:spacing w:after="0" w:line="308" w:lineRule="auto"/>
        <w:tabs>
          <w:tab w:leader="none" w:pos="63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260" w:firstLine="463"/>
        <w:spacing w:after="0" w:line="264" w:lineRule="auto"/>
        <w:tabs>
          <w:tab w:leader="none" w:pos="6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240" w:firstLine="463"/>
        <w:spacing w:after="0" w:line="264" w:lineRule="auto"/>
        <w:tabs>
          <w:tab w:leader="none" w:pos="7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560" w:firstLine="463"/>
        <w:spacing w:after="0" w:line="264" w:lineRule="auto"/>
        <w:tabs>
          <w:tab w:leader="none" w:pos="71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463"/>
        <w:spacing w:after="0" w:line="277" w:lineRule="auto"/>
        <w:tabs>
          <w:tab w:leader="none" w:pos="7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60" w:firstLine="463"/>
        <w:spacing w:after="0" w:line="264" w:lineRule="auto"/>
        <w:tabs>
          <w:tab w:leader="none" w:pos="71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firstLine="463"/>
        <w:spacing w:after="0" w:line="308" w:lineRule="auto"/>
        <w:tabs>
          <w:tab w:leader="none" w:pos="63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0" w:firstLine="463"/>
        <w:spacing w:after="0" w:line="277" w:lineRule="auto"/>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60" w:firstLine="463"/>
        <w:spacing w:after="0" w:line="277" w:lineRule="auto"/>
        <w:tabs>
          <w:tab w:leader="none" w:pos="71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7660" w:val="left"/>
        </w:tabs>
        <w:rPr>
          <w:sz w:val="20"/>
          <w:szCs w:val="20"/>
          <w:color w:val="auto"/>
        </w:rPr>
      </w:pPr>
      <w:r>
        <w:rPr>
          <w:rFonts w:ascii="Arial" w:cs="Arial" w:eastAsia="Arial" w:hAnsi="Arial"/>
          <w:sz w:val="18"/>
          <w:szCs w:val="18"/>
          <w:color w:val="auto"/>
        </w:rPr>
        <w:t>Date: August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S / EDWARD GOLDTHORPE</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Edward U. Gilpin, certify that:</w:t>
      </w:r>
    </w:p>
    <w:p>
      <w:pPr>
        <w:spacing w:after="0" w:line="117" w:lineRule="exact"/>
        <w:rPr>
          <w:sz w:val="20"/>
          <w:szCs w:val="20"/>
          <w:color w:val="auto"/>
        </w:rPr>
      </w:pPr>
    </w:p>
    <w:p>
      <w:pPr>
        <w:ind w:left="640" w:hanging="177"/>
        <w:spacing w:after="0"/>
        <w:tabs>
          <w:tab w:leader="none" w:pos="6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June 30, 2019 of Portman Ridge Finance Corporation (the “registrant”);</w:t>
      </w:r>
    </w:p>
    <w:p>
      <w:pPr>
        <w:spacing w:after="0" w:line="140" w:lineRule="exact"/>
        <w:rPr>
          <w:rFonts w:ascii="Arial" w:cs="Arial" w:eastAsia="Arial" w:hAnsi="Arial"/>
          <w:sz w:val="16"/>
          <w:szCs w:val="16"/>
          <w:color w:val="auto"/>
        </w:rPr>
      </w:pPr>
    </w:p>
    <w:p>
      <w:pPr>
        <w:ind w:right="240" w:firstLine="463"/>
        <w:spacing w:after="0" w:line="342" w:lineRule="auto"/>
        <w:tabs>
          <w:tab w:leader="none" w:pos="63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3"/>
        <w:spacing w:after="0" w:line="277" w:lineRule="auto"/>
        <w:tabs>
          <w:tab w:leader="none" w:pos="63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3"/>
        <w:spacing w:after="0" w:line="264" w:lineRule="auto"/>
        <w:tabs>
          <w:tab w:leader="none" w:pos="63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240" w:firstLine="463"/>
        <w:spacing w:after="0" w:line="264" w:lineRule="auto"/>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463"/>
        <w:spacing w:after="0" w:line="264" w:lineRule="auto"/>
        <w:tabs>
          <w:tab w:leader="none" w:pos="71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463"/>
        <w:spacing w:after="0" w:line="277" w:lineRule="auto"/>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60" w:firstLine="463"/>
        <w:spacing w:after="0" w:line="264" w:lineRule="auto"/>
        <w:tabs>
          <w:tab w:leader="none" w:pos="71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firstLine="463"/>
        <w:spacing w:after="0" w:line="308" w:lineRule="auto"/>
        <w:tabs>
          <w:tab w:leader="none" w:pos="63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0" w:firstLine="463"/>
        <w:spacing w:after="0" w:line="277" w:lineRule="auto"/>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60" w:firstLine="463"/>
        <w:spacing w:after="0" w:line="277" w:lineRule="auto"/>
        <w:tabs>
          <w:tab w:leader="none" w:pos="71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8040" w:val="left"/>
        </w:tabs>
        <w:rPr>
          <w:sz w:val="20"/>
          <w:szCs w:val="20"/>
          <w:color w:val="auto"/>
        </w:rPr>
      </w:pPr>
      <w:r>
        <w:rPr>
          <w:rFonts w:ascii="Arial" w:cs="Arial" w:eastAsia="Arial" w:hAnsi="Arial"/>
          <w:sz w:val="18"/>
          <w:szCs w:val="18"/>
          <w:color w:val="auto"/>
        </w:rPr>
        <w:t>Date: August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80" w:firstLine="439"/>
        <w:spacing w:after="0" w:line="264" w:lineRule="auto"/>
        <w:rPr>
          <w:sz w:val="20"/>
          <w:szCs w:val="20"/>
          <w:color w:val="auto"/>
        </w:rPr>
      </w:pPr>
      <w:r>
        <w:rPr>
          <w:rFonts w:ascii="Arial" w:cs="Arial" w:eastAsia="Arial" w:hAnsi="Arial"/>
          <w:sz w:val="18"/>
          <w:szCs w:val="18"/>
          <w:color w:val="auto"/>
        </w:rPr>
        <w:t>In connection with the accompanying Quarterly Report of Portman Ridge Finance Corporation (the “Company”) on Form 10-Q for the quarter ended June 30, 2019 (the “Report”), I, Edward Goldthorpe, President and Chief Executive Officer of the Company, certify, pursuant to 18 U.S.C. §1350, as adopted pursuant to §906 of the Sarbanes-Oxley Act of 2002, that:</w:t>
      </w:r>
    </w:p>
    <w:p>
      <w:pPr>
        <w:spacing w:after="0" w:line="141" w:lineRule="exact"/>
        <w:rPr>
          <w:sz w:val="20"/>
          <w:szCs w:val="20"/>
          <w:color w:val="auto"/>
        </w:rPr>
      </w:pPr>
    </w:p>
    <w:p>
      <w:pPr>
        <w:ind w:left="700" w:hanging="253"/>
        <w:spacing w:after="0"/>
        <w:tabs>
          <w:tab w:leader="none" w:pos="7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96" w:lineRule="exact"/>
        <w:rPr>
          <w:rFonts w:ascii="Arial" w:cs="Arial" w:eastAsia="Arial" w:hAnsi="Arial"/>
          <w:sz w:val="17"/>
          <w:szCs w:val="17"/>
          <w:color w:val="auto"/>
        </w:rPr>
      </w:pPr>
    </w:p>
    <w:p>
      <w:pPr>
        <w:ind w:left="700" w:hanging="253"/>
        <w:spacing w:after="0"/>
        <w:tabs>
          <w:tab w:leader="none" w:pos="7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 w:leader="none" w:pos="7660" w:val="left"/>
        </w:tabs>
        <w:rPr>
          <w:sz w:val="20"/>
          <w:szCs w:val="20"/>
          <w:color w:val="auto"/>
        </w:rPr>
      </w:pPr>
      <w:r>
        <w:rPr>
          <w:rFonts w:ascii="Arial" w:cs="Arial" w:eastAsia="Arial" w:hAnsi="Arial"/>
          <w:sz w:val="18"/>
          <w:szCs w:val="18"/>
          <w:color w:val="auto"/>
        </w:rPr>
        <w:t>Date: August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S / EDWARD GOLDTHORPE</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40" w:firstLine="439"/>
        <w:spacing w:after="0" w:line="264" w:lineRule="auto"/>
        <w:rPr>
          <w:sz w:val="20"/>
          <w:szCs w:val="20"/>
          <w:color w:val="auto"/>
        </w:rPr>
      </w:pPr>
      <w:r>
        <w:rPr>
          <w:rFonts w:ascii="Arial" w:cs="Arial" w:eastAsia="Arial" w:hAnsi="Arial"/>
          <w:sz w:val="18"/>
          <w:szCs w:val="18"/>
          <w:color w:val="auto"/>
        </w:rPr>
        <w:t>In connection with the accompanying Quarterly Report of Portman Ridge Finance Corporation the “Company”) on Form 10-Q for the quarter ended June 30, 2019 (the “Report”), I, Edward U. Gilpin, Chief Financial Officer of the Company, certify, pursuant to 18 U.S.C. §1350, as adopted pursuant to §906 of the Sarbanes-Oxley Act of 2002, that:</w:t>
      </w:r>
    </w:p>
    <w:p>
      <w:pPr>
        <w:spacing w:after="0" w:line="141" w:lineRule="exact"/>
        <w:rPr>
          <w:sz w:val="20"/>
          <w:szCs w:val="20"/>
          <w:color w:val="auto"/>
        </w:rPr>
      </w:pPr>
    </w:p>
    <w:p>
      <w:pPr>
        <w:ind w:left="700" w:hanging="253"/>
        <w:spacing w:after="0"/>
        <w:tabs>
          <w:tab w:leader="none" w:pos="7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96" w:lineRule="exact"/>
        <w:rPr>
          <w:rFonts w:ascii="Arial" w:cs="Arial" w:eastAsia="Arial" w:hAnsi="Arial"/>
          <w:sz w:val="17"/>
          <w:szCs w:val="17"/>
          <w:color w:val="auto"/>
        </w:rPr>
      </w:pPr>
    </w:p>
    <w:p>
      <w:pPr>
        <w:ind w:left="700" w:hanging="253"/>
        <w:spacing w:after="0"/>
        <w:tabs>
          <w:tab w:leader="none" w:pos="7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 w:leader="none" w:pos="8040" w:val="left"/>
        </w:tabs>
        <w:rPr>
          <w:sz w:val="20"/>
          <w:szCs w:val="20"/>
          <w:color w:val="auto"/>
        </w:rPr>
      </w:pPr>
      <w:r>
        <w:rPr>
          <w:rFonts w:ascii="Arial" w:cs="Arial" w:eastAsia="Arial" w:hAnsi="Arial"/>
          <w:sz w:val="18"/>
          <w:szCs w:val="18"/>
          <w:color w:val="auto"/>
        </w:rPr>
        <w:t>Date: August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1)"/>
      <w:numFmt w:val="decimal"/>
      <w:start w:val="1"/>
    </w:lvl>
  </w:abstractNum>
  <w:abstractNum w:abstractNumId="5">
    <w:nsid w:val="354FE9F9"/>
    <w:multiLevelType w:val="hybridMultilevel"/>
    <w:lvl w:ilvl="0">
      <w:lvlJc w:val="left"/>
      <w:lvlText w:val="1"/>
      <w:numFmt w:val="bullet"/>
      <w:start w:val="1"/>
    </w:lvl>
  </w:abstractNum>
  <w:abstractNum w:abstractNumId="6">
    <w:nsid w:val="15B5AF5C"/>
    <w:multiLevelType w:val="hybridMultilevel"/>
    <w:lvl w:ilvl="0">
      <w:lvlJc w:val="left"/>
      <w:lvlText w:val="2"/>
      <w:numFmt w:val="bullet"/>
      <w:start w:val="1"/>
    </w:lvl>
  </w:abstractNum>
  <w:abstractNum w:abstractNumId="7">
    <w:nsid w:val="741226BB"/>
    <w:multiLevelType w:val="hybridMultilevel"/>
    <w:lvl w:ilvl="0">
      <w:lvlJc w:val="left"/>
      <w:lvlText w:val="3"/>
      <w:numFmt w:val="bullet"/>
      <w:start w:val="1"/>
    </w:lvl>
  </w:abstractNum>
  <w:abstractNum w:abstractNumId="8">
    <w:nsid w:val="D34B6A8"/>
    <w:multiLevelType w:val="hybridMultilevel"/>
    <w:lvl w:ilvl="0">
      <w:lvlJc w:val="left"/>
      <w:lvlText w:val="4"/>
      <w:numFmt w:val="bullet"/>
      <w:start w:val="1"/>
    </w:lvl>
  </w:abstractNum>
  <w:abstractNum w:abstractNumId="9">
    <w:nsid w:val="10233C99"/>
    <w:multiLevelType w:val="hybridMultilevel"/>
    <w:lvl w:ilvl="0">
      <w:lvlJc w:val="left"/>
      <w:lvlText w:val="5"/>
      <w:numFmt w:val="bullet"/>
      <w:start w:val="1"/>
    </w:lvl>
  </w:abstractNum>
  <w:abstractNum w:abstractNumId="10">
    <w:nsid w:val="3F6AB60F"/>
    <w:multiLevelType w:val="hybridMultilevel"/>
    <w:lvl w:ilvl="0">
      <w:lvlJc w:val="left"/>
      <w:lvlText w:val="6"/>
      <w:numFmt w:val="bullet"/>
      <w:start w:val="1"/>
    </w:lvl>
  </w:abstractNum>
  <w:abstractNum w:abstractNumId="11">
    <w:nsid w:val="61574095"/>
    <w:multiLevelType w:val="hybridMultilevel"/>
    <w:lvl w:ilvl="0">
      <w:lvlJc w:val="left"/>
      <w:lvlText w:val="7"/>
      <w:numFmt w:val="bullet"/>
      <w:start w:val="1"/>
    </w:lvl>
  </w:abstractNum>
  <w:abstractNum w:abstractNumId="12">
    <w:nsid w:val="7E0C57B1"/>
    <w:multiLevelType w:val="hybridMultilevel"/>
    <w:lvl w:ilvl="0">
      <w:lvlJc w:val="left"/>
      <w:lvlText w:val="8"/>
      <w:numFmt w:val="bullet"/>
      <w:start w:val="1"/>
    </w:lvl>
  </w:abstractNum>
  <w:abstractNum w:abstractNumId="13">
    <w:nsid w:val="77AE35EB"/>
    <w:multiLevelType w:val="hybridMultilevel"/>
    <w:lvl w:ilvl="0">
      <w:lvlJc w:val="left"/>
      <w:lvlText w:val="9"/>
      <w:numFmt w:val="bullet"/>
      <w:start w:val="1"/>
    </w:lvl>
  </w:abstractNum>
  <w:abstractNum w:abstractNumId="14">
    <w:nsid w:val="579BE4F1"/>
    <w:multiLevelType w:val="hybridMultilevel"/>
    <w:lvl w:ilvl="0">
      <w:lvlJc w:val="left"/>
      <w:lvlText w:val="%1"/>
      <w:numFmt w:val="decimal"/>
      <w:start w:val="10"/>
    </w:lvl>
  </w:abstractNum>
  <w:abstractNum w:abstractNumId="15">
    <w:nsid w:val="310C50B3"/>
    <w:multiLevelType w:val="hybridMultilevel"/>
    <w:lvl w:ilvl="0">
      <w:lvlJc w:val="left"/>
      <w:lvlText w:val="%1"/>
      <w:numFmt w:val="decimal"/>
      <w:start w:val="15"/>
    </w:lvl>
  </w:abstractNum>
  <w:abstractNum w:abstractNumId="16">
    <w:nsid w:val="5FF87E05"/>
    <w:multiLevelType w:val="hybridMultilevel"/>
    <w:lvl w:ilvl="0">
      <w:lvlJc w:val="left"/>
      <w:lvlText w:val="1"/>
      <w:numFmt w:val="bullet"/>
      <w:start w:val="1"/>
    </w:lvl>
  </w:abstractNum>
  <w:abstractNum w:abstractNumId="17">
    <w:nsid w:val="2F305DEF"/>
    <w:multiLevelType w:val="hybridMultilevel"/>
    <w:lvl w:ilvl="0">
      <w:lvlJc w:val="left"/>
      <w:lvlText w:val="2"/>
      <w:numFmt w:val="bullet"/>
      <w:start w:val="1"/>
    </w:lvl>
  </w:abstractNum>
  <w:abstractNum w:abstractNumId="18">
    <w:nsid w:val="25A70BF7"/>
    <w:multiLevelType w:val="hybridMultilevel"/>
    <w:lvl w:ilvl="0">
      <w:lvlJc w:val="left"/>
      <w:lvlText w:val="3"/>
      <w:numFmt w:val="bullet"/>
      <w:start w:val="1"/>
    </w:lvl>
  </w:abstractNum>
  <w:abstractNum w:abstractNumId="19">
    <w:nsid w:val="1DBABF00"/>
    <w:multiLevelType w:val="hybridMultilevel"/>
    <w:lvl w:ilvl="0">
      <w:lvlJc w:val="left"/>
      <w:lvlText w:val="4"/>
      <w:numFmt w:val="bullet"/>
      <w:start w:val="1"/>
    </w:lvl>
  </w:abstractNum>
  <w:abstractNum w:abstractNumId="20">
    <w:nsid w:val="4AD084E9"/>
    <w:multiLevelType w:val="hybridMultilevel"/>
    <w:lvl w:ilvl="0">
      <w:lvlJc w:val="left"/>
      <w:lvlText w:val="5"/>
      <w:numFmt w:val="bullet"/>
      <w:start w:val="1"/>
    </w:lvl>
  </w:abstractNum>
  <w:abstractNum w:abstractNumId="21">
    <w:nsid w:val="1F48EAA1"/>
    <w:multiLevelType w:val="hybridMultilevel"/>
    <w:lvl w:ilvl="0">
      <w:lvlJc w:val="left"/>
      <w:lvlText w:val="6"/>
      <w:numFmt w:val="bullet"/>
      <w:start w:val="1"/>
    </w:lvl>
  </w:abstractNum>
  <w:abstractNum w:abstractNumId="22">
    <w:nsid w:val="1381823A"/>
    <w:multiLevelType w:val="hybridMultilevel"/>
    <w:lvl w:ilvl="0">
      <w:lvlJc w:val="left"/>
      <w:lvlText w:val="7"/>
      <w:numFmt w:val="bullet"/>
      <w:start w:val="1"/>
    </w:lvl>
  </w:abstractNum>
  <w:abstractNum w:abstractNumId="23">
    <w:nsid w:val="5DB70AE5"/>
    <w:multiLevelType w:val="hybridMultilevel"/>
    <w:lvl w:ilvl="0">
      <w:lvlJc w:val="left"/>
      <w:lvlText w:val="8"/>
      <w:numFmt w:val="bullet"/>
      <w:start w:val="1"/>
    </w:lvl>
  </w:abstractNum>
  <w:abstractNum w:abstractNumId="24">
    <w:nsid w:val="100F8FCA"/>
    <w:multiLevelType w:val="hybridMultilevel"/>
    <w:lvl w:ilvl="0">
      <w:lvlJc w:val="left"/>
      <w:lvlText w:val="9"/>
      <w:numFmt w:val="bullet"/>
      <w:start w:val="1"/>
    </w:lvl>
  </w:abstractNum>
  <w:abstractNum w:abstractNumId="25">
    <w:nsid w:val="6590700B"/>
    <w:multiLevelType w:val="hybridMultilevel"/>
    <w:lvl w:ilvl="0">
      <w:lvlJc w:val="left"/>
      <w:lvlText w:val="%1"/>
      <w:numFmt w:val="decimal"/>
      <w:start w:val="10"/>
    </w:lvl>
  </w:abstractNum>
  <w:abstractNum w:abstractNumId="26">
    <w:nsid w:val="15014ACB"/>
    <w:multiLevelType w:val="hybridMultilevel"/>
    <w:lvl w:ilvl="0">
      <w:lvlJc w:val="left"/>
      <w:lvlText w:val="1"/>
      <w:numFmt w:val="bullet"/>
      <w:start w:val="1"/>
    </w:lvl>
  </w:abstractNum>
  <w:abstractNum w:abstractNumId="27">
    <w:nsid w:val="5F5E7FD0"/>
    <w:multiLevelType w:val="hybridMultilevel"/>
    <w:lvl w:ilvl="0">
      <w:lvlJc w:val="left"/>
      <w:lvlText w:val="2"/>
      <w:numFmt w:val="bullet"/>
      <w:start w:val="1"/>
    </w:lvl>
  </w:abstractNum>
  <w:abstractNum w:abstractNumId="28">
    <w:nsid w:val="98A3148"/>
    <w:multiLevelType w:val="hybridMultilevel"/>
    <w:lvl w:ilvl="0">
      <w:lvlJc w:val="left"/>
      <w:lvlText w:val="3"/>
      <w:numFmt w:val="bullet"/>
      <w:start w:val="1"/>
    </w:lvl>
  </w:abstractNum>
  <w:abstractNum w:abstractNumId="29">
    <w:nsid w:val="799D0247"/>
    <w:multiLevelType w:val="hybridMultilevel"/>
    <w:lvl w:ilvl="0">
      <w:lvlJc w:val="left"/>
      <w:lvlText w:val="4"/>
      <w:numFmt w:val="bullet"/>
      <w:start w:val="1"/>
    </w:lvl>
  </w:abstractNum>
  <w:abstractNum w:abstractNumId="30">
    <w:nsid w:val="6B94764"/>
    <w:multiLevelType w:val="hybridMultilevel"/>
    <w:lvl w:ilvl="0">
      <w:lvlJc w:val="left"/>
      <w:lvlText w:val="5"/>
      <w:numFmt w:val="bullet"/>
      <w:start w:val="1"/>
    </w:lvl>
  </w:abstractNum>
  <w:abstractNum w:abstractNumId="31">
    <w:nsid w:val="42C296BD"/>
    <w:multiLevelType w:val="hybridMultilevel"/>
    <w:lvl w:ilvl="0">
      <w:lvlJc w:val="left"/>
      <w:lvlText w:val="6"/>
      <w:numFmt w:val="bullet"/>
      <w:start w:val="1"/>
    </w:lvl>
  </w:abstractNum>
  <w:abstractNum w:abstractNumId="32">
    <w:nsid w:val="168E121F"/>
    <w:multiLevelType w:val="hybridMultilevel"/>
    <w:lvl w:ilvl="0">
      <w:lvlJc w:val="left"/>
      <w:lvlText w:val="%1."/>
      <w:numFmt w:val="decimal"/>
      <w:start w:val="1"/>
    </w:lvl>
  </w:abstractNum>
  <w:abstractNum w:abstractNumId="33">
    <w:nsid w:val="1EBA5D23"/>
    <w:multiLevelType w:val="hybridMultilevel"/>
    <w:lvl w:ilvl="0">
      <w:lvlJc w:val="left"/>
      <w:lvlText w:val="%1."/>
      <w:numFmt w:val="decimal"/>
      <w:start w:val="2"/>
    </w:lvl>
  </w:abstractNum>
  <w:abstractNum w:abstractNumId="34">
    <w:nsid w:val="661E3F1E"/>
    <w:multiLevelType w:val="hybridMultilevel"/>
    <w:lvl w:ilvl="0">
      <w:lvlJc w:val="left"/>
      <w:lvlText w:val="%1."/>
      <w:numFmt w:val="decimal"/>
      <w:start w:val="3"/>
    </w:lvl>
  </w:abstractNum>
  <w:abstractNum w:abstractNumId="35">
    <w:nsid w:val="5DC79EA8"/>
    <w:multiLevelType w:val="hybridMultilevel"/>
    <w:lvl w:ilvl="0">
      <w:lvlJc w:val="left"/>
      <w:lvlText w:val="%1."/>
      <w:numFmt w:val="decimal"/>
      <w:start w:val="4"/>
    </w:lvl>
  </w:abstractNum>
  <w:abstractNum w:abstractNumId="36">
    <w:nsid w:val="540A471C"/>
    <w:multiLevelType w:val="hybridMultilevel"/>
    <w:lvl w:ilvl="0">
      <w:lvlJc w:val="left"/>
      <w:lvlText w:val="1"/>
      <w:numFmt w:val="bullet"/>
      <w:start w:val="1"/>
    </w:lvl>
  </w:abstractNum>
  <w:abstractNum w:abstractNumId="37">
    <w:nsid w:val="7BD3EE7B"/>
    <w:multiLevelType w:val="hybridMultilevel"/>
    <w:lvl w:ilvl="0">
      <w:lvlJc w:val="left"/>
      <w:lvlText w:val="2"/>
      <w:numFmt w:val="bullet"/>
      <w:start w:val="1"/>
    </w:lvl>
  </w:abstractNum>
  <w:abstractNum w:abstractNumId="38">
    <w:nsid w:val="51D9C564"/>
    <w:multiLevelType w:val="hybridMultilevel"/>
    <w:lvl w:ilvl="0">
      <w:lvlJc w:val="left"/>
      <w:lvlText w:val="3"/>
      <w:numFmt w:val="bullet"/>
      <w:start w:val="1"/>
    </w:lvl>
  </w:abstractNum>
  <w:abstractNum w:abstractNumId="39">
    <w:nsid w:val="613EFDC5"/>
    <w:multiLevelType w:val="hybridMultilevel"/>
    <w:lvl w:ilvl="0">
      <w:lvlJc w:val="left"/>
      <w:lvlText w:val="1"/>
      <w:numFmt w:val="bullet"/>
      <w:start w:val="1"/>
    </w:lvl>
  </w:abstractNum>
  <w:abstractNum w:abstractNumId="40">
    <w:nsid w:val="BF72B14"/>
    <w:multiLevelType w:val="hybridMultilevel"/>
    <w:lvl w:ilvl="0">
      <w:lvlJc w:val="left"/>
      <w:lvlText w:val="2"/>
      <w:numFmt w:val="bullet"/>
      <w:start w:val="1"/>
    </w:lvl>
  </w:abstractNum>
  <w:abstractNum w:abstractNumId="41">
    <w:nsid w:val="11447B73"/>
    <w:multiLevelType w:val="hybridMultilevel"/>
    <w:lvl w:ilvl="0">
      <w:lvlJc w:val="left"/>
      <w:lvlText w:val="1"/>
      <w:numFmt w:val="bullet"/>
      <w:start w:val="1"/>
    </w:lvl>
  </w:abstractNum>
  <w:abstractNum w:abstractNumId="42">
    <w:nsid w:val="42963E5A"/>
    <w:multiLevelType w:val="hybridMultilevel"/>
    <w:lvl w:ilvl="0">
      <w:lvlJc w:val="left"/>
      <w:lvlText w:val="2"/>
      <w:numFmt w:val="bullet"/>
      <w:start w:val="1"/>
    </w:lvl>
  </w:abstractNum>
  <w:abstractNum w:abstractNumId="43">
    <w:nsid w:val="A0382C5"/>
    <w:multiLevelType w:val="hybridMultilevel"/>
    <w:lvl w:ilvl="0">
      <w:lvlJc w:val="left"/>
      <w:lvlText w:val="3"/>
      <w:numFmt w:val="bullet"/>
      <w:start w:val="1"/>
    </w:lvl>
  </w:abstractNum>
  <w:abstractNum w:abstractNumId="44">
    <w:nsid w:val="8F2B15E"/>
    <w:multiLevelType w:val="hybridMultilevel"/>
    <w:lvl w:ilvl="0">
      <w:lvlJc w:val="left"/>
      <w:lvlText w:val="4"/>
      <w:numFmt w:val="bullet"/>
      <w:start w:val="1"/>
    </w:lvl>
  </w:abstractNum>
  <w:abstractNum w:abstractNumId="45">
    <w:nsid w:val="1A32234B"/>
    <w:multiLevelType w:val="hybridMultilevel"/>
    <w:lvl w:ilvl="0">
      <w:lvlJc w:val="left"/>
      <w:lvlText w:val="5"/>
      <w:numFmt w:val="bullet"/>
      <w:start w:val="1"/>
    </w:lvl>
  </w:abstractNum>
  <w:abstractNum w:abstractNumId="46">
    <w:nsid w:val="3B0FD379"/>
    <w:multiLevelType w:val="hybridMultilevel"/>
    <w:lvl w:ilvl="0">
      <w:lvlJc w:val="left"/>
      <w:lvlText w:val="6"/>
      <w:numFmt w:val="bullet"/>
      <w:start w:val="1"/>
    </w:lvl>
  </w:abstractNum>
  <w:abstractNum w:abstractNumId="47">
    <w:nsid w:val="68EB2F63"/>
    <w:multiLevelType w:val="hybridMultilevel"/>
    <w:lvl w:ilvl="0">
      <w:lvlJc w:val="left"/>
      <w:lvlText w:val="7"/>
      <w:numFmt w:val="bullet"/>
      <w:start w:val="1"/>
    </w:lvl>
  </w:abstractNum>
  <w:abstractNum w:abstractNumId="48">
    <w:nsid w:val="4962813B"/>
    <w:multiLevelType w:val="hybridMultilevel"/>
    <w:lvl w:ilvl="0">
      <w:lvlJc w:val="left"/>
      <w:lvlText w:val="8"/>
      <w:numFmt w:val="bullet"/>
      <w:start w:val="1"/>
    </w:lvl>
  </w:abstractNum>
  <w:abstractNum w:abstractNumId="49">
    <w:nsid w:val="60B6DF70"/>
    <w:multiLevelType w:val="hybridMultilevel"/>
    <w:lvl w:ilvl="0">
      <w:lvlJc w:val="left"/>
      <w:lvlText w:val="1"/>
      <w:numFmt w:val="bullet"/>
      <w:start w:val="1"/>
    </w:lvl>
  </w:abstractNum>
  <w:abstractNum w:abstractNumId="50">
    <w:nsid w:val="6A5EE64"/>
    <w:multiLevelType w:val="hybridMultilevel"/>
    <w:lvl w:ilvl="0">
      <w:lvlJc w:val="left"/>
      <w:lvlText w:val="2"/>
      <w:numFmt w:val="bullet"/>
      <w:start w:val="1"/>
    </w:lvl>
  </w:abstractNum>
  <w:abstractNum w:abstractNumId="51">
    <w:nsid w:val="14330624"/>
    <w:multiLevelType w:val="hybridMultilevel"/>
    <w:lvl w:ilvl="0">
      <w:lvlJc w:val="left"/>
      <w:lvlText w:val="3"/>
      <w:numFmt w:val="bullet"/>
      <w:start w:val="1"/>
    </w:lvl>
  </w:abstractNum>
  <w:abstractNum w:abstractNumId="52">
    <w:nsid w:val="7FFFCA11"/>
    <w:multiLevelType w:val="hybridMultilevel"/>
    <w:lvl w:ilvl="0">
      <w:lvlJc w:val="left"/>
      <w:lvlText w:val="4"/>
      <w:numFmt w:val="bullet"/>
      <w:start w:val="1"/>
    </w:lvl>
  </w:abstractNum>
  <w:abstractNum w:abstractNumId="53">
    <w:nsid w:val="1A27709E"/>
    <w:multiLevelType w:val="hybridMultilevel"/>
    <w:lvl w:ilvl="0">
      <w:lvlJc w:val="left"/>
      <w:lvlText w:val="5"/>
      <w:numFmt w:val="bullet"/>
      <w:start w:val="1"/>
    </w:lvl>
  </w:abstractNum>
  <w:abstractNum w:abstractNumId="54">
    <w:nsid w:val="71EA1109"/>
    <w:multiLevelType w:val="hybridMultilevel"/>
    <w:lvl w:ilvl="0">
      <w:lvlJc w:val="left"/>
      <w:lvlText w:val="6"/>
      <w:numFmt w:val="bullet"/>
      <w:start w:val="1"/>
    </w:lvl>
  </w:abstractNum>
  <w:abstractNum w:abstractNumId="55">
    <w:nsid w:val="100F59DC"/>
    <w:multiLevelType w:val="hybridMultilevel"/>
    <w:lvl w:ilvl="0">
      <w:lvlJc w:val="left"/>
      <w:lvlText w:val="7"/>
      <w:numFmt w:val="bullet"/>
      <w:start w:val="1"/>
    </w:lvl>
  </w:abstractNum>
  <w:abstractNum w:abstractNumId="56">
    <w:nsid w:val="7FB7E0AA"/>
    <w:multiLevelType w:val="hybridMultilevel"/>
    <w:lvl w:ilvl="0">
      <w:lvlJc w:val="left"/>
      <w:lvlText w:val="\emdash "/>
      <w:numFmt w:val="bullet"/>
      <w:start w:val="1"/>
    </w:lvl>
  </w:abstractNum>
  <w:abstractNum w:abstractNumId="57">
    <w:nsid w:val="6EB5BD4"/>
    <w:multiLevelType w:val="hybridMultilevel"/>
    <w:lvl w:ilvl="0">
      <w:lvlJc w:val="left"/>
      <w:lvlText w:val="(%1)"/>
      <w:numFmt w:val="decimal"/>
      <w:start w:val="1"/>
    </w:lvl>
  </w:abstractNum>
  <w:abstractNum w:abstractNumId="58">
    <w:nsid w:val="6F6DD9AC"/>
    <w:multiLevelType w:val="hybridMultilevel"/>
    <w:lvl w:ilvl="0">
      <w:lvlJc w:val="left"/>
      <w:lvlText w:val="(%1)"/>
      <w:numFmt w:val="decimal"/>
      <w:start w:val="1"/>
    </w:lvl>
  </w:abstractNum>
  <w:abstractNum w:abstractNumId="59">
    <w:nsid w:val="94211F2"/>
    <w:multiLevelType w:val="hybridMultilevel"/>
    <w:lvl w:ilvl="0">
      <w:lvlJc w:val="left"/>
      <w:lvlText w:val="1"/>
      <w:numFmt w:val="bullet"/>
      <w:start w:val="1"/>
    </w:lvl>
  </w:abstractNum>
  <w:abstractNum w:abstractNumId="60">
    <w:nsid w:val="885E1B"/>
    <w:multiLevelType w:val="hybridMultilevel"/>
    <w:lvl w:ilvl="0">
      <w:lvlJc w:val="left"/>
      <w:lvlText w:val="2"/>
      <w:numFmt w:val="bullet"/>
      <w:start w:val="1"/>
    </w:lvl>
  </w:abstractNum>
  <w:abstractNum w:abstractNumId="61">
    <w:nsid w:val="76272110"/>
    <w:multiLevelType w:val="hybridMultilevel"/>
    <w:lvl w:ilvl="0">
      <w:lvlJc w:val="left"/>
      <w:lvlText w:val="1"/>
      <w:numFmt w:val="bullet"/>
      <w:start w:val="1"/>
    </w:lvl>
  </w:abstractNum>
  <w:abstractNum w:abstractNumId="62">
    <w:nsid w:val="4C04A8AF"/>
    <w:multiLevelType w:val="hybridMultilevel"/>
    <w:lvl w:ilvl="0">
      <w:lvlJc w:val="left"/>
      <w:lvlText w:val="2"/>
      <w:numFmt w:val="bullet"/>
      <w:start w:val="1"/>
    </w:lvl>
  </w:abstractNum>
  <w:abstractNum w:abstractNumId="63">
    <w:nsid w:val="1716703B"/>
    <w:multiLevelType w:val="hybridMultilevel"/>
    <w:lvl w:ilvl="0">
      <w:lvlJc w:val="left"/>
      <w:lvlText w:val="%1"/>
      <w:numFmt w:val="upperLetter"/>
      <w:start w:val="35"/>
    </w:lvl>
  </w:abstractNum>
  <w:abstractNum w:abstractNumId="64">
    <w:nsid w:val="14E17E33"/>
    <w:multiLevelType w:val="hybridMultilevel"/>
    <w:lvl w:ilvl="0">
      <w:lvlJc w:val="left"/>
      <w:lvlText w:val="1"/>
      <w:numFmt w:val="bullet"/>
      <w:start w:val="1"/>
    </w:lvl>
  </w:abstractNum>
  <w:abstractNum w:abstractNumId="65">
    <w:nsid w:val="3222E7CD"/>
    <w:multiLevelType w:val="hybridMultilevel"/>
    <w:lvl w:ilvl="0">
      <w:lvlJc w:val="left"/>
      <w:lvlText w:val="2"/>
      <w:numFmt w:val="bullet"/>
      <w:start w:val="1"/>
    </w:lvl>
  </w:abstractNum>
  <w:abstractNum w:abstractNumId="66">
    <w:nsid w:val="74DE0EE3"/>
    <w:multiLevelType w:val="hybridMultilevel"/>
    <w:lvl w:ilvl="0">
      <w:lvlJc w:val="left"/>
      <w:lvlText w:val="1"/>
      <w:numFmt w:val="bullet"/>
      <w:start w:val="1"/>
    </w:lvl>
  </w:abstractNum>
  <w:abstractNum w:abstractNumId="67">
    <w:nsid w:val="68EBC550"/>
    <w:multiLevelType w:val="hybridMultilevel"/>
    <w:lvl w:ilvl="0">
      <w:lvlJc w:val="left"/>
      <w:lvlText w:val="2"/>
      <w:numFmt w:val="bullet"/>
      <w:start w:val="1"/>
    </w:lvl>
  </w:abstractNum>
  <w:abstractNum w:abstractNumId="68">
    <w:nsid w:val="2DF6D648"/>
    <w:multiLevelType w:val="hybridMultilevel"/>
    <w:lvl w:ilvl="0">
      <w:lvlJc w:val="left"/>
      <w:lvlText w:val="%1."/>
      <w:numFmt w:val="decimal"/>
      <w:start w:val="5"/>
    </w:lvl>
  </w:abstractNum>
  <w:abstractNum w:abstractNumId="69">
    <w:nsid w:val="46B7D447"/>
    <w:multiLevelType w:val="hybridMultilevel"/>
    <w:lvl w:ilvl="0">
      <w:lvlJc w:val="left"/>
      <w:lvlText w:val="%1."/>
      <w:numFmt w:val="decimal"/>
      <w:start w:val="6"/>
    </w:lvl>
  </w:abstractNum>
  <w:abstractNum w:abstractNumId="70">
    <w:nsid w:val="4A2AC315"/>
    <w:multiLevelType w:val="hybridMultilevel"/>
    <w:lvl w:ilvl="0">
      <w:lvlJc w:val="left"/>
      <w:lvlText w:val="•"/>
      <w:numFmt w:val="bullet"/>
      <w:start w:val="1"/>
    </w:lvl>
  </w:abstractNum>
  <w:abstractNum w:abstractNumId="71">
    <w:nsid w:val="39EE015C"/>
    <w:multiLevelType w:val="hybridMultilevel"/>
    <w:lvl w:ilvl="0">
      <w:lvlJc w:val="left"/>
      <w:lvlText w:val="(%1)"/>
      <w:numFmt w:val="lowerLetter"/>
      <w:start w:val="4"/>
    </w:lvl>
  </w:abstractNum>
  <w:abstractNum w:abstractNumId="72">
    <w:nsid w:val="57FC4FBB"/>
    <w:multiLevelType w:val="hybridMultilevel"/>
    <w:lvl w:ilvl="0">
      <w:lvlJc w:val="left"/>
      <w:lvlText w:val="•"/>
      <w:numFmt w:val="bullet"/>
      <w:start w:val="1"/>
    </w:lvl>
  </w:abstractNum>
  <w:abstractNum w:abstractNumId="73">
    <w:nsid w:val="CC1016F"/>
    <w:multiLevelType w:val="hybridMultilevel"/>
    <w:lvl w:ilvl="0">
      <w:lvlJc w:val="left"/>
      <w:lvlText w:val="•"/>
      <w:numFmt w:val="bullet"/>
      <w:start w:val="1"/>
    </w:lvl>
  </w:abstractNum>
  <w:abstractNum w:abstractNumId="74">
    <w:nsid w:val="43F18422"/>
    <w:multiLevelType w:val="hybridMultilevel"/>
    <w:lvl w:ilvl="0">
      <w:lvlJc w:val="left"/>
      <w:lvlText w:val="%1."/>
      <w:numFmt w:val="decimal"/>
      <w:start w:val="8"/>
    </w:lvl>
  </w:abstractNum>
  <w:abstractNum w:abstractNumId="75">
    <w:nsid w:val="60EF0119"/>
    <w:multiLevelType w:val="hybridMultilevel"/>
    <w:lvl w:ilvl="0">
      <w:lvlJc w:val="left"/>
      <w:lvlText w:val="%1."/>
      <w:numFmt w:val="decimal"/>
      <w:start w:val="9"/>
    </w:lvl>
  </w:abstractNum>
  <w:abstractNum w:abstractNumId="76">
    <w:nsid w:val="26F324BA"/>
    <w:multiLevelType w:val="hybridMultilevel"/>
    <w:lvl w:ilvl="0">
      <w:lvlJc w:val="left"/>
      <w:lvlText w:val="%1."/>
      <w:numFmt w:val="decimal"/>
      <w:start w:val="10"/>
    </w:lvl>
  </w:abstractNum>
  <w:abstractNum w:abstractNumId="77">
    <w:nsid w:val="7F01579B"/>
    <w:multiLevelType w:val="hybridMultilevel"/>
    <w:lvl w:ilvl="0">
      <w:lvlJc w:val="left"/>
      <w:lvlText w:val="%1."/>
      <w:numFmt w:val="decimal"/>
      <w:start w:val="10"/>
    </w:lvl>
  </w:abstractNum>
  <w:abstractNum w:abstractNumId="78">
    <w:nsid w:val="49DA307D"/>
    <w:multiLevelType w:val="hybridMultilevel"/>
    <w:lvl w:ilvl="0">
      <w:lvlJc w:val="left"/>
      <w:lvlText w:val="1"/>
      <w:numFmt w:val="bullet"/>
      <w:start w:val="1"/>
    </w:lvl>
  </w:abstractNum>
  <w:abstractNum w:abstractNumId="79">
    <w:nsid w:val="7055A5F5"/>
    <w:multiLevelType w:val="hybridMultilevel"/>
    <w:lvl w:ilvl="0">
      <w:lvlJc w:val="left"/>
      <w:lvlText w:val="(%1)"/>
      <w:numFmt w:val="lowerRoman"/>
      <w:start w:val="1"/>
    </w:lvl>
  </w:abstractNum>
  <w:abstractNum w:abstractNumId="80">
    <w:nsid w:val="5FB8370B"/>
    <w:multiLevelType w:val="hybridMultilevel"/>
    <w:lvl w:ilvl="0">
      <w:lvlJc w:val="left"/>
      <w:lvlText w:val="%1."/>
      <w:numFmt w:val="decimal"/>
      <w:start w:val="11"/>
    </w:lvl>
  </w:abstractNum>
  <w:abstractNum w:abstractNumId="81">
    <w:nsid w:val="50801EE1"/>
    <w:multiLevelType w:val="hybridMultilevel"/>
    <w:lvl w:ilvl="0">
      <w:lvlJc w:val="left"/>
      <w:lvlText w:val="%1."/>
      <w:numFmt w:val="decimal"/>
      <w:start w:val="12"/>
    </w:lvl>
  </w:abstractNum>
  <w:abstractNum w:abstractNumId="82">
    <w:nsid w:val="488AC1A"/>
    <w:multiLevelType w:val="hybridMultilevel"/>
    <w:lvl w:ilvl="0">
      <w:lvlJc w:val="left"/>
      <w:lvlText w:val="•"/>
      <w:numFmt w:val="bullet"/>
      <w:start w:val="1"/>
    </w:lvl>
  </w:abstractNum>
  <w:abstractNum w:abstractNumId="83">
    <w:nsid w:val="5FB8011C"/>
    <w:multiLevelType w:val="hybridMultilevel"/>
    <w:lvl w:ilvl="0">
      <w:lvlJc w:val="left"/>
      <w:lvlText w:val="¹"/>
      <w:numFmt w:val="bullet"/>
      <w:start w:val="1"/>
    </w:lvl>
  </w:abstractNum>
  <w:abstractNum w:abstractNumId="84">
    <w:nsid w:val="6AA78F7F"/>
    <w:multiLevelType w:val="hybridMultilevel"/>
    <w:lvl w:ilvl="0">
      <w:lvlJc w:val="left"/>
      <w:lvlText w:val="²"/>
      <w:numFmt w:val="bullet"/>
      <w:start w:val="1"/>
    </w:lvl>
  </w:abstractNum>
  <w:abstractNum w:abstractNumId="85">
    <w:nsid w:val="7672BD23"/>
    <w:multiLevelType w:val="hybridMultilevel"/>
    <w:lvl w:ilvl="0">
      <w:lvlJc w:val="left"/>
      <w:lvlText w:val="³"/>
      <w:numFmt w:val="bullet"/>
      <w:start w:val="1"/>
    </w:lvl>
  </w:abstractNum>
  <w:abstractNum w:abstractNumId="86">
    <w:nsid w:val="6FC75AF8"/>
    <w:multiLevelType w:val="hybridMultilevel"/>
    <w:lvl w:ilvl="0">
      <w:lvlJc w:val="left"/>
      <w:lvlText w:val="1"/>
      <w:numFmt w:val="bullet"/>
      <w:start w:val="1"/>
    </w:lvl>
  </w:abstractNum>
  <w:abstractNum w:abstractNumId="87">
    <w:nsid w:val="6A5F7029"/>
    <w:multiLevelType w:val="hybridMultilevel"/>
    <w:lvl w:ilvl="0">
      <w:lvlJc w:val="left"/>
      <w:lvlText w:val="2"/>
      <w:numFmt w:val="bullet"/>
      <w:start w:val="1"/>
    </w:lvl>
  </w:abstractNum>
  <w:abstractNum w:abstractNumId="88">
    <w:nsid w:val="7D5E18F8"/>
    <w:multiLevelType w:val="hybridMultilevel"/>
    <w:lvl w:ilvl="0">
      <w:lvlJc w:val="left"/>
      <w:lvlText w:val="\emdash "/>
      <w:numFmt w:val="bullet"/>
      <w:start w:val="1"/>
    </w:lvl>
  </w:abstractNum>
  <w:abstractNum w:abstractNumId="89">
    <w:nsid w:val="5F3534A4"/>
    <w:multiLevelType w:val="hybridMultilevel"/>
    <w:lvl w:ilvl="0">
      <w:lvlJc w:val="left"/>
      <w:lvlText w:val="1"/>
      <w:numFmt w:val="bullet"/>
      <w:start w:val="1"/>
    </w:lvl>
  </w:abstractNum>
  <w:abstractNum w:abstractNumId="90">
    <w:nsid w:val="73A1821B"/>
    <w:multiLevelType w:val="hybridMultilevel"/>
    <w:lvl w:ilvl="0">
      <w:lvlJc w:val="left"/>
      <w:lvlText w:val="2"/>
      <w:numFmt w:val="bullet"/>
      <w:start w:val="1"/>
    </w:lvl>
  </w:abstractNum>
  <w:abstractNum w:abstractNumId="91">
    <w:nsid w:val="7DE67713"/>
    <w:multiLevelType w:val="hybridMultilevel"/>
    <w:lvl w:ilvl="0">
      <w:lvlJc w:val="left"/>
      <w:lvlText w:val="3"/>
      <w:numFmt w:val="bullet"/>
      <w:start w:val="1"/>
    </w:lvl>
  </w:abstractNum>
  <w:abstractNum w:abstractNumId="92">
    <w:nsid w:val="555C55B5"/>
    <w:multiLevelType w:val="hybridMultilevel"/>
    <w:lvl w:ilvl="0">
      <w:lvlJc w:val="left"/>
      <w:lvlText w:val="(%1)"/>
      <w:numFmt w:val="decimal"/>
      <w:start w:val="1"/>
    </w:lvl>
  </w:abstractNum>
  <w:abstractNum w:abstractNumId="93">
    <w:nsid w:val="3FA62ACA"/>
    <w:multiLevelType w:val="hybridMultilevel"/>
    <w:lvl w:ilvl="0">
      <w:lvlJc w:val="left"/>
      <w:lvlText w:val="(%1)"/>
      <w:numFmt w:val="decimal"/>
      <w:start w:val="1"/>
    </w:lvl>
  </w:abstractNum>
  <w:abstractNum w:abstractNumId="94">
    <w:nsid w:val="14FCE74E"/>
    <w:multiLevelType w:val="hybridMultilevel"/>
    <w:lvl w:ilvl="0">
      <w:lvlJc w:val="left"/>
      <w:lvlText w:val="•"/>
      <w:numFmt w:val="bullet"/>
      <w:start w:val="1"/>
    </w:lvl>
  </w:abstractNum>
  <w:abstractNum w:abstractNumId="95">
    <w:nsid w:val="6A3DD3E8"/>
    <w:multiLevelType w:val="hybridMultilevel"/>
    <w:lvl w:ilvl="0">
      <w:lvlJc w:val="left"/>
      <w:lvlText w:val="•"/>
      <w:numFmt w:val="bullet"/>
      <w:start w:val="1"/>
    </w:lvl>
  </w:abstractNum>
  <w:abstractNum w:abstractNumId="96">
    <w:nsid w:val="71C91298"/>
    <w:multiLevelType w:val="hybridMultilevel"/>
    <w:lvl w:ilvl="0">
      <w:lvlJc w:val="left"/>
      <w:lvlText w:val="•"/>
      <w:numFmt w:val="bullet"/>
      <w:start w:val="1"/>
    </w:lvl>
  </w:abstractNum>
  <w:abstractNum w:abstractNumId="97">
    <w:nsid w:val="9DAF632"/>
    <w:multiLevelType w:val="hybridMultilevel"/>
    <w:lvl w:ilvl="0">
      <w:lvlJc w:val="left"/>
      <w:lvlText w:val="1"/>
      <w:numFmt w:val="bullet"/>
      <w:start w:val="1"/>
    </w:lvl>
  </w:abstractNum>
  <w:abstractNum w:abstractNumId="98">
    <w:nsid w:val="53299938"/>
    <w:multiLevelType w:val="hybridMultilevel"/>
    <w:lvl w:ilvl="0">
      <w:lvlJc w:val="left"/>
      <w:lvlText w:val="•"/>
      <w:numFmt w:val="bullet"/>
      <w:start w:val="1"/>
    </w:lvl>
  </w:abstractNum>
  <w:abstractNum w:abstractNumId="99">
    <w:nsid w:val="1FBFE8E0"/>
    <w:multiLevelType w:val="hybridMultilevel"/>
    <w:lvl w:ilvl="0">
      <w:lvlJc w:val="left"/>
      <w:lvlText w:val="•"/>
      <w:numFmt w:val="bullet"/>
      <w:start w:val="1"/>
    </w:lvl>
  </w:abstractNum>
  <w:abstractNum w:abstractNumId="100">
    <w:nsid w:val="5092CA79"/>
    <w:multiLevelType w:val="hybridMultilevel"/>
    <w:lvl w:ilvl="0">
      <w:lvlJc w:val="left"/>
      <w:lvlText w:val="1"/>
      <w:numFmt w:val="bullet"/>
      <w:start w:val="1"/>
    </w:lvl>
  </w:abstractNum>
  <w:abstractNum w:abstractNumId="101">
    <w:nsid w:val="1D545C4D"/>
    <w:multiLevelType w:val="hybridMultilevel"/>
    <w:lvl w:ilvl="0">
      <w:lvlJc w:val="left"/>
      <w:lvlText w:val="**"/>
      <w:numFmt w:val="bullet"/>
      <w:start w:val="1"/>
    </w:lvl>
  </w:abstractNum>
  <w:abstractNum w:abstractNumId="102">
    <w:nsid w:val="59ADEA3D"/>
    <w:multiLevelType w:val="hybridMultilevel"/>
    <w:lvl w:ilvl="0">
      <w:lvlJc w:val="left"/>
      <w:lvlText w:val="%1."/>
      <w:numFmt w:val="decimal"/>
      <w:start w:val="1"/>
    </w:lvl>
  </w:abstractNum>
  <w:abstractNum w:abstractNumId="103">
    <w:nsid w:val="288F1A34"/>
    <w:multiLevelType w:val="hybridMultilevel"/>
    <w:lvl w:ilvl="0">
      <w:lvlJc w:val="left"/>
      <w:lvlText w:val="(%1)"/>
      <w:numFmt w:val="lowerLetter"/>
      <w:start w:val="1"/>
    </w:lvl>
  </w:abstractNum>
  <w:abstractNum w:abstractNumId="104">
    <w:nsid w:val="2A155DBC"/>
    <w:multiLevelType w:val="hybridMultilevel"/>
    <w:lvl w:ilvl="0">
      <w:lvlJc w:val="left"/>
      <w:lvlText w:val="%1."/>
      <w:numFmt w:val="decimal"/>
      <w:start w:val="5"/>
    </w:lvl>
  </w:abstractNum>
  <w:abstractNum w:abstractNumId="105">
    <w:nsid w:val="1D9F6E5F"/>
    <w:multiLevelType w:val="hybridMultilevel"/>
    <w:lvl w:ilvl="0">
      <w:lvlJc w:val="left"/>
      <w:lvlText w:val="(%1)"/>
      <w:numFmt w:val="lowerLetter"/>
      <w:start w:val="1"/>
    </w:lvl>
  </w:abstractNum>
  <w:abstractNum w:abstractNumId="106">
    <w:nsid w:val="97E1B4E"/>
    <w:multiLevelType w:val="hybridMultilevel"/>
    <w:lvl w:ilvl="0">
      <w:lvlJc w:val="left"/>
      <w:lvlText w:val="%1."/>
      <w:numFmt w:val="decimal"/>
      <w:start w:val="1"/>
    </w:lvl>
  </w:abstractNum>
  <w:abstractNum w:abstractNumId="107">
    <w:nsid w:val="51088277"/>
    <w:multiLevelType w:val="hybridMultilevel"/>
    <w:lvl w:ilvl="0">
      <w:lvlJc w:val="left"/>
      <w:lvlText w:val="(%1)"/>
      <w:numFmt w:val="lowerLetter"/>
      <w:start w:val="1"/>
    </w:lvl>
  </w:abstractNum>
  <w:abstractNum w:abstractNumId="108">
    <w:nsid w:val="1CA0C5FA"/>
    <w:multiLevelType w:val="hybridMultilevel"/>
    <w:lvl w:ilvl="0">
      <w:lvlJc w:val="left"/>
      <w:lvlText w:val="%1."/>
      <w:numFmt w:val="decimal"/>
      <w:start w:val="5"/>
    </w:lvl>
  </w:abstractNum>
  <w:abstractNum w:abstractNumId="109">
    <w:nsid w:val="53584BCB"/>
    <w:multiLevelType w:val="hybridMultilevel"/>
    <w:lvl w:ilvl="0">
      <w:lvlJc w:val="left"/>
      <w:lvlText w:val="(%1)"/>
      <w:numFmt w:val="lowerLetter"/>
      <w:start w:val="1"/>
    </w:lvl>
  </w:abstractNum>
  <w:abstractNum w:abstractNumId="110">
    <w:nsid w:val="415E286C"/>
    <w:multiLevelType w:val="hybridMultilevel"/>
    <w:lvl w:ilvl="0">
      <w:lvlJc w:val="left"/>
      <w:lvlText w:val="(%1)"/>
      <w:numFmt w:val="decimal"/>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28" Type="http://schemas.openxmlformats.org/officeDocument/2006/relationships/hyperlink" Target="http://www.sec.gov/Archives/edgar/data/1372807/000119312506204545/dex99a.htm" TargetMode="External"/><Relationship Id="rId129" Type="http://schemas.openxmlformats.org/officeDocument/2006/relationships/hyperlink" Target="http://www.sec.gov/Archives/edgar/data/1372807/000114420419017514/tv517653_ex3-1.htm" TargetMode="External"/><Relationship Id="rId130" Type="http://schemas.openxmlformats.org/officeDocument/2006/relationships/hyperlink" Target="http://www.sec.gov/Archives/edgar/data/1372807/000114420418064543/tv509148_ex3-1.htm" TargetMode="External"/><Relationship Id="rId131" Type="http://schemas.openxmlformats.org/officeDocument/2006/relationships/hyperlink" Target="http://www.sec.gov/Archives/edgar/data/1372807/000114420419017514/tv517653_ex3-2.htm" TargetMode="External"/><Relationship Id="rId132" Type="http://schemas.openxmlformats.org/officeDocument/2006/relationships/hyperlink" Target="http://www.sec.gov/Archives/edgar/data/1372807/000114420419017514/tv517653_ex10-1.htm" TargetMode="External"/><Relationship Id="rId133" Type="http://schemas.openxmlformats.org/officeDocument/2006/relationships/hyperlink" Target="http://www.sec.gov/Archives/edgar/data/1372807/000114420419017514/tv517653_ex10-2.htm" TargetMode="External"/><Relationship Id="rId134" Type="http://schemas.openxmlformats.org/officeDocument/2006/relationships/hyperlink" Target="http://www.sec.gov/Archives/edgar/data/1372807/000114420419017514/tv517653_ex10-3.htm" TargetMode="External"/><Relationship Id="rId135" Type="http://schemas.openxmlformats.org/officeDocument/2006/relationships/hyperlink" Target="http://www.sec.gov/Archives/edgar/data/1372807/000114420419017577/tv517531_ex10-1.htm" TargetMode="External"/><Relationship Id="rId136" Type="http://schemas.openxmlformats.org/officeDocument/2006/relationships/hyperlink" Target="http://www.sec.gov/Archives/edgar/data/1372807/000114420419017577/tv51753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2019-12-28T08:37:15Z</dcterms:created>
  <dcterms:modified xsi:type="dcterms:W3CDTF">2019-12-28T08:37:15Z</dcterms:modified>
</cp:coreProperties>
</file>