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4"/>
          <w:szCs w:val="24"/>
          <w:color w:val="auto"/>
        </w:rPr>
      </w:pPr>
    </w:p>
    <w:p>
      <w:pPr>
        <w:ind w:left="2820"/>
        <w:spacing w:after="0"/>
        <w:rPr>
          <w:sz w:val="20"/>
          <w:szCs w:val="20"/>
          <w:color w:val="auto"/>
        </w:rPr>
      </w:pPr>
      <w:r>
        <w:rPr>
          <w:rFonts w:ascii="Arial" w:cs="Arial" w:eastAsia="Arial" w:hAnsi="Arial"/>
          <w:sz w:val="17"/>
          <w:szCs w:val="17"/>
          <w:b w:val="1"/>
          <w:bCs w:val="1"/>
          <w:color w:val="auto"/>
        </w:rPr>
        <w:t>As filed with the Securities and Exchange Commission on November 23, 2021</w:t>
      </w:r>
    </w:p>
    <w:p>
      <w:pPr>
        <w:spacing w:after="0" w:line="24" w:lineRule="exact"/>
        <w:rPr>
          <w:sz w:val="24"/>
          <w:szCs w:val="24"/>
          <w:color w:val="auto"/>
        </w:rPr>
      </w:pPr>
    </w:p>
    <w:p>
      <w:pPr>
        <w:ind w:left="8360"/>
        <w:spacing w:after="0"/>
        <w:rPr>
          <w:sz w:val="20"/>
          <w:szCs w:val="20"/>
          <w:color w:val="auto"/>
        </w:rPr>
      </w:pPr>
      <w:r>
        <w:rPr>
          <w:rFonts w:ascii="Arial" w:cs="Arial" w:eastAsia="Arial" w:hAnsi="Arial"/>
          <w:sz w:val="17"/>
          <w:szCs w:val="17"/>
          <w:b w:val="1"/>
          <w:bCs w:val="1"/>
          <w:color w:val="auto"/>
        </w:rPr>
        <w:t>Securities Act 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62865</wp:posOffset>
            </wp:positionV>
            <wp:extent cx="6620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0510" cy="825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103505</wp:posOffset>
            </wp:positionV>
            <wp:extent cx="6620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0510" cy="8255"/>
                    </a:xfrm>
                    <a:prstGeom prst="rect">
                      <a:avLst/>
                    </a:prstGeom>
                    <a:noFill/>
                  </pic:spPr>
                </pic:pic>
              </a:graphicData>
            </a:graphic>
          </wp:anchor>
        </w:drawing>
      </w:r>
    </w:p>
    <w:p>
      <w:pPr>
        <w:spacing w:after="0" w:line="194" w:lineRule="exact"/>
        <w:rPr>
          <w:sz w:val="24"/>
          <w:szCs w:val="24"/>
          <w:color w:val="auto"/>
        </w:rPr>
      </w:pPr>
    </w:p>
    <w:p>
      <w:pPr>
        <w:jc w:val="center"/>
        <w:ind w:right="-399"/>
        <w:spacing w:after="0"/>
        <w:rPr>
          <w:sz w:val="20"/>
          <w:szCs w:val="20"/>
          <w:color w:val="auto"/>
        </w:rPr>
      </w:pPr>
      <w:r>
        <w:rPr>
          <w:rFonts w:ascii="Arial" w:cs="Arial" w:eastAsia="Arial" w:hAnsi="Arial"/>
          <w:sz w:val="31"/>
          <w:szCs w:val="31"/>
          <w:b w:val="1"/>
          <w:bCs w:val="1"/>
          <w:color w:val="auto"/>
        </w:rPr>
        <w:t>U.S. SECURITIES AND EXCHANGE COMMISSION</w:t>
      </w:r>
    </w:p>
    <w:p>
      <w:pPr>
        <w:spacing w:after="0" w:line="24" w:lineRule="exact"/>
        <w:rPr>
          <w:sz w:val="24"/>
          <w:szCs w:val="24"/>
          <w:color w:val="auto"/>
        </w:rPr>
      </w:pPr>
    </w:p>
    <w:p>
      <w:pPr>
        <w:jc w:val="center"/>
        <w:ind w:right="-3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2873375</wp:posOffset>
            </wp:positionH>
            <wp:positionV relativeFrom="paragraph">
              <wp:posOffset>212725</wp:posOffset>
            </wp:positionV>
            <wp:extent cx="1395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399"/>
        <w:spacing w:after="0"/>
        <w:rPr>
          <w:sz w:val="20"/>
          <w:szCs w:val="20"/>
          <w:color w:val="auto"/>
        </w:rPr>
      </w:pPr>
      <w:r>
        <w:rPr>
          <w:rFonts w:ascii="Arial" w:cs="Arial" w:eastAsia="Arial" w:hAnsi="Arial"/>
          <w:sz w:val="31"/>
          <w:szCs w:val="31"/>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2873375</wp:posOffset>
            </wp:positionH>
            <wp:positionV relativeFrom="paragraph">
              <wp:posOffset>155575</wp:posOffset>
            </wp:positionV>
            <wp:extent cx="13957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3640" w:hanging="355"/>
        <w:spacing w:after="0"/>
        <w:tabs>
          <w:tab w:leader="none" w:pos="3640" w:val="left"/>
        </w:tabs>
        <w:numPr>
          <w:ilvl w:val="0"/>
          <w:numId w:val="1"/>
        </w:numPr>
        <w:rPr>
          <w:rFonts w:ascii="MS PGothic" w:cs="MS PGothic" w:eastAsia="MS PGothic" w:hAnsi="MS PGothic"/>
          <w:sz w:val="31"/>
          <w:szCs w:val="31"/>
          <w:color w:val="auto"/>
        </w:rPr>
      </w:pPr>
      <w:r>
        <w:rPr>
          <w:rFonts w:ascii="Arial" w:cs="Arial" w:eastAsia="Arial" w:hAnsi="Arial"/>
          <w:sz w:val="31"/>
          <w:szCs w:val="31"/>
          <w:b w:val="1"/>
          <w:bCs w:val="1"/>
          <w:color w:val="auto"/>
        </w:rPr>
        <w:t>REGISTRATION STATEMENT</w:t>
      </w:r>
    </w:p>
    <w:p>
      <w:pPr>
        <w:spacing w:after="0" w:line="6" w:lineRule="exact"/>
        <w:rPr>
          <w:sz w:val="24"/>
          <w:szCs w:val="24"/>
          <w:color w:val="auto"/>
        </w:rPr>
      </w:pPr>
    </w:p>
    <w:tbl>
      <w:tblPr>
        <w:tblLayout w:type="fixed"/>
        <w:tblInd w:w="4020" w:type="dxa"/>
        <w:tblCellMar>
          <w:top w:w="0" w:type="dxa"/>
          <w:left w:w="0" w:type="dxa"/>
          <w:bottom w:w="0" w:type="dxa"/>
          <w:right w:w="0" w:type="dxa"/>
        </w:tblCellMar>
      </w:tblPr>
      <w:tr>
        <w:trPr>
          <w:trHeight w:val="230"/>
        </w:trPr>
        <w:tc>
          <w:tcPr>
            <w:tcW w:w="4940" w:type="dxa"/>
            <w:vAlign w:val="bottom"/>
          </w:tcPr>
          <w:p>
            <w:pPr>
              <w:jc w:val="center"/>
              <w:ind w:right="1638"/>
              <w:spacing w:after="0"/>
              <w:rPr>
                <w:sz w:val="20"/>
                <w:szCs w:val="20"/>
                <w:color w:val="auto"/>
              </w:rPr>
            </w:pPr>
            <w:r>
              <w:rPr>
                <w:rFonts w:ascii="Arial" w:cs="Arial" w:eastAsia="Arial" w:hAnsi="Arial"/>
                <w:sz w:val="20"/>
                <w:szCs w:val="20"/>
                <w:b w:val="1"/>
                <w:bCs w:val="1"/>
                <w:i w:val="1"/>
                <w:iCs w:val="1"/>
                <w:color w:val="auto"/>
              </w:rPr>
              <w:t>UNDER</w:t>
            </w:r>
          </w:p>
        </w:tc>
        <w:tc>
          <w:tcPr>
            <w:tcW w:w="1880" w:type="dxa"/>
            <w:vAlign w:val="bottom"/>
          </w:tcPr>
          <w:p>
            <w:pPr>
              <w:spacing w:after="0"/>
              <w:rPr>
                <w:sz w:val="19"/>
                <w:szCs w:val="19"/>
                <w:color w:val="auto"/>
              </w:rPr>
            </w:pPr>
          </w:p>
        </w:tc>
      </w:tr>
      <w:tr>
        <w:trPr>
          <w:trHeight w:val="226"/>
        </w:trPr>
        <w:tc>
          <w:tcPr>
            <w:tcW w:w="4940" w:type="dxa"/>
            <w:vAlign w:val="bottom"/>
          </w:tcPr>
          <w:p>
            <w:pPr>
              <w:jc w:val="center"/>
              <w:ind w:right="1638"/>
              <w:spacing w:after="0" w:line="226" w:lineRule="exact"/>
              <w:rPr>
                <w:sz w:val="20"/>
                <w:szCs w:val="20"/>
                <w:color w:val="auto"/>
              </w:rPr>
            </w:pPr>
            <w:r>
              <w:rPr>
                <w:rFonts w:ascii="Arial" w:cs="Arial" w:eastAsia="Arial" w:hAnsi="Arial"/>
                <w:sz w:val="20"/>
                <w:szCs w:val="20"/>
                <w:b w:val="1"/>
                <w:bCs w:val="1"/>
                <w:i w:val="1"/>
                <w:iCs w:val="1"/>
                <w:color w:val="auto"/>
                <w:w w:val="98"/>
              </w:rPr>
              <w:t>THE SECURITIES ACT OF 1933</w:t>
            </w:r>
          </w:p>
        </w:tc>
        <w:tc>
          <w:tcPr>
            <w:tcW w:w="1880" w:type="dxa"/>
            <w:vAlign w:val="bottom"/>
          </w:tcPr>
          <w:p>
            <w:pPr>
              <w:spacing w:after="0"/>
              <w:rPr>
                <w:sz w:val="19"/>
                <w:szCs w:val="19"/>
                <w:color w:val="auto"/>
              </w:rPr>
            </w:pPr>
          </w:p>
        </w:tc>
      </w:tr>
      <w:tr>
        <w:trPr>
          <w:trHeight w:val="230"/>
        </w:trPr>
        <w:tc>
          <w:tcPr>
            <w:tcW w:w="4940" w:type="dxa"/>
            <w:vAlign w:val="bottom"/>
          </w:tcPr>
          <w:p>
            <w:pPr>
              <w:jc w:val="center"/>
              <w:ind w:right="1638"/>
              <w:spacing w:after="0"/>
              <w:rPr>
                <w:sz w:val="20"/>
                <w:szCs w:val="20"/>
                <w:color w:val="auto"/>
              </w:rPr>
            </w:pPr>
            <w:r>
              <w:rPr>
                <w:rFonts w:ascii="Arial" w:cs="Arial" w:eastAsia="Arial" w:hAnsi="Arial"/>
                <w:sz w:val="20"/>
                <w:szCs w:val="20"/>
                <w:b w:val="1"/>
                <w:bCs w:val="1"/>
                <w:color w:val="auto"/>
                <w:w w:val="91"/>
              </w:rPr>
              <w:t>Check the appropriate box or boxes:</w:t>
            </w:r>
          </w:p>
        </w:tc>
        <w:tc>
          <w:tcPr>
            <w:tcW w:w="1880" w:type="dxa"/>
            <w:vAlign w:val="bottom"/>
          </w:tcPr>
          <w:p>
            <w:pPr>
              <w:spacing w:after="0"/>
              <w:rPr>
                <w:sz w:val="19"/>
                <w:szCs w:val="19"/>
                <w:color w:val="auto"/>
              </w:rPr>
            </w:pPr>
          </w:p>
        </w:tc>
      </w:tr>
      <w:tr>
        <w:trPr>
          <w:trHeight w:val="230"/>
        </w:trPr>
        <w:tc>
          <w:tcPr>
            <w:tcW w:w="4940" w:type="dxa"/>
            <w:vAlign w:val="bottom"/>
          </w:tcPr>
          <w:p>
            <w:pPr>
              <w:jc w:val="center"/>
              <w:ind w:right="1618"/>
              <w:spacing w:after="0"/>
              <w:rPr>
                <w:sz w:val="20"/>
                <w:szCs w:val="20"/>
                <w:color w:val="auto"/>
              </w:rPr>
            </w:pPr>
            <w:r>
              <w:rPr>
                <w:rFonts w:ascii="Arial" w:cs="Arial" w:eastAsia="Arial" w:hAnsi="Arial"/>
                <w:sz w:val="20"/>
                <w:szCs w:val="20"/>
                <w:b w:val="1"/>
                <w:bCs w:val="1"/>
                <w:color w:val="auto"/>
                <w:w w:val="93"/>
              </w:rPr>
              <w:t>Pre-Effective Amendment No.</w:t>
            </w:r>
          </w:p>
        </w:tc>
        <w:tc>
          <w:tcPr>
            <w:tcW w:w="1880" w:type="dxa"/>
            <w:vAlign w:val="bottom"/>
          </w:tcPr>
          <w:p>
            <w:pPr>
              <w:ind w:left="1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4"/>
        </w:trPr>
        <w:tc>
          <w:tcPr>
            <w:tcW w:w="4940" w:type="dxa"/>
            <w:vAlign w:val="bottom"/>
          </w:tcPr>
          <w:p>
            <w:pPr>
              <w:jc w:val="center"/>
              <w:ind w:right="1618"/>
              <w:spacing w:after="0"/>
              <w:rPr>
                <w:sz w:val="20"/>
                <w:szCs w:val="20"/>
                <w:color w:val="auto"/>
              </w:rPr>
            </w:pPr>
            <w:r>
              <w:rPr>
                <w:rFonts w:ascii="Arial" w:cs="Arial" w:eastAsia="Arial" w:hAnsi="Arial"/>
                <w:sz w:val="20"/>
                <w:szCs w:val="20"/>
                <w:b w:val="1"/>
                <w:bCs w:val="1"/>
                <w:color w:val="auto"/>
                <w:w w:val="92"/>
              </w:rPr>
              <w:t>Post-Effective Amendment No.</w:t>
            </w:r>
          </w:p>
        </w:tc>
        <w:tc>
          <w:tcPr>
            <w:tcW w:w="1880" w:type="dxa"/>
            <w:vAlign w:val="bottom"/>
          </w:tcPr>
          <w:p>
            <w:pPr>
              <w:ind w:left="1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2873375</wp:posOffset>
            </wp:positionH>
            <wp:positionV relativeFrom="paragraph">
              <wp:posOffset>198755</wp:posOffset>
            </wp:positionV>
            <wp:extent cx="1395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99"/>
        <w:spacing w:after="0"/>
        <w:rPr>
          <w:sz w:val="20"/>
          <w:szCs w:val="20"/>
          <w:color w:val="auto"/>
        </w:rPr>
      </w:pPr>
      <w:r>
        <w:rPr>
          <w:rFonts w:ascii="Arial" w:cs="Arial" w:eastAsia="Arial" w:hAnsi="Arial"/>
          <w:sz w:val="37"/>
          <w:szCs w:val="37"/>
          <w:b w:val="1"/>
          <w:bCs w:val="1"/>
          <w:color w:val="auto"/>
        </w:rPr>
        <w:t>PORTMAN RIDGE FINANCE CORPORATION</w:t>
      </w:r>
    </w:p>
    <w:p>
      <w:pPr>
        <w:spacing w:after="0" w:line="41"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2873375</wp:posOffset>
            </wp:positionH>
            <wp:positionV relativeFrom="paragraph">
              <wp:posOffset>223520</wp:posOffset>
            </wp:positionV>
            <wp:extent cx="13957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ind w:left="5240" w:right="4460" w:hanging="367"/>
        <w:spacing w:after="0" w:line="295" w:lineRule="auto"/>
        <w:tabs>
          <w:tab w:leader="none" w:pos="5165"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Madison Avenue 23</w:t>
      </w:r>
      <w:r>
        <w:rPr>
          <w:rFonts w:ascii="Arial" w:cs="Arial" w:eastAsia="Arial" w:hAnsi="Arial"/>
          <w:sz w:val="12"/>
          <w:szCs w:val="12"/>
          <w:b w:val="1"/>
          <w:bCs w:val="1"/>
          <w:color w:val="auto"/>
        </w:rPr>
        <w:t>rd</w:t>
      </w:r>
      <w:r>
        <w:rPr>
          <w:rFonts w:ascii="Arial" w:cs="Arial" w:eastAsia="Arial" w:hAnsi="Arial"/>
          <w:sz w:val="15"/>
          <w:szCs w:val="15"/>
          <w:b w:val="1"/>
          <w:bCs w:val="1"/>
          <w:color w:val="auto"/>
        </w:rPr>
        <w:t xml:space="preserve"> Floor</w:t>
      </w:r>
    </w:p>
    <w:p>
      <w:pPr>
        <w:jc w:val="center"/>
        <w:ind w:right="-399"/>
        <w:spacing w:after="0"/>
        <w:rPr>
          <w:sz w:val="20"/>
          <w:szCs w:val="20"/>
          <w:color w:val="auto"/>
        </w:rPr>
      </w:pPr>
      <w:r>
        <w:rPr>
          <w:rFonts w:ascii="Arial" w:cs="Arial" w:eastAsia="Arial" w:hAnsi="Arial"/>
          <w:sz w:val="17"/>
          <w:szCs w:val="17"/>
          <w:b w:val="1"/>
          <w:bCs w:val="1"/>
          <w:color w:val="auto"/>
        </w:rPr>
        <w:t>New York, NY 10022</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74"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(212) 891-2880</w:t>
      </w:r>
    </w:p>
    <w:p>
      <w:pPr>
        <w:spacing w:after="0" w:line="1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74"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Edward Goldthorpe</w:t>
      </w:r>
    </w:p>
    <w:p>
      <w:pPr>
        <w:spacing w:after="0" w:line="24"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650 Madison Avenue</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23</w:t>
      </w:r>
      <w:r>
        <w:rPr>
          <w:rFonts w:ascii="Arial" w:cs="Arial" w:eastAsia="Arial" w:hAnsi="Arial"/>
          <w:sz w:val="14"/>
          <w:szCs w:val="14"/>
          <w:b w:val="1"/>
          <w:bCs w:val="1"/>
          <w:color w:val="auto"/>
        </w:rPr>
        <w:t>rd</w:t>
      </w:r>
      <w:r>
        <w:rPr>
          <w:rFonts w:ascii="Arial" w:cs="Arial" w:eastAsia="Arial" w:hAnsi="Arial"/>
          <w:sz w:val="17"/>
          <w:szCs w:val="17"/>
          <w:b w:val="1"/>
          <w:bCs w:val="1"/>
          <w:color w:val="auto"/>
        </w:rPr>
        <w:t xml:space="preserve"> Floor</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New York, NY 10022</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2873375</wp:posOffset>
            </wp:positionH>
            <wp:positionV relativeFrom="paragraph">
              <wp:posOffset>201930</wp:posOffset>
            </wp:positionV>
            <wp:extent cx="13957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i w:val="1"/>
          <w:iCs w:val="1"/>
          <w:color w:val="auto"/>
        </w:rPr>
        <w:t>COPIES TO:</w:t>
      </w:r>
    </w:p>
    <w:p>
      <w:pPr>
        <w:spacing w:after="0" w:line="107"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Harry S. Pangas, Esq.</w:t>
      </w:r>
    </w:p>
    <w:p>
      <w:pPr>
        <w:spacing w:after="0" w:line="24"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Dechert LLP</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1900 K Street NW</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Washington, DC 20006</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Tel: (202) 261-3300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Fax: (202) 261-3333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2873375</wp:posOffset>
            </wp:positionH>
            <wp:positionV relativeFrom="paragraph">
              <wp:posOffset>217170</wp:posOffset>
            </wp:positionV>
            <wp:extent cx="1395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420"/>
        <w:spacing w:after="0"/>
        <w:rPr>
          <w:sz w:val="20"/>
          <w:szCs w:val="20"/>
          <w:color w:val="auto"/>
        </w:rPr>
      </w:pPr>
      <w:r>
        <w:rPr>
          <w:rFonts w:ascii="Arial" w:cs="Arial" w:eastAsia="Arial" w:hAnsi="Arial"/>
          <w:sz w:val="17"/>
          <w:szCs w:val="17"/>
          <w:b w:val="1"/>
          <w:bCs w:val="1"/>
          <w:color w:val="auto"/>
        </w:rPr>
        <w:t xml:space="preserve">Approximate date of proposed public offering: </w:t>
      </w:r>
      <w:r>
        <w:rPr>
          <w:rFonts w:ascii="Arial" w:cs="Arial" w:eastAsia="Arial" w:hAnsi="Arial"/>
          <w:sz w:val="17"/>
          <w:szCs w:val="17"/>
          <w:color w:val="auto"/>
        </w:rPr>
        <w:t>From time to time after the effective date of this registration statement.</w:t>
      </w:r>
    </w:p>
    <w:p>
      <w:pPr>
        <w:spacing w:after="0" w:line="128" w:lineRule="exact"/>
        <w:rPr>
          <w:sz w:val="24"/>
          <w:szCs w:val="24"/>
          <w:color w:val="auto"/>
        </w:rPr>
      </w:pPr>
    </w:p>
    <w:p>
      <w:pPr>
        <w:ind w:left="820" w:hanging="409"/>
        <w:spacing w:after="0"/>
        <w:tabs>
          <w:tab w:leader="none" w:pos="8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the only securities being registered on this Form are being offered pursuant to dividend or interest reinvestment plans.</w:t>
      </w:r>
    </w:p>
    <w:p>
      <w:pPr>
        <w:spacing w:after="0" w:line="124" w:lineRule="exact"/>
        <w:rPr>
          <w:sz w:val="24"/>
          <w:szCs w:val="24"/>
          <w:color w:val="auto"/>
        </w:rPr>
      </w:pPr>
    </w:p>
    <w:p>
      <w:pPr>
        <w:ind w:left="820" w:right="500" w:hanging="409"/>
        <w:spacing w:after="0" w:line="308" w:lineRule="auto"/>
        <w:tabs>
          <w:tab w:leader="none" w:pos="8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securities being registered on this Form will be offered on a delayed or continuous basis in reliance on Rule 415 under the Securities Act of 1933 (“Securities Act”), other than securities offered in connection with a dividend reinvestment plan.</w:t>
      </w:r>
    </w:p>
    <w:p>
      <w:pPr>
        <w:spacing w:after="0" w:line="52" w:lineRule="exact"/>
        <w:rPr>
          <w:sz w:val="24"/>
          <w:szCs w:val="24"/>
          <w:color w:val="auto"/>
        </w:rPr>
      </w:pPr>
    </w:p>
    <w:p>
      <w:pPr>
        <w:ind w:left="820" w:hanging="409"/>
        <w:spacing w:after="0"/>
        <w:tabs>
          <w:tab w:leader="none" w:pos="8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this Form is a registration statement pursuant to General Instruction A.2 or a post-effective amendment thereto.</w:t>
      </w:r>
    </w:p>
    <w:p>
      <w:pPr>
        <w:sectPr>
          <w:pgSz w:w="11900" w:h="16838" w:orient="portrait"/>
          <w:cols w:equalWidth="0" w:num="1">
            <w:col w:w="10840"/>
          </w:cols>
          <w:pgMar w:left="320" w:top="226" w:right="73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820" w:right="520" w:hanging="409"/>
        <w:spacing w:after="0" w:line="275" w:lineRule="auto"/>
        <w:tabs>
          <w:tab w:leader="none" w:pos="82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this Form is a registration statement pursuant to General Instruction B or a post-effective amendment thereto that will become effective upon filing with the Commission pursuant to Rule 462(e) under the Securities Act.</w:t>
      </w:r>
    </w:p>
    <w:p>
      <w:pPr>
        <w:spacing w:after="0" w:line="75" w:lineRule="exact"/>
        <w:rPr>
          <w:rFonts w:ascii="MS PGothic" w:cs="MS PGothic" w:eastAsia="MS PGothic" w:hAnsi="MS PGothic"/>
          <w:sz w:val="17"/>
          <w:szCs w:val="17"/>
          <w:color w:val="auto"/>
        </w:rPr>
      </w:pPr>
    </w:p>
    <w:p>
      <w:pPr>
        <w:ind w:left="820" w:right="420" w:hanging="409"/>
        <w:spacing w:after="0" w:line="275" w:lineRule="auto"/>
        <w:tabs>
          <w:tab w:leader="none" w:pos="82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this Form is a post-effective amendment to a registration statement filed pursuant to General Instruction B to register additional securities or additional classes of securities pursuant to Rule 413(b) under the Securities Act.</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It is proposed that this filing will become effective (check appropriate box):</w:t>
      </w:r>
    </w:p>
    <w:p>
      <w:pPr>
        <w:spacing w:after="0" w:line="128" w:lineRule="exact"/>
        <w:rPr>
          <w:sz w:val="20"/>
          <w:szCs w:val="20"/>
          <w:color w:val="auto"/>
        </w:rPr>
      </w:pPr>
    </w:p>
    <w:p>
      <w:pPr>
        <w:ind w:left="820" w:hanging="409"/>
        <w:spacing w:after="0"/>
        <w:tabs>
          <w:tab w:leader="none" w:pos="820"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when declared effective pursuant to Section 8(c) of the Securities Act.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Check each box that appropriately characterizes the Registrant:</w:t>
      </w:r>
    </w:p>
    <w:p>
      <w:pPr>
        <w:spacing w:after="0" w:line="128" w:lineRule="exact"/>
        <w:rPr>
          <w:sz w:val="20"/>
          <w:szCs w:val="20"/>
          <w:color w:val="auto"/>
        </w:rPr>
      </w:pPr>
    </w:p>
    <w:p>
      <w:pPr>
        <w:ind w:left="820" w:hanging="409"/>
        <w:spacing w:after="0"/>
        <w:tabs>
          <w:tab w:leader="none" w:pos="820" w:val="left"/>
        </w:tabs>
        <w:numPr>
          <w:ilvl w:val="0"/>
          <w:numId w:val="8"/>
        </w:numPr>
        <w:rPr>
          <w:rFonts w:ascii="MS PGothic" w:cs="MS PGothic" w:eastAsia="MS PGothic" w:hAnsi="MS PGothic"/>
          <w:sz w:val="15"/>
          <w:szCs w:val="15"/>
          <w:color w:val="auto"/>
        </w:rPr>
      </w:pPr>
      <w:r>
        <w:rPr>
          <w:rFonts w:ascii="Arial" w:cs="Arial" w:eastAsia="Arial" w:hAnsi="Arial"/>
          <w:sz w:val="15"/>
          <w:szCs w:val="15"/>
          <w:color w:val="auto"/>
        </w:rPr>
        <w:t>Registered Closed-End Fund (closed-end company that is registered under the Investment Company Act of 1940 (“Investment Company Act”)).</w:t>
      </w:r>
    </w:p>
    <w:p>
      <w:pPr>
        <w:spacing w:after="0" w:line="147" w:lineRule="exact"/>
        <w:rPr>
          <w:sz w:val="20"/>
          <w:szCs w:val="20"/>
          <w:color w:val="auto"/>
        </w:rPr>
      </w:pPr>
    </w:p>
    <w:p>
      <w:pPr>
        <w:ind w:left="820" w:right="180" w:hanging="409"/>
        <w:spacing w:after="0" w:line="275" w:lineRule="auto"/>
        <w:tabs>
          <w:tab w:leader="none" w:pos="82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Business Development Company (closed-end company that intends or has elected to be regulated as a business development company under the Investment Company Act).</w:t>
      </w:r>
    </w:p>
    <w:p>
      <w:pPr>
        <w:spacing w:after="0" w:line="76" w:lineRule="exact"/>
        <w:rPr>
          <w:sz w:val="20"/>
          <w:szCs w:val="20"/>
          <w:color w:val="auto"/>
        </w:rPr>
      </w:pPr>
    </w:p>
    <w:p>
      <w:pPr>
        <w:ind w:left="820" w:right="160" w:hanging="409"/>
        <w:spacing w:after="0" w:line="275" w:lineRule="auto"/>
        <w:tabs>
          <w:tab w:leader="none" w:pos="82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Interval Fund (Registered Closed-End Fund or a Business Development Company that makes periodic repurchase offers under Rule 23c-3 under the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201930</wp:posOffset>
            </wp:positionV>
            <wp:extent cx="13957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820" w:hanging="409"/>
        <w:spacing w:after="0"/>
        <w:tabs>
          <w:tab w:leader="none" w:pos="820"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A.2 Qualified (qualified to register securities pursuant to General Instruction A.2 of this Form).</w:t>
      </w:r>
    </w:p>
    <w:p>
      <w:pPr>
        <w:spacing w:after="0" w:line="124" w:lineRule="exact"/>
        <w:rPr>
          <w:sz w:val="20"/>
          <w:szCs w:val="20"/>
          <w:color w:val="auto"/>
        </w:rPr>
      </w:pPr>
    </w:p>
    <w:p>
      <w:pPr>
        <w:ind w:left="820" w:hanging="409"/>
        <w:spacing w:after="0"/>
        <w:tabs>
          <w:tab w:leader="none" w:pos="820" w:val="left"/>
        </w:tabs>
        <w:numPr>
          <w:ilvl w:val="0"/>
          <w:numId w:val="12"/>
        </w:numPr>
        <w:rPr>
          <w:rFonts w:ascii="MS PGothic" w:cs="MS PGothic" w:eastAsia="MS PGothic" w:hAnsi="MS PGothic"/>
          <w:sz w:val="17"/>
          <w:szCs w:val="17"/>
          <w:color w:val="auto"/>
        </w:rPr>
      </w:pPr>
      <w:r>
        <w:rPr>
          <w:rFonts w:ascii="Arial" w:cs="Arial" w:eastAsia="Arial" w:hAnsi="Arial"/>
          <w:sz w:val="17"/>
          <w:szCs w:val="17"/>
          <w:color w:val="auto"/>
        </w:rPr>
        <w:t>Well-Known Seasoned Issuer (as defined by Rule 405 under the Securities Act).</w:t>
      </w:r>
    </w:p>
    <w:p>
      <w:pPr>
        <w:spacing w:after="0" w:line="123" w:lineRule="exact"/>
        <w:rPr>
          <w:rFonts w:ascii="MS PGothic" w:cs="MS PGothic" w:eastAsia="MS PGothic" w:hAnsi="MS PGothic"/>
          <w:sz w:val="17"/>
          <w:szCs w:val="17"/>
          <w:color w:val="auto"/>
        </w:rPr>
      </w:pPr>
    </w:p>
    <w:p>
      <w:pPr>
        <w:ind w:left="820" w:hanging="409"/>
        <w:spacing w:after="0"/>
        <w:tabs>
          <w:tab w:leader="none" w:pos="820" w:val="left"/>
        </w:tabs>
        <w:numPr>
          <w:ilvl w:val="0"/>
          <w:numId w:val="12"/>
        </w:numPr>
        <w:rPr>
          <w:rFonts w:ascii="MS PGothic" w:cs="MS PGothic" w:eastAsia="MS PGothic" w:hAnsi="MS PGothic"/>
          <w:sz w:val="17"/>
          <w:szCs w:val="17"/>
          <w:color w:val="auto"/>
        </w:rPr>
      </w:pPr>
      <w:r>
        <w:rPr>
          <w:rFonts w:ascii="Arial" w:cs="Arial" w:eastAsia="Arial" w:hAnsi="Arial"/>
          <w:sz w:val="17"/>
          <w:szCs w:val="17"/>
          <w:color w:val="auto"/>
        </w:rPr>
        <w:t>Emerging Growth Company (as defined by Rule 12b-2 under the Securities Exchange Act of 1934 (“Exchange Act”).</w:t>
      </w:r>
    </w:p>
    <w:p>
      <w:pPr>
        <w:spacing w:after="0" w:line="123" w:lineRule="exact"/>
        <w:rPr>
          <w:rFonts w:ascii="MS PGothic" w:cs="MS PGothic" w:eastAsia="MS PGothic" w:hAnsi="MS PGothic"/>
          <w:sz w:val="17"/>
          <w:szCs w:val="17"/>
          <w:color w:val="auto"/>
        </w:rPr>
      </w:pPr>
    </w:p>
    <w:p>
      <w:pPr>
        <w:ind w:left="820" w:right="340" w:hanging="409"/>
        <w:spacing w:after="0" w:line="275" w:lineRule="auto"/>
        <w:tabs>
          <w:tab w:leader="none" w:pos="820" w:val="left"/>
        </w:tabs>
        <w:numPr>
          <w:ilvl w:val="0"/>
          <w:numId w:val="12"/>
        </w:numPr>
        <w:rPr>
          <w:rFonts w:ascii="MS PGothic" w:cs="MS PGothic" w:eastAsia="MS PGothic" w:hAnsi="MS PGothic"/>
          <w:sz w:val="17"/>
          <w:szCs w:val="17"/>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7(a)(2)(B) of Securities Act.</w:t>
      </w:r>
    </w:p>
    <w:p>
      <w:pPr>
        <w:spacing w:after="0" w:line="75" w:lineRule="exact"/>
        <w:rPr>
          <w:rFonts w:ascii="MS PGothic" w:cs="MS PGothic" w:eastAsia="MS PGothic" w:hAnsi="MS PGothic"/>
          <w:sz w:val="17"/>
          <w:szCs w:val="17"/>
          <w:color w:val="auto"/>
        </w:rPr>
      </w:pPr>
    </w:p>
    <w:p>
      <w:pPr>
        <w:ind w:left="820" w:hanging="409"/>
        <w:spacing w:after="0"/>
        <w:tabs>
          <w:tab w:leader="none" w:pos="820" w:val="left"/>
        </w:tabs>
        <w:numPr>
          <w:ilvl w:val="0"/>
          <w:numId w:val="12"/>
        </w:numPr>
        <w:rPr>
          <w:rFonts w:ascii="MS PGothic" w:cs="MS PGothic" w:eastAsia="MS PGothic" w:hAnsi="MS PGothic"/>
          <w:sz w:val="17"/>
          <w:szCs w:val="17"/>
          <w:color w:val="auto"/>
        </w:rPr>
      </w:pPr>
      <w:r>
        <w:rPr>
          <w:rFonts w:ascii="Arial" w:cs="Arial" w:eastAsia="Arial" w:hAnsi="Arial"/>
          <w:sz w:val="17"/>
          <w:szCs w:val="17"/>
          <w:color w:val="auto"/>
        </w:rPr>
        <w:t>New Registrant (registered or regulated under the Investment Company Act for less than 12 calendar months preceding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232410</wp:posOffset>
            </wp:positionV>
            <wp:extent cx="13957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CALCULATION OF REGISTRATION FEE UNDER THE SECURITIES ACT OF 1933</w:t>
      </w:r>
    </w:p>
    <w:p>
      <w:pPr>
        <w:spacing w:after="0" w:line="82" w:lineRule="exact"/>
        <w:rPr>
          <w:sz w:val="20"/>
          <w:szCs w:val="20"/>
          <w:color w:val="auto"/>
        </w:rPr>
      </w:pPr>
    </w:p>
    <w:tbl>
      <w:tblPr>
        <w:tblLayout w:type="fixed"/>
        <w:tblInd w:w="4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74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99"/>
        </w:trPr>
        <w:tc>
          <w:tcPr>
            <w:tcW w:w="20" w:type="dxa"/>
            <w:vAlign w:val="bottom"/>
          </w:tcPr>
          <w:p>
            <w:pPr>
              <w:spacing w:after="0"/>
              <w:rPr>
                <w:sz w:val="8"/>
                <w:szCs w:val="8"/>
                <w:color w:val="auto"/>
              </w:rPr>
            </w:pPr>
          </w:p>
        </w:tc>
        <w:tc>
          <w:tcPr>
            <w:tcW w:w="374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Proposed</w:t>
            </w:r>
          </w:p>
        </w:tc>
        <w:tc>
          <w:tcPr>
            <w:tcW w:w="16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Proposed</w:t>
            </w:r>
          </w:p>
        </w:tc>
        <w:tc>
          <w:tcPr>
            <w:tcW w:w="1640" w:type="dxa"/>
            <w:vAlign w:val="bottom"/>
          </w:tcPr>
          <w:p>
            <w:pPr>
              <w:spacing w:after="0"/>
              <w:rPr>
                <w:sz w:val="8"/>
                <w:szCs w:val="8"/>
                <w:color w:val="auto"/>
              </w:rPr>
            </w:pPr>
          </w:p>
        </w:tc>
      </w:tr>
      <w:tr>
        <w:trPr>
          <w:trHeight w:val="141"/>
        </w:trPr>
        <w:tc>
          <w:tcPr>
            <w:tcW w:w="20" w:type="dxa"/>
            <w:vAlign w:val="bottom"/>
          </w:tcPr>
          <w:p>
            <w:pPr>
              <w:spacing w:after="0"/>
              <w:rPr>
                <w:sz w:val="12"/>
                <w:szCs w:val="12"/>
                <w:color w:val="auto"/>
              </w:rPr>
            </w:pPr>
          </w:p>
        </w:tc>
        <w:tc>
          <w:tcPr>
            <w:tcW w:w="37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0"/>
              </w:rPr>
              <w:t>Amount</w:t>
            </w:r>
          </w:p>
        </w:tc>
        <w:tc>
          <w:tcPr>
            <w:tcW w:w="16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2"/>
              </w:rPr>
              <w:t>Maximum</w:t>
            </w:r>
          </w:p>
        </w:tc>
        <w:tc>
          <w:tcPr>
            <w:tcW w:w="16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2"/>
              </w:rPr>
              <w:t>Maximum</w:t>
            </w:r>
          </w:p>
        </w:tc>
        <w:tc>
          <w:tcPr>
            <w:tcW w:w="1640" w:type="dxa"/>
            <w:vAlign w:val="bottom"/>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37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1"/>
              </w:rPr>
              <w:t>Title of</w:t>
            </w:r>
          </w:p>
        </w:tc>
        <w:tc>
          <w:tcPr>
            <w:tcW w:w="1700" w:type="dxa"/>
            <w:vAlign w:val="bottom"/>
            <w:tcBorders>
              <w:right w:val="single" w:sz="8" w:color="auto"/>
            </w:tcBorders>
          </w:tcPr>
          <w:p>
            <w:pPr>
              <w:jc w:val="center"/>
              <w:ind w:left="8"/>
              <w:spacing w:after="0" w:line="141" w:lineRule="exact"/>
              <w:rPr>
                <w:sz w:val="20"/>
                <w:szCs w:val="20"/>
                <w:color w:val="auto"/>
              </w:rPr>
            </w:pPr>
            <w:r>
              <w:rPr>
                <w:rFonts w:ascii="Arial" w:cs="Arial" w:eastAsia="Arial" w:hAnsi="Arial"/>
                <w:sz w:val="14"/>
                <w:szCs w:val="14"/>
                <w:b w:val="1"/>
                <w:bCs w:val="1"/>
                <w:color w:val="auto"/>
                <w:w w:val="87"/>
              </w:rPr>
              <w:t>Being</w:t>
            </w:r>
          </w:p>
        </w:tc>
        <w:tc>
          <w:tcPr>
            <w:tcW w:w="16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0"/>
              </w:rPr>
              <w:t>Offering Price</w:t>
            </w:r>
          </w:p>
        </w:tc>
        <w:tc>
          <w:tcPr>
            <w:tcW w:w="16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Aggregate</w:t>
            </w:r>
          </w:p>
        </w:tc>
        <w:tc>
          <w:tcPr>
            <w:tcW w:w="16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Amount of</w:t>
            </w:r>
          </w:p>
        </w:tc>
      </w:tr>
      <w:tr>
        <w:trPr>
          <w:trHeight w:val="174"/>
        </w:trPr>
        <w:tc>
          <w:tcPr>
            <w:tcW w:w="20" w:type="dxa"/>
            <w:vAlign w:val="bottom"/>
          </w:tcPr>
          <w:p>
            <w:pPr>
              <w:spacing w:after="0"/>
              <w:rPr>
                <w:sz w:val="15"/>
                <w:szCs w:val="15"/>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Being Registered</w:t>
            </w:r>
          </w:p>
        </w:tc>
        <w:tc>
          <w:tcPr>
            <w:tcW w:w="17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5"/>
              </w:rPr>
              <w:t>Registered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Unit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Offering Price</w:t>
            </w:r>
            <w:r>
              <w:rPr>
                <w:rFonts w:ascii="Arial" w:cs="Arial" w:eastAsia="Arial" w:hAnsi="Arial"/>
                <w:sz w:val="11"/>
                <w:szCs w:val="11"/>
                <w:b w:val="1"/>
                <w:bCs w:val="1"/>
                <w:color w:val="auto"/>
                <w:w w:val="90"/>
              </w:rPr>
              <w:t>(1)</w:t>
            </w:r>
          </w:p>
        </w:tc>
        <w:tc>
          <w:tcPr>
            <w:tcW w:w="164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7"/>
              </w:rPr>
              <w:t>Registration Fee</w:t>
            </w:r>
            <w:r>
              <w:rPr>
                <w:rFonts w:ascii="Arial" w:cs="Arial" w:eastAsia="Arial" w:hAnsi="Arial"/>
                <w:sz w:val="11"/>
                <w:szCs w:val="11"/>
                <w:b w:val="1"/>
                <w:bCs w:val="1"/>
                <w:color w:val="auto"/>
                <w:w w:val="87"/>
              </w:rPr>
              <w:t>(1)</w:t>
            </w:r>
          </w:p>
        </w:tc>
      </w:tr>
      <w:tr>
        <w:trPr>
          <w:trHeight w:val="197"/>
        </w:trPr>
        <w:tc>
          <w:tcPr>
            <w:tcW w:w="20" w:type="dxa"/>
            <w:vAlign w:val="bottom"/>
            <w:tcBorders>
              <w:bottom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Common Stock, $0.01 par value per share</w:t>
            </w:r>
            <w:r>
              <w:rPr>
                <w:rFonts w:ascii="Arial" w:cs="Arial" w:eastAsia="Arial" w:hAnsi="Arial"/>
                <w:sz w:val="14"/>
                <w:szCs w:val="14"/>
                <w:color w:val="auto"/>
              </w:rPr>
              <w:t>(2)</w:t>
            </w:r>
          </w:p>
        </w:tc>
        <w:tc>
          <w:tcPr>
            <w:tcW w:w="17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7"/>
                <w:szCs w:val="17"/>
                <w:color w:val="auto"/>
                <w:w w:val="87"/>
              </w:rPr>
              <w:t>576,899</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$24.73</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$14,266,713</w:t>
            </w:r>
          </w:p>
        </w:tc>
        <w:tc>
          <w:tcPr>
            <w:tcW w:w="1640" w:type="dxa"/>
            <w:vAlign w:val="bottom"/>
            <w:tcBorders>
              <w:bottom w:val="single" w:sz="8" w:color="auto"/>
            </w:tcBorders>
          </w:tcPr>
          <w:p>
            <w:pPr>
              <w:jc w:val="center"/>
              <w:ind w:left="6"/>
              <w:spacing w:after="0"/>
              <w:rPr>
                <w:sz w:val="20"/>
                <w:szCs w:val="20"/>
                <w:color w:val="auto"/>
              </w:rPr>
            </w:pPr>
            <w:r>
              <w:rPr>
                <w:rFonts w:ascii="Arial" w:cs="Arial" w:eastAsia="Arial" w:hAnsi="Arial"/>
                <w:sz w:val="17"/>
                <w:szCs w:val="17"/>
                <w:color w:val="auto"/>
                <w:w w:val="92"/>
              </w:rPr>
              <w:t>$1,323</w:t>
            </w:r>
          </w:p>
        </w:tc>
      </w:tr>
      <w:tr>
        <w:trPr>
          <w:trHeight w:val="20"/>
        </w:trPr>
        <w:tc>
          <w:tcPr>
            <w:tcW w:w="20" w:type="dxa"/>
            <w:vAlign w:val="bottom"/>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ind w:left="820" w:right="40" w:hanging="409"/>
        <w:spacing w:after="0" w:line="254"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shares will be offered for resale by selling stockholders. Pursuant to Rule 416(a) of the Securities Act of 1933, this registration statement shall also cover any additional shares of the registrant’s common stock that become issuable by reason of any stock dividend, stock split, recapitalization or other similar transaction effected without receipt of consideration that increases the number of the registrant’s outstanding shares of common stock.</w:t>
      </w:r>
    </w:p>
    <w:p>
      <w:pPr>
        <w:spacing w:after="0" w:line="1" w:lineRule="exact"/>
        <w:rPr>
          <w:rFonts w:ascii="Arial" w:cs="Arial" w:eastAsia="Arial" w:hAnsi="Arial"/>
          <w:sz w:val="17"/>
          <w:szCs w:val="17"/>
          <w:color w:val="auto"/>
        </w:rPr>
      </w:pPr>
    </w:p>
    <w:p>
      <w:pPr>
        <w:ind w:left="820" w:right="20" w:hanging="409"/>
        <w:spacing w:after="0" w:line="256"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according to Rule 457(c) under the Securities Act of 1933, based on the average of the high ($24.90) and low ($24.56) prices of the registrant’s common stock reported on the Nasdaq Global Select Market on November 18, 2021, which is within five business days prior to filing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203835</wp:posOffset>
            </wp:positionV>
            <wp:extent cx="13957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420" w:right="600"/>
        <w:spacing w:after="0" w:line="282"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118745</wp:posOffset>
            </wp:positionV>
            <wp:extent cx="66205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20510" cy="825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158750</wp:posOffset>
            </wp:positionV>
            <wp:extent cx="66205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20510" cy="8255"/>
                    </a:xfrm>
                    <a:prstGeom prst="rect">
                      <a:avLst/>
                    </a:prstGeom>
                    <a:noFill/>
                  </pic:spPr>
                </pic:pic>
              </a:graphicData>
            </a:graphic>
          </wp:anchor>
        </w:drawing>
      </w:r>
    </w:p>
    <w:p>
      <w:pPr>
        <w:sectPr>
          <w:pgSz w:w="11900" w:h="16838" w:orient="portrait"/>
          <w:cols w:equalWidth="0" w:num="1">
            <w:col w:w="10840"/>
          </w:cols>
          <w:pgMar w:left="320" w:top="443" w:right="73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20" w:right="60"/>
        <w:spacing w:after="0" w:line="289" w:lineRule="auto"/>
        <w:rPr>
          <w:sz w:val="20"/>
          <w:szCs w:val="20"/>
          <w:color w:val="auto"/>
        </w:rPr>
      </w:pPr>
      <w:r>
        <w:rPr>
          <w:rFonts w:ascii="Arial" w:cs="Arial" w:eastAsia="Arial" w:hAnsi="Arial"/>
          <w:sz w:val="16"/>
          <w:szCs w:val="16"/>
          <w:b w:val="1"/>
          <w:bCs w:val="1"/>
          <w:color w:val="FF4338"/>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is not soliciting an offer to buy these securities in any jurisdiction where an offer or sale is not permitted.</w:t>
      </w:r>
    </w:p>
    <w:p>
      <w:pPr>
        <w:spacing w:after="0" w:line="89"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FF4338"/>
        </w:rPr>
        <w:t>PROSPECTUS SUBJECT TO COMPLETION DATED NOVEMBER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421640</wp:posOffset>
            </wp:positionV>
            <wp:extent cx="2921000" cy="746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2100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20"/>
        <w:spacing w:after="0"/>
        <w:rPr>
          <w:sz w:val="20"/>
          <w:szCs w:val="20"/>
          <w:color w:val="auto"/>
        </w:rPr>
      </w:pPr>
      <w:r>
        <w:rPr>
          <w:rFonts w:ascii="Arial" w:cs="Arial" w:eastAsia="Arial" w:hAnsi="Arial"/>
          <w:sz w:val="24"/>
          <w:szCs w:val="24"/>
          <w:b w:val="1"/>
          <w:bCs w:val="1"/>
          <w:color w:val="auto"/>
        </w:rPr>
        <w:t>576,899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284480</wp:posOffset>
            </wp:positionV>
            <wp:extent cx="13957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420" w:right="140"/>
        <w:spacing w:after="0" w:line="263" w:lineRule="auto"/>
        <w:rPr>
          <w:sz w:val="20"/>
          <w:szCs w:val="20"/>
          <w:color w:val="auto"/>
        </w:rPr>
      </w:pPr>
      <w:r>
        <w:rPr>
          <w:rFonts w:ascii="Arial" w:cs="Arial" w:eastAsia="Arial" w:hAnsi="Arial"/>
          <w:sz w:val="17"/>
          <w:szCs w:val="17"/>
          <w:color w:val="auto"/>
        </w:rPr>
        <w:t>This prospectus relates to the proposed resale by the selling stockholders identified in this prospectus or their permitted assigns of up to 576,899 shares of our common stock. We are not selling any securities under this prospectus and will not receive any proceeds from the sale of shares of our common stock by the selling stockholders.</w:t>
      </w:r>
    </w:p>
    <w:p>
      <w:pPr>
        <w:spacing w:after="0" w:line="252" w:lineRule="exact"/>
        <w:rPr>
          <w:sz w:val="20"/>
          <w:szCs w:val="20"/>
          <w:color w:val="auto"/>
        </w:rPr>
      </w:pPr>
    </w:p>
    <w:p>
      <w:pPr>
        <w:jc w:val="both"/>
        <w:ind w:left="420"/>
        <w:spacing w:after="0" w:line="314" w:lineRule="auto"/>
        <w:rPr>
          <w:sz w:val="20"/>
          <w:szCs w:val="20"/>
          <w:color w:val="auto"/>
        </w:rPr>
      </w:pPr>
      <w:r>
        <w:rPr>
          <w:rFonts w:ascii="Arial" w:cs="Arial" w:eastAsia="Arial" w:hAnsi="Arial"/>
          <w:sz w:val="15"/>
          <w:szCs w:val="15"/>
          <w:color w:val="auto"/>
        </w:rPr>
        <w:t>The shares of common stock being offered hereby may be sold by the selling stockholders to or through underwriters or dealers, directly to purchasers or through agents designated from time to time. For additional information regarding the methods of sale, you should refer to the section of this prospectus entitled “Plan of Distribution.” For a list of the selling stockholders, you should refer to the section of this prospectus entitled “Selling Stockholders.”</w:t>
      </w:r>
    </w:p>
    <w:p>
      <w:pPr>
        <w:spacing w:after="0" w:line="205" w:lineRule="exact"/>
        <w:rPr>
          <w:sz w:val="20"/>
          <w:szCs w:val="20"/>
          <w:color w:val="auto"/>
        </w:rPr>
      </w:pPr>
    </w:p>
    <w:p>
      <w:pPr>
        <w:jc w:val="both"/>
        <w:ind w:left="420" w:right="20"/>
        <w:spacing w:after="0" w:line="275" w:lineRule="auto"/>
        <w:rPr>
          <w:sz w:val="20"/>
          <w:szCs w:val="20"/>
          <w:color w:val="auto"/>
        </w:rPr>
      </w:pPr>
      <w:r>
        <w:rPr>
          <w:rFonts w:ascii="Arial" w:cs="Arial" w:eastAsia="Arial" w:hAnsi="Arial"/>
          <w:sz w:val="17"/>
          <w:szCs w:val="17"/>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229" w:lineRule="exact"/>
        <w:rPr>
          <w:sz w:val="20"/>
          <w:szCs w:val="20"/>
          <w:color w:val="auto"/>
        </w:rPr>
      </w:pPr>
    </w:p>
    <w:p>
      <w:pPr>
        <w:ind w:left="420" w:right="440"/>
        <w:spacing w:after="0" w:line="275" w:lineRule="auto"/>
        <w:rPr>
          <w:sz w:val="20"/>
          <w:szCs w:val="20"/>
          <w:color w:val="auto"/>
        </w:rPr>
      </w:pPr>
      <w:r>
        <w:rPr>
          <w:rFonts w:ascii="Arial" w:cs="Arial" w:eastAsia="Arial" w:hAnsi="Arial"/>
          <w:sz w:val="17"/>
          <w:szCs w:val="17"/>
          <w:color w:val="auto"/>
        </w:rPr>
        <w:t>Our common stock is listed on the NASDAQ Global Select Market (“Nasdaq”) under the ticker symbol “PTMN.” On November 22, 2021, the last reported sale price of our common stock on Nasdaq was $24.51.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201930</wp:posOffset>
            </wp:positionV>
            <wp:extent cx="13957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20" w:right="200"/>
        <w:spacing w:after="0" w:line="280"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a high degree of risk. See “</w:t>
      </w:r>
      <w:hyperlink w:anchor="page11">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beginning on page 6 of this prospectus to read about factors you should consider, including the risk of leverage, before investing in our common stock.</w:t>
      </w:r>
    </w:p>
    <w:p>
      <w:pPr>
        <w:spacing w:after="0" w:line="221" w:lineRule="exact"/>
        <w:rPr>
          <w:sz w:val="20"/>
          <w:szCs w:val="20"/>
          <w:color w:val="auto"/>
        </w:rPr>
      </w:pPr>
    </w:p>
    <w:p>
      <w:pPr>
        <w:ind w:left="420" w:right="20"/>
        <w:spacing w:after="0" w:line="280"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21" w:lineRule="exact"/>
        <w:rPr>
          <w:sz w:val="20"/>
          <w:szCs w:val="20"/>
          <w:color w:val="auto"/>
        </w:rPr>
      </w:pPr>
    </w:p>
    <w:tbl>
      <w:tblPr>
        <w:tblLayout w:type="fixed"/>
        <w:tblInd w:w="4240" w:type="dxa"/>
        <w:tblCellMar>
          <w:top w:w="0" w:type="dxa"/>
          <w:left w:w="0" w:type="dxa"/>
          <w:bottom w:w="0" w:type="dxa"/>
          <w:right w:w="0" w:type="dxa"/>
        </w:tblCellMar>
      </w:tblPr>
      <w:tr>
        <w:trPr>
          <w:trHeight w:val="220"/>
        </w:trPr>
        <w:tc>
          <w:tcPr>
            <w:tcW w:w="2020" w:type="dxa"/>
            <w:vAlign w:val="bottom"/>
          </w:tcPr>
          <w:p>
            <w:pPr>
              <w:spacing w:after="0"/>
              <w:rPr>
                <w:sz w:val="20"/>
                <w:szCs w:val="20"/>
                <w:color w:val="auto"/>
              </w:rPr>
            </w:pPr>
            <w:r>
              <w:rPr>
                <w:rFonts w:ascii="Arial" w:cs="Arial" w:eastAsia="Arial" w:hAnsi="Arial"/>
                <w:sz w:val="17"/>
                <w:szCs w:val="17"/>
                <w:b w:val="1"/>
                <w:bCs w:val="1"/>
                <w:color w:val="auto"/>
                <w:w w:val="99"/>
              </w:rPr>
              <w:t>This prospectus is dated</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 2021.</w:t>
            </w:r>
          </w:p>
        </w:tc>
      </w:tr>
    </w:tbl>
    <w:p>
      <w:pPr>
        <w:sectPr>
          <w:pgSz w:w="11900" w:h="16838" w:orient="portrait"/>
          <w:cols w:equalWidth="0" w:num="1">
            <w:col w:w="10840"/>
          </w:cols>
          <w:pgMar w:left="320" w:top="443" w:right="7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tbl>
      <w:tblPr>
        <w:tblLayout w:type="fixed"/>
        <w:tblInd w:w="42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100" w:type="dxa"/>
            <w:vAlign w:val="bottom"/>
            <w:gridSpan w:val="3"/>
          </w:tcPr>
          <w:p>
            <w:pPr>
              <w:ind w:left="320"/>
              <w:spacing w:after="0"/>
              <w:rPr>
                <w:sz w:val="20"/>
                <w:szCs w:val="20"/>
                <w:color w:val="auto"/>
              </w:rPr>
            </w:pPr>
            <w:r>
              <w:rPr>
                <w:rFonts w:ascii="Arial" w:cs="Arial" w:eastAsia="Arial" w:hAnsi="Arial"/>
                <w:sz w:val="17"/>
                <w:szCs w:val="17"/>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0080" w:type="dxa"/>
            <w:vAlign w:val="bottom"/>
            <w:gridSpan w:val="29"/>
            <w:vMerge w:val="restart"/>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About This Prospectus</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46"/>
        </w:trPr>
        <w:tc>
          <w:tcPr>
            <w:tcW w:w="10080" w:type="dxa"/>
            <w:vAlign w:val="bottom"/>
            <w:gridSpan w:val="29"/>
            <w:vMerge w:val="continue"/>
          </w:tcPr>
          <w:p>
            <w:pPr>
              <w:spacing w:after="0"/>
              <w:rPr>
                <w:sz w:val="12"/>
                <w:szCs w:val="12"/>
                <w:color w:val="auto"/>
              </w:rPr>
            </w:pPr>
          </w:p>
        </w:tc>
        <w:tc>
          <w:tcPr>
            <w:tcW w:w="2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5"/>
                <w:szCs w:val="15"/>
                <w:color w:val="auto"/>
              </w:rPr>
              <w:t>ii</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440" w:type="dxa"/>
            <w:vAlign w:val="bottom"/>
            <w:tcBorders>
              <w:top w:val="single" w:sz="8" w:color="0000EE"/>
              <w:bottom w:val="single" w:sz="8" w:color="0000EE"/>
            </w:tcBorders>
            <w:gridSpan w:val="14"/>
          </w:tcPr>
          <w:p>
            <w:pPr>
              <w:spacing w:after="0"/>
              <w:rPr>
                <w:rFonts w:ascii="Arial" w:cs="Arial" w:eastAsia="Arial" w:hAnsi="Arial"/>
                <w:sz w:val="17"/>
                <w:szCs w:val="17"/>
                <w:color w:val="0000EE"/>
                <w:w w:val="87"/>
              </w:rPr>
            </w:pPr>
            <w:hyperlink w:anchor="page6">
              <w:r>
                <w:rPr>
                  <w:rFonts w:ascii="Arial" w:cs="Arial" w:eastAsia="Arial" w:hAnsi="Arial"/>
                  <w:sz w:val="17"/>
                  <w:szCs w:val="17"/>
                  <w:color w:val="0000EE"/>
                  <w:w w:val="87"/>
                </w:rPr>
                <w:t>Prospectus Summary</w:t>
              </w:r>
            </w:hyperlink>
          </w:p>
        </w:tc>
        <w:tc>
          <w:tcPr>
            <w:tcW w:w="100" w:type="dxa"/>
            <w:vAlign w:val="bottom"/>
            <w:tcBorders>
              <w:top w:val="single" w:sz="8" w:color="0000EE"/>
            </w:tcBorders>
            <w:gridSpan w:val="2"/>
          </w:tcPr>
          <w:p>
            <w:pPr>
              <w:spacing w:after="0"/>
              <w:rPr>
                <w:sz w:val="17"/>
                <w:szCs w:val="17"/>
                <w:color w:val="auto"/>
              </w:rPr>
            </w:pPr>
          </w:p>
        </w:tc>
        <w:tc>
          <w:tcPr>
            <w:tcW w:w="8540" w:type="dxa"/>
            <w:vAlign w:val="bottom"/>
            <w:gridSpan w:val="13"/>
          </w:tcPr>
          <w:p>
            <w:pPr>
              <w:spacing w:after="0"/>
              <w:rPr>
                <w:sz w:val="17"/>
                <w:szCs w:val="17"/>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4"/>
        </w:trPr>
        <w:tc>
          <w:tcPr>
            <w:tcW w:w="1280" w:type="dxa"/>
            <w:vAlign w:val="bottom"/>
            <w:tcBorders>
              <w:bottom w:val="single" w:sz="8" w:color="0000EE"/>
            </w:tcBorders>
            <w:gridSpan w:val="9"/>
          </w:tcPr>
          <w:p>
            <w:pPr>
              <w:spacing w:after="0" w:line="185" w:lineRule="exact"/>
              <w:rPr>
                <w:rFonts w:ascii="Arial" w:cs="Arial" w:eastAsia="Arial" w:hAnsi="Arial"/>
                <w:sz w:val="17"/>
                <w:szCs w:val="17"/>
                <w:color w:val="0000EE"/>
                <w:w w:val="83"/>
              </w:rPr>
            </w:pPr>
            <w:hyperlink w:anchor="page8">
              <w:r>
                <w:rPr>
                  <w:rFonts w:ascii="Arial" w:cs="Arial" w:eastAsia="Arial" w:hAnsi="Arial"/>
                  <w:sz w:val="17"/>
                  <w:szCs w:val="17"/>
                  <w:color w:val="0000EE"/>
                  <w:w w:val="83"/>
                </w:rPr>
                <w:t>Fees and Expenses</w:t>
              </w:r>
            </w:hyperlink>
          </w:p>
        </w:tc>
        <w:tc>
          <w:tcPr>
            <w:tcW w:w="8800" w:type="dxa"/>
            <w:vAlign w:val="bottom"/>
            <w:gridSpan w:val="20"/>
          </w:tcPr>
          <w:p>
            <w:pPr>
              <w:spacing w:after="0"/>
              <w:rPr>
                <w:sz w:val="16"/>
                <w:szCs w:val="16"/>
                <w:color w:val="auto"/>
              </w:rPr>
            </w:pPr>
          </w:p>
        </w:tc>
        <w:tc>
          <w:tcPr>
            <w:tcW w:w="30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4"/>
        </w:trPr>
        <w:tc>
          <w:tcPr>
            <w:tcW w:w="10080" w:type="dxa"/>
            <w:vAlign w:val="bottom"/>
            <w:gridSpan w:val="29"/>
          </w:tcPr>
          <w:p>
            <w:pPr>
              <w:spacing w:after="0" w:line="185" w:lineRule="exact"/>
              <w:rPr>
                <w:rFonts w:ascii="Arial" w:cs="Arial" w:eastAsia="Arial" w:hAnsi="Arial"/>
                <w:sz w:val="17"/>
                <w:szCs w:val="17"/>
                <w:color w:val="0000EE"/>
              </w:rPr>
            </w:pPr>
            <w:hyperlink w:anchor="page10">
              <w:r>
                <w:rPr>
                  <w:rFonts w:ascii="Arial" w:cs="Arial" w:eastAsia="Arial" w:hAnsi="Arial"/>
                  <w:sz w:val="17"/>
                  <w:szCs w:val="17"/>
                  <w:color w:val="0000EE"/>
                </w:rPr>
                <w:t>Financial Highlights</w:t>
              </w:r>
            </w:hyperlink>
          </w:p>
        </w:tc>
        <w:tc>
          <w:tcPr>
            <w:tcW w:w="30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4"/>
        </w:trPr>
        <w:tc>
          <w:tcPr>
            <w:tcW w:w="1380" w:type="dxa"/>
            <w:vAlign w:val="bottom"/>
            <w:tcBorders>
              <w:top w:val="single" w:sz="8" w:color="0000EE"/>
            </w:tcBorders>
            <w:gridSpan w:val="11"/>
          </w:tcPr>
          <w:p>
            <w:pPr>
              <w:spacing w:after="0" w:line="185" w:lineRule="exact"/>
              <w:rPr>
                <w:rFonts w:ascii="Arial" w:cs="Arial" w:eastAsia="Arial" w:hAnsi="Arial"/>
                <w:sz w:val="17"/>
                <w:szCs w:val="17"/>
                <w:color w:val="0000EE"/>
              </w:rPr>
            </w:pPr>
            <w:hyperlink w:anchor="page11">
              <w:r>
                <w:rPr>
                  <w:rFonts w:ascii="Arial" w:cs="Arial" w:eastAsia="Arial" w:hAnsi="Arial"/>
                  <w:sz w:val="17"/>
                  <w:szCs w:val="17"/>
                  <w:color w:val="0000EE"/>
                </w:rPr>
                <w:t>Risk Factors</w:t>
              </w:r>
            </w:hyperlink>
          </w:p>
        </w:tc>
        <w:tc>
          <w:tcPr>
            <w:tcW w:w="8700" w:type="dxa"/>
            <w:vAlign w:val="bottom"/>
            <w:gridSpan w:val="18"/>
          </w:tcPr>
          <w:p>
            <w:pPr>
              <w:spacing w:after="0"/>
              <w:rPr>
                <w:sz w:val="16"/>
                <w:szCs w:val="16"/>
                <w:color w:val="auto"/>
              </w:rPr>
            </w:pPr>
          </w:p>
        </w:tc>
        <w:tc>
          <w:tcPr>
            <w:tcW w:w="30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080" w:type="dxa"/>
            <w:vAlign w:val="bottom"/>
            <w:gridSpan w:val="29"/>
          </w:tcPr>
          <w:p>
            <w:pPr>
              <w:spacing w:after="0" w:line="185" w:lineRule="exact"/>
              <w:rPr>
                <w:rFonts w:ascii="Arial" w:cs="Arial" w:eastAsia="Arial" w:hAnsi="Arial"/>
                <w:sz w:val="17"/>
                <w:szCs w:val="17"/>
                <w:color w:val="0000EE"/>
              </w:rPr>
            </w:pPr>
            <w:hyperlink w:anchor="page12">
              <w:r>
                <w:rPr>
                  <w:rFonts w:ascii="Arial" w:cs="Arial" w:eastAsia="Arial" w:hAnsi="Arial"/>
                  <w:sz w:val="17"/>
                  <w:szCs w:val="17"/>
                  <w:color w:val="0000EE"/>
                </w:rPr>
                <w:t>Cautionary Note Regarding Forward-Looking Information</w:t>
              </w:r>
            </w:hyperlink>
          </w:p>
        </w:tc>
        <w:tc>
          <w:tcPr>
            <w:tcW w:w="30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4"/>
        </w:trPr>
        <w:tc>
          <w:tcPr>
            <w:tcW w:w="1100" w:type="dxa"/>
            <w:vAlign w:val="bottom"/>
            <w:tcBorders>
              <w:top w:val="single" w:sz="8" w:color="0000EE"/>
              <w:bottom w:val="single" w:sz="8" w:color="0000EE"/>
            </w:tcBorders>
            <w:gridSpan w:val="7"/>
          </w:tcPr>
          <w:p>
            <w:pPr>
              <w:spacing w:after="0" w:line="185" w:lineRule="exact"/>
              <w:rPr>
                <w:rFonts w:ascii="Arial" w:cs="Arial" w:eastAsia="Arial" w:hAnsi="Arial"/>
                <w:sz w:val="17"/>
                <w:szCs w:val="17"/>
                <w:color w:val="0000EE"/>
                <w:w w:val="85"/>
              </w:rPr>
            </w:pPr>
            <w:hyperlink w:anchor="page14">
              <w:r>
                <w:rPr>
                  <w:rFonts w:ascii="Arial" w:cs="Arial" w:eastAsia="Arial" w:hAnsi="Arial"/>
                  <w:sz w:val="17"/>
                  <w:szCs w:val="17"/>
                  <w:color w:val="0000EE"/>
                  <w:w w:val="85"/>
                </w:rPr>
                <w:t>Use of Proceeds</w:t>
              </w:r>
            </w:hyperlink>
          </w:p>
        </w:tc>
        <w:tc>
          <w:tcPr>
            <w:tcW w:w="2880" w:type="dxa"/>
            <w:vAlign w:val="bottom"/>
            <w:tcBorders>
              <w:top w:val="single" w:sz="8" w:color="0000EE"/>
            </w:tcBorders>
            <w:gridSpan w:val="19"/>
          </w:tcPr>
          <w:p>
            <w:pPr>
              <w:spacing w:after="0"/>
              <w:rPr>
                <w:sz w:val="16"/>
                <w:szCs w:val="16"/>
                <w:color w:val="auto"/>
              </w:rPr>
            </w:pPr>
          </w:p>
        </w:tc>
        <w:tc>
          <w:tcPr>
            <w:tcW w:w="6100" w:type="dxa"/>
            <w:vAlign w:val="bottom"/>
            <w:gridSpan w:val="3"/>
          </w:tcPr>
          <w:p>
            <w:pPr>
              <w:spacing w:after="0"/>
              <w:rPr>
                <w:sz w:val="16"/>
                <w:szCs w:val="16"/>
                <w:color w:val="auto"/>
              </w:rPr>
            </w:pPr>
          </w:p>
        </w:tc>
        <w:tc>
          <w:tcPr>
            <w:tcW w:w="30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4"/>
        </w:trPr>
        <w:tc>
          <w:tcPr>
            <w:tcW w:w="10080" w:type="dxa"/>
            <w:vAlign w:val="bottom"/>
            <w:gridSpan w:val="29"/>
          </w:tcPr>
          <w:p>
            <w:pPr>
              <w:spacing w:after="0" w:line="185" w:lineRule="exact"/>
              <w:rPr>
                <w:rFonts w:ascii="Arial" w:cs="Arial" w:eastAsia="Arial" w:hAnsi="Arial"/>
                <w:sz w:val="17"/>
                <w:szCs w:val="17"/>
                <w:color w:val="0000EE"/>
              </w:rPr>
            </w:pPr>
            <w:hyperlink w:anchor="page15">
              <w:r>
                <w:rPr>
                  <w:rFonts w:ascii="Arial" w:cs="Arial" w:eastAsia="Arial" w:hAnsi="Arial"/>
                  <w:sz w:val="17"/>
                  <w:szCs w:val="17"/>
                  <w:color w:val="0000EE"/>
                </w:rPr>
                <w:t>Price Range of Common Stock</w:t>
              </w:r>
            </w:hyperlink>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00" w:type="dxa"/>
            <w:vAlign w:val="bottom"/>
            <w:tcBorders>
              <w:top w:val="single" w:sz="8" w:color="0000EE"/>
            </w:tcBorders>
            <w:gridSpan w:val="20"/>
          </w:tcPr>
          <w:p>
            <w:pPr>
              <w:spacing w:after="0" w:line="185" w:lineRule="exact"/>
              <w:rPr>
                <w:rFonts w:ascii="Arial" w:cs="Arial" w:eastAsia="Arial" w:hAnsi="Arial"/>
                <w:sz w:val="17"/>
                <w:szCs w:val="17"/>
                <w:color w:val="0000EE"/>
              </w:rPr>
            </w:pPr>
            <w:hyperlink w:anchor="page16">
              <w:r>
                <w:rPr>
                  <w:rFonts w:ascii="Arial" w:cs="Arial" w:eastAsia="Arial" w:hAnsi="Arial"/>
                  <w:sz w:val="17"/>
                  <w:szCs w:val="17"/>
                  <w:color w:val="0000EE"/>
                </w:rPr>
                <w:t>Senior Securities</w:t>
              </w:r>
            </w:hyperlink>
          </w:p>
        </w:tc>
        <w:tc>
          <w:tcPr>
            <w:tcW w:w="7980" w:type="dxa"/>
            <w:vAlign w:val="bottom"/>
            <w:gridSpan w:val="9"/>
          </w:tcPr>
          <w:p>
            <w:pPr>
              <w:spacing w:after="0"/>
              <w:rPr>
                <w:sz w:val="16"/>
                <w:szCs w:val="16"/>
                <w:color w:val="auto"/>
              </w:rPr>
            </w:pPr>
          </w:p>
        </w:tc>
        <w:tc>
          <w:tcPr>
            <w:tcW w:w="30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4"/>
        </w:trPr>
        <w:tc>
          <w:tcPr>
            <w:tcW w:w="600" w:type="dxa"/>
            <w:vAlign w:val="bottom"/>
            <w:tcBorders>
              <w:top w:val="single" w:sz="8" w:color="0000EE"/>
              <w:bottom w:val="single" w:sz="8" w:color="0000EE"/>
            </w:tcBorders>
            <w:gridSpan w:val="2"/>
          </w:tcPr>
          <w:p>
            <w:pPr>
              <w:spacing w:after="0" w:line="185" w:lineRule="exact"/>
              <w:rPr>
                <w:rFonts w:ascii="Arial" w:cs="Arial" w:eastAsia="Arial" w:hAnsi="Arial"/>
                <w:sz w:val="17"/>
                <w:szCs w:val="17"/>
                <w:color w:val="0000EE"/>
                <w:w w:val="84"/>
              </w:rPr>
            </w:pPr>
            <w:hyperlink w:anchor="page16">
              <w:r>
                <w:rPr>
                  <w:rFonts w:ascii="Arial" w:cs="Arial" w:eastAsia="Arial" w:hAnsi="Arial"/>
                  <w:sz w:val="17"/>
                  <w:szCs w:val="17"/>
                  <w:color w:val="0000EE"/>
                  <w:w w:val="84"/>
                </w:rPr>
                <w:t>Business</w:t>
              </w:r>
            </w:hyperlink>
          </w:p>
        </w:tc>
        <w:tc>
          <w:tcPr>
            <w:tcW w:w="540" w:type="dxa"/>
            <w:vAlign w:val="bottom"/>
            <w:tcBorders>
              <w:top w:val="single" w:sz="8" w:color="0000EE"/>
            </w:tcBorders>
            <w:gridSpan w:val="6"/>
          </w:tcPr>
          <w:p>
            <w:pPr>
              <w:spacing w:after="0"/>
              <w:rPr>
                <w:sz w:val="16"/>
                <w:szCs w:val="16"/>
                <w:color w:val="auto"/>
              </w:rPr>
            </w:pPr>
          </w:p>
        </w:tc>
        <w:tc>
          <w:tcPr>
            <w:tcW w:w="8940" w:type="dxa"/>
            <w:vAlign w:val="bottom"/>
            <w:gridSpan w:val="21"/>
          </w:tcPr>
          <w:p>
            <w:pPr>
              <w:spacing w:after="0"/>
              <w:rPr>
                <w:sz w:val="16"/>
                <w:szCs w:val="16"/>
                <w:color w:val="auto"/>
              </w:rPr>
            </w:pPr>
          </w:p>
        </w:tc>
        <w:tc>
          <w:tcPr>
            <w:tcW w:w="30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4"/>
        </w:trPr>
        <w:tc>
          <w:tcPr>
            <w:tcW w:w="10080" w:type="dxa"/>
            <w:vAlign w:val="bottom"/>
            <w:gridSpan w:val="29"/>
          </w:tcPr>
          <w:p>
            <w:pPr>
              <w:spacing w:after="0" w:line="185" w:lineRule="exact"/>
              <w:rPr>
                <w:rFonts w:ascii="Arial" w:cs="Arial" w:eastAsia="Arial" w:hAnsi="Arial"/>
                <w:sz w:val="17"/>
                <w:szCs w:val="17"/>
                <w:color w:val="0000EE"/>
              </w:rPr>
            </w:pPr>
            <w:hyperlink w:anchor="page16">
              <w:r>
                <w:rPr>
                  <w:rFonts w:ascii="Arial" w:cs="Arial" w:eastAsia="Arial" w:hAnsi="Arial"/>
                  <w:sz w:val="17"/>
                  <w:szCs w:val="17"/>
                  <w:color w:val="0000EE"/>
                </w:rPr>
                <w:t>Portfolio Companies</w:t>
              </w:r>
            </w:hyperlink>
          </w:p>
        </w:tc>
        <w:tc>
          <w:tcPr>
            <w:tcW w:w="30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080" w:type="dxa"/>
            <w:vAlign w:val="bottom"/>
            <w:gridSpan w:val="29"/>
          </w:tcPr>
          <w:p>
            <w:pPr>
              <w:spacing w:after="0" w:line="185" w:lineRule="exact"/>
              <w:rPr>
                <w:rFonts w:ascii="Arial" w:cs="Arial" w:eastAsia="Arial" w:hAnsi="Arial"/>
                <w:sz w:val="17"/>
                <w:szCs w:val="17"/>
                <w:color w:val="0000EE"/>
              </w:rPr>
            </w:pPr>
            <w:hyperlink w:anchor="page17">
              <w:r>
                <w:rPr>
                  <w:rFonts w:ascii="Arial" w:cs="Arial" w:eastAsia="Arial" w:hAnsi="Arial"/>
                  <w:sz w:val="17"/>
                  <w:szCs w:val="17"/>
                  <w:color w:val="0000EE"/>
                </w:rPr>
                <w:t>Portman Ridge Finance Corporation Consolidated Schedule of Investments as of September 30, 2021</w:t>
              </w:r>
            </w:hyperlink>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420" w:type="dxa"/>
            <w:vAlign w:val="bottom"/>
            <w:tcBorders>
              <w:top w:val="single" w:sz="8" w:color="0000EE"/>
              <w:bottom w:val="single" w:sz="8" w:color="0000EE"/>
            </w:tcBorders>
            <w:gridSpan w:val="13"/>
          </w:tcPr>
          <w:p>
            <w:pPr>
              <w:spacing w:after="0" w:line="185" w:lineRule="exact"/>
              <w:rPr>
                <w:rFonts w:ascii="Arial" w:cs="Arial" w:eastAsia="Arial" w:hAnsi="Arial"/>
                <w:sz w:val="17"/>
                <w:szCs w:val="17"/>
                <w:color w:val="0000EE"/>
                <w:w w:val="88"/>
              </w:rPr>
            </w:pPr>
            <w:hyperlink w:anchor="page35">
              <w:r>
                <w:rPr>
                  <w:rFonts w:ascii="Arial" w:cs="Arial" w:eastAsia="Arial" w:hAnsi="Arial"/>
                  <w:sz w:val="17"/>
                  <w:szCs w:val="17"/>
                  <w:color w:val="0000EE"/>
                  <w:w w:val="88"/>
                </w:rPr>
                <w:t>Financial Statements</w:t>
              </w:r>
            </w:hyperlink>
          </w:p>
        </w:tc>
        <w:tc>
          <w:tcPr>
            <w:tcW w:w="5480" w:type="dxa"/>
            <w:vAlign w:val="bottom"/>
            <w:tcBorders>
              <w:top w:val="single" w:sz="8" w:color="0000EE"/>
            </w:tcBorders>
            <w:gridSpan w:val="15"/>
          </w:tcPr>
          <w:p>
            <w:pPr>
              <w:spacing w:after="0"/>
              <w:rPr>
                <w:sz w:val="16"/>
                <w:szCs w:val="16"/>
                <w:color w:val="auto"/>
              </w:rPr>
            </w:pPr>
          </w:p>
        </w:tc>
        <w:tc>
          <w:tcPr>
            <w:tcW w:w="3180" w:type="dxa"/>
            <w:vAlign w:val="bottom"/>
          </w:tcPr>
          <w:p>
            <w:pPr>
              <w:spacing w:after="0"/>
              <w:rPr>
                <w:sz w:val="16"/>
                <w:szCs w:val="16"/>
                <w:color w:val="auto"/>
              </w:rPr>
            </w:pPr>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tcBorders>
              <w:bottom w:val="single" w:sz="8" w:color="0000EE"/>
            </w:tcBorders>
            <w:gridSpan w:val="5"/>
          </w:tcPr>
          <w:p>
            <w:pPr>
              <w:spacing w:after="0" w:line="185" w:lineRule="exact"/>
              <w:rPr>
                <w:rFonts w:ascii="Arial" w:cs="Arial" w:eastAsia="Arial" w:hAnsi="Arial"/>
                <w:sz w:val="17"/>
                <w:szCs w:val="17"/>
                <w:color w:val="0000EE"/>
                <w:w w:val="86"/>
              </w:rPr>
            </w:pPr>
            <w:hyperlink w:anchor="page36">
              <w:r>
                <w:rPr>
                  <w:rFonts w:ascii="Arial" w:cs="Arial" w:eastAsia="Arial" w:hAnsi="Arial"/>
                  <w:sz w:val="17"/>
                  <w:szCs w:val="17"/>
                  <w:color w:val="0000EE"/>
                  <w:w w:val="86"/>
                </w:rPr>
                <w:t>Management</w:t>
              </w:r>
            </w:hyperlink>
          </w:p>
        </w:tc>
        <w:tc>
          <w:tcPr>
            <w:tcW w:w="9200" w:type="dxa"/>
            <w:vAlign w:val="bottom"/>
            <w:gridSpan w:val="24"/>
          </w:tcPr>
          <w:p>
            <w:pPr>
              <w:spacing w:after="0"/>
              <w:rPr>
                <w:sz w:val="16"/>
                <w:szCs w:val="16"/>
                <w:color w:val="auto"/>
              </w:rPr>
            </w:pPr>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80" w:type="dxa"/>
            <w:vAlign w:val="bottom"/>
            <w:gridSpan w:val="29"/>
          </w:tcPr>
          <w:p>
            <w:pPr>
              <w:spacing w:after="0" w:line="185" w:lineRule="exact"/>
              <w:rPr>
                <w:rFonts w:ascii="Arial" w:cs="Arial" w:eastAsia="Arial" w:hAnsi="Arial"/>
                <w:sz w:val="17"/>
                <w:szCs w:val="17"/>
                <w:color w:val="0000EE"/>
              </w:rPr>
            </w:pPr>
            <w:hyperlink w:anchor="page37">
              <w:r>
                <w:rPr>
                  <w:rFonts w:ascii="Arial" w:cs="Arial" w:eastAsia="Arial" w:hAnsi="Arial"/>
                  <w:sz w:val="17"/>
                  <w:szCs w:val="17"/>
                  <w:color w:val="0000EE"/>
                </w:rPr>
                <w:t>Portfolio Management</w:t>
              </w:r>
            </w:hyperlink>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8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20" w:type="dxa"/>
            <w:vAlign w:val="bottom"/>
            <w:tcBorders>
              <w:bottom w:val="single" w:sz="8" w:color="0000EE"/>
            </w:tcBorders>
            <w:gridSpan w:val="24"/>
          </w:tcPr>
          <w:p>
            <w:pPr>
              <w:spacing w:after="0" w:line="185" w:lineRule="exact"/>
              <w:rPr>
                <w:rFonts w:ascii="Arial" w:cs="Arial" w:eastAsia="Arial" w:hAnsi="Arial"/>
                <w:sz w:val="17"/>
                <w:szCs w:val="17"/>
                <w:color w:val="0000EE"/>
                <w:w w:val="88"/>
              </w:rPr>
            </w:pPr>
            <w:hyperlink w:anchor="page40">
              <w:r>
                <w:rPr>
                  <w:rFonts w:ascii="Arial" w:cs="Arial" w:eastAsia="Arial" w:hAnsi="Arial"/>
                  <w:sz w:val="17"/>
                  <w:szCs w:val="17"/>
                  <w:color w:val="0000EE"/>
                  <w:w w:val="88"/>
                </w:rPr>
                <w:t>Certain Relationships and Related Transactions</w:t>
              </w:r>
            </w:hyperlink>
          </w:p>
        </w:tc>
        <w:tc>
          <w:tcPr>
            <w:tcW w:w="6860" w:type="dxa"/>
            <w:vAlign w:val="bottom"/>
            <w:gridSpan w:val="5"/>
          </w:tcPr>
          <w:p>
            <w:pPr>
              <w:spacing w:after="0"/>
              <w:rPr>
                <w:sz w:val="16"/>
                <w:szCs w:val="16"/>
                <w:color w:val="auto"/>
              </w:rPr>
            </w:pPr>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80" w:type="dxa"/>
            <w:vAlign w:val="bottom"/>
            <w:gridSpan w:val="29"/>
          </w:tcPr>
          <w:p>
            <w:pPr>
              <w:spacing w:after="0" w:line="185" w:lineRule="exact"/>
              <w:rPr>
                <w:rFonts w:ascii="Arial" w:cs="Arial" w:eastAsia="Arial" w:hAnsi="Arial"/>
                <w:sz w:val="17"/>
                <w:szCs w:val="17"/>
                <w:color w:val="0000EE"/>
              </w:rPr>
            </w:pPr>
            <w:hyperlink w:anchor="page41">
              <w:r>
                <w:rPr>
                  <w:rFonts w:ascii="Arial" w:cs="Arial" w:eastAsia="Arial" w:hAnsi="Arial"/>
                  <w:sz w:val="17"/>
                  <w:szCs w:val="17"/>
                  <w:color w:val="0000EE"/>
                </w:rPr>
                <w:t>Control Persons and Principal Stockholders</w:t>
              </w:r>
            </w:hyperlink>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300" w:type="dxa"/>
            <w:vAlign w:val="bottom"/>
            <w:tcBorders>
              <w:top w:val="single" w:sz="8" w:color="0000EE"/>
              <w:bottom w:val="single" w:sz="8" w:color="0000EE"/>
            </w:tcBorders>
            <w:gridSpan w:val="21"/>
          </w:tcPr>
          <w:p>
            <w:pPr>
              <w:spacing w:after="0" w:line="185" w:lineRule="exact"/>
              <w:rPr>
                <w:rFonts w:ascii="Arial" w:cs="Arial" w:eastAsia="Arial" w:hAnsi="Arial"/>
                <w:sz w:val="17"/>
                <w:szCs w:val="17"/>
                <w:color w:val="0000EE"/>
                <w:w w:val="90"/>
              </w:rPr>
            </w:pPr>
            <w:hyperlink w:anchor="page43">
              <w:r>
                <w:rPr>
                  <w:rFonts w:ascii="Arial" w:cs="Arial" w:eastAsia="Arial" w:hAnsi="Arial"/>
                  <w:sz w:val="17"/>
                  <w:szCs w:val="17"/>
                  <w:color w:val="0000EE"/>
                  <w:w w:val="90"/>
                </w:rPr>
                <w:t>Determination of Net Asset Value</w:t>
              </w:r>
            </w:hyperlink>
          </w:p>
        </w:tc>
        <w:tc>
          <w:tcPr>
            <w:tcW w:w="660" w:type="dxa"/>
            <w:vAlign w:val="bottom"/>
            <w:tcBorders>
              <w:top w:val="single" w:sz="8" w:color="0000EE"/>
            </w:tcBorders>
            <w:gridSpan w:val="2"/>
          </w:tcPr>
          <w:p>
            <w:pPr>
              <w:spacing w:after="0"/>
              <w:rPr>
                <w:sz w:val="16"/>
                <w:szCs w:val="16"/>
                <w:color w:val="auto"/>
              </w:rPr>
            </w:pPr>
          </w:p>
        </w:tc>
        <w:tc>
          <w:tcPr>
            <w:tcW w:w="7120" w:type="dxa"/>
            <w:vAlign w:val="bottom"/>
            <w:gridSpan w:val="6"/>
          </w:tcPr>
          <w:p>
            <w:pPr>
              <w:spacing w:after="0"/>
              <w:rPr>
                <w:sz w:val="16"/>
                <w:szCs w:val="16"/>
                <w:color w:val="auto"/>
              </w:rPr>
            </w:pPr>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20" w:type="dxa"/>
            <w:vAlign w:val="bottom"/>
            <w:tcBorders>
              <w:bottom w:val="single" w:sz="8" w:color="0000EE"/>
            </w:tcBorders>
            <w:gridSpan w:val="18"/>
          </w:tcPr>
          <w:p>
            <w:pPr>
              <w:spacing w:after="0" w:line="185" w:lineRule="exact"/>
              <w:rPr>
                <w:rFonts w:ascii="Arial" w:cs="Arial" w:eastAsia="Arial" w:hAnsi="Arial"/>
                <w:sz w:val="17"/>
                <w:szCs w:val="17"/>
                <w:color w:val="0000EE"/>
                <w:w w:val="91"/>
              </w:rPr>
            </w:pPr>
            <w:hyperlink w:anchor="page44">
              <w:r>
                <w:rPr>
                  <w:rFonts w:ascii="Arial" w:cs="Arial" w:eastAsia="Arial" w:hAnsi="Arial"/>
                  <w:sz w:val="17"/>
                  <w:szCs w:val="17"/>
                  <w:color w:val="0000EE"/>
                  <w:w w:val="91"/>
                </w:rPr>
                <w:t>Divided Reinvestment Plain</w:t>
              </w:r>
            </w:hyperlink>
          </w:p>
        </w:tc>
        <w:tc>
          <w:tcPr>
            <w:tcW w:w="8160" w:type="dxa"/>
            <w:vAlign w:val="bottom"/>
            <w:gridSpan w:val="11"/>
          </w:tcPr>
          <w:p>
            <w:pPr>
              <w:spacing w:after="0"/>
              <w:rPr>
                <w:sz w:val="16"/>
                <w:szCs w:val="16"/>
                <w:color w:val="auto"/>
              </w:rPr>
            </w:pPr>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80" w:type="dxa"/>
            <w:vAlign w:val="bottom"/>
            <w:gridSpan w:val="29"/>
          </w:tcPr>
          <w:p>
            <w:pPr>
              <w:spacing w:after="0" w:line="185" w:lineRule="exact"/>
              <w:rPr>
                <w:rFonts w:ascii="Arial" w:cs="Arial" w:eastAsia="Arial" w:hAnsi="Arial"/>
                <w:sz w:val="17"/>
                <w:szCs w:val="17"/>
                <w:color w:val="0000EE"/>
              </w:rPr>
            </w:pPr>
            <w:hyperlink w:anchor="page45">
              <w:r>
                <w:rPr>
                  <w:rFonts w:ascii="Arial" w:cs="Arial" w:eastAsia="Arial" w:hAnsi="Arial"/>
                  <w:sz w:val="17"/>
                  <w:szCs w:val="17"/>
                  <w:color w:val="0000EE"/>
                </w:rPr>
                <w:t>Certain Material U.S. Federal Income Tax Considerations</w:t>
              </w:r>
            </w:hyperlink>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40" w:type="dxa"/>
            <w:vAlign w:val="bottom"/>
            <w:tcBorders>
              <w:top w:val="single" w:sz="8" w:color="0000EE"/>
              <w:bottom w:val="single" w:sz="8" w:color="0000EE"/>
            </w:tcBorders>
            <w:gridSpan w:val="19"/>
          </w:tcPr>
          <w:p>
            <w:pPr>
              <w:spacing w:after="0" w:line="185" w:lineRule="exact"/>
              <w:rPr>
                <w:rFonts w:ascii="Arial" w:cs="Arial" w:eastAsia="Arial" w:hAnsi="Arial"/>
                <w:sz w:val="17"/>
                <w:szCs w:val="17"/>
                <w:color w:val="0000EE"/>
                <w:w w:val="91"/>
              </w:rPr>
            </w:pPr>
            <w:hyperlink w:anchor="page53">
              <w:r>
                <w:rPr>
                  <w:rFonts w:ascii="Arial" w:cs="Arial" w:eastAsia="Arial" w:hAnsi="Arial"/>
                  <w:sz w:val="17"/>
                  <w:szCs w:val="17"/>
                  <w:color w:val="0000EE"/>
                  <w:w w:val="91"/>
                </w:rPr>
                <w:t>Description of Capital Stock</w:t>
              </w:r>
            </w:hyperlink>
          </w:p>
        </w:tc>
        <w:tc>
          <w:tcPr>
            <w:tcW w:w="1980" w:type="dxa"/>
            <w:vAlign w:val="bottom"/>
            <w:tcBorders>
              <w:top w:val="single" w:sz="8" w:color="0000EE"/>
            </w:tcBorders>
            <w:gridSpan w:val="6"/>
          </w:tcPr>
          <w:p>
            <w:pPr>
              <w:spacing w:after="0"/>
              <w:rPr>
                <w:sz w:val="16"/>
                <w:szCs w:val="16"/>
                <w:color w:val="auto"/>
              </w:rPr>
            </w:pPr>
          </w:p>
        </w:tc>
        <w:tc>
          <w:tcPr>
            <w:tcW w:w="6160" w:type="dxa"/>
            <w:vAlign w:val="bottom"/>
            <w:gridSpan w:val="4"/>
          </w:tcPr>
          <w:p>
            <w:pPr>
              <w:spacing w:after="0"/>
              <w:rPr>
                <w:sz w:val="16"/>
                <w:szCs w:val="16"/>
                <w:color w:val="auto"/>
              </w:rPr>
            </w:pPr>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0" w:type="dxa"/>
            <w:vAlign w:val="bottom"/>
            <w:tcBorders>
              <w:bottom w:val="single" w:sz="8" w:color="0000EE"/>
            </w:tcBorders>
            <w:gridSpan w:val="3"/>
          </w:tcPr>
          <w:p>
            <w:pPr>
              <w:spacing w:after="0" w:line="185" w:lineRule="exact"/>
              <w:rPr>
                <w:rFonts w:ascii="Arial" w:cs="Arial" w:eastAsia="Arial" w:hAnsi="Arial"/>
                <w:sz w:val="17"/>
                <w:szCs w:val="17"/>
                <w:color w:val="0000EE"/>
                <w:w w:val="88"/>
              </w:rPr>
            </w:pPr>
            <w:hyperlink w:anchor="page54">
              <w:r>
                <w:rPr>
                  <w:rFonts w:ascii="Arial" w:cs="Arial" w:eastAsia="Arial" w:hAnsi="Arial"/>
                  <w:sz w:val="17"/>
                  <w:szCs w:val="17"/>
                  <w:color w:val="0000EE"/>
                  <w:w w:val="88"/>
                </w:rPr>
                <w:t>Regulation</w:t>
              </w:r>
            </w:hyperlink>
          </w:p>
        </w:tc>
        <w:tc>
          <w:tcPr>
            <w:tcW w:w="9340" w:type="dxa"/>
            <w:vAlign w:val="bottom"/>
            <w:gridSpan w:val="26"/>
          </w:tcPr>
          <w:p>
            <w:pPr>
              <w:spacing w:after="0"/>
              <w:rPr>
                <w:sz w:val="16"/>
                <w:szCs w:val="16"/>
                <w:color w:val="auto"/>
              </w:rPr>
            </w:pPr>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80" w:type="dxa"/>
            <w:vAlign w:val="bottom"/>
            <w:gridSpan w:val="29"/>
          </w:tcPr>
          <w:p>
            <w:pPr>
              <w:spacing w:after="0" w:line="185" w:lineRule="exact"/>
              <w:rPr>
                <w:rFonts w:ascii="Arial" w:cs="Arial" w:eastAsia="Arial" w:hAnsi="Arial"/>
                <w:sz w:val="17"/>
                <w:szCs w:val="17"/>
                <w:color w:val="0000EE"/>
              </w:rPr>
            </w:pPr>
            <w:hyperlink w:anchor="page55">
              <w:r>
                <w:rPr>
                  <w:rFonts w:ascii="Arial" w:cs="Arial" w:eastAsia="Arial" w:hAnsi="Arial"/>
                  <w:sz w:val="17"/>
                  <w:szCs w:val="17"/>
                  <w:color w:val="0000EE"/>
                </w:rPr>
                <w:t>Plan of Distribution</w:t>
              </w:r>
            </w:hyperlink>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080" w:type="dxa"/>
            <w:vAlign w:val="bottom"/>
            <w:gridSpan w:val="29"/>
          </w:tcPr>
          <w:p>
            <w:pPr>
              <w:spacing w:after="0" w:line="185" w:lineRule="exact"/>
              <w:rPr>
                <w:rFonts w:ascii="Arial" w:cs="Arial" w:eastAsia="Arial" w:hAnsi="Arial"/>
                <w:sz w:val="17"/>
                <w:szCs w:val="17"/>
                <w:color w:val="0000EE"/>
              </w:rPr>
            </w:pPr>
            <w:hyperlink w:anchor="page56">
              <w:r>
                <w:rPr>
                  <w:rFonts w:ascii="Arial" w:cs="Arial" w:eastAsia="Arial" w:hAnsi="Arial"/>
                  <w:sz w:val="17"/>
                  <w:szCs w:val="17"/>
                  <w:color w:val="0000EE"/>
                </w:rPr>
                <w:t>Selling Stockholders</w:t>
              </w:r>
            </w:hyperlink>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080" w:type="dxa"/>
            <w:vAlign w:val="bottom"/>
            <w:gridSpan w:val="29"/>
          </w:tcPr>
          <w:p>
            <w:pPr>
              <w:spacing w:after="0" w:line="185" w:lineRule="exact"/>
              <w:rPr>
                <w:rFonts w:ascii="Arial" w:cs="Arial" w:eastAsia="Arial" w:hAnsi="Arial"/>
                <w:sz w:val="17"/>
                <w:szCs w:val="17"/>
                <w:color w:val="0000EE"/>
              </w:rPr>
            </w:pPr>
            <w:hyperlink w:anchor="page58">
              <w:r>
                <w:rPr>
                  <w:rFonts w:ascii="Arial" w:cs="Arial" w:eastAsia="Arial" w:hAnsi="Arial"/>
                  <w:sz w:val="17"/>
                  <w:szCs w:val="17"/>
                  <w:color w:val="0000EE"/>
                </w:rPr>
                <w:t>Custodian, Transfer and Distribution Paying Agent and Registrar</w:t>
              </w:r>
            </w:hyperlink>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40" w:type="dxa"/>
            <w:vAlign w:val="bottom"/>
            <w:tcBorders>
              <w:top w:val="single" w:sz="8" w:color="0000EE"/>
              <w:bottom w:val="single" w:sz="8" w:color="0000EE"/>
            </w:tcBorders>
            <w:gridSpan w:val="22"/>
          </w:tcPr>
          <w:p>
            <w:pPr>
              <w:spacing w:after="0" w:line="185" w:lineRule="exact"/>
              <w:rPr>
                <w:rFonts w:ascii="Arial" w:cs="Arial" w:eastAsia="Arial" w:hAnsi="Arial"/>
                <w:sz w:val="17"/>
                <w:szCs w:val="17"/>
                <w:color w:val="0000EE"/>
                <w:w w:val="90"/>
              </w:rPr>
            </w:pPr>
            <w:hyperlink w:anchor="page59">
              <w:r>
                <w:rPr>
                  <w:rFonts w:ascii="Arial" w:cs="Arial" w:eastAsia="Arial" w:hAnsi="Arial"/>
                  <w:sz w:val="17"/>
                  <w:szCs w:val="17"/>
                  <w:color w:val="0000EE"/>
                  <w:w w:val="90"/>
                </w:rPr>
                <w:t>Brokerage Allocation and Other Practices</w:t>
              </w:r>
            </w:hyperlink>
          </w:p>
        </w:tc>
        <w:tc>
          <w:tcPr>
            <w:tcW w:w="1580" w:type="dxa"/>
            <w:vAlign w:val="bottom"/>
            <w:tcBorders>
              <w:top w:val="single" w:sz="8" w:color="0000EE"/>
            </w:tcBorders>
            <w:gridSpan w:val="5"/>
          </w:tcPr>
          <w:p>
            <w:pPr>
              <w:spacing w:after="0"/>
              <w:rPr>
                <w:sz w:val="16"/>
                <w:szCs w:val="16"/>
                <w:color w:val="auto"/>
              </w:rPr>
            </w:pPr>
          </w:p>
        </w:tc>
        <w:tc>
          <w:tcPr>
            <w:tcW w:w="5660" w:type="dxa"/>
            <w:vAlign w:val="bottom"/>
            <w:gridSpan w:val="2"/>
          </w:tcPr>
          <w:p>
            <w:pPr>
              <w:spacing w:after="0"/>
              <w:rPr>
                <w:sz w:val="16"/>
                <w:szCs w:val="16"/>
                <w:color w:val="auto"/>
              </w:rPr>
            </w:pPr>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80" w:type="dxa"/>
            <w:vAlign w:val="bottom"/>
            <w:gridSpan w:val="29"/>
          </w:tcPr>
          <w:p>
            <w:pPr>
              <w:spacing w:after="0" w:line="185" w:lineRule="exact"/>
              <w:rPr>
                <w:rFonts w:ascii="Arial" w:cs="Arial" w:eastAsia="Arial" w:hAnsi="Arial"/>
                <w:sz w:val="17"/>
                <w:szCs w:val="17"/>
                <w:color w:val="0000EE"/>
              </w:rPr>
            </w:pPr>
            <w:hyperlink w:anchor="page60">
              <w:r>
                <w:rPr>
                  <w:rFonts w:ascii="Arial" w:cs="Arial" w:eastAsia="Arial" w:hAnsi="Arial"/>
                  <w:sz w:val="17"/>
                  <w:szCs w:val="17"/>
                  <w:color w:val="0000EE"/>
                </w:rPr>
                <w:t>Legal Matters</w:t>
              </w:r>
            </w:hyperlink>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0" w:type="dxa"/>
            <w:vAlign w:val="bottom"/>
            <w:tcBorders>
              <w:top w:val="single" w:sz="8" w:color="0000EE"/>
              <w:bottom w:val="single" w:sz="8" w:color="0000EE"/>
            </w:tcBorders>
          </w:tcPr>
          <w:p>
            <w:pPr>
              <w:spacing w:after="0" w:line="185" w:lineRule="exact"/>
              <w:rPr>
                <w:rFonts w:ascii="Arial" w:cs="Arial" w:eastAsia="Arial" w:hAnsi="Arial"/>
                <w:sz w:val="17"/>
                <w:szCs w:val="17"/>
                <w:color w:val="0000EE"/>
                <w:w w:val="86"/>
              </w:rPr>
            </w:pPr>
            <w:hyperlink w:anchor="page60">
              <w:r>
                <w:rPr>
                  <w:rFonts w:ascii="Arial" w:cs="Arial" w:eastAsia="Arial" w:hAnsi="Arial"/>
                  <w:sz w:val="17"/>
                  <w:szCs w:val="17"/>
                  <w:color w:val="0000EE"/>
                  <w:w w:val="86"/>
                </w:rPr>
                <w:t>Experts</w:t>
              </w:r>
            </w:hyperlink>
          </w:p>
        </w:tc>
        <w:tc>
          <w:tcPr>
            <w:tcW w:w="420" w:type="dxa"/>
            <w:vAlign w:val="bottom"/>
            <w:tcBorders>
              <w:top w:val="single" w:sz="8" w:color="0000EE"/>
            </w:tcBorders>
            <w:gridSpan w:val="5"/>
          </w:tcPr>
          <w:p>
            <w:pPr>
              <w:spacing w:after="0"/>
              <w:rPr>
                <w:sz w:val="16"/>
                <w:szCs w:val="16"/>
                <w:color w:val="auto"/>
              </w:rPr>
            </w:pPr>
          </w:p>
        </w:tc>
        <w:tc>
          <w:tcPr>
            <w:tcW w:w="9140" w:type="dxa"/>
            <w:vAlign w:val="bottom"/>
            <w:gridSpan w:val="23"/>
          </w:tcPr>
          <w:p>
            <w:pPr>
              <w:spacing w:after="0"/>
              <w:rPr>
                <w:sz w:val="16"/>
                <w:szCs w:val="16"/>
                <w:color w:val="auto"/>
              </w:rPr>
            </w:pPr>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80" w:type="dxa"/>
            <w:vAlign w:val="bottom"/>
            <w:gridSpan w:val="29"/>
          </w:tcPr>
          <w:p>
            <w:pPr>
              <w:spacing w:after="0" w:line="185" w:lineRule="exact"/>
              <w:rPr>
                <w:rFonts w:ascii="Arial" w:cs="Arial" w:eastAsia="Arial" w:hAnsi="Arial"/>
                <w:sz w:val="17"/>
                <w:szCs w:val="17"/>
                <w:color w:val="0000EE"/>
              </w:rPr>
            </w:pPr>
            <w:hyperlink w:anchor="page61">
              <w:r>
                <w:rPr>
                  <w:rFonts w:ascii="Arial" w:cs="Arial" w:eastAsia="Arial" w:hAnsi="Arial"/>
                  <w:sz w:val="17"/>
                  <w:szCs w:val="17"/>
                  <w:color w:val="0000EE"/>
                </w:rPr>
                <w:t>Incorporation by Reference</w:t>
              </w:r>
            </w:hyperlink>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520" w:type="dxa"/>
            <w:vAlign w:val="bottom"/>
            <w:tcBorders>
              <w:top w:val="single" w:sz="8" w:color="0000EE"/>
              <w:bottom w:val="single" w:sz="8" w:color="0000EE"/>
            </w:tcBorders>
            <w:gridSpan w:val="15"/>
          </w:tcPr>
          <w:p>
            <w:pPr>
              <w:spacing w:after="0" w:line="185" w:lineRule="exact"/>
              <w:rPr>
                <w:rFonts w:ascii="Arial" w:cs="Arial" w:eastAsia="Arial" w:hAnsi="Arial"/>
                <w:sz w:val="17"/>
                <w:szCs w:val="17"/>
                <w:color w:val="0000EE"/>
                <w:w w:val="93"/>
              </w:rPr>
            </w:pPr>
            <w:hyperlink w:anchor="page62">
              <w:r>
                <w:rPr>
                  <w:rFonts w:ascii="Arial" w:cs="Arial" w:eastAsia="Arial" w:hAnsi="Arial"/>
                  <w:sz w:val="17"/>
                  <w:szCs w:val="17"/>
                  <w:color w:val="0000EE"/>
                  <w:w w:val="93"/>
                </w:rPr>
                <w:t>Available Information</w:t>
              </w:r>
            </w:hyperlink>
          </w:p>
        </w:tc>
        <w:tc>
          <w:tcPr>
            <w:tcW w:w="340" w:type="dxa"/>
            <w:vAlign w:val="bottom"/>
            <w:tcBorders>
              <w:top w:val="single" w:sz="8" w:color="0000EE"/>
            </w:tcBorders>
            <w:gridSpan w:val="2"/>
          </w:tcPr>
          <w:p>
            <w:pPr>
              <w:spacing w:after="0"/>
              <w:rPr>
                <w:sz w:val="16"/>
                <w:szCs w:val="16"/>
                <w:color w:val="auto"/>
              </w:rPr>
            </w:pPr>
          </w:p>
        </w:tc>
        <w:tc>
          <w:tcPr>
            <w:tcW w:w="8220" w:type="dxa"/>
            <w:vAlign w:val="bottom"/>
            <w:gridSpan w:val="12"/>
          </w:tcPr>
          <w:p>
            <w:pPr>
              <w:spacing w:after="0"/>
              <w:rPr>
                <w:sz w:val="16"/>
                <w:szCs w:val="16"/>
                <w:color w:val="auto"/>
              </w:rPr>
            </w:pPr>
          </w:p>
        </w:tc>
        <w:tc>
          <w:tcPr>
            <w:tcW w:w="280" w:type="dxa"/>
            <w:vAlign w:val="bottom"/>
          </w:tcPr>
          <w:p>
            <w:pPr>
              <w:jc w:val="right"/>
              <w:spacing w:after="0" w:line="185" w:lineRule="exact"/>
              <w:rPr>
                <w:sz w:val="20"/>
                <w:szCs w:val="20"/>
                <w:color w:val="auto"/>
              </w:rPr>
            </w:pPr>
            <w:r>
              <w:rPr>
                <w:rFonts w:ascii="Arial" w:cs="Arial" w:eastAsia="Arial" w:hAnsi="Arial"/>
                <w:sz w:val="17"/>
                <w:szCs w:val="17"/>
                <w:color w:val="auto"/>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780"/>
          </w:cols>
          <w:pgMar w:left="320" w:top="443" w:right="79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ABOUT THIS PROSPECTUS</w:t>
      </w:r>
    </w:p>
    <w:p>
      <w:pPr>
        <w:spacing w:after="0" w:line="217" w:lineRule="exact"/>
        <w:rPr>
          <w:sz w:val="20"/>
          <w:szCs w:val="20"/>
          <w:color w:val="auto"/>
        </w:rPr>
      </w:pPr>
    </w:p>
    <w:p>
      <w:pPr>
        <w:ind w:left="420" w:right="20" w:firstLine="417"/>
        <w:spacing w:after="0" w:line="263"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using a “shelf’ registration process. Under this shelf registration process, the selling stockholders named in this prospectus may sell up to 576,899 shares of our common stock previously issued from time to time.</w:t>
      </w:r>
    </w:p>
    <w:p>
      <w:pPr>
        <w:spacing w:after="0" w:line="175" w:lineRule="exact"/>
        <w:rPr>
          <w:sz w:val="20"/>
          <w:szCs w:val="20"/>
          <w:color w:val="auto"/>
        </w:rPr>
      </w:pPr>
    </w:p>
    <w:p>
      <w:pPr>
        <w:ind w:left="420" w:firstLine="417"/>
        <w:spacing w:after="0" w:line="273" w:lineRule="auto"/>
        <w:rPr>
          <w:sz w:val="20"/>
          <w:szCs w:val="20"/>
          <w:color w:val="auto"/>
        </w:rPr>
      </w:pPr>
      <w:r>
        <w:rPr>
          <w:rFonts w:ascii="Arial" w:cs="Arial" w:eastAsia="Arial" w:hAnsi="Arial"/>
          <w:sz w:val="16"/>
          <w:szCs w:val="16"/>
          <w:color w:val="auto"/>
        </w:rPr>
        <w:t>Each time the selling stockholders sell shares of our common stock, the selling stockholders will provide a prospectus and any prospectus supplement containing specific information about the terms of the applicable offering, as required by applicable law. The prospectus supplement may also add, update or change information in this prospectus or in documents incorporated by reference in this prospectus. To the extent that any statement that we or the selling stockholders make in a prospectus supplement is inconsistent with statements made in this prospectus or in documents incorporated by reference in this prospectus, the statements made or incorporated by reference in this prospectus will be deemed modified or superseded by those made in the prospectus supplement. You should read this prospectus as well as the additional information described under the headings “Information Incorporated by Reference” and “Available Information” before making an investment decision.</w:t>
      </w:r>
    </w:p>
    <w:p>
      <w:pPr>
        <w:spacing w:after="0" w:line="170" w:lineRule="exact"/>
        <w:rPr>
          <w:sz w:val="20"/>
          <w:szCs w:val="20"/>
          <w:color w:val="auto"/>
        </w:rPr>
      </w:pPr>
    </w:p>
    <w:p>
      <w:pPr>
        <w:ind w:left="420" w:right="60" w:firstLine="417"/>
        <w:spacing w:after="0" w:line="294" w:lineRule="auto"/>
        <w:rPr>
          <w:sz w:val="20"/>
          <w:szCs w:val="20"/>
          <w:color w:val="auto"/>
        </w:rPr>
      </w:pPr>
      <w:r>
        <w:rPr>
          <w:rFonts w:ascii="Arial" w:cs="Arial" w:eastAsia="Arial" w:hAnsi="Arial"/>
          <w:sz w:val="15"/>
          <w:szCs w:val="15"/>
          <w:color w:val="auto"/>
        </w:rPr>
        <w:t>No person has been authorized to give any information or make any representations in connection with this offering other than those contained or incorporated by reference in this prospectus in connection with the offering described in this prospectus, and, if given or made, such information or representations must not be relied upon as having been authorized by us. This prospectus shall not constitute an offer to sell or a solicitation of an offer to buy offered securities in any jurisdiction in which it is unlawful for such person to make such an offering or solicitation. Neither the delivery of this prospectus nor any sale made hereunder shall under any circumstances imply that the information contained or incorporated by reference in this prospectus is correct as of any date subsequent to the date of this prospectus or the date of the document incorporated by reference, as applicable. Our business, financial condition, results of operations and prospects may have changed since those dates.</w:t>
      </w:r>
    </w:p>
    <w:p>
      <w:pPr>
        <w:spacing w:after="0" w:line="156" w:lineRule="exact"/>
        <w:rPr>
          <w:sz w:val="20"/>
          <w:szCs w:val="20"/>
          <w:color w:val="auto"/>
        </w:rPr>
      </w:pPr>
    </w:p>
    <w:p>
      <w:pPr>
        <w:ind w:left="420" w:firstLine="417"/>
        <w:spacing w:after="0" w:line="255" w:lineRule="auto"/>
        <w:rPr>
          <w:sz w:val="20"/>
          <w:szCs w:val="20"/>
          <w:color w:val="auto"/>
        </w:rPr>
      </w:pPr>
      <w:r>
        <w:rPr>
          <w:rFonts w:ascii="Arial" w:cs="Arial" w:eastAsia="Arial" w:hAnsi="Arial"/>
          <w:sz w:val="17"/>
          <w:szCs w:val="17"/>
          <w:color w:val="auto"/>
        </w:rPr>
        <w:t>This prospectus may contain estimates and information concerning our industry, including market size and growth rates of the markets in which we participate, that are based on industry publications and other third-party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or referenced in the section titled “Risk Factors,” that could cause results to differ materially from those expressed in these publications and reports.</w:t>
      </w:r>
    </w:p>
    <w:p>
      <w:pPr>
        <w:spacing w:after="0" w:line="185" w:lineRule="exact"/>
        <w:rPr>
          <w:sz w:val="20"/>
          <w:szCs w:val="20"/>
          <w:color w:val="auto"/>
        </w:rPr>
      </w:pPr>
    </w:p>
    <w:p>
      <w:pPr>
        <w:ind w:left="420" w:right="100" w:firstLine="417"/>
        <w:spacing w:after="0" w:line="304" w:lineRule="auto"/>
        <w:rPr>
          <w:sz w:val="20"/>
          <w:szCs w:val="20"/>
          <w:color w:val="auto"/>
        </w:rPr>
      </w:pPr>
      <w:r>
        <w:rPr>
          <w:rFonts w:ascii="Arial" w:cs="Arial" w:eastAsia="Arial" w:hAnsi="Arial"/>
          <w:sz w:val="15"/>
          <w:szCs w:val="15"/>
          <w:color w:val="auto"/>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the registration statement of which this prospectus is a part, and you may obtain copies of those documents as described in the section titled “Available Information.”</w:t>
      </w:r>
    </w:p>
    <w:p>
      <w:pPr>
        <w:spacing w:after="0" w:line="8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800"/>
          </w:cols>
          <w:pgMar w:left="320" w:top="443" w:right="77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191770</wp:posOffset>
            </wp:positionV>
            <wp:extent cx="6624955" cy="5578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24955" cy="557847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PROSPECTUS SUMMARY</w:t>
      </w:r>
    </w:p>
    <w:p>
      <w:pPr>
        <w:spacing w:after="0" w:line="217" w:lineRule="exact"/>
        <w:rPr>
          <w:sz w:val="20"/>
          <w:szCs w:val="20"/>
          <w:color w:val="auto"/>
        </w:rPr>
      </w:pPr>
    </w:p>
    <w:p>
      <w:pPr>
        <w:ind w:left="580" w:firstLine="403"/>
        <w:spacing w:after="0" w:line="271" w:lineRule="auto"/>
        <w:rPr>
          <w:sz w:val="20"/>
          <w:szCs w:val="20"/>
          <w:color w:val="auto"/>
        </w:rPr>
      </w:pPr>
      <w:r>
        <w:rPr>
          <w:rFonts w:ascii="Arial" w:cs="Arial" w:eastAsia="Arial" w:hAnsi="Arial"/>
          <w:sz w:val="16"/>
          <w:szCs w:val="16"/>
          <w:color w:val="auto"/>
        </w:rPr>
        <w:t>This summary highlights information included elsewhere in this prospectus or incorporated by reference. It is not complete and may not contain all of the information that you should consider before making your investment decision. You should carefully read the entire prospectus, the applicable prospectus supplement, and any related free writing prospectus, including the risks of investing in our shares of common stock discussed in the section titled “Risk Factors” in the applicable prospectus supplement and any related free writing prospectus, and under similar headings in the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and the exhibits to the registration statement of which this prospectus is a part. Any yield information contained or incorporated by reference in this prospectus related to investments in our investment portfolio is not intended to approximate a return on your investment in us and does not take into account other aspects of our business, including our operating and other expenses, or other costs incurred by you in connection with your investment in us.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Except as otherwise indicated in this prospectus, the terms:</w:t>
      </w:r>
    </w:p>
    <w:p>
      <w:pPr>
        <w:spacing w:after="0" w:line="124" w:lineRule="exact"/>
        <w:rPr>
          <w:sz w:val="20"/>
          <w:szCs w:val="20"/>
          <w:color w:val="auto"/>
        </w:rPr>
      </w:pPr>
    </w:p>
    <w:p>
      <w:pPr>
        <w:ind w:left="1460" w:right="100" w:hanging="378"/>
        <w:spacing w:after="0" w:line="275" w:lineRule="auto"/>
        <w:tabs>
          <w:tab w:leader="none" w:pos="1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“us,” “our,” “PTMN,” “Company” and “Portman Ridge” refer to Portman Ridge Finance Corporation, a Delaware corporation, and its wholly owned subsidiaries;</w:t>
      </w:r>
    </w:p>
    <w:p>
      <w:pPr>
        <w:spacing w:after="0" w:line="75" w:lineRule="exact"/>
        <w:rPr>
          <w:rFonts w:ascii="Arial" w:cs="Arial" w:eastAsia="Arial" w:hAnsi="Arial"/>
          <w:sz w:val="17"/>
          <w:szCs w:val="17"/>
          <w:color w:val="auto"/>
        </w:rPr>
      </w:pPr>
    </w:p>
    <w:p>
      <w:pPr>
        <w:ind w:left="1460" w:right="20" w:hanging="378"/>
        <w:spacing w:after="0" w:line="275" w:lineRule="auto"/>
        <w:tabs>
          <w:tab w:leader="none" w:pos="1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“Adviser” or “Sierra Crest” refers to Sierra Crest Investment Management LLC , a Delaware limited liability company, our investment adviser and an affiliate of BC Partners LLP, or BC Partners;</w:t>
      </w:r>
    </w:p>
    <w:p>
      <w:pPr>
        <w:spacing w:after="0" w:line="75" w:lineRule="exact"/>
        <w:rPr>
          <w:rFonts w:ascii="Arial" w:cs="Arial" w:eastAsia="Arial" w:hAnsi="Arial"/>
          <w:sz w:val="17"/>
          <w:szCs w:val="17"/>
          <w:color w:val="auto"/>
        </w:rPr>
      </w:pPr>
    </w:p>
    <w:p>
      <w:pPr>
        <w:ind w:left="1460" w:right="200" w:hanging="378"/>
        <w:spacing w:after="0" w:line="275" w:lineRule="auto"/>
        <w:tabs>
          <w:tab w:leader="none" w:pos="1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“Administrator” refers to BC Partners Management LLC, a Delaware limited liability company, our administrator and an affiliate of BC Partners and BC Partners Advisors L.P.; and</w:t>
      </w:r>
    </w:p>
    <w:p>
      <w:pPr>
        <w:spacing w:after="0" w:line="75" w:lineRule="exact"/>
        <w:rPr>
          <w:rFonts w:ascii="Arial" w:cs="Arial" w:eastAsia="Arial" w:hAnsi="Arial"/>
          <w:sz w:val="17"/>
          <w:szCs w:val="17"/>
          <w:color w:val="auto"/>
        </w:rPr>
      </w:pPr>
    </w:p>
    <w:p>
      <w:pPr>
        <w:ind w:left="1460" w:right="40" w:hanging="378"/>
        <w:spacing w:after="0" w:line="275" w:lineRule="auto"/>
        <w:tabs>
          <w:tab w:leader="none" w:pos="1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“selling stockholders” refers to the stockholders listed herein in the section titled “Selling Stockholders,” who may sell securities from time to time as described in this prospectus.</w:t>
      </w:r>
    </w:p>
    <w:p>
      <w:pPr>
        <w:spacing w:after="0" w:line="264"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Portman Ridge Finance Corporation</w:t>
      </w:r>
    </w:p>
    <w:p>
      <w:pPr>
        <w:spacing w:after="0" w:line="115" w:lineRule="exact"/>
        <w:rPr>
          <w:sz w:val="20"/>
          <w:szCs w:val="20"/>
          <w:color w:val="auto"/>
        </w:rPr>
      </w:pPr>
    </w:p>
    <w:p>
      <w:pPr>
        <w:ind w:left="580" w:right="260" w:firstLine="403"/>
        <w:spacing w:after="0" w:line="275" w:lineRule="auto"/>
        <w:rPr>
          <w:sz w:val="20"/>
          <w:szCs w:val="20"/>
          <w:color w:val="auto"/>
        </w:rPr>
      </w:pPr>
      <w:r>
        <w:rPr>
          <w:rFonts w:ascii="Arial" w:cs="Arial" w:eastAsia="Arial" w:hAnsi="Arial"/>
          <w:sz w:val="17"/>
          <w:szCs w:val="17"/>
          <w:color w:val="auto"/>
        </w:rPr>
        <w:t>We are an externally managed, non-diversified closed-end investment company that has elected to be regulated as a business development company, or BDC, under the Investment Company Act of 1940, as amended, or the 1940 Act.</w:t>
      </w:r>
    </w:p>
    <w:p>
      <w:pPr>
        <w:spacing w:after="0" w:line="165" w:lineRule="exact"/>
        <w:rPr>
          <w:sz w:val="20"/>
          <w:szCs w:val="20"/>
          <w:color w:val="auto"/>
        </w:rPr>
      </w:pPr>
    </w:p>
    <w:p>
      <w:pPr>
        <w:ind w:left="580" w:right="60" w:firstLine="403"/>
        <w:spacing w:after="0" w:line="255" w:lineRule="auto"/>
        <w:rPr>
          <w:sz w:val="20"/>
          <w:szCs w:val="20"/>
          <w:color w:val="auto"/>
        </w:rPr>
      </w:pPr>
      <w:r>
        <w:rPr>
          <w:rFonts w:ascii="Arial" w:cs="Arial" w:eastAsia="Arial" w:hAnsi="Arial"/>
          <w:sz w:val="17"/>
          <w:szCs w:val="17"/>
          <w:color w:val="auto"/>
        </w:rPr>
        <w:t>The Company originates, structures, and invests in secured term loans, bonds or notes and mezzanine debt primarily in privately-held middle market companies but may also invest in other investments such as loans to publicly-traded companies, high-yield bonds, and distressed debt securities, which we collectively refer to as the Debt Securities Portfolio. The Company also invests in joint ventures and debt and subordinated securities issued by collateralized loan obligation funds, or CLO Fund Securities. In addition, from time to time the Company may invest in the equity securities of privately held middle market companies and may also receive warrants or options to purchase common stock in connection with its debt investments.</w:t>
      </w:r>
    </w:p>
    <w:p>
      <w:pPr>
        <w:spacing w:after="0" w:line="185" w:lineRule="exact"/>
        <w:rPr>
          <w:sz w:val="20"/>
          <w:szCs w:val="20"/>
          <w:color w:val="auto"/>
        </w:rPr>
      </w:pPr>
    </w:p>
    <w:p>
      <w:pPr>
        <w:ind w:left="580" w:right="20" w:firstLine="403"/>
        <w:spacing w:after="0" w:line="280" w:lineRule="auto"/>
        <w:rPr>
          <w:sz w:val="20"/>
          <w:szCs w:val="20"/>
          <w:color w:val="auto"/>
        </w:rPr>
      </w:pPr>
      <w:r>
        <w:rPr>
          <w:rFonts w:ascii="Arial" w:cs="Arial" w:eastAsia="Arial" w:hAnsi="Arial"/>
          <w:sz w:val="16"/>
          <w:szCs w:val="16"/>
          <w:color w:val="auto"/>
        </w:rPr>
        <w:t>The Company has elected to be treated and intends to continue to qualify as a regulated investment company, or RIC, under Subchapter M of the Internal Revenue Code of 1986, as amended, or the Code. To qualify as a RIC, the Company must, among other things, meet certain source-of-income, asset diversification and annual distribution requirements. As a RIC, the Company generally will not have to pay corporate-level U.S. federal income taxes on any income that it distributes in a timely manner to its stockholders.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60"/>
          </w:cols>
          <w:pgMar w:left="320" w:top="443" w:right="91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191770</wp:posOffset>
            </wp:positionV>
            <wp:extent cx="6624955" cy="5351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24955" cy="5351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Our Adviser</w:t>
      </w:r>
    </w:p>
    <w:p>
      <w:pPr>
        <w:spacing w:after="0" w:line="115" w:lineRule="exact"/>
        <w:rPr>
          <w:sz w:val="20"/>
          <w:szCs w:val="20"/>
          <w:color w:val="auto"/>
        </w:rPr>
      </w:pPr>
    </w:p>
    <w:p>
      <w:pPr>
        <w:ind w:left="580" w:right="20" w:firstLine="403"/>
        <w:spacing w:after="0" w:line="254" w:lineRule="auto"/>
        <w:rPr>
          <w:sz w:val="20"/>
          <w:szCs w:val="20"/>
          <w:color w:val="auto"/>
        </w:rPr>
      </w:pPr>
      <w:r>
        <w:rPr>
          <w:rFonts w:ascii="Arial" w:cs="Arial" w:eastAsia="Arial" w:hAnsi="Arial"/>
          <w:sz w:val="17"/>
          <w:szCs w:val="17"/>
          <w:color w:val="auto"/>
        </w:rPr>
        <w:t>Our investment activities are managed by our Adviser, which is registered as an investment adviser under the Investment Advisers Act of 1940, as amended, or the Advisers Act, and is an affiliate of BC Partners. Our Adviser is responsible for managing the Company’s assets in accordance with our investment objective, policies and restrictions, determining the composition of the Company’s portfolio, the nature and timing of the changes to the portfolio and the manner of implementing such changes, identifying, evaluating and negotiating the structure of the Company’s investments, monitoring the Company’s investments, determining the securities and other assets that the Company will purchase, retain or sell, assisting the Board with its valuation of the Company’s assets, directing investment professionals of the Adviser to provide managerial assistance to the Company’s portfolio companies and performing due diligence on prospective portfolio companies. Under the investment advisory agreement we have entered into with our Adviser, or the Investment Advisory Agreement, we pay our Adviser a base management fee and an incentive fee for its services.</w:t>
      </w:r>
    </w:p>
    <w:p>
      <w:pPr>
        <w:spacing w:after="0" w:line="28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Our Administrator</w:t>
      </w:r>
    </w:p>
    <w:p>
      <w:pPr>
        <w:spacing w:after="0" w:line="115" w:lineRule="exact"/>
        <w:rPr>
          <w:sz w:val="20"/>
          <w:szCs w:val="20"/>
          <w:color w:val="auto"/>
        </w:rPr>
      </w:pPr>
    </w:p>
    <w:p>
      <w:pPr>
        <w:ind w:left="580" w:right="200" w:firstLine="403"/>
        <w:spacing w:after="0" w:line="255" w:lineRule="auto"/>
        <w:rPr>
          <w:sz w:val="20"/>
          <w:szCs w:val="20"/>
          <w:color w:val="auto"/>
        </w:rPr>
      </w:pPr>
      <w:r>
        <w:rPr>
          <w:rFonts w:ascii="Arial" w:cs="Arial" w:eastAsia="Arial" w:hAnsi="Arial"/>
          <w:sz w:val="17"/>
          <w:szCs w:val="17"/>
          <w:color w:val="auto"/>
        </w:rPr>
        <w:t>Our administrative functions are provided by our Administrator under an administration agreement, or the Administration Agreement. Our Administrator oversees the performance of our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Under the Administration Agreement, we pay our Administrator an amount equal to our allocable portion of our Administrator’s overhead resulting from its obligations under the Administration Agreement, including rent and the allocable portion of the cost of our Chief Compliance Officer and Chief Financial Officer and their respective staffs.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Purchase Agreements</w:t>
      </w:r>
    </w:p>
    <w:p>
      <w:pPr>
        <w:spacing w:after="0" w:line="115" w:lineRule="exact"/>
        <w:rPr>
          <w:sz w:val="20"/>
          <w:szCs w:val="20"/>
          <w:color w:val="auto"/>
        </w:rPr>
      </w:pPr>
    </w:p>
    <w:p>
      <w:pPr>
        <w:ind w:left="580" w:right="20" w:firstLine="403"/>
        <w:spacing w:after="0" w:line="255" w:lineRule="auto"/>
        <w:rPr>
          <w:sz w:val="20"/>
          <w:szCs w:val="20"/>
          <w:color w:val="auto"/>
        </w:rPr>
      </w:pPr>
      <w:r>
        <w:rPr>
          <w:rFonts w:ascii="Arial" w:cs="Arial" w:eastAsia="Arial" w:hAnsi="Arial"/>
          <w:sz w:val="17"/>
          <w:szCs w:val="17"/>
          <w:color w:val="auto"/>
        </w:rPr>
        <w:t>On October 22, 2021, we entered into a purchase and sale agreement with JMP Group Inc. and JMP Capital LLC (collectively, the “Sellers”), pursuant to which we purchased $18.1 million of portfolio assets from the Sellers in exchange for $1.4 million in cash and 556,852 shares of our common stock (which shares were sold at a price equal to their net asset value). PTMN also agreed to file this registration statement covering the resale of the 556,852 shares of our common stock by the Sellers or their transferees or other successors-in-interest. Subsequent to the closing of the transaction, the Sellers resold the shares of our common stock received by them in the transaction to six institutional accredited investors in a private resale transaction. These six institutional accredited investors are listed as selling stockholders in the section entitled “Selling Stockholders.”</w:t>
      </w:r>
    </w:p>
    <w:p>
      <w:pPr>
        <w:spacing w:after="0" w:line="182" w:lineRule="exact"/>
        <w:rPr>
          <w:sz w:val="20"/>
          <w:szCs w:val="20"/>
          <w:color w:val="auto"/>
        </w:rPr>
      </w:pPr>
    </w:p>
    <w:p>
      <w:pPr>
        <w:ind w:left="580" w:firstLine="403"/>
        <w:spacing w:after="0" w:line="254" w:lineRule="auto"/>
        <w:rPr>
          <w:sz w:val="20"/>
          <w:szCs w:val="20"/>
          <w:color w:val="auto"/>
        </w:rPr>
      </w:pPr>
      <w:r>
        <w:rPr>
          <w:rFonts w:ascii="Arial" w:cs="Arial" w:eastAsia="Arial" w:hAnsi="Arial"/>
          <w:sz w:val="17"/>
          <w:szCs w:val="17"/>
          <w:color w:val="auto"/>
        </w:rPr>
        <w:t>On May 6, 2021, we entered into a securities purchase agreement with LibreMax Capital, LLC (“LibreMax”) and affiliates of the Adviser, for the sale of 1,381,305 shares of the Company’s common stock at the net asset value per share of the Company’s common stock. The Company received proceeds in cash of approximately $4.02 million from the sale, and the transaction closed on May 6, 2021. These sales are being made in accordance with the terms of the agreement that the Company entered into in connection with its externalization in 2019, which require the Company’s investment adviser and/or its affiliates to use up to $10 million of the incentive fee actually paid by the Company to the investment adviser prior to the second anniversary of the closing of the externalization transaction to buy newly issued shares of the Company’s common stock at the net asset value per share of the common stock. PTMN is filing this registration statement to cover the resale of LibreMax’s shares of our common stock.</w:t>
      </w:r>
    </w:p>
    <w:p>
      <w:pPr>
        <w:spacing w:after="0" w:line="28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40"/>
          </w:cols>
          <w:pgMar w:left="320" w:top="443" w:right="9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FEES AND EXPENSES</w:t>
      </w:r>
    </w:p>
    <w:p>
      <w:pPr>
        <w:spacing w:after="0" w:line="217" w:lineRule="exact"/>
        <w:rPr>
          <w:sz w:val="20"/>
          <w:szCs w:val="20"/>
          <w:color w:val="auto"/>
        </w:rPr>
      </w:pPr>
    </w:p>
    <w:p>
      <w:pPr>
        <w:ind w:left="420" w:right="40" w:firstLine="417"/>
        <w:spacing w:after="0" w:line="280" w:lineRule="auto"/>
        <w:rPr>
          <w:sz w:val="20"/>
          <w:szCs w:val="20"/>
          <w:color w:val="auto"/>
        </w:rPr>
      </w:pPr>
      <w:r>
        <w:rPr>
          <w:rFonts w:ascii="Arial" w:cs="Arial" w:eastAsia="Arial" w:hAnsi="Arial"/>
          <w:sz w:val="16"/>
          <w:szCs w:val="16"/>
          <w:color w:val="auto"/>
        </w:rPr>
        <w:t>The information in the following table is being provided to assist you in understanding the costs and expenses that an investor in our common stock will bear directly or indirectly. We caution you that some of the percentages indicated in the table below are estimates and may vary. Except where the context suggests otherwise, whenever this prospectus contains a reference to fees or expenses paid by “you,” “us” or “the Company,” or that “we” will pay fees or expenses, stockholders will indirectly bear such fees or expenses as investors in us.</w:t>
      </w:r>
    </w:p>
    <w:p>
      <w:pPr>
        <w:spacing w:after="0" w:line="202"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Annual Expenses (as percentage of net assets attributable to common stock):</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700" w:type="dxa"/>
            <w:vAlign w:val="bottom"/>
            <w:gridSpan w:val="2"/>
          </w:tcPr>
          <w:p>
            <w:pPr>
              <w:spacing w:after="0"/>
              <w:rPr>
                <w:sz w:val="20"/>
                <w:szCs w:val="20"/>
                <w:color w:val="auto"/>
              </w:rPr>
            </w:pPr>
            <w:r>
              <w:rPr>
                <w:rFonts w:ascii="Arial" w:cs="Arial" w:eastAsia="Arial" w:hAnsi="Arial"/>
                <w:sz w:val="17"/>
                <w:szCs w:val="17"/>
                <w:color w:val="auto"/>
              </w:rPr>
              <w:t>Base management fee payable under the Investment Advisory Agreement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2.8%</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4"/>
        </w:trPr>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Incentive fee payable under the Investment Advisory Agreement (17.50% of net investment income and realized capital gains)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4"/>
        </w:trPr>
        <w:tc>
          <w:tcPr>
            <w:tcW w:w="9700" w:type="dxa"/>
            <w:vAlign w:val="bottom"/>
            <w:gridSpan w:val="2"/>
          </w:tcPr>
          <w:p>
            <w:pPr>
              <w:spacing w:after="0"/>
              <w:rPr>
                <w:sz w:val="20"/>
                <w:szCs w:val="20"/>
                <w:color w:val="auto"/>
              </w:rPr>
            </w:pPr>
            <w:r>
              <w:rPr>
                <w:rFonts w:ascii="Arial" w:cs="Arial" w:eastAsia="Arial" w:hAnsi="Arial"/>
                <w:sz w:val="17"/>
                <w:szCs w:val="17"/>
                <w:color w:val="auto"/>
              </w:rPr>
              <w:t>Interest payments on borrowed funds</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5.1%</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4"/>
        </w:trPr>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expenses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Total annual expenses</w:t>
            </w: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00" w:type="dxa"/>
            <w:vAlign w:val="bottom"/>
            <w:gridSpan w:val="2"/>
            <w:vMerge w:val="continue"/>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w w:val="99"/>
              </w:rPr>
              <w:t>14.3%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140" w:type="dxa"/>
            <w:vAlign w:val="bottom"/>
            <w:tcBorders>
              <w:bottom w:val="single" w:sz="8" w:color="auto"/>
            </w:tcBorders>
          </w:tcPr>
          <w:p>
            <w:pPr>
              <w:spacing w:after="0"/>
              <w:rPr>
                <w:sz w:val="10"/>
                <w:szCs w:val="10"/>
                <w:color w:val="auto"/>
              </w:rPr>
            </w:pPr>
          </w:p>
        </w:tc>
        <w:tc>
          <w:tcPr>
            <w:tcW w:w="8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20" w:right="300" w:hanging="409"/>
        <w:spacing w:after="0" w:line="257" w:lineRule="auto"/>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base management fee, payable quarterly in arrears, is calculated at an annual rate of 1.50% of our average adjusted gross assets, excluding cash and cash equivalents but including assets purchase with borrowed amounts.</w:t>
      </w:r>
    </w:p>
    <w:p>
      <w:pPr>
        <w:spacing w:after="0" w:line="1" w:lineRule="exact"/>
        <w:rPr>
          <w:rFonts w:ascii="Arial" w:cs="Arial" w:eastAsia="Arial" w:hAnsi="Arial"/>
          <w:sz w:val="17"/>
          <w:szCs w:val="17"/>
          <w:color w:val="auto"/>
        </w:rPr>
      </w:pPr>
    </w:p>
    <w:p>
      <w:pPr>
        <w:ind w:left="820" w:right="120" w:hanging="409"/>
        <w:spacing w:after="0" w:line="284" w:lineRule="auto"/>
        <w:tabs>
          <w:tab w:leader="none" w:pos="8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incentive fee consists of two parts: (1) a portion based on our pre-incentive fee net investment income, or the Income-Based Fee, and (2) a portion based on the capital gains received on our portfolio of securities on a cumulative basis for each calendar year, net of all realized capital losses and all unrealized capital depreciation on a cumulative basis, less the aggregate amount of any previously paid capital gains fee, or the Capital Gains Fee. The Income-Based Fee is 17.50% of pre-incentive fee net investment income with a 7.00% hurdle rate. The Capital Gains Fee is 17.50% of capital gains computed net of all realized capital losses and gross unrealized capital depreciation.</w:t>
      </w:r>
    </w:p>
    <w:p>
      <w:pPr>
        <w:spacing w:after="0" w:line="1" w:lineRule="exact"/>
        <w:rPr>
          <w:rFonts w:ascii="Arial" w:cs="Arial" w:eastAsia="Arial" w:hAnsi="Arial"/>
          <w:sz w:val="15"/>
          <w:szCs w:val="15"/>
          <w:color w:val="auto"/>
        </w:rPr>
      </w:pPr>
    </w:p>
    <w:p>
      <w:pPr>
        <w:ind w:left="820" w:right="60" w:hanging="409"/>
        <w:spacing w:after="0" w:line="284" w:lineRule="auto"/>
        <w:tabs>
          <w:tab w:leader="none" w:pos="8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“Interest payments on borrowed funds” represent our annual interest payment, fees and credit facility expenses based on annualized results of operations for the nine-months ended September 30, 2021, including with respect to our revolving credit facility and outstanding unsecured notes. The costs associated with any outstanding indebtedness are indirectly borne by our common stockholders. The amount of leverage we employ at any particular time will depend on, among other things, the Board’s and our Adviser’s assessment of the market and other factors at the time at any proposed borrowing. We may also issue preferred stock, subject to our compliance with applicable requirements under the 1940 Act.</w:t>
      </w:r>
    </w:p>
    <w:p>
      <w:pPr>
        <w:spacing w:after="0" w:line="1" w:lineRule="exact"/>
        <w:rPr>
          <w:rFonts w:ascii="Arial" w:cs="Arial" w:eastAsia="Arial" w:hAnsi="Arial"/>
          <w:sz w:val="15"/>
          <w:szCs w:val="15"/>
          <w:color w:val="auto"/>
        </w:rPr>
      </w:pPr>
    </w:p>
    <w:p>
      <w:pPr>
        <w:ind w:left="820" w:right="40" w:hanging="409"/>
        <w:spacing w:after="0" w:line="256" w:lineRule="auto"/>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“Other expenses” (approximately $8.9 million) represent amounts which are based upon the annualized results of our operations for the nine-months ended September 30, 2021, including payments under the Administration Agreement based on our allocable portion of overhead and other expenses incurred by our Administrator.</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Example</w:t>
      </w:r>
    </w:p>
    <w:p>
      <w:pPr>
        <w:spacing w:after="0" w:line="115" w:lineRule="exact"/>
        <w:rPr>
          <w:sz w:val="20"/>
          <w:szCs w:val="20"/>
          <w:color w:val="auto"/>
        </w:rPr>
      </w:pPr>
    </w:p>
    <w:p>
      <w:pPr>
        <w:ind w:left="420" w:right="100" w:firstLine="417"/>
        <w:spacing w:after="0" w:line="263" w:lineRule="auto"/>
        <w:rPr>
          <w:sz w:val="20"/>
          <w:szCs w:val="20"/>
          <w:color w:val="auto"/>
        </w:rPr>
      </w:pPr>
      <w:r>
        <w:rPr>
          <w:rFonts w:ascii="Arial" w:cs="Arial" w:eastAsia="Arial" w:hAnsi="Arial"/>
          <w:sz w:val="17"/>
          <w:szCs w:val="17"/>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w:t>
      </w:r>
    </w:p>
    <w:p>
      <w:pPr>
        <w:spacing w:after="0" w:line="193"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3 Years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10 Years</w:t>
            </w:r>
          </w:p>
        </w:tc>
      </w:tr>
      <w:tr>
        <w:trPr>
          <w:trHeight w:val="197"/>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You would pay the following expenses on a $1,000 investment, assuming a 5% annual return</w:t>
            </w:r>
            <w:r>
              <w:rPr>
                <w:rFonts w:ascii="Arial" w:cs="Arial" w:eastAsia="Arial" w:hAnsi="Arial"/>
                <w:sz w:val="14"/>
                <w:szCs w:val="14"/>
                <w:color w:val="auto"/>
              </w:rPr>
              <w:t>(1)</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$ 112</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316</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495</w:t>
            </w: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w:t>
            </w:r>
          </w:p>
        </w:tc>
        <w:tc>
          <w:tcPr>
            <w:tcW w:w="60" w:type="dxa"/>
            <w:vAlign w:val="bottom"/>
            <w:tcBorders>
              <w:top w:val="single" w:sz="8" w:color="CCEEFF"/>
            </w:tcBorders>
            <w:shd w:val="clear" w:color="auto" w:fill="CCEEFF"/>
          </w:tcPr>
          <w:p>
            <w:pPr>
              <w:spacing w:after="0"/>
              <w:rPr>
                <w:sz w:val="17"/>
                <w:szCs w:val="17"/>
                <w:color w:val="auto"/>
              </w:rPr>
            </w:pPr>
          </w:p>
        </w:tc>
      </w:tr>
      <w:tr>
        <w:trPr>
          <w:trHeight w:val="192"/>
        </w:trPr>
        <w:tc>
          <w:tcPr>
            <w:tcW w:w="7320" w:type="dxa"/>
            <w:vAlign w:val="bottom"/>
          </w:tcPr>
          <w:p>
            <w:pPr>
              <w:spacing w:after="0" w:line="192" w:lineRule="exact"/>
              <w:rPr>
                <w:sz w:val="20"/>
                <w:szCs w:val="20"/>
                <w:color w:val="auto"/>
              </w:rPr>
            </w:pPr>
            <w:r>
              <w:rPr>
                <w:rFonts w:ascii="Arial" w:cs="Arial" w:eastAsia="Arial" w:hAnsi="Arial"/>
                <w:sz w:val="17"/>
                <w:szCs w:val="17"/>
                <w:color w:val="auto"/>
                <w:w w:val="96"/>
              </w:rPr>
              <w:t>You would pay the following expenses on a $1,000 investment, assuming a 5% annual return entirely</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7"/>
                <w:szCs w:val="17"/>
                <w:color w:val="auto"/>
              </w:rPr>
              <w:t>from realized gains</w:t>
            </w:r>
          </w:p>
        </w:tc>
        <w:tc>
          <w:tcPr>
            <w:tcW w:w="600" w:type="dxa"/>
            <w:vAlign w:val="bottom"/>
            <w:gridSpan w:val="2"/>
          </w:tcPr>
          <w:p>
            <w:pPr>
              <w:spacing w:after="0"/>
              <w:rPr>
                <w:sz w:val="20"/>
                <w:szCs w:val="20"/>
                <w:color w:val="auto"/>
              </w:rPr>
            </w:pPr>
            <w:r>
              <w:rPr>
                <w:rFonts w:ascii="Arial" w:cs="Arial" w:eastAsia="Arial" w:hAnsi="Arial"/>
                <w:sz w:val="17"/>
                <w:szCs w:val="17"/>
                <w:color w:val="auto"/>
              </w:rPr>
              <w:t>$ 121</w:t>
            </w:r>
          </w:p>
        </w:tc>
        <w:tc>
          <w:tcPr>
            <w:tcW w:w="3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440"/>
              <w:spacing w:after="0"/>
              <w:rPr>
                <w:sz w:val="20"/>
                <w:szCs w:val="20"/>
                <w:color w:val="auto"/>
              </w:rPr>
            </w:pPr>
            <w:r>
              <w:rPr>
                <w:rFonts w:ascii="Arial" w:cs="Arial" w:eastAsia="Arial" w:hAnsi="Arial"/>
                <w:sz w:val="17"/>
                <w:szCs w:val="17"/>
                <w:color w:val="auto"/>
                <w:w w:val="98"/>
              </w:rPr>
              <w:t>337</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420"/>
              <w:spacing w:after="0"/>
              <w:rPr>
                <w:sz w:val="20"/>
                <w:szCs w:val="20"/>
                <w:color w:val="auto"/>
              </w:rPr>
            </w:pPr>
            <w:r>
              <w:rPr>
                <w:rFonts w:ascii="Arial" w:cs="Arial" w:eastAsia="Arial" w:hAnsi="Arial"/>
                <w:sz w:val="17"/>
                <w:szCs w:val="17"/>
                <w:color w:val="auto"/>
                <w:w w:val="98"/>
              </w:rPr>
              <w:t>524</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888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81915</wp:posOffset>
            </wp:positionV>
            <wp:extent cx="7302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48" w:lineRule="exact"/>
        <w:rPr>
          <w:sz w:val="20"/>
          <w:szCs w:val="20"/>
          <w:color w:val="auto"/>
        </w:rPr>
      </w:pPr>
    </w:p>
    <w:p>
      <w:pPr>
        <w:ind w:left="820" w:right="300" w:hanging="409"/>
        <w:spacing w:after="0" w:line="275" w:lineRule="auto"/>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Assumes we will not realize any capital gains computed net of all realized capital losses and gross unrealized capital depreciation in any of the periods indicated.</w:t>
      </w:r>
    </w:p>
    <w:p>
      <w:pPr>
        <w:spacing w:after="0" w:line="10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840"/>
          </w:cols>
          <w:pgMar w:left="320" w:top="443" w:right="7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20" w:right="40" w:firstLine="417"/>
        <w:spacing w:after="0" w:line="259" w:lineRule="auto"/>
        <w:rPr>
          <w:sz w:val="20"/>
          <w:szCs w:val="20"/>
          <w:color w:val="auto"/>
        </w:rPr>
      </w:pPr>
      <w:r>
        <w:rPr>
          <w:rFonts w:ascii="Arial" w:cs="Arial" w:eastAsia="Arial" w:hAnsi="Arial"/>
          <w:sz w:val="17"/>
          <w:szCs w:val="17"/>
          <w:color w:val="auto"/>
        </w:rPr>
        <w:t>While the example assumes, as required by the SEC, a 5% annual return, our performance will vary and may result in a return greater or less than 5%. Assuming a 5% annual return, the income incentive fee under the Investment Advisory Agreement may not be earned or payable and is not included in the example. If we achieve sufficient returns on our investments to trigger an income incentive fee of a material amount, our expenses, and returns to our investors, would be higher.</w:t>
      </w:r>
    </w:p>
    <w:p>
      <w:pPr>
        <w:spacing w:after="0" w:line="178" w:lineRule="exact"/>
        <w:rPr>
          <w:sz w:val="20"/>
          <w:szCs w:val="20"/>
          <w:color w:val="auto"/>
        </w:rPr>
      </w:pPr>
    </w:p>
    <w:p>
      <w:pPr>
        <w:ind w:left="420" w:firstLine="417"/>
        <w:spacing w:after="0" w:line="255" w:lineRule="auto"/>
        <w:rPr>
          <w:sz w:val="20"/>
          <w:szCs w:val="20"/>
          <w:color w:val="auto"/>
        </w:rPr>
      </w:pPr>
      <w:r>
        <w:rPr>
          <w:rFonts w:ascii="Arial" w:cs="Arial" w:eastAsia="Arial" w:hAnsi="Arial"/>
          <w:sz w:val="17"/>
          <w:szCs w:val="17"/>
          <w:color w:val="auto"/>
        </w:rPr>
        <w:t>Further, while the example assumes reinvestment of all distributions at net asset value, participants in our dividend reinvestment plan will receive a number of shares of our common stock determined by dividing the total dollar amount of the distribution payable to a participant by (a) the market price per share of our common stock at the close of trading on the payment date fixed by the Board in the event that newly issued shares of our common stock are used to implement the dividend reinvestment plan or (b) the average purchase price of all shares of common stock purchased by the plan administrator in the event that shares are purchased in the open market to implement the requirements of the dividend reinvestment plan, which may be at, above or below net asset value.</w:t>
      </w:r>
    </w:p>
    <w:p>
      <w:pPr>
        <w:spacing w:after="0" w:line="181" w:lineRule="exact"/>
        <w:rPr>
          <w:sz w:val="20"/>
          <w:szCs w:val="20"/>
          <w:color w:val="auto"/>
        </w:rPr>
      </w:pPr>
    </w:p>
    <w:p>
      <w:pPr>
        <w:ind w:left="420" w:right="160" w:firstLine="417"/>
        <w:spacing w:after="0" w:line="280" w:lineRule="auto"/>
        <w:rPr>
          <w:sz w:val="20"/>
          <w:szCs w:val="20"/>
          <w:color w:val="auto"/>
        </w:rPr>
      </w:pPr>
      <w:r>
        <w:rPr>
          <w:rFonts w:ascii="Arial" w:cs="Arial" w:eastAsia="Arial" w:hAnsi="Arial"/>
          <w:sz w:val="17"/>
          <w:szCs w:val="17"/>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9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780"/>
          </w:cols>
          <w:pgMar w:left="320" w:top="443" w:right="79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FINANCIAL HIGHLIGHTS</w:t>
      </w:r>
    </w:p>
    <w:p>
      <w:pPr>
        <w:spacing w:after="0" w:line="217" w:lineRule="exact"/>
        <w:rPr>
          <w:sz w:val="20"/>
          <w:szCs w:val="20"/>
          <w:color w:val="auto"/>
        </w:rPr>
      </w:pPr>
    </w:p>
    <w:p>
      <w:pPr>
        <w:ind w:left="420" w:right="640" w:firstLine="417"/>
        <w:spacing w:after="0" w:line="304" w:lineRule="auto"/>
        <w:rPr>
          <w:sz w:val="20"/>
          <w:szCs w:val="20"/>
          <w:color w:val="auto"/>
        </w:rPr>
      </w:pPr>
      <w:r>
        <w:rPr>
          <w:rFonts w:ascii="Arial" w:cs="Arial" w:eastAsia="Arial" w:hAnsi="Arial"/>
          <w:sz w:val="15"/>
          <w:szCs w:val="15"/>
          <w:color w:val="auto"/>
        </w:rPr>
        <w:t>We have presented our financial highlights, as adjusted for the reverse stock split of our common stock described elsewhere herein, for the ten-year period ended December 31, 2020 below. The information presented in the table below for the five-year period ended December 31, 2020 has been derived from the consolidated financial highlights for such five-year period included in our Annual Report on Form 10-K for the year ended December 31, 2020, but has been adjusted by management to take into account our recent reverse stock split of shares of our common stock.</w:t>
      </w:r>
    </w:p>
    <w:p>
      <w:pPr>
        <w:spacing w:after="0" w:line="16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w w:val="89"/>
              </w:rPr>
              <w:t>For the Years Ended December 31,</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33"/>
        </w:trPr>
        <w:tc>
          <w:tcPr>
            <w:tcW w:w="13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72"/>
              <w:spacing w:after="0" w:line="133"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2"/>
              <w:spacing w:after="0" w:line="133"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72"/>
              <w:spacing w:after="0" w:line="133"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2"/>
              <w:spacing w:after="0" w:line="133"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92"/>
              <w:spacing w:after="0" w:line="133"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92"/>
              <w:spacing w:after="0" w:line="133"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2"/>
              <w:spacing w:after="0" w:line="133"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92"/>
              <w:spacing w:after="0" w:line="133"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2"/>
              <w:spacing w:after="0" w:line="133"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
              <w:spacing w:after="0" w:line="133" w:lineRule="exact"/>
              <w:rPr>
                <w:sz w:val="20"/>
                <w:szCs w:val="20"/>
                <w:color w:val="auto"/>
              </w:rPr>
            </w:pPr>
            <w:r>
              <w:rPr>
                <w:rFonts w:ascii="Arial" w:cs="Arial" w:eastAsia="Arial" w:hAnsi="Arial"/>
                <w:sz w:val="14"/>
                <w:szCs w:val="14"/>
                <w:b w:val="1"/>
                <w:bCs w:val="1"/>
                <w:color w:val="auto"/>
              </w:rPr>
              <w:t>2011</w:t>
            </w:r>
          </w:p>
        </w:tc>
      </w:tr>
      <w:tr>
        <w:trPr>
          <w:trHeight w:val="121"/>
        </w:trPr>
        <w:tc>
          <w:tcPr>
            <w:tcW w:w="130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Per Share Data:</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22"/>
        </w:trPr>
        <w:tc>
          <w:tcPr>
            <w:tcW w:w="1300" w:type="dxa"/>
            <w:vAlign w:val="bottom"/>
          </w:tcPr>
          <w:p>
            <w:pPr>
              <w:spacing w:after="0" w:line="123" w:lineRule="exact"/>
              <w:rPr>
                <w:sz w:val="20"/>
                <w:szCs w:val="20"/>
                <w:color w:val="auto"/>
              </w:rPr>
            </w:pPr>
            <w:r>
              <w:rPr>
                <w:rFonts w:ascii="Arial" w:cs="Arial" w:eastAsia="Arial" w:hAnsi="Arial"/>
                <w:sz w:val="14"/>
                <w:szCs w:val="14"/>
                <w:color w:val="auto"/>
              </w:rPr>
              <w:t>Net asset value, at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59"/>
        </w:trPr>
        <w:tc>
          <w:tcPr>
            <w:tcW w:w="1300" w:type="dxa"/>
            <w:vAlign w:val="bottom"/>
          </w:tcPr>
          <w:p>
            <w:pPr>
              <w:ind w:left="120"/>
              <w:spacing w:after="0" w:line="159" w:lineRule="exact"/>
              <w:rPr>
                <w:sz w:val="20"/>
                <w:szCs w:val="20"/>
                <w:color w:val="auto"/>
              </w:rPr>
            </w:pPr>
            <w:r>
              <w:rPr>
                <w:rFonts w:ascii="Arial" w:cs="Arial" w:eastAsia="Arial" w:hAnsi="Arial"/>
                <w:sz w:val="14"/>
                <w:szCs w:val="14"/>
                <w:color w:val="auto"/>
                <w:w w:val="97"/>
              </w:rPr>
              <w:t>beginning of period</w:t>
            </w: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33.95</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42.33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48.69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52.43</w:t>
            </w:r>
          </w:p>
        </w:tc>
        <w:tc>
          <w:tcPr>
            <w:tcW w:w="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58.25</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69.43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75.11</w:t>
            </w:r>
          </w:p>
        </w:tc>
        <w:tc>
          <w:tcPr>
            <w:tcW w:w="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78.53</w:t>
            </w:r>
          </w:p>
        </w:tc>
        <w:tc>
          <w:tcPr>
            <w:tcW w:w="1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78.52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82</w:t>
            </w:r>
          </w:p>
        </w:tc>
      </w:tr>
      <w:tr>
        <w:trPr>
          <w:trHeight w:val="122"/>
        </w:trPr>
        <w:tc>
          <w:tcPr>
            <w:tcW w:w="1300" w:type="dxa"/>
            <w:vAlign w:val="bottom"/>
            <w:shd w:val="clear" w:color="auto" w:fill="CCEEFF"/>
          </w:tcPr>
          <w:p>
            <w:pPr>
              <w:ind w:left="120"/>
              <w:spacing w:after="0" w:line="123" w:lineRule="exact"/>
              <w:rPr>
                <w:sz w:val="20"/>
                <w:szCs w:val="20"/>
                <w:color w:val="auto"/>
              </w:rPr>
            </w:pPr>
            <w:r>
              <w:rPr>
                <w:rFonts w:ascii="Arial" w:cs="Arial" w:eastAsia="Arial" w:hAnsi="Arial"/>
                <w:sz w:val="14"/>
                <w:szCs w:val="14"/>
                <w:color w:val="auto"/>
              </w:rPr>
              <w:t>Net investment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59"/>
        </w:trPr>
        <w:tc>
          <w:tcPr>
            <w:tcW w:w="130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income</w:t>
            </w:r>
            <w:r>
              <w:rPr>
                <w:rFonts w:ascii="Arial" w:cs="Arial" w:eastAsia="Arial" w:hAnsi="Arial"/>
                <w:sz w:val="11"/>
                <w:szCs w:val="11"/>
                <w:color w:val="auto"/>
              </w:rPr>
              <w:t>(1)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3.40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0.82</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2.70</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2.95</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4.99</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6.54</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5.88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6.16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6.48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r>
      <w:tr>
        <w:trPr>
          <w:trHeight w:val="122"/>
        </w:trPr>
        <w:tc>
          <w:tcPr>
            <w:tcW w:w="1300" w:type="dxa"/>
            <w:vAlign w:val="bottom"/>
          </w:tcPr>
          <w:p>
            <w:pPr>
              <w:ind w:left="120"/>
              <w:spacing w:after="0" w:line="123" w:lineRule="exact"/>
              <w:rPr>
                <w:sz w:val="20"/>
                <w:szCs w:val="20"/>
                <w:color w:val="auto"/>
              </w:rPr>
            </w:pPr>
            <w:r>
              <w:rPr>
                <w:rFonts w:ascii="Arial" w:cs="Arial" w:eastAsia="Arial" w:hAnsi="Arial"/>
                <w:sz w:val="14"/>
                <w:szCs w:val="14"/>
                <w:color w:val="auto"/>
              </w:rPr>
              <w:t>Net realized gains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1"/>
        </w:trPr>
        <w:tc>
          <w:tcPr>
            <w:tcW w:w="1300" w:type="dxa"/>
            <w:vAlign w:val="bottom"/>
          </w:tcPr>
          <w:p>
            <w:pPr>
              <w:ind w:left="260"/>
              <w:spacing w:after="0" w:line="141" w:lineRule="exact"/>
              <w:rPr>
                <w:sz w:val="20"/>
                <w:szCs w:val="20"/>
                <w:color w:val="auto"/>
              </w:rPr>
            </w:pPr>
            <w:r>
              <w:rPr>
                <w:rFonts w:ascii="Arial" w:cs="Arial" w:eastAsia="Arial" w:hAnsi="Arial"/>
                <w:sz w:val="14"/>
                <w:szCs w:val="14"/>
                <w:color w:val="auto"/>
              </w:rPr>
              <w:t>(losses) from</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59"/>
        </w:trPr>
        <w:tc>
          <w:tcPr>
            <w:tcW w:w="1300" w:type="dxa"/>
            <w:vAlign w:val="bottom"/>
          </w:tcPr>
          <w:p>
            <w:pPr>
              <w:ind w:left="260"/>
              <w:spacing w:after="0" w:line="159" w:lineRule="exact"/>
              <w:rPr>
                <w:sz w:val="20"/>
                <w:szCs w:val="20"/>
                <w:color w:val="auto"/>
              </w:rPr>
            </w:pPr>
            <w:r>
              <w:rPr>
                <w:rFonts w:ascii="Arial" w:cs="Arial" w:eastAsia="Arial" w:hAnsi="Arial"/>
                <w:sz w:val="14"/>
                <w:szCs w:val="14"/>
                <w:color w:val="auto"/>
              </w:rPr>
              <w:t>investments</w:t>
            </w:r>
            <w:r>
              <w:rPr>
                <w:rFonts w:ascii="Arial" w:cs="Arial" w:eastAsia="Arial" w:hAnsi="Arial"/>
                <w:sz w:val="11"/>
                <w:szCs w:val="11"/>
                <w:color w:val="auto"/>
              </w:rPr>
              <w:t>(1)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1.52</w:t>
            </w:r>
          </w:p>
        </w:tc>
        <w:tc>
          <w:tcPr>
            <w:tcW w:w="80" w:type="dxa"/>
            <w:vAlign w:val="bottom"/>
          </w:tcPr>
          <w:p>
            <w:pPr>
              <w:spacing w:after="0"/>
              <w:rPr>
                <w:sz w:val="13"/>
                <w:szCs w:val="13"/>
                <w:color w:val="auto"/>
              </w:rPr>
            </w:pPr>
          </w:p>
        </w:tc>
        <w:tc>
          <w:tcPr>
            <w:tcW w:w="9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(4.16)</w:t>
            </w:r>
          </w:p>
        </w:tc>
        <w:tc>
          <w:tcPr>
            <w:tcW w:w="60" w:type="dxa"/>
            <w:vAlign w:val="bottom"/>
          </w:tcPr>
          <w:p>
            <w:pPr>
              <w:spacing w:after="0"/>
              <w:rPr>
                <w:sz w:val="13"/>
                <w:szCs w:val="13"/>
                <w:color w:val="auto"/>
              </w:rPr>
            </w:pPr>
          </w:p>
        </w:tc>
        <w:tc>
          <w:tcPr>
            <w:tcW w:w="9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(4.40)</w:t>
            </w:r>
          </w:p>
        </w:tc>
        <w:tc>
          <w:tcPr>
            <w:tcW w:w="80" w:type="dxa"/>
            <w:vAlign w:val="bottom"/>
          </w:tcPr>
          <w:p>
            <w:pPr>
              <w:spacing w:after="0"/>
              <w:rPr>
                <w:sz w:val="13"/>
                <w:szCs w:val="13"/>
                <w:color w:val="auto"/>
              </w:rPr>
            </w:pPr>
          </w:p>
        </w:tc>
        <w:tc>
          <w:tcPr>
            <w:tcW w:w="880" w:type="dxa"/>
            <w:vAlign w:val="bottom"/>
            <w:gridSpan w:val="2"/>
          </w:tcPr>
          <w:p>
            <w:pPr>
              <w:jc w:val="right"/>
              <w:ind w:right="72"/>
              <w:spacing w:after="0" w:line="159" w:lineRule="exact"/>
              <w:rPr>
                <w:sz w:val="20"/>
                <w:szCs w:val="20"/>
                <w:color w:val="auto"/>
              </w:rPr>
            </w:pPr>
            <w:r>
              <w:rPr>
                <w:rFonts w:ascii="Arial" w:cs="Arial" w:eastAsia="Arial" w:hAnsi="Arial"/>
                <w:sz w:val="14"/>
                <w:szCs w:val="14"/>
                <w:color w:val="auto"/>
              </w:rPr>
              <w:t>(1.87)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(1.66)</w:t>
            </w:r>
          </w:p>
        </w:tc>
        <w:tc>
          <w:tcPr>
            <w:tcW w:w="80" w:type="dxa"/>
            <w:vAlign w:val="bottom"/>
          </w:tcPr>
          <w:p>
            <w:pPr>
              <w:spacing w:after="0"/>
              <w:rPr>
                <w:sz w:val="13"/>
                <w:szCs w:val="13"/>
                <w:color w:val="auto"/>
              </w:rPr>
            </w:pPr>
          </w:p>
        </w:tc>
        <w:tc>
          <w:tcPr>
            <w:tcW w:w="9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(1.66)</w:t>
            </w:r>
          </w:p>
        </w:tc>
        <w:tc>
          <w:tcPr>
            <w:tcW w:w="8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(3.03)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(3.77)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(1.24)</w:t>
            </w:r>
          </w:p>
        </w:tc>
        <w:tc>
          <w:tcPr>
            <w:tcW w:w="8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(8</w:t>
            </w:r>
          </w:p>
        </w:tc>
      </w:tr>
      <w:tr>
        <w:trPr>
          <w:trHeight w:val="122"/>
        </w:trPr>
        <w:tc>
          <w:tcPr>
            <w:tcW w:w="1300" w:type="dxa"/>
            <w:vAlign w:val="bottom"/>
            <w:shd w:val="clear" w:color="auto" w:fill="CCEEFF"/>
          </w:tcPr>
          <w:p>
            <w:pPr>
              <w:ind w:left="120"/>
              <w:spacing w:after="0" w:line="123" w:lineRule="exact"/>
              <w:rPr>
                <w:sz w:val="20"/>
                <w:szCs w:val="20"/>
                <w:color w:val="auto"/>
              </w:rPr>
            </w:pPr>
            <w:r>
              <w:rPr>
                <w:rFonts w:ascii="Arial" w:cs="Arial" w:eastAsia="Arial" w:hAnsi="Arial"/>
                <w:sz w:val="14"/>
                <w:szCs w:val="14"/>
                <w:color w:val="auto"/>
              </w:rPr>
              <w:t>Realized (losses)</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41"/>
        </w:trPr>
        <w:tc>
          <w:tcPr>
            <w:tcW w:w="1300" w:type="dxa"/>
            <w:vAlign w:val="bottom"/>
            <w:shd w:val="clear" w:color="auto" w:fill="CCEEFF"/>
          </w:tcPr>
          <w:p>
            <w:pPr>
              <w:ind w:left="260"/>
              <w:spacing w:after="0" w:line="141" w:lineRule="exact"/>
              <w:rPr>
                <w:sz w:val="20"/>
                <w:szCs w:val="20"/>
                <w:color w:val="auto"/>
              </w:rPr>
            </w:pPr>
            <w:r>
              <w:rPr>
                <w:rFonts w:ascii="Arial" w:cs="Arial" w:eastAsia="Arial" w:hAnsi="Arial"/>
                <w:sz w:val="14"/>
                <w:szCs w:val="14"/>
                <w:color w:val="auto"/>
              </w:rPr>
              <w:t>gains from</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1"/>
        </w:trPr>
        <w:tc>
          <w:tcPr>
            <w:tcW w:w="1300" w:type="dxa"/>
            <w:vAlign w:val="bottom"/>
            <w:shd w:val="clear" w:color="auto" w:fill="CCEEFF"/>
          </w:tcPr>
          <w:p>
            <w:pPr>
              <w:ind w:left="260"/>
              <w:spacing w:after="0" w:line="141" w:lineRule="exact"/>
              <w:rPr>
                <w:sz w:val="20"/>
                <w:szCs w:val="20"/>
                <w:color w:val="auto"/>
              </w:rPr>
            </w:pPr>
            <w:r>
              <w:rPr>
                <w:rFonts w:ascii="Arial" w:cs="Arial" w:eastAsia="Arial" w:hAnsi="Arial"/>
                <w:sz w:val="14"/>
                <w:szCs w:val="14"/>
                <w:color w:val="auto"/>
                <w:w w:val="92"/>
              </w:rPr>
              <w:t>extinguishment of</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59"/>
        </w:trPr>
        <w:tc>
          <w:tcPr>
            <w:tcW w:w="130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debt</w:t>
            </w:r>
            <w:r>
              <w:rPr>
                <w:rFonts w:ascii="Arial" w:cs="Arial" w:eastAsia="Arial" w:hAnsi="Arial"/>
                <w:sz w:val="11"/>
                <w:szCs w:val="11"/>
                <w:color w:val="auto"/>
              </w:rPr>
              <w:t>(1)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(0.30)</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(0.05)</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(1.12)</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(0.12)</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(0.22)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(0.17)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22"/>
        </w:trPr>
        <w:tc>
          <w:tcPr>
            <w:tcW w:w="1300" w:type="dxa"/>
            <w:vAlign w:val="bottom"/>
          </w:tcPr>
          <w:p>
            <w:pPr>
              <w:ind w:left="120"/>
              <w:spacing w:after="0" w:line="123" w:lineRule="exact"/>
              <w:rPr>
                <w:sz w:val="20"/>
                <w:szCs w:val="20"/>
                <w:color w:val="auto"/>
              </w:rPr>
            </w:pPr>
            <w:r>
              <w:rPr>
                <w:rFonts w:ascii="Arial" w:cs="Arial" w:eastAsia="Arial" w:hAnsi="Arial"/>
                <w:sz w:val="14"/>
                <w:szCs w:val="14"/>
                <w:color w:val="auto"/>
              </w:rPr>
              <w:t>Net change in</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1"/>
        </w:trPr>
        <w:tc>
          <w:tcPr>
            <w:tcW w:w="1300" w:type="dxa"/>
            <w:vAlign w:val="bottom"/>
          </w:tcPr>
          <w:p>
            <w:pPr>
              <w:ind w:left="260"/>
              <w:spacing w:after="0" w:line="141" w:lineRule="exact"/>
              <w:rPr>
                <w:sz w:val="20"/>
                <w:szCs w:val="20"/>
                <w:color w:val="auto"/>
              </w:rPr>
            </w:pPr>
            <w:r>
              <w:rPr>
                <w:rFonts w:ascii="Arial" w:cs="Arial" w:eastAsia="Arial" w:hAnsi="Arial"/>
                <w:sz w:val="14"/>
                <w:szCs w:val="14"/>
                <w:color w:val="auto"/>
              </w:rPr>
              <w:t>unrealized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1"/>
        </w:trPr>
        <w:tc>
          <w:tcPr>
            <w:tcW w:w="1300" w:type="dxa"/>
            <w:vAlign w:val="bottom"/>
          </w:tcPr>
          <w:p>
            <w:pPr>
              <w:ind w:left="260"/>
              <w:spacing w:after="0" w:line="141" w:lineRule="exact"/>
              <w:rPr>
                <w:sz w:val="20"/>
                <w:szCs w:val="20"/>
                <w:color w:val="auto"/>
              </w:rPr>
            </w:pPr>
            <w:r>
              <w:rPr>
                <w:rFonts w:ascii="Arial" w:cs="Arial" w:eastAsia="Arial" w:hAnsi="Arial"/>
                <w:sz w:val="14"/>
                <w:szCs w:val="14"/>
                <w:color w:val="auto"/>
              </w:rPr>
              <w:t>(depreciation)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1"/>
        </w:trPr>
        <w:tc>
          <w:tcPr>
            <w:tcW w:w="1300" w:type="dxa"/>
            <w:vAlign w:val="bottom"/>
          </w:tcPr>
          <w:p>
            <w:pPr>
              <w:ind w:left="260"/>
              <w:spacing w:after="0" w:line="141" w:lineRule="exact"/>
              <w:rPr>
                <w:sz w:val="20"/>
                <w:szCs w:val="20"/>
                <w:color w:val="auto"/>
              </w:rPr>
            </w:pPr>
            <w:r>
              <w:rPr>
                <w:rFonts w:ascii="Arial" w:cs="Arial" w:eastAsia="Arial" w:hAnsi="Arial"/>
                <w:sz w:val="14"/>
                <w:szCs w:val="14"/>
                <w:color w:val="auto"/>
              </w:rPr>
              <w:t>appreciation 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64"/>
        </w:trPr>
        <w:tc>
          <w:tcPr>
            <w:tcW w:w="1300" w:type="dxa"/>
            <w:vAlign w:val="bottom"/>
          </w:tcPr>
          <w:p>
            <w:pPr>
              <w:ind w:left="260"/>
              <w:spacing w:after="0" w:line="159" w:lineRule="exact"/>
              <w:rPr>
                <w:sz w:val="20"/>
                <w:szCs w:val="20"/>
                <w:color w:val="auto"/>
              </w:rPr>
            </w:pPr>
            <w:r>
              <w:rPr>
                <w:rFonts w:ascii="Arial" w:cs="Arial" w:eastAsia="Arial" w:hAnsi="Arial"/>
                <w:sz w:val="14"/>
                <w:szCs w:val="14"/>
                <w:color w:val="auto"/>
              </w:rPr>
              <w:t>investments</w:t>
            </w:r>
            <w:r>
              <w:rPr>
                <w:rFonts w:ascii="Arial" w:cs="Arial" w:eastAsia="Arial" w:hAnsi="Arial"/>
                <w:sz w:val="11"/>
                <w:szCs w:val="11"/>
                <w:color w:val="auto"/>
              </w:rPr>
              <w:t>(1)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1.36</w:t>
            </w:r>
          </w:p>
        </w:tc>
        <w:tc>
          <w:tcPr>
            <w:tcW w:w="80" w:type="dxa"/>
            <w:vAlign w:val="bottom"/>
          </w:tcPr>
          <w:p>
            <w:pPr>
              <w:spacing w:after="0"/>
              <w:rPr>
                <w:sz w:val="14"/>
                <w:szCs w:val="14"/>
                <w:color w:val="auto"/>
              </w:rPr>
            </w:pP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0.30</w:t>
            </w:r>
          </w:p>
        </w:tc>
        <w:tc>
          <w:tcPr>
            <w:tcW w:w="60" w:type="dxa"/>
            <w:vAlign w:val="bottom"/>
          </w:tcPr>
          <w:p>
            <w:pPr>
              <w:spacing w:after="0"/>
              <w:rPr>
                <w:sz w:val="14"/>
                <w:szCs w:val="14"/>
                <w:color w:val="auto"/>
              </w:rPr>
            </w:pPr>
          </w:p>
        </w:tc>
        <w:tc>
          <w:tcPr>
            <w:tcW w:w="9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(0.81)</w:t>
            </w:r>
          </w:p>
        </w:tc>
        <w:tc>
          <w:tcPr>
            <w:tcW w:w="80" w:type="dxa"/>
            <w:vAlign w:val="bottom"/>
          </w:tcPr>
          <w:p>
            <w:pPr>
              <w:spacing w:after="0"/>
              <w:rPr>
                <w:sz w:val="14"/>
                <w:szCs w:val="14"/>
                <w:color w:val="auto"/>
              </w:rPr>
            </w:pPr>
          </w:p>
        </w:tc>
        <w:tc>
          <w:tcPr>
            <w:tcW w:w="88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0.90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(3.62)</w:t>
            </w:r>
          </w:p>
        </w:tc>
        <w:tc>
          <w:tcPr>
            <w:tcW w:w="80" w:type="dxa"/>
            <w:vAlign w:val="bottom"/>
          </w:tcPr>
          <w:p>
            <w:pPr>
              <w:spacing w:after="0"/>
              <w:rPr>
                <w:sz w:val="14"/>
                <w:szCs w:val="14"/>
                <w:color w:val="auto"/>
              </w:rPr>
            </w:pPr>
          </w:p>
        </w:tc>
        <w:tc>
          <w:tcPr>
            <w:tcW w:w="9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(9.74)</w:t>
            </w:r>
          </w:p>
        </w:tc>
        <w:tc>
          <w:tcPr>
            <w:tcW w:w="80" w:type="dxa"/>
            <w:vAlign w:val="bottom"/>
          </w:tcPr>
          <w:p>
            <w:pPr>
              <w:spacing w:after="0"/>
              <w:rPr>
                <w:sz w:val="14"/>
                <w:szCs w:val="14"/>
                <w:color w:val="auto"/>
              </w:rPr>
            </w:pP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1.78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3.09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3.92</w:t>
            </w:r>
          </w:p>
        </w:tc>
        <w:tc>
          <w:tcPr>
            <w:tcW w:w="80" w:type="dxa"/>
            <w:vAlign w:val="bottom"/>
          </w:tcPr>
          <w:p>
            <w:pPr>
              <w:spacing w:after="0"/>
              <w:rPr>
                <w:sz w:val="14"/>
                <w:szCs w:val="14"/>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6</w:t>
            </w:r>
          </w:p>
        </w:tc>
      </w:tr>
      <w:tr>
        <w:trPr>
          <w:trHeight w:val="122"/>
        </w:trPr>
        <w:tc>
          <w:tcPr>
            <w:tcW w:w="1300" w:type="dxa"/>
            <w:vAlign w:val="bottom"/>
            <w:shd w:val="clear" w:color="auto" w:fill="CCEEFF"/>
          </w:tcPr>
          <w:p>
            <w:pPr>
              <w:ind w:left="260"/>
              <w:spacing w:after="0" w:line="123" w:lineRule="exact"/>
              <w:rPr>
                <w:sz w:val="20"/>
                <w:szCs w:val="20"/>
                <w:color w:val="auto"/>
              </w:rPr>
            </w:pPr>
            <w:r>
              <w:rPr>
                <w:rFonts w:ascii="Arial" w:cs="Arial" w:eastAsia="Arial" w:hAnsi="Arial"/>
                <w:sz w:val="14"/>
                <w:szCs w:val="14"/>
                <w:color w:val="auto"/>
              </w:rPr>
              <w:t>Net (decrease)</w:t>
            </w: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r>
      <w:tr>
        <w:trPr>
          <w:trHeight w:val="141"/>
        </w:trPr>
        <w:tc>
          <w:tcPr>
            <w:tcW w:w="1300" w:type="dxa"/>
            <w:vAlign w:val="bottom"/>
            <w:shd w:val="clear" w:color="auto" w:fill="CCEEFF"/>
          </w:tcPr>
          <w:p>
            <w:pPr>
              <w:ind w:left="400"/>
              <w:spacing w:after="0" w:line="141" w:lineRule="exact"/>
              <w:rPr>
                <w:sz w:val="20"/>
                <w:szCs w:val="20"/>
                <w:color w:val="auto"/>
              </w:rPr>
            </w:pPr>
            <w:r>
              <w:rPr>
                <w:rFonts w:ascii="Arial" w:cs="Arial" w:eastAsia="Arial" w:hAnsi="Arial"/>
                <w:sz w:val="14"/>
                <w:szCs w:val="14"/>
                <w:color w:val="auto"/>
                <w:w w:val="96"/>
              </w:rPr>
              <w:t>increase in net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1"/>
        </w:trPr>
        <w:tc>
          <w:tcPr>
            <w:tcW w:w="1300" w:type="dxa"/>
            <w:vAlign w:val="bottom"/>
            <w:shd w:val="clear" w:color="auto" w:fill="CCEEFF"/>
          </w:tcPr>
          <w:p>
            <w:pPr>
              <w:ind w:left="400"/>
              <w:spacing w:after="0" w:line="141" w:lineRule="exact"/>
              <w:rPr>
                <w:sz w:val="20"/>
                <w:szCs w:val="20"/>
                <w:color w:val="auto"/>
              </w:rPr>
            </w:pPr>
            <w:r>
              <w:rPr>
                <w:rFonts w:ascii="Arial" w:cs="Arial" w:eastAsia="Arial" w:hAnsi="Arial"/>
                <w:sz w:val="14"/>
                <w:szCs w:val="14"/>
                <w:color w:val="auto"/>
                <w:w w:val="90"/>
              </w:rPr>
              <w:t>assets resulting</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59"/>
        </w:trPr>
        <w:tc>
          <w:tcPr>
            <w:tcW w:w="130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w w:val="90"/>
              </w:rPr>
              <w:t>from operations</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6.28</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(3.34)</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(2.56)</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0.86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(0.29)</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(4.98)</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4.41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5.31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9.16</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r>
      <w:tr>
        <w:trPr>
          <w:trHeight w:val="122"/>
        </w:trPr>
        <w:tc>
          <w:tcPr>
            <w:tcW w:w="1300" w:type="dxa"/>
            <w:vAlign w:val="bottom"/>
          </w:tcPr>
          <w:p>
            <w:pPr>
              <w:spacing w:after="0" w:line="123" w:lineRule="exact"/>
              <w:rPr>
                <w:sz w:val="20"/>
                <w:szCs w:val="20"/>
                <w:color w:val="auto"/>
              </w:rPr>
            </w:pPr>
            <w:r>
              <w:rPr>
                <w:rFonts w:ascii="Arial" w:cs="Arial" w:eastAsia="Arial" w:hAnsi="Arial"/>
                <w:sz w:val="14"/>
                <w:szCs w:val="14"/>
                <w:color w:val="auto"/>
              </w:rPr>
              <w:t>Net decrease in net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1"/>
        </w:trPr>
        <w:tc>
          <w:tcPr>
            <w:tcW w:w="1300" w:type="dxa"/>
            <w:vAlign w:val="bottom"/>
          </w:tcPr>
          <w:p>
            <w:pPr>
              <w:ind w:left="120"/>
              <w:spacing w:after="0" w:line="141" w:lineRule="exact"/>
              <w:rPr>
                <w:sz w:val="20"/>
                <w:szCs w:val="20"/>
                <w:color w:val="auto"/>
              </w:rPr>
            </w:pPr>
            <w:r>
              <w:rPr>
                <w:rFonts w:ascii="Arial" w:cs="Arial" w:eastAsia="Arial" w:hAnsi="Arial"/>
                <w:sz w:val="14"/>
                <w:szCs w:val="14"/>
                <w:color w:val="auto"/>
                <w:w w:val="89"/>
              </w:rPr>
              <w:t>assets resulting from</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59"/>
        </w:trPr>
        <w:tc>
          <w:tcPr>
            <w:tcW w:w="1300" w:type="dxa"/>
            <w:vAlign w:val="bottom"/>
          </w:tcPr>
          <w:p>
            <w:pPr>
              <w:ind w:left="120"/>
              <w:spacing w:after="0" w:line="159" w:lineRule="exact"/>
              <w:rPr>
                <w:sz w:val="20"/>
                <w:szCs w:val="20"/>
                <w:color w:val="auto"/>
              </w:rPr>
            </w:pPr>
            <w:r>
              <w:rPr>
                <w:rFonts w:ascii="Arial" w:cs="Arial" w:eastAsia="Arial" w:hAnsi="Arial"/>
                <w:sz w:val="14"/>
                <w:szCs w:val="14"/>
                <w:color w:val="auto"/>
              </w:rPr>
              <w:t>distributions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(2.40)</w:t>
            </w:r>
          </w:p>
        </w:tc>
        <w:tc>
          <w:tcPr>
            <w:tcW w:w="80" w:type="dxa"/>
            <w:vAlign w:val="bottom"/>
          </w:tcPr>
          <w:p>
            <w:pPr>
              <w:spacing w:after="0"/>
              <w:rPr>
                <w:sz w:val="13"/>
                <w:szCs w:val="13"/>
                <w:color w:val="auto"/>
              </w:rPr>
            </w:pPr>
          </w:p>
        </w:tc>
        <w:tc>
          <w:tcPr>
            <w:tcW w:w="9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(3.20)</w:t>
            </w:r>
          </w:p>
        </w:tc>
        <w:tc>
          <w:tcPr>
            <w:tcW w:w="60" w:type="dxa"/>
            <w:vAlign w:val="bottom"/>
          </w:tcPr>
          <w:p>
            <w:pPr>
              <w:spacing w:after="0"/>
              <w:rPr>
                <w:sz w:val="13"/>
                <w:szCs w:val="13"/>
                <w:color w:val="auto"/>
              </w:rPr>
            </w:pPr>
          </w:p>
        </w:tc>
        <w:tc>
          <w:tcPr>
            <w:tcW w:w="9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(4.00)</w:t>
            </w:r>
          </w:p>
        </w:tc>
        <w:tc>
          <w:tcPr>
            <w:tcW w:w="80" w:type="dxa"/>
            <w:vAlign w:val="bottom"/>
          </w:tcPr>
          <w:p>
            <w:pPr>
              <w:spacing w:after="0"/>
              <w:rPr>
                <w:sz w:val="13"/>
                <w:szCs w:val="13"/>
                <w:color w:val="auto"/>
              </w:rPr>
            </w:pPr>
          </w:p>
        </w:tc>
        <w:tc>
          <w:tcPr>
            <w:tcW w:w="880" w:type="dxa"/>
            <w:vAlign w:val="bottom"/>
            <w:gridSpan w:val="2"/>
          </w:tcPr>
          <w:p>
            <w:pPr>
              <w:jc w:val="right"/>
              <w:ind w:right="72"/>
              <w:spacing w:after="0" w:line="159" w:lineRule="exact"/>
              <w:rPr>
                <w:sz w:val="20"/>
                <w:szCs w:val="20"/>
                <w:color w:val="auto"/>
              </w:rPr>
            </w:pPr>
            <w:r>
              <w:rPr>
                <w:rFonts w:ascii="Arial" w:cs="Arial" w:eastAsia="Arial" w:hAnsi="Arial"/>
                <w:sz w:val="14"/>
                <w:szCs w:val="14"/>
                <w:color w:val="auto"/>
              </w:rPr>
              <w:t>(4.80)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(5.93)</w:t>
            </w:r>
          </w:p>
        </w:tc>
        <w:tc>
          <w:tcPr>
            <w:tcW w:w="80" w:type="dxa"/>
            <w:vAlign w:val="bottom"/>
          </w:tcPr>
          <w:p>
            <w:pPr>
              <w:spacing w:after="0"/>
              <w:rPr>
                <w:sz w:val="13"/>
                <w:szCs w:val="13"/>
                <w:color w:val="auto"/>
              </w:rPr>
            </w:pPr>
          </w:p>
        </w:tc>
        <w:tc>
          <w:tcPr>
            <w:tcW w:w="9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(6.30)</w:t>
            </w:r>
          </w:p>
        </w:tc>
        <w:tc>
          <w:tcPr>
            <w:tcW w:w="8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(9.99)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(10.50)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(9.35)</w:t>
            </w:r>
          </w:p>
        </w:tc>
        <w:tc>
          <w:tcPr>
            <w:tcW w:w="8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(6</w:t>
            </w:r>
          </w:p>
        </w:tc>
      </w:tr>
      <w:tr>
        <w:trPr>
          <w:trHeight w:val="122"/>
        </w:trPr>
        <w:tc>
          <w:tcPr>
            <w:tcW w:w="13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w w:val="85"/>
              </w:rPr>
              <w:t>Net increase/(decrease)</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41"/>
        </w:trPr>
        <w:tc>
          <w:tcPr>
            <w:tcW w:w="130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w w:val="90"/>
              </w:rPr>
              <w:t>in net assets relating</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1"/>
        </w:trPr>
        <w:tc>
          <w:tcPr>
            <w:tcW w:w="130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rPr>
              <w:t>to stock-based</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59"/>
        </w:trPr>
        <w:tc>
          <w:tcPr>
            <w:tcW w:w="13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transactions</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(9.06)</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(1.84)</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0.20</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0.20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0.40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0.10</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(0.10)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1.77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0.20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r>
      <w:tr>
        <w:trPr>
          <w:trHeight w:val="122"/>
        </w:trPr>
        <w:tc>
          <w:tcPr>
            <w:tcW w:w="1300" w:type="dxa"/>
            <w:vAlign w:val="bottom"/>
          </w:tcPr>
          <w:p>
            <w:pPr>
              <w:spacing w:after="0" w:line="123" w:lineRule="exact"/>
              <w:rPr>
                <w:sz w:val="20"/>
                <w:szCs w:val="20"/>
                <w:color w:val="auto"/>
              </w:rPr>
            </w:pPr>
            <w:r>
              <w:rPr>
                <w:rFonts w:ascii="Arial" w:cs="Arial" w:eastAsia="Arial" w:hAnsi="Arial"/>
                <w:sz w:val="14"/>
                <w:szCs w:val="14"/>
                <w:color w:val="auto"/>
                <w:w w:val="89"/>
              </w:rPr>
              <w:t>Net asset value, end of</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59"/>
        </w:trPr>
        <w:tc>
          <w:tcPr>
            <w:tcW w:w="1300" w:type="dxa"/>
            <w:vAlign w:val="bottom"/>
          </w:tcPr>
          <w:p>
            <w:pPr>
              <w:ind w:left="120"/>
              <w:spacing w:after="0" w:line="159" w:lineRule="exact"/>
              <w:rPr>
                <w:sz w:val="20"/>
                <w:szCs w:val="20"/>
                <w:color w:val="auto"/>
              </w:rPr>
            </w:pPr>
            <w:r>
              <w:rPr>
                <w:rFonts w:ascii="Arial" w:cs="Arial" w:eastAsia="Arial" w:hAnsi="Arial"/>
                <w:sz w:val="14"/>
                <w:szCs w:val="14"/>
                <w:color w:val="auto"/>
              </w:rPr>
              <w:t>period</w:t>
            </w: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28.77</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33.95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42.33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48.69</w:t>
            </w:r>
          </w:p>
        </w:tc>
        <w:tc>
          <w:tcPr>
            <w:tcW w:w="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52.43</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58.25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69.43</w:t>
            </w:r>
          </w:p>
        </w:tc>
        <w:tc>
          <w:tcPr>
            <w:tcW w:w="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75.11</w:t>
            </w:r>
          </w:p>
        </w:tc>
        <w:tc>
          <w:tcPr>
            <w:tcW w:w="1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78.53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78</w:t>
            </w:r>
          </w:p>
        </w:tc>
      </w:tr>
      <w:tr>
        <w:trPr>
          <w:trHeight w:val="122"/>
        </w:trPr>
        <w:tc>
          <w:tcPr>
            <w:tcW w:w="13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w w:val="99"/>
              </w:rPr>
              <w:t>Total net asset value</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59"/>
        </w:trPr>
        <w:tc>
          <w:tcPr>
            <w:tcW w:w="13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return</w:t>
            </w:r>
            <w:r>
              <w:rPr>
                <w:rFonts w:ascii="Arial" w:cs="Arial" w:eastAsia="Arial" w:hAnsi="Arial"/>
                <w:sz w:val="11"/>
                <w:szCs w:val="11"/>
                <w:color w:val="auto"/>
              </w:rPr>
              <w:t>(2)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(12.1)%</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2.0%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20"/>
        </w:trPr>
        <w:tc>
          <w:tcPr>
            <w:tcW w:w="1300" w:type="dxa"/>
            <w:vAlign w:val="bottom"/>
          </w:tcPr>
          <w:p>
            <w:pPr>
              <w:spacing w:after="0" w:line="121" w:lineRule="exact"/>
              <w:rPr>
                <w:sz w:val="20"/>
                <w:szCs w:val="20"/>
                <w:color w:val="auto"/>
              </w:rPr>
            </w:pPr>
            <w:r>
              <w:rPr>
                <w:rFonts w:ascii="Arial" w:cs="Arial" w:eastAsia="Arial" w:hAnsi="Arial"/>
                <w:sz w:val="12"/>
                <w:szCs w:val="12"/>
                <w:b w:val="1"/>
                <w:bCs w:val="1"/>
                <w:color w:val="auto"/>
              </w:rPr>
              <w:t>Ratio/Supplemental</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61"/>
        </w:trPr>
        <w:tc>
          <w:tcPr>
            <w:tcW w:w="1300" w:type="dxa"/>
            <w:vAlign w:val="bottom"/>
          </w:tcPr>
          <w:p>
            <w:pPr>
              <w:ind w:left="120"/>
              <w:spacing w:after="0"/>
              <w:rPr>
                <w:sz w:val="20"/>
                <w:szCs w:val="20"/>
                <w:color w:val="auto"/>
              </w:rPr>
            </w:pPr>
            <w:r>
              <w:rPr>
                <w:rFonts w:ascii="Arial" w:cs="Arial" w:eastAsia="Arial" w:hAnsi="Arial"/>
                <w:sz w:val="14"/>
                <w:szCs w:val="14"/>
                <w:b w:val="1"/>
                <w:bCs w:val="1"/>
                <w:color w:val="auto"/>
              </w:rPr>
              <w:t>Data:</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22"/>
        </w:trPr>
        <w:tc>
          <w:tcPr>
            <w:tcW w:w="13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w w:val="88"/>
              </w:rPr>
              <w:t>Per share market value</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41"/>
        </w:trPr>
        <w:tc>
          <w:tcPr>
            <w:tcW w:w="130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rPr>
              <w:t>at beginning of</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59"/>
        </w:trPr>
        <w:tc>
          <w:tcPr>
            <w:tcW w:w="13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period</w:t>
            </w: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21.20</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34.60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34.10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39.80</w:t>
            </w: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40.70</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68.20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80.70</w:t>
            </w: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91.90</w:t>
            </w:r>
          </w:p>
        </w:tc>
        <w:tc>
          <w:tcPr>
            <w:tcW w:w="1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63.10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69</w:t>
            </w:r>
          </w:p>
        </w:tc>
      </w:tr>
      <w:tr>
        <w:trPr>
          <w:trHeight w:val="122"/>
        </w:trPr>
        <w:tc>
          <w:tcPr>
            <w:tcW w:w="1300" w:type="dxa"/>
            <w:vAlign w:val="bottom"/>
          </w:tcPr>
          <w:p>
            <w:pPr>
              <w:spacing w:after="0" w:line="123" w:lineRule="exact"/>
              <w:rPr>
                <w:sz w:val="20"/>
                <w:szCs w:val="20"/>
                <w:color w:val="auto"/>
              </w:rPr>
            </w:pPr>
            <w:r>
              <w:rPr>
                <w:rFonts w:ascii="Arial" w:cs="Arial" w:eastAsia="Arial" w:hAnsi="Arial"/>
                <w:sz w:val="14"/>
                <w:szCs w:val="14"/>
                <w:color w:val="auto"/>
                <w:w w:val="88"/>
              </w:rPr>
              <w:t>Per share market value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59"/>
        </w:trPr>
        <w:tc>
          <w:tcPr>
            <w:tcW w:w="1300" w:type="dxa"/>
            <w:vAlign w:val="bottom"/>
          </w:tcPr>
          <w:p>
            <w:pPr>
              <w:ind w:left="120"/>
              <w:spacing w:after="0" w:line="159" w:lineRule="exact"/>
              <w:rPr>
                <w:sz w:val="20"/>
                <w:szCs w:val="20"/>
                <w:color w:val="auto"/>
              </w:rPr>
            </w:pPr>
            <w:r>
              <w:rPr>
                <w:rFonts w:ascii="Arial" w:cs="Arial" w:eastAsia="Arial" w:hAnsi="Arial"/>
                <w:sz w:val="14"/>
                <w:szCs w:val="14"/>
                <w:color w:val="auto"/>
              </w:rPr>
              <w:t>at end of period</w:t>
            </w: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19.10</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21.20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34.60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34.10</w:t>
            </w:r>
          </w:p>
        </w:tc>
        <w:tc>
          <w:tcPr>
            <w:tcW w:w="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39.80</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40.70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68.20</w:t>
            </w:r>
          </w:p>
        </w:tc>
        <w:tc>
          <w:tcPr>
            <w:tcW w:w="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80.70</w:t>
            </w:r>
          </w:p>
        </w:tc>
        <w:tc>
          <w:tcPr>
            <w:tcW w:w="1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91.90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63</w:t>
            </w:r>
          </w:p>
        </w:tc>
      </w:tr>
      <w:tr>
        <w:trPr>
          <w:trHeight w:val="141"/>
        </w:trPr>
        <w:tc>
          <w:tcPr>
            <w:tcW w:w="13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w w:val="97"/>
              </w:rPr>
              <w:t>Total market return</w:t>
            </w:r>
            <w:r>
              <w:rPr>
                <w:rFonts w:ascii="Arial" w:cs="Arial" w:eastAsia="Arial" w:hAnsi="Arial"/>
                <w:sz w:val="11"/>
                <w:szCs w:val="11"/>
                <w:color w:val="auto"/>
                <w:w w:val="97"/>
              </w:rPr>
              <w:t>(3)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(29.5)%</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(31.2)%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(3.1)%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(0.7)%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60.5%</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22"/>
        </w:trPr>
        <w:tc>
          <w:tcPr>
            <w:tcW w:w="1300" w:type="dxa"/>
            <w:vAlign w:val="bottom"/>
          </w:tcPr>
          <w:p>
            <w:pPr>
              <w:spacing w:after="0" w:line="123" w:lineRule="exact"/>
              <w:rPr>
                <w:sz w:val="20"/>
                <w:szCs w:val="20"/>
                <w:color w:val="auto"/>
              </w:rPr>
            </w:pPr>
            <w:r>
              <w:rPr>
                <w:rFonts w:ascii="Arial" w:cs="Arial" w:eastAsia="Arial" w:hAnsi="Arial"/>
                <w:sz w:val="14"/>
                <w:szCs w:val="14"/>
                <w:color w:val="auto"/>
                <w:w w:val="93"/>
              </w:rPr>
              <w:t>Shares outstanding at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59"/>
        </w:trPr>
        <w:tc>
          <w:tcPr>
            <w:tcW w:w="1300" w:type="dxa"/>
            <w:vAlign w:val="bottom"/>
          </w:tcPr>
          <w:p>
            <w:pPr>
              <w:ind w:left="120"/>
              <w:spacing w:after="0" w:line="159" w:lineRule="exact"/>
              <w:rPr>
                <w:sz w:val="20"/>
                <w:szCs w:val="20"/>
                <w:color w:val="auto"/>
              </w:rPr>
            </w:pPr>
            <w:r>
              <w:rPr>
                <w:rFonts w:ascii="Arial" w:cs="Arial" w:eastAsia="Arial" w:hAnsi="Arial"/>
                <w:sz w:val="14"/>
                <w:szCs w:val="14"/>
                <w:color w:val="auto"/>
              </w:rPr>
              <w:t>end of period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7,516,423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4,482,968</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3,732,685</w:t>
            </w:r>
          </w:p>
        </w:tc>
        <w:tc>
          <w:tcPr>
            <w:tcW w:w="80" w:type="dxa"/>
            <w:vAlign w:val="bottom"/>
          </w:tcPr>
          <w:p>
            <w:pPr>
              <w:spacing w:after="0"/>
              <w:rPr>
                <w:sz w:val="13"/>
                <w:szCs w:val="13"/>
                <w:color w:val="auto"/>
              </w:rPr>
            </w:pPr>
          </w:p>
        </w:tc>
        <w:tc>
          <w:tcPr>
            <w:tcW w:w="88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3,733,922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3,717,829</w:t>
            </w:r>
          </w:p>
        </w:tc>
        <w:tc>
          <w:tcPr>
            <w:tcW w:w="80" w:type="dxa"/>
            <w:vAlign w:val="bottom"/>
          </w:tcPr>
          <w:p>
            <w:pPr>
              <w:spacing w:after="0"/>
              <w:rPr>
                <w:sz w:val="13"/>
                <w:szCs w:val="13"/>
                <w:color w:val="auto"/>
              </w:rPr>
            </w:pP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3,710,001</w:t>
            </w:r>
          </w:p>
        </w:tc>
        <w:tc>
          <w:tcPr>
            <w:tcW w:w="80" w:type="dxa"/>
            <w:vAlign w:val="bottom"/>
          </w:tcPr>
          <w:p>
            <w:pPr>
              <w:spacing w:after="0"/>
              <w:rPr>
                <w:sz w:val="13"/>
                <w:szCs w:val="13"/>
                <w:color w:val="auto"/>
              </w:rPr>
            </w:pP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3,677,513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3,333,212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2,647,041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2,299,2</w:t>
            </w:r>
          </w:p>
        </w:tc>
      </w:tr>
      <w:tr>
        <w:trPr>
          <w:trHeight w:val="122"/>
        </w:trPr>
        <w:tc>
          <w:tcPr>
            <w:tcW w:w="13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Net assets at end of</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59"/>
        </w:trPr>
        <w:tc>
          <w:tcPr>
            <w:tcW w:w="13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period</w:t>
            </w: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7"/>
              </w:rPr>
              <w:t>216,263,863</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4"/>
              </w:rPr>
              <w:t>152,198,570</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w w:val="87"/>
              </w:rPr>
              <w:t>158,021,011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w w:val="84"/>
              </w:rPr>
              <w:t>181,804,576</w:t>
            </w: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7"/>
              </w:rPr>
              <w:t>194,924,925</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w w:val="87"/>
              </w:rPr>
              <w:t>216,100,470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w w:val="84"/>
              </w:rPr>
              <w:t>255,316,701</w:t>
            </w: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w w:val="87"/>
              </w:rPr>
              <w:t>250,369,693</w:t>
            </w:r>
          </w:p>
        </w:tc>
        <w:tc>
          <w:tcPr>
            <w:tcW w:w="1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4"/>
              </w:rPr>
              <w:t>207,875,659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0"/>
              </w:rPr>
              <w:t>180,525,9</w:t>
            </w:r>
          </w:p>
        </w:tc>
      </w:tr>
      <w:tr>
        <w:trPr>
          <w:trHeight w:val="122"/>
        </w:trPr>
        <w:tc>
          <w:tcPr>
            <w:tcW w:w="1300" w:type="dxa"/>
            <w:vAlign w:val="bottom"/>
          </w:tcPr>
          <w:p>
            <w:pPr>
              <w:spacing w:after="0" w:line="123" w:lineRule="exact"/>
              <w:rPr>
                <w:sz w:val="20"/>
                <w:szCs w:val="20"/>
                <w:color w:val="auto"/>
              </w:rPr>
            </w:pPr>
            <w:r>
              <w:rPr>
                <w:rFonts w:ascii="Arial" w:cs="Arial" w:eastAsia="Arial" w:hAnsi="Arial"/>
                <w:sz w:val="14"/>
                <w:szCs w:val="14"/>
                <w:color w:val="auto"/>
              </w:rPr>
              <w:t>Portfolio turnover</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59"/>
        </w:trPr>
        <w:tc>
          <w:tcPr>
            <w:tcW w:w="1300" w:type="dxa"/>
            <w:vAlign w:val="bottom"/>
          </w:tcPr>
          <w:p>
            <w:pPr>
              <w:ind w:left="120"/>
              <w:spacing w:after="0" w:line="159" w:lineRule="exact"/>
              <w:rPr>
                <w:sz w:val="20"/>
                <w:szCs w:val="20"/>
                <w:color w:val="auto"/>
              </w:rPr>
            </w:pPr>
            <w:r>
              <w:rPr>
                <w:rFonts w:ascii="Arial" w:cs="Arial" w:eastAsia="Arial" w:hAnsi="Arial"/>
                <w:sz w:val="14"/>
                <w:szCs w:val="14"/>
                <w:color w:val="auto"/>
              </w:rPr>
              <w:t>rate</w:t>
            </w:r>
            <w:r>
              <w:rPr>
                <w:rFonts w:ascii="Arial" w:cs="Arial" w:eastAsia="Arial" w:hAnsi="Arial"/>
                <w:sz w:val="11"/>
                <w:szCs w:val="11"/>
                <w:color w:val="auto"/>
              </w:rPr>
              <w:t>(5)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55.7%</w:t>
            </w:r>
          </w:p>
        </w:tc>
        <w:tc>
          <w:tcPr>
            <w:tcW w:w="80" w:type="dxa"/>
            <w:vAlign w:val="bottom"/>
          </w:tcPr>
          <w:p>
            <w:pPr>
              <w:spacing w:after="0"/>
              <w:rPr>
                <w:sz w:val="13"/>
                <w:szCs w:val="13"/>
                <w:color w:val="auto"/>
              </w:rPr>
            </w:pPr>
          </w:p>
        </w:tc>
        <w:tc>
          <w:tcPr>
            <w:tcW w:w="9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51.7%</w:t>
            </w:r>
          </w:p>
        </w:tc>
        <w:tc>
          <w:tcPr>
            <w:tcW w:w="60" w:type="dxa"/>
            <w:vAlign w:val="bottom"/>
          </w:tcPr>
          <w:p>
            <w:pPr>
              <w:spacing w:after="0"/>
              <w:rPr>
                <w:sz w:val="13"/>
                <w:szCs w:val="13"/>
                <w:color w:val="auto"/>
              </w:rPr>
            </w:pPr>
          </w:p>
        </w:tc>
        <w:tc>
          <w:tcPr>
            <w:tcW w:w="9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38.3%</w:t>
            </w:r>
          </w:p>
        </w:tc>
        <w:tc>
          <w:tcPr>
            <w:tcW w:w="80" w:type="dxa"/>
            <w:vAlign w:val="bottom"/>
          </w:tcPr>
          <w:p>
            <w:pPr>
              <w:spacing w:after="0"/>
              <w:rPr>
                <w:sz w:val="13"/>
                <w:szCs w:val="13"/>
                <w:color w:val="auto"/>
              </w:rPr>
            </w:pPr>
          </w:p>
        </w:tc>
        <w:tc>
          <w:tcPr>
            <w:tcW w:w="88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100.5%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34.3%</w:t>
            </w:r>
          </w:p>
        </w:tc>
        <w:tc>
          <w:tcPr>
            <w:tcW w:w="80" w:type="dxa"/>
            <w:vAlign w:val="bottom"/>
          </w:tcPr>
          <w:p>
            <w:pPr>
              <w:spacing w:after="0"/>
              <w:rPr>
                <w:sz w:val="13"/>
                <w:szCs w:val="13"/>
                <w:color w:val="auto"/>
              </w:rPr>
            </w:pPr>
          </w:p>
        </w:tc>
        <w:tc>
          <w:tcPr>
            <w:tcW w:w="9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32.5%</w:t>
            </w:r>
          </w:p>
        </w:tc>
        <w:tc>
          <w:tcPr>
            <w:tcW w:w="8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45.8%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45.5%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39.2%</w:t>
            </w:r>
          </w:p>
        </w:tc>
        <w:tc>
          <w:tcPr>
            <w:tcW w:w="8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r>
      <w:tr>
        <w:trPr>
          <w:trHeight w:val="122"/>
        </w:trPr>
        <w:tc>
          <w:tcPr>
            <w:tcW w:w="13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Average par debt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59"/>
        </w:trPr>
        <w:tc>
          <w:tcPr>
            <w:tcW w:w="13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outstanding</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w w:val="87"/>
              </w:rPr>
              <w:t>105,230,252</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w w:val="84"/>
              </w:rPr>
              <w:t>134,020,367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7"/>
              </w:rPr>
              <w:t>189,836,675</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w w:val="87"/>
              </w:rPr>
              <w:t>224,498,433</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w w:val="84"/>
              </w:rPr>
              <w:t>196,622,077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w w:val="87"/>
              </w:rPr>
              <w:t>150,828,586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80,758,743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53,974,0</w:t>
            </w:r>
          </w:p>
        </w:tc>
      </w:tr>
      <w:tr>
        <w:trPr>
          <w:trHeight w:val="141"/>
        </w:trPr>
        <w:tc>
          <w:tcPr>
            <w:tcW w:w="1300" w:type="dxa"/>
            <w:vAlign w:val="bottom"/>
          </w:tcPr>
          <w:p>
            <w:pPr>
              <w:spacing w:after="0" w:line="141" w:lineRule="exact"/>
              <w:rPr>
                <w:sz w:val="20"/>
                <w:szCs w:val="20"/>
                <w:color w:val="auto"/>
              </w:rPr>
            </w:pPr>
            <w:r>
              <w:rPr>
                <w:rFonts w:ascii="Arial" w:cs="Arial" w:eastAsia="Arial" w:hAnsi="Arial"/>
                <w:sz w:val="14"/>
                <w:szCs w:val="14"/>
                <w:color w:val="auto"/>
              </w:rPr>
              <w:t>Asset coverage ratio</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156%</w:t>
            </w: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195%</w:t>
            </w:r>
          </w:p>
        </w:tc>
        <w:tc>
          <w:tcPr>
            <w:tcW w:w="60" w:type="dxa"/>
            <w:vAlign w:val="bottom"/>
          </w:tcPr>
          <w:p>
            <w:pPr>
              <w:spacing w:after="0"/>
              <w:rPr>
                <w:sz w:val="12"/>
                <w:szCs w:val="12"/>
                <w:color w:val="auto"/>
              </w:rPr>
            </w:pPr>
          </w:p>
        </w:tc>
        <w:tc>
          <w:tcPr>
            <w:tcW w:w="94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249%</w:t>
            </w:r>
          </w:p>
        </w:tc>
        <w:tc>
          <w:tcPr>
            <w:tcW w:w="80" w:type="dxa"/>
            <w:vAlign w:val="bottom"/>
          </w:tcPr>
          <w:p>
            <w:pPr>
              <w:spacing w:after="0"/>
              <w:rPr>
                <w:sz w:val="12"/>
                <w:szCs w:val="12"/>
                <w:color w:val="auto"/>
              </w:rPr>
            </w:pPr>
          </w:p>
        </w:tc>
        <w:tc>
          <w:tcPr>
            <w:tcW w:w="880" w:type="dxa"/>
            <w:vAlign w:val="bottom"/>
            <w:gridSpan w:val="2"/>
          </w:tcPr>
          <w:p>
            <w:pPr>
              <w:jc w:val="right"/>
              <w:ind w:right="12"/>
              <w:spacing w:after="0" w:line="141" w:lineRule="exact"/>
              <w:rPr>
                <w:sz w:val="20"/>
                <w:szCs w:val="20"/>
                <w:color w:val="auto"/>
              </w:rPr>
            </w:pPr>
            <w:r>
              <w:rPr>
                <w:rFonts w:ascii="Arial" w:cs="Arial" w:eastAsia="Arial" w:hAnsi="Arial"/>
                <w:sz w:val="14"/>
                <w:szCs w:val="14"/>
                <w:color w:val="auto"/>
              </w:rPr>
              <w:t>271%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205%</w:t>
            </w: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202%</w:t>
            </w:r>
          </w:p>
        </w:tc>
        <w:tc>
          <w:tcPr>
            <w:tcW w:w="80" w:type="dxa"/>
            <w:vAlign w:val="bottom"/>
          </w:tcPr>
          <w:p>
            <w:pPr>
              <w:spacing w:after="0"/>
              <w:rPr>
                <w:sz w:val="12"/>
                <w:szCs w:val="12"/>
                <w:color w:val="auto"/>
              </w:rPr>
            </w:pPr>
          </w:p>
        </w:tc>
        <w:tc>
          <w:tcPr>
            <w:tcW w:w="88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211%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226%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305%</w:t>
            </w:r>
          </w:p>
        </w:tc>
        <w:tc>
          <w:tcPr>
            <w:tcW w:w="80" w:type="dxa"/>
            <w:vAlign w:val="bottom"/>
          </w:tcPr>
          <w:p>
            <w:pPr>
              <w:spacing w:after="0"/>
              <w:rPr>
                <w:sz w:val="12"/>
                <w:szCs w:val="12"/>
                <w:color w:val="auto"/>
              </w:rPr>
            </w:pPr>
          </w:p>
        </w:tc>
        <w:tc>
          <w:tcPr>
            <w:tcW w:w="520" w:type="dxa"/>
            <w:vAlign w:val="bottom"/>
          </w:tcPr>
          <w:p>
            <w:pPr>
              <w:jc w:val="right"/>
              <w:spacing w:after="0" w:line="141" w:lineRule="exact"/>
              <w:rPr>
                <w:sz w:val="20"/>
                <w:szCs w:val="20"/>
                <w:color w:val="auto"/>
              </w:rPr>
            </w:pPr>
            <w:r>
              <w:rPr>
                <w:rFonts w:ascii="Arial" w:cs="Arial" w:eastAsia="Arial" w:hAnsi="Arial"/>
                <w:sz w:val="14"/>
                <w:szCs w:val="14"/>
                <w:color w:val="auto"/>
              </w:rPr>
              <w:t>4</w:t>
            </w:r>
          </w:p>
        </w:tc>
      </w:tr>
      <w:tr>
        <w:trPr>
          <w:trHeight w:val="122"/>
        </w:trPr>
        <w:tc>
          <w:tcPr>
            <w:tcW w:w="13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w w:val="89"/>
              </w:rPr>
              <w:t>Ratio of net investment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41"/>
        </w:trPr>
        <w:tc>
          <w:tcPr>
            <w:tcW w:w="130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rPr>
              <w:t>income to average</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1"/>
        </w:trPr>
        <w:tc>
          <w:tcPr>
            <w:tcW w:w="130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rPr>
              <w:t>net assets</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59"/>
        </w:trPr>
        <w:tc>
          <w:tcPr>
            <w:tcW w:w="13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(annualized)</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5.8%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9.8%</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22"/>
        </w:trPr>
        <w:tc>
          <w:tcPr>
            <w:tcW w:w="1300" w:type="dxa"/>
            <w:vAlign w:val="bottom"/>
          </w:tcPr>
          <w:p>
            <w:pPr>
              <w:spacing w:after="0" w:line="123" w:lineRule="exact"/>
              <w:rPr>
                <w:sz w:val="20"/>
                <w:szCs w:val="20"/>
                <w:color w:val="auto"/>
              </w:rPr>
            </w:pPr>
            <w:r>
              <w:rPr>
                <w:rFonts w:ascii="Arial" w:cs="Arial" w:eastAsia="Arial" w:hAnsi="Arial"/>
                <w:sz w:val="14"/>
                <w:szCs w:val="14"/>
                <w:color w:val="auto"/>
                <w:w w:val="89"/>
              </w:rPr>
              <w:t>Ratio of total expenses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1"/>
        </w:trPr>
        <w:tc>
          <w:tcPr>
            <w:tcW w:w="1300" w:type="dxa"/>
            <w:vAlign w:val="bottom"/>
          </w:tcPr>
          <w:p>
            <w:pPr>
              <w:ind w:left="120"/>
              <w:spacing w:after="0" w:line="141" w:lineRule="exact"/>
              <w:rPr>
                <w:sz w:val="20"/>
                <w:szCs w:val="20"/>
                <w:color w:val="auto"/>
              </w:rPr>
            </w:pPr>
            <w:r>
              <w:rPr>
                <w:rFonts w:ascii="Arial" w:cs="Arial" w:eastAsia="Arial" w:hAnsi="Arial"/>
                <w:sz w:val="14"/>
                <w:szCs w:val="14"/>
                <w:color w:val="auto"/>
                <w:w w:val="86"/>
              </w:rPr>
              <w:t>to average net assets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59"/>
        </w:trPr>
        <w:tc>
          <w:tcPr>
            <w:tcW w:w="1300" w:type="dxa"/>
            <w:vAlign w:val="bottom"/>
          </w:tcPr>
          <w:p>
            <w:pPr>
              <w:ind w:left="120"/>
              <w:spacing w:after="0" w:line="159" w:lineRule="exact"/>
              <w:rPr>
                <w:sz w:val="20"/>
                <w:szCs w:val="20"/>
                <w:color w:val="auto"/>
              </w:rPr>
            </w:pPr>
            <w:r>
              <w:rPr>
                <w:rFonts w:ascii="Arial" w:cs="Arial" w:eastAsia="Arial" w:hAnsi="Arial"/>
                <w:sz w:val="14"/>
                <w:szCs w:val="14"/>
                <w:color w:val="auto"/>
              </w:rPr>
              <w:t>(annualized)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14.0%</w:t>
            </w:r>
          </w:p>
        </w:tc>
        <w:tc>
          <w:tcPr>
            <w:tcW w:w="80" w:type="dxa"/>
            <w:vAlign w:val="bottom"/>
          </w:tcPr>
          <w:p>
            <w:pPr>
              <w:spacing w:after="0"/>
              <w:rPr>
                <w:sz w:val="13"/>
                <w:szCs w:val="13"/>
                <w:color w:val="auto"/>
              </w:rPr>
            </w:pPr>
          </w:p>
        </w:tc>
        <w:tc>
          <w:tcPr>
            <w:tcW w:w="9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15.1%</w:t>
            </w:r>
          </w:p>
        </w:tc>
        <w:tc>
          <w:tcPr>
            <w:tcW w:w="60" w:type="dxa"/>
            <w:vAlign w:val="bottom"/>
          </w:tcPr>
          <w:p>
            <w:pPr>
              <w:spacing w:after="0"/>
              <w:rPr>
                <w:sz w:val="13"/>
                <w:szCs w:val="13"/>
                <w:color w:val="auto"/>
              </w:rPr>
            </w:pPr>
          </w:p>
        </w:tc>
        <w:tc>
          <w:tcPr>
            <w:tcW w:w="9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10.1%</w:t>
            </w:r>
          </w:p>
        </w:tc>
        <w:tc>
          <w:tcPr>
            <w:tcW w:w="80" w:type="dxa"/>
            <w:vAlign w:val="bottom"/>
          </w:tcPr>
          <w:p>
            <w:pPr>
              <w:spacing w:after="0"/>
              <w:rPr>
                <w:sz w:val="13"/>
                <w:szCs w:val="13"/>
                <w:color w:val="auto"/>
              </w:rPr>
            </w:pPr>
          </w:p>
        </w:tc>
        <w:tc>
          <w:tcPr>
            <w:tcW w:w="88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9.2%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8.6%</w:t>
            </w:r>
          </w:p>
        </w:tc>
        <w:tc>
          <w:tcPr>
            <w:tcW w:w="80" w:type="dxa"/>
            <w:vAlign w:val="bottom"/>
          </w:tcPr>
          <w:p>
            <w:pPr>
              <w:spacing w:after="0"/>
              <w:rPr>
                <w:sz w:val="13"/>
                <w:szCs w:val="13"/>
                <w:color w:val="auto"/>
              </w:rPr>
            </w:pPr>
          </w:p>
        </w:tc>
        <w:tc>
          <w:tcPr>
            <w:tcW w:w="9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8.6%</w:t>
            </w:r>
          </w:p>
        </w:tc>
        <w:tc>
          <w:tcPr>
            <w:tcW w:w="8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7.2%</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22"/>
        </w:trPr>
        <w:tc>
          <w:tcPr>
            <w:tcW w:w="13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Ratio of interest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41"/>
        </w:trPr>
        <w:tc>
          <w:tcPr>
            <w:tcW w:w="130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w w:val="94"/>
              </w:rPr>
              <w:t>expense to average</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1"/>
        </w:trPr>
        <w:tc>
          <w:tcPr>
            <w:tcW w:w="130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rPr>
              <w:t>net assets</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59"/>
        </w:trPr>
        <w:tc>
          <w:tcPr>
            <w:tcW w:w="13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(annualized)</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5.3%</w:t>
            </w: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4.1%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22"/>
        </w:trPr>
        <w:tc>
          <w:tcPr>
            <w:tcW w:w="1300" w:type="dxa"/>
            <w:vAlign w:val="bottom"/>
          </w:tcPr>
          <w:p>
            <w:pPr>
              <w:spacing w:after="0" w:line="123" w:lineRule="exact"/>
              <w:rPr>
                <w:sz w:val="20"/>
                <w:szCs w:val="20"/>
                <w:color w:val="auto"/>
              </w:rPr>
            </w:pPr>
            <w:r>
              <w:rPr>
                <w:rFonts w:ascii="Arial" w:cs="Arial" w:eastAsia="Arial" w:hAnsi="Arial"/>
                <w:sz w:val="14"/>
                <w:szCs w:val="14"/>
                <w:color w:val="auto"/>
              </w:rPr>
              <w:t>Ratio of non-interest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1"/>
        </w:trPr>
        <w:tc>
          <w:tcPr>
            <w:tcW w:w="1300" w:type="dxa"/>
            <w:vAlign w:val="bottom"/>
          </w:tcPr>
          <w:p>
            <w:pPr>
              <w:ind w:left="120"/>
              <w:spacing w:after="0" w:line="141" w:lineRule="exact"/>
              <w:rPr>
                <w:sz w:val="20"/>
                <w:szCs w:val="20"/>
                <w:color w:val="auto"/>
              </w:rPr>
            </w:pPr>
            <w:r>
              <w:rPr>
                <w:rFonts w:ascii="Arial" w:cs="Arial" w:eastAsia="Arial" w:hAnsi="Arial"/>
                <w:sz w:val="14"/>
                <w:szCs w:val="14"/>
                <w:color w:val="auto"/>
                <w:w w:val="89"/>
              </w:rPr>
              <w:t>expenses to average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1"/>
        </w:trPr>
        <w:tc>
          <w:tcPr>
            <w:tcW w:w="1300" w:type="dxa"/>
            <w:vAlign w:val="bottom"/>
          </w:tcPr>
          <w:p>
            <w:pPr>
              <w:ind w:left="120"/>
              <w:spacing w:after="0" w:line="141" w:lineRule="exact"/>
              <w:rPr>
                <w:sz w:val="20"/>
                <w:szCs w:val="20"/>
                <w:color w:val="auto"/>
              </w:rPr>
            </w:pPr>
            <w:r>
              <w:rPr>
                <w:rFonts w:ascii="Arial" w:cs="Arial" w:eastAsia="Arial" w:hAnsi="Arial"/>
                <w:sz w:val="14"/>
                <w:szCs w:val="14"/>
                <w:color w:val="auto"/>
              </w:rPr>
              <w:t>net assets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3"/>
        </w:trPr>
        <w:tc>
          <w:tcPr>
            <w:tcW w:w="1300" w:type="dxa"/>
            <w:vAlign w:val="bottom"/>
          </w:tcPr>
          <w:p>
            <w:pPr>
              <w:ind w:left="120"/>
              <w:spacing w:after="0"/>
              <w:rPr>
                <w:sz w:val="20"/>
                <w:szCs w:val="20"/>
                <w:color w:val="auto"/>
              </w:rPr>
            </w:pPr>
            <w:r>
              <w:rPr>
                <w:rFonts w:ascii="Arial" w:cs="Arial" w:eastAsia="Arial" w:hAnsi="Arial"/>
                <w:sz w:val="14"/>
                <w:szCs w:val="14"/>
                <w:color w:val="auto"/>
              </w:rPr>
              <w:t>(annualized)</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9.8%</w:t>
            </w:r>
          </w:p>
        </w:tc>
        <w:tc>
          <w:tcPr>
            <w:tcW w:w="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5"/>
                <w:szCs w:val="15"/>
                <w:color w:val="auto"/>
              </w:rPr>
            </w:pPr>
          </w:p>
        </w:tc>
        <w:tc>
          <w:tcPr>
            <w:tcW w:w="880" w:type="dxa"/>
            <w:vAlign w:val="bottom"/>
            <w:gridSpan w:val="2"/>
          </w:tcPr>
          <w:p>
            <w:pPr>
              <w:jc w:val="right"/>
              <w:ind w:right="12"/>
              <w:spacing w:after="0"/>
              <w:rPr>
                <w:sz w:val="20"/>
                <w:szCs w:val="20"/>
                <w:color w:val="auto"/>
              </w:rPr>
            </w:pPr>
            <w:r>
              <w:rPr>
                <w:rFonts w:ascii="Arial" w:cs="Arial" w:eastAsia="Arial" w:hAnsi="Arial"/>
                <w:sz w:val="14"/>
                <w:szCs w:val="14"/>
                <w:color w:val="auto"/>
              </w:rPr>
              <w:t>5.1%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3.7%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bl>
    <w:p>
      <w:pPr>
        <w:spacing w:after="0" w:line="189" w:lineRule="exact"/>
        <w:rPr>
          <w:sz w:val="20"/>
          <w:szCs w:val="20"/>
          <w:color w:val="auto"/>
        </w:rPr>
      </w:pPr>
    </w:p>
    <w:p>
      <w:pPr>
        <w:ind w:left="820" w:hanging="409"/>
        <w:spacing w:after="0"/>
        <w:tabs>
          <w:tab w:leader="none" w:pos="8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weighted average number of common shares outstanding for the period.</w:t>
      </w:r>
    </w:p>
    <w:p>
      <w:pPr>
        <w:ind w:left="820" w:right="660" w:hanging="409"/>
        <w:spacing w:after="0" w:line="209" w:lineRule="auto"/>
        <w:tabs>
          <w:tab w:leader="none" w:pos="8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Total net asset value return (not annualized) equals the change in the net asset value per share over the beginning of period net asset value per share plus distributions, divided by the beginning net asset value per share.</w:t>
      </w:r>
    </w:p>
    <w:p>
      <w:pPr>
        <w:ind w:left="820" w:hanging="409"/>
        <w:spacing w:after="0" w:line="209" w:lineRule="auto"/>
        <w:tabs>
          <w:tab w:leader="none" w:pos="8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Total market return equals the change in the ending market price over the beginning of period price per share plus distributions, divided by the beginning price.</w:t>
      </w:r>
    </w:p>
    <w:p>
      <w:pPr>
        <w:ind w:left="820" w:hanging="409"/>
        <w:spacing w:after="0" w:line="209" w:lineRule="auto"/>
        <w:tabs>
          <w:tab w:leader="none" w:pos="8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Not annualized. Portfolio turnover rate equals the year-to-date sales and paydowns over the average of the invested assets at fair value.</w:t>
      </w:r>
    </w:p>
    <w:p>
      <w:pPr>
        <w:ind w:left="820" w:hanging="409"/>
        <w:spacing w:after="0"/>
        <w:tabs>
          <w:tab w:leader="none" w:pos="8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Annualized</w:t>
      </w:r>
    </w:p>
    <w:p>
      <w:pPr>
        <w:spacing w:after="0" w:line="11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320" w:top="443"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RISK FACTORS</w:t>
      </w:r>
    </w:p>
    <w:p>
      <w:pPr>
        <w:spacing w:after="0" w:line="217" w:lineRule="exact"/>
        <w:rPr>
          <w:sz w:val="20"/>
          <w:szCs w:val="20"/>
          <w:color w:val="auto"/>
        </w:rPr>
      </w:pPr>
    </w:p>
    <w:p>
      <w:pPr>
        <w:ind w:left="420" w:firstLine="417"/>
        <w:spacing w:after="0" w:line="290" w:lineRule="auto"/>
        <w:rPr>
          <w:sz w:val="20"/>
          <w:szCs w:val="20"/>
          <w:color w:val="auto"/>
        </w:rPr>
      </w:pPr>
      <w:r>
        <w:rPr>
          <w:rFonts w:ascii="Arial" w:cs="Arial" w:eastAsia="Arial" w:hAnsi="Arial"/>
          <w:sz w:val="15"/>
          <w:szCs w:val="15"/>
          <w:color w:val="auto"/>
        </w:rPr>
        <w:t>Investing in our shares of common stock involves a high degree of risk. Before deciding whether to invest in our shares of common stock you should carefully consider the risks and uncertainties described in the section titled “Risk Factors” in the applicable prospectus supplement and any related free writing prospectus, and discussed in the section titled “Risk Factors” in our most recent Annual Report on Form 10-K, our subsequently filed Quarterly Reports on Form 10-Q, and any subsequent filings we have made with the SEC that are incorporated by reference into this prospectus, together with other information in this prospectus, the documents incorporated by reference, and any free writing prospectus that we may authorize for use in connection with this offering. The risks described in these documents are not the only ones we face. Additional risks and uncertainties that we are unaware of, or that we currently believe are not material, may also become important factors that adversely affect our business. Past financial performance may not be a reliable indicator of future performance, and historical trends should not be used to anticipate results or trends in future periods. If any of these risks actually occurs, our business, reputation, financial condition, results of operations, revenue, and future prospects could be seriously harmed. This could cause our net asset value and the trading price of our shares of common stock to decline, resulting in a loss of all or part of your investment. Please also read carefully the section titled “Cautionary Statement Regarding Forward-Looking Statements.”</w:t>
      </w:r>
    </w:p>
    <w:p>
      <w:pPr>
        <w:spacing w:after="0" w:line="36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MANAGEMENT’S DISCUSSION AND ANALYSIS OF FINANCIAL CONDITION AND</w:t>
      </w:r>
    </w:p>
    <w:p>
      <w:pPr>
        <w:spacing w:after="0" w:line="2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RESULTS OF OPERATIONS</w:t>
      </w:r>
    </w:p>
    <w:p>
      <w:pPr>
        <w:spacing w:after="0" w:line="202" w:lineRule="exact"/>
        <w:rPr>
          <w:sz w:val="20"/>
          <w:szCs w:val="20"/>
          <w:color w:val="auto"/>
        </w:rPr>
      </w:pPr>
    </w:p>
    <w:p>
      <w:pPr>
        <w:jc w:val="both"/>
        <w:ind w:left="420" w:firstLine="417"/>
        <w:spacing w:after="0" w:line="263" w:lineRule="auto"/>
        <w:rPr>
          <w:sz w:val="20"/>
          <w:szCs w:val="20"/>
          <w:color w:val="auto"/>
        </w:rPr>
      </w:pPr>
      <w:r>
        <w:rPr>
          <w:rFonts w:ascii="Arial" w:cs="Arial" w:eastAsia="Arial" w:hAnsi="Arial"/>
          <w:sz w:val="17"/>
          <w:szCs w:val="17"/>
          <w:color w:val="auto"/>
        </w:rPr>
        <w:t>The information in “Item 7. Management’s Discussion and Analysis of Financial Condition and Results of Operations” of our most recent Annual Report on Form 10-K and the information in “Part I, Item 2. Management’s Discussion and Analysis of Financial Condition and Results of Operations” of our most recent Quarterly Report on Form 10-Q is incorporated by reference herein.</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780"/>
          </w:cols>
          <w:pgMar w:left="320" w:top="443" w:right="79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17" w:lineRule="exact"/>
        <w:rPr>
          <w:sz w:val="20"/>
          <w:szCs w:val="20"/>
          <w:color w:val="auto"/>
        </w:rPr>
      </w:pPr>
    </w:p>
    <w:p>
      <w:pPr>
        <w:ind w:left="420" w:firstLine="417"/>
        <w:spacing w:after="0" w:line="271" w:lineRule="auto"/>
        <w:rPr>
          <w:sz w:val="20"/>
          <w:szCs w:val="20"/>
          <w:color w:val="auto"/>
        </w:rPr>
      </w:pPr>
      <w:r>
        <w:rPr>
          <w:rFonts w:ascii="Arial" w:cs="Arial" w:eastAsia="Arial" w:hAnsi="Arial"/>
          <w:sz w:val="16"/>
          <w:szCs w:val="16"/>
          <w:color w:val="auto"/>
        </w:rPr>
        <w:t>This prospectus, including the documents that we incorporate by reference herein, contains, and any applicable prospectus supplement or free writing prospectus, including the documents we incorporate by reference therein, may contain forward-looking statements, including statements regarding our future financial condition, business strategy, and plans and objectives of management for future operations. We generally identify forward-looking statements by terminology such as “may,” “will,” “should,” “expect,” “plan,” “anticipate,” “could,” “intend,” “target,” “project,” “contemplate,” “believe,” “estimate,” “predict,” “potential,” or “continue” or the negative of these terms or other similar words, although not all forward-looking statements include these words. Important assumptions include our ability to originate new investments, achieve certain margins and levels of profitability, the availability of additional capital, our ability to successfully and profitably integrate acquired assets and companies, and the ability to maintain certain debt to asset ratios. In light of these and other uncertainties, the inclusion of a projection or forward-looking statement in this prospectus, should not be regarded as a representation by us that our plans or objectives will be achieved.</w:t>
      </w:r>
    </w:p>
    <w:p>
      <w:pPr>
        <w:spacing w:after="0" w:line="175" w:lineRule="exact"/>
        <w:rPr>
          <w:sz w:val="20"/>
          <w:szCs w:val="20"/>
          <w:color w:val="auto"/>
        </w:rPr>
      </w:pPr>
    </w:p>
    <w:p>
      <w:pPr>
        <w:ind w:left="420" w:right="480" w:firstLine="417"/>
        <w:spacing w:after="0" w:line="275" w:lineRule="auto"/>
        <w:rPr>
          <w:sz w:val="20"/>
          <w:szCs w:val="20"/>
          <w:color w:val="auto"/>
        </w:rPr>
      </w:pPr>
      <w:r>
        <w:rPr>
          <w:rFonts w:ascii="Arial" w:cs="Arial" w:eastAsia="Arial" w:hAnsi="Arial"/>
          <w:sz w:val="17"/>
          <w:szCs w:val="17"/>
          <w:color w:val="auto"/>
        </w:rPr>
        <w:t>The forward-looking statements contained or incorporated by reference in this prospectus and any applicable prospectus supplement or free writing prospectus may include statements as to:</w:t>
      </w:r>
    </w:p>
    <w:p>
      <w:pPr>
        <w:spacing w:after="0" w:line="76" w:lineRule="exact"/>
        <w:rPr>
          <w:sz w:val="20"/>
          <w:szCs w:val="20"/>
          <w:color w:val="auto"/>
        </w:rPr>
      </w:pPr>
    </w:p>
    <w:p>
      <w:pPr>
        <w:ind w:left="1340" w:hanging="4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future operating results;</w:t>
      </w:r>
    </w:p>
    <w:p>
      <w:pPr>
        <w:spacing w:after="0" w:line="123" w:lineRule="exact"/>
        <w:rPr>
          <w:rFonts w:ascii="Arial" w:cs="Arial" w:eastAsia="Arial" w:hAnsi="Arial"/>
          <w:sz w:val="17"/>
          <w:szCs w:val="17"/>
          <w:color w:val="auto"/>
        </w:rPr>
      </w:pPr>
    </w:p>
    <w:p>
      <w:pPr>
        <w:ind w:left="1340" w:hanging="4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business prospects and the prospects of our existing and prospective portfolio companies;</w:t>
      </w:r>
    </w:p>
    <w:p>
      <w:pPr>
        <w:spacing w:after="0" w:line="123" w:lineRule="exact"/>
        <w:rPr>
          <w:rFonts w:ascii="Arial" w:cs="Arial" w:eastAsia="Arial" w:hAnsi="Arial"/>
          <w:sz w:val="17"/>
          <w:szCs w:val="17"/>
          <w:color w:val="auto"/>
        </w:rPr>
      </w:pPr>
    </w:p>
    <w:p>
      <w:pPr>
        <w:ind w:left="1340" w:hanging="4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return or impact of current and future investments;</w:t>
      </w:r>
    </w:p>
    <w:p>
      <w:pPr>
        <w:spacing w:after="0" w:line="123" w:lineRule="exact"/>
        <w:rPr>
          <w:rFonts w:ascii="Arial" w:cs="Arial" w:eastAsia="Arial" w:hAnsi="Arial"/>
          <w:sz w:val="17"/>
          <w:szCs w:val="17"/>
          <w:color w:val="auto"/>
        </w:rPr>
      </w:pPr>
    </w:p>
    <w:p>
      <w:pPr>
        <w:ind w:left="1340" w:hanging="4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contractual arrangements and other relationships with third parties;</w:t>
      </w:r>
    </w:p>
    <w:p>
      <w:pPr>
        <w:spacing w:after="0" w:line="123" w:lineRule="exact"/>
        <w:rPr>
          <w:rFonts w:ascii="Arial" w:cs="Arial" w:eastAsia="Arial" w:hAnsi="Arial"/>
          <w:sz w:val="17"/>
          <w:szCs w:val="17"/>
          <w:color w:val="auto"/>
        </w:rPr>
      </w:pPr>
    </w:p>
    <w:p>
      <w:pPr>
        <w:ind w:left="1340" w:hanging="4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3" w:lineRule="exact"/>
        <w:rPr>
          <w:rFonts w:ascii="Arial" w:cs="Arial" w:eastAsia="Arial" w:hAnsi="Arial"/>
          <w:sz w:val="17"/>
          <w:szCs w:val="17"/>
          <w:color w:val="auto"/>
        </w:rPr>
      </w:pPr>
    </w:p>
    <w:p>
      <w:pPr>
        <w:ind w:left="1340" w:hanging="4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financial condition and ability of our existing and prospective portfolio companies to achieve their objectives;</w:t>
      </w:r>
    </w:p>
    <w:p>
      <w:pPr>
        <w:spacing w:after="0" w:line="123" w:lineRule="exact"/>
        <w:rPr>
          <w:rFonts w:ascii="Arial" w:cs="Arial" w:eastAsia="Arial" w:hAnsi="Arial"/>
          <w:sz w:val="17"/>
          <w:szCs w:val="17"/>
          <w:color w:val="auto"/>
        </w:rPr>
      </w:pPr>
    </w:p>
    <w:p>
      <w:pPr>
        <w:ind w:left="1340" w:hanging="4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expected financings and investments;</w:t>
      </w:r>
    </w:p>
    <w:p>
      <w:pPr>
        <w:spacing w:after="0" w:line="123" w:lineRule="exact"/>
        <w:rPr>
          <w:rFonts w:ascii="Arial" w:cs="Arial" w:eastAsia="Arial" w:hAnsi="Arial"/>
          <w:sz w:val="17"/>
          <w:szCs w:val="17"/>
          <w:color w:val="auto"/>
        </w:rPr>
      </w:pPr>
    </w:p>
    <w:p>
      <w:pPr>
        <w:ind w:left="1340" w:hanging="4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regulatory structure and tax treatment;</w:t>
      </w:r>
    </w:p>
    <w:p>
      <w:pPr>
        <w:spacing w:after="0" w:line="123" w:lineRule="exact"/>
        <w:rPr>
          <w:rFonts w:ascii="Arial" w:cs="Arial" w:eastAsia="Arial" w:hAnsi="Arial"/>
          <w:sz w:val="17"/>
          <w:szCs w:val="17"/>
          <w:color w:val="auto"/>
        </w:rPr>
      </w:pPr>
    </w:p>
    <w:p>
      <w:pPr>
        <w:ind w:left="1340" w:right="60" w:hanging="418"/>
        <w:spacing w:after="0" w:line="275" w:lineRule="auto"/>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operate as a business development company and a regulated investment company, including the impact of changes in laws or regulations governing our operations or the operations of our portfolio companies;</w:t>
      </w:r>
    </w:p>
    <w:p>
      <w:pPr>
        <w:spacing w:after="0" w:line="75" w:lineRule="exact"/>
        <w:rPr>
          <w:rFonts w:ascii="Arial" w:cs="Arial" w:eastAsia="Arial" w:hAnsi="Arial"/>
          <w:sz w:val="17"/>
          <w:szCs w:val="17"/>
          <w:color w:val="auto"/>
        </w:rPr>
      </w:pPr>
    </w:p>
    <w:p>
      <w:pPr>
        <w:ind w:left="1340" w:hanging="4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adequacy of our cash resources and working capital;</w:t>
      </w:r>
    </w:p>
    <w:p>
      <w:pPr>
        <w:spacing w:after="0" w:line="123" w:lineRule="exact"/>
        <w:rPr>
          <w:rFonts w:ascii="Arial" w:cs="Arial" w:eastAsia="Arial" w:hAnsi="Arial"/>
          <w:sz w:val="17"/>
          <w:szCs w:val="17"/>
          <w:color w:val="auto"/>
        </w:rPr>
      </w:pPr>
    </w:p>
    <w:p>
      <w:pPr>
        <w:ind w:left="1340" w:hanging="4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of cash flows, if any, from the operations of our portfolio companies;</w:t>
      </w:r>
    </w:p>
    <w:p>
      <w:pPr>
        <w:spacing w:after="0" w:line="123" w:lineRule="exact"/>
        <w:rPr>
          <w:rFonts w:ascii="Arial" w:cs="Arial" w:eastAsia="Arial" w:hAnsi="Arial"/>
          <w:sz w:val="17"/>
          <w:szCs w:val="17"/>
          <w:color w:val="auto"/>
        </w:rPr>
      </w:pPr>
    </w:p>
    <w:p>
      <w:pPr>
        <w:ind w:left="1340" w:hanging="4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impact of a protracted decline in the liquidity of credit markets on our business;</w:t>
      </w:r>
    </w:p>
    <w:p>
      <w:pPr>
        <w:spacing w:after="0" w:line="123" w:lineRule="exact"/>
        <w:rPr>
          <w:rFonts w:ascii="Arial" w:cs="Arial" w:eastAsia="Arial" w:hAnsi="Arial"/>
          <w:sz w:val="17"/>
          <w:szCs w:val="17"/>
          <w:color w:val="auto"/>
        </w:rPr>
      </w:pPr>
    </w:p>
    <w:p>
      <w:pPr>
        <w:ind w:left="1340" w:hanging="4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impact of fluctuations in interest rates on our business;</w:t>
      </w:r>
    </w:p>
    <w:p>
      <w:pPr>
        <w:spacing w:after="0" w:line="123" w:lineRule="exact"/>
        <w:rPr>
          <w:rFonts w:ascii="Arial" w:cs="Arial" w:eastAsia="Arial" w:hAnsi="Arial"/>
          <w:sz w:val="17"/>
          <w:szCs w:val="17"/>
          <w:color w:val="auto"/>
        </w:rPr>
      </w:pPr>
    </w:p>
    <w:p>
      <w:pPr>
        <w:ind w:left="1340" w:hanging="4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valuation of our investments in portfolio companies, particularly those having no liquid trading market;</w:t>
      </w:r>
    </w:p>
    <w:p>
      <w:pPr>
        <w:spacing w:after="0" w:line="123" w:lineRule="exact"/>
        <w:rPr>
          <w:rFonts w:ascii="Arial" w:cs="Arial" w:eastAsia="Arial" w:hAnsi="Arial"/>
          <w:sz w:val="17"/>
          <w:szCs w:val="17"/>
          <w:color w:val="auto"/>
        </w:rPr>
      </w:pPr>
    </w:p>
    <w:p>
      <w:pPr>
        <w:ind w:left="1340" w:hanging="4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recover unrealized losses;</w:t>
      </w:r>
    </w:p>
    <w:p>
      <w:pPr>
        <w:spacing w:after="0" w:line="123" w:lineRule="exact"/>
        <w:rPr>
          <w:rFonts w:ascii="Arial" w:cs="Arial" w:eastAsia="Arial" w:hAnsi="Arial"/>
          <w:sz w:val="17"/>
          <w:szCs w:val="17"/>
          <w:color w:val="auto"/>
        </w:rPr>
      </w:pPr>
    </w:p>
    <w:p>
      <w:pPr>
        <w:ind w:left="1340" w:hanging="4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market conditions and our ability to access additional capital; and</w:t>
      </w:r>
    </w:p>
    <w:p>
      <w:pPr>
        <w:spacing w:after="0" w:line="123" w:lineRule="exact"/>
        <w:rPr>
          <w:rFonts w:ascii="Arial" w:cs="Arial" w:eastAsia="Arial" w:hAnsi="Arial"/>
          <w:sz w:val="17"/>
          <w:szCs w:val="17"/>
          <w:color w:val="auto"/>
        </w:rPr>
      </w:pPr>
    </w:p>
    <w:p>
      <w:pPr>
        <w:ind w:left="1340" w:hanging="4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form and amount of any dividend distributions.</w:t>
      </w:r>
    </w:p>
    <w:p>
      <w:pPr>
        <w:spacing w:after="0" w:line="14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820"/>
          </w:cols>
          <w:pgMar w:left="320" w:top="443" w:right="7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20" w:firstLine="417"/>
        <w:spacing w:after="0" w:line="255" w:lineRule="auto"/>
        <w:rPr>
          <w:sz w:val="20"/>
          <w:szCs w:val="20"/>
          <w:color w:val="auto"/>
        </w:rPr>
      </w:pPr>
      <w:r>
        <w:rPr>
          <w:rFonts w:ascii="Arial" w:cs="Arial" w:eastAsia="Arial" w:hAnsi="Arial"/>
          <w:sz w:val="17"/>
          <w:szCs w:val="17"/>
          <w:color w:val="auto"/>
        </w:rPr>
        <w:t>We have based the forward-looking statements included in this prospectus and will base the forward-looking statements included in any accompanying prospectus supplement on information available to us on the date of this prospectus and any accompanying prospectus supplement, as appropriate, and we assume no obligation to update any such forward-looking statements, except as required by law. These statements are inherently uncertain and investors are cautioned not to unduly rely on these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1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820"/>
          </w:cols>
          <w:pgMar w:left="320" w:top="443" w:right="75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USE OF PROCEEDS</w:t>
      </w:r>
    </w:p>
    <w:p>
      <w:pPr>
        <w:spacing w:after="0" w:line="217" w:lineRule="exact"/>
        <w:rPr>
          <w:sz w:val="20"/>
          <w:szCs w:val="20"/>
          <w:color w:val="auto"/>
        </w:rPr>
      </w:pPr>
    </w:p>
    <w:p>
      <w:pPr>
        <w:ind w:left="420" w:firstLine="417"/>
        <w:spacing w:after="0" w:line="287" w:lineRule="auto"/>
        <w:rPr>
          <w:sz w:val="20"/>
          <w:szCs w:val="20"/>
          <w:color w:val="auto"/>
        </w:rPr>
      </w:pPr>
      <w:r>
        <w:rPr>
          <w:rFonts w:ascii="Arial" w:cs="Arial" w:eastAsia="Arial" w:hAnsi="Arial"/>
          <w:sz w:val="16"/>
          <w:szCs w:val="16"/>
          <w:color w:val="auto"/>
        </w:rPr>
        <w:t>All of the securities offered by this prospectus are being registered for the account of the selling stockholders. We will not receive any of the proceeds from the sale of these securities. We have agreed to pay all costs, expenses and fees relating to the registration of the securities covered by this prospectus. The selling stockholders will bear all commissions and discounts, if any, attributable to the sale of the securities.</w:t>
      </w:r>
    </w:p>
    <w:p>
      <w:pPr>
        <w:spacing w:after="0" w:line="9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760"/>
          </w:cols>
          <w:pgMar w:left="320" w:top="443" w:right="81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PRICE RANGE OF COMMON STOCK</w:t>
      </w:r>
    </w:p>
    <w:p>
      <w:pPr>
        <w:spacing w:after="0" w:line="217" w:lineRule="exact"/>
        <w:rPr>
          <w:sz w:val="20"/>
          <w:szCs w:val="20"/>
          <w:color w:val="auto"/>
        </w:rPr>
      </w:pPr>
    </w:p>
    <w:p>
      <w:pPr>
        <w:jc w:val="both"/>
        <w:ind w:left="420" w:right="140" w:firstLine="417"/>
        <w:spacing w:after="0" w:line="263" w:lineRule="auto"/>
        <w:rPr>
          <w:sz w:val="20"/>
          <w:szCs w:val="20"/>
          <w:color w:val="auto"/>
        </w:rPr>
      </w:pPr>
      <w:r>
        <w:rPr>
          <w:rFonts w:ascii="Arial" w:cs="Arial" w:eastAsia="Arial" w:hAnsi="Arial"/>
          <w:sz w:val="17"/>
          <w:szCs w:val="17"/>
          <w:color w:val="auto"/>
        </w:rPr>
        <w:t>Our common stock is traded on the Nasdaq under the symbol “PTMN.” The following table sets forth, for each fiscal quarter during the last two fiscal years and the current fiscal year to date, the net asset value, or NAV, per share of our common stock, the high and low closing sales prices for our common stock and such sales prices as a percentage of NAV per share.</w:t>
      </w:r>
    </w:p>
    <w:p>
      <w:pPr>
        <w:spacing w:after="0" w:line="17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Premium/</w:t>
            </w: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Premium/</w:t>
            </w: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tcPr>
          <w:p>
            <w:pPr>
              <w:jc w:val="center"/>
              <w:ind w:right="580"/>
              <w:spacing w:after="0" w:line="141" w:lineRule="exact"/>
              <w:rPr>
                <w:sz w:val="20"/>
                <w:szCs w:val="20"/>
                <w:color w:val="auto"/>
              </w:rPr>
            </w:pPr>
            <w:r>
              <w:rPr>
                <w:rFonts w:ascii="Arial" w:cs="Arial" w:eastAsia="Arial" w:hAnsi="Arial"/>
                <w:sz w:val="14"/>
                <w:szCs w:val="14"/>
                <w:b w:val="1"/>
                <w:bCs w:val="1"/>
                <w:color w:val="auto"/>
                <w:w w:val="86"/>
              </w:rPr>
              <w:t>(Discount)</w:t>
            </w:r>
          </w:p>
        </w:tc>
        <w:tc>
          <w:tcPr>
            <w:tcW w:w="86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9"/>
              </w:rPr>
              <w:t>(Discount)</w:t>
            </w: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tcPr>
          <w:p>
            <w:pPr>
              <w:jc w:val="center"/>
              <w:ind w:right="580"/>
              <w:spacing w:after="0" w:line="141" w:lineRule="exact"/>
              <w:rPr>
                <w:sz w:val="20"/>
                <w:szCs w:val="20"/>
                <w:color w:val="auto"/>
              </w:rPr>
            </w:pPr>
            <w:r>
              <w:rPr>
                <w:rFonts w:ascii="Arial" w:cs="Arial" w:eastAsia="Arial" w:hAnsi="Arial"/>
                <w:sz w:val="14"/>
                <w:szCs w:val="14"/>
                <w:b w:val="1"/>
                <w:bCs w:val="1"/>
                <w:color w:val="auto"/>
                <w:w w:val="91"/>
              </w:rPr>
              <w:t>of High</w:t>
            </w:r>
          </w:p>
        </w:tc>
        <w:tc>
          <w:tcPr>
            <w:tcW w:w="86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8"/>
              </w:rPr>
              <w:t>of Low</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00" w:type="dxa"/>
            <w:vAlign w:val="bottom"/>
            <w:gridSpan w:val="7"/>
          </w:tcPr>
          <w:p>
            <w:pPr>
              <w:ind w:left="60"/>
              <w:spacing w:after="0"/>
              <w:rPr>
                <w:sz w:val="20"/>
                <w:szCs w:val="20"/>
                <w:color w:val="auto"/>
              </w:rPr>
            </w:pPr>
            <w:r>
              <w:rPr>
                <w:rFonts w:ascii="Arial" w:cs="Arial" w:eastAsia="Arial" w:hAnsi="Arial"/>
                <w:sz w:val="14"/>
                <w:szCs w:val="14"/>
                <w:b w:val="1"/>
                <w:bCs w:val="1"/>
                <w:color w:val="auto"/>
              </w:rPr>
              <w:t>Closing Sales Price</w:t>
            </w:r>
            <w:r>
              <w:rPr>
                <w:rFonts w:ascii="Arial" w:cs="Arial" w:eastAsia="Arial" w:hAnsi="Arial"/>
                <w:sz w:val="11"/>
                <w:szCs w:val="11"/>
                <w:b w:val="1"/>
                <w:bCs w:val="1"/>
                <w:color w:val="auto"/>
              </w:rPr>
              <w:t>(2)(4)</w:t>
            </w: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1"/>
              </w:rPr>
              <w:t>Sales</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3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82"/>
              </w:rPr>
              <w:t>Period</w:t>
            </w:r>
          </w:p>
        </w:tc>
        <w:tc>
          <w:tcPr>
            <w:tcW w:w="510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gridSpan w:val="2"/>
            <w:vMerge w:val="restart"/>
          </w:tcPr>
          <w:p>
            <w:pPr>
              <w:jc w:val="center"/>
              <w:ind w:right="600"/>
              <w:spacing w:after="0" w:line="121" w:lineRule="exact"/>
              <w:rPr>
                <w:sz w:val="20"/>
                <w:szCs w:val="20"/>
                <w:color w:val="auto"/>
              </w:rPr>
            </w:pPr>
            <w:r>
              <w:rPr>
                <w:rFonts w:ascii="Arial" w:cs="Arial" w:eastAsia="Arial" w:hAnsi="Arial"/>
                <w:sz w:val="12"/>
                <w:szCs w:val="12"/>
                <w:b w:val="1"/>
                <w:bCs w:val="1"/>
                <w:color w:val="auto"/>
              </w:rPr>
              <w:t>Price to</w:t>
            </w:r>
          </w:p>
        </w:tc>
        <w:tc>
          <w:tcPr>
            <w:tcW w:w="860" w:type="dxa"/>
            <w:vAlign w:val="bottom"/>
            <w:gridSpan w:val="2"/>
            <w:vMerge w:val="restart"/>
          </w:tcPr>
          <w:p>
            <w:pPr>
              <w:jc w:val="center"/>
              <w:ind w:right="240"/>
              <w:spacing w:after="0" w:line="121" w:lineRule="exact"/>
              <w:rPr>
                <w:sz w:val="20"/>
                <w:szCs w:val="20"/>
                <w:color w:val="auto"/>
              </w:rPr>
            </w:pPr>
            <w:r>
              <w:rPr>
                <w:rFonts w:ascii="Arial" w:cs="Arial" w:eastAsia="Arial" w:hAnsi="Arial"/>
                <w:sz w:val="12"/>
                <w:szCs w:val="12"/>
                <w:b w:val="1"/>
                <w:bCs w:val="1"/>
                <w:color w:val="auto"/>
              </w:rPr>
              <w:t>Price to</w:t>
            </w:r>
          </w:p>
        </w:tc>
        <w:tc>
          <w:tcPr>
            <w:tcW w:w="0" w:type="dxa"/>
            <w:vAlign w:val="bottom"/>
          </w:tcPr>
          <w:p>
            <w:pPr>
              <w:spacing w:after="0"/>
              <w:rPr>
                <w:sz w:val="1"/>
                <w:szCs w:val="1"/>
                <w:color w:val="auto"/>
              </w:rPr>
            </w:pPr>
          </w:p>
        </w:tc>
      </w:tr>
      <w:tr>
        <w:trPr>
          <w:trHeight w:val="62"/>
        </w:trPr>
        <w:tc>
          <w:tcPr>
            <w:tcW w:w="380" w:type="dxa"/>
            <w:vAlign w:val="bottom"/>
            <w:vMerge w:val="continue"/>
          </w:tcPr>
          <w:p>
            <w:pPr>
              <w:spacing w:after="0"/>
              <w:rPr>
                <w:sz w:val="5"/>
                <w:szCs w:val="5"/>
                <w:color w:val="auto"/>
              </w:rPr>
            </w:pPr>
          </w:p>
        </w:tc>
        <w:tc>
          <w:tcPr>
            <w:tcW w:w="5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100" w:type="dxa"/>
            <w:vAlign w:val="bottom"/>
            <w:vMerge w:val="continue"/>
          </w:tcPr>
          <w:p>
            <w:pPr>
              <w:spacing w:after="0"/>
              <w:rPr>
                <w:sz w:val="14"/>
                <w:szCs w:val="14"/>
                <w:color w:val="auto"/>
              </w:rPr>
            </w:pPr>
          </w:p>
        </w:tc>
        <w:tc>
          <w:tcPr>
            <w:tcW w:w="9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11"/>
                <w:szCs w:val="11"/>
                <w:b w:val="1"/>
                <w:bCs w:val="1"/>
                <w:color w:val="auto"/>
              </w:rPr>
              <w:t>(1)(4)</w:t>
            </w:r>
          </w:p>
        </w:tc>
        <w:tc>
          <w:tcPr>
            <w:tcW w:w="100" w:type="dxa"/>
            <w:vAlign w:val="bottom"/>
          </w:tcPr>
          <w:p>
            <w:pPr>
              <w:spacing w:after="0"/>
              <w:rPr>
                <w:sz w:val="14"/>
                <w:szCs w:val="14"/>
                <w:color w:val="auto"/>
              </w:rPr>
            </w:pPr>
          </w:p>
        </w:tc>
        <w:tc>
          <w:tcPr>
            <w:tcW w:w="6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Low</w:t>
            </w:r>
          </w:p>
        </w:tc>
        <w:tc>
          <w:tcPr>
            <w:tcW w:w="122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95"/>
              </w:rPr>
              <w:t>NAV</w:t>
            </w:r>
            <w:r>
              <w:rPr>
                <w:rFonts w:ascii="Arial" w:cs="Arial" w:eastAsia="Arial" w:hAnsi="Arial"/>
                <w:sz w:val="11"/>
                <w:szCs w:val="11"/>
                <w:b w:val="1"/>
                <w:bCs w:val="1"/>
                <w:color w:val="auto"/>
                <w:w w:val="95"/>
              </w:rPr>
              <w:t>(3)(4)</w:t>
            </w:r>
          </w:p>
        </w:tc>
        <w:tc>
          <w:tcPr>
            <w:tcW w:w="86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5"/>
              </w:rPr>
              <w:t>NAV</w:t>
            </w:r>
            <w:r>
              <w:rPr>
                <w:rFonts w:ascii="Arial" w:cs="Arial" w:eastAsia="Arial" w:hAnsi="Arial"/>
                <w:sz w:val="11"/>
                <w:szCs w:val="11"/>
                <w:b w:val="1"/>
                <w:bCs w:val="1"/>
                <w:color w:val="auto"/>
                <w:w w:val="95"/>
              </w:rPr>
              <w:t>(3)(4)</w:t>
            </w:r>
          </w:p>
        </w:tc>
        <w:tc>
          <w:tcPr>
            <w:tcW w:w="0" w:type="dxa"/>
            <w:vAlign w:val="bottom"/>
          </w:tcPr>
          <w:p>
            <w:pPr>
              <w:spacing w:after="0"/>
              <w:rPr>
                <w:sz w:val="1"/>
                <w:szCs w:val="1"/>
                <w:color w:val="auto"/>
              </w:rPr>
            </w:pPr>
          </w:p>
        </w:tc>
      </w:tr>
      <w:tr>
        <w:trPr>
          <w:trHeight w:val="190"/>
        </w:trPr>
        <w:tc>
          <w:tcPr>
            <w:tcW w:w="5480" w:type="dxa"/>
            <w:vAlign w:val="bottom"/>
            <w:tcBorders>
              <w:top w:val="single" w:sz="8" w:color="CCEEFF"/>
            </w:tcBorders>
            <w:gridSpan w:val="2"/>
            <w:shd w:val="clear" w:color="auto" w:fill="CCEEFF"/>
          </w:tcPr>
          <w:p>
            <w:pPr>
              <w:spacing w:after="0" w:line="190" w:lineRule="exact"/>
              <w:rPr>
                <w:sz w:val="20"/>
                <w:szCs w:val="20"/>
                <w:color w:val="auto"/>
              </w:rPr>
            </w:pPr>
            <w:r>
              <w:rPr>
                <w:rFonts w:ascii="Arial" w:cs="Arial" w:eastAsia="Arial" w:hAnsi="Arial"/>
                <w:sz w:val="17"/>
                <w:szCs w:val="17"/>
                <w:color w:val="auto"/>
              </w:rPr>
              <w:t>Fourth Quarter of 2021 (as of November 22, 2021)</w:t>
            </w: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95"/>
              <w:spacing w:after="0" w:line="190"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161"/>
              <w:spacing w:after="0" w:line="190" w:lineRule="exact"/>
              <w:rPr>
                <w:sz w:val="20"/>
                <w:szCs w:val="20"/>
                <w:color w:val="auto"/>
              </w:rPr>
            </w:pPr>
            <w:r>
              <w:rPr>
                <w:rFonts w:ascii="Arial" w:cs="Arial" w:eastAsia="Arial" w:hAnsi="Arial"/>
                <w:sz w:val="17"/>
                <w:szCs w:val="17"/>
                <w:color w:val="auto"/>
              </w:rPr>
              <w:t>*</w:t>
            </w:r>
          </w:p>
        </w:tc>
        <w:tc>
          <w:tcPr>
            <w:tcW w:w="6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300"/>
              <w:spacing w:after="0" w:line="190" w:lineRule="exact"/>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480" w:type="dxa"/>
            <w:vAlign w:val="bottom"/>
            <w:gridSpan w:val="2"/>
          </w:tcPr>
          <w:p>
            <w:pPr>
              <w:spacing w:after="0"/>
              <w:rPr>
                <w:sz w:val="20"/>
                <w:szCs w:val="20"/>
                <w:color w:val="auto"/>
              </w:rPr>
            </w:pPr>
            <w:r>
              <w:rPr>
                <w:rFonts w:ascii="Arial" w:cs="Arial" w:eastAsia="Arial" w:hAnsi="Arial"/>
                <w:sz w:val="17"/>
                <w:szCs w:val="17"/>
                <w:color w:val="auto"/>
              </w:rPr>
              <w:t>Third Quarter of 2021</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7"/>
                <w:szCs w:val="17"/>
                <w:color w:val="auto"/>
                <w:w w:val="93"/>
              </w:rPr>
              <w:t>29.71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25.70</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22.80</w:t>
            </w:r>
          </w:p>
        </w:tc>
        <w:tc>
          <w:tcPr>
            <w:tcW w:w="400" w:type="dxa"/>
            <w:vAlign w:val="bottom"/>
          </w:tcPr>
          <w:p>
            <w:pPr>
              <w:spacing w:after="0"/>
              <w:rPr>
                <w:sz w:val="17"/>
                <w:szCs w:val="17"/>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(13.50)%</w:t>
            </w:r>
          </w:p>
        </w:tc>
        <w:tc>
          <w:tcPr>
            <w:tcW w:w="860" w:type="dxa"/>
            <w:vAlign w:val="bottom"/>
            <w:gridSpan w:val="2"/>
          </w:tcPr>
          <w:p>
            <w:pPr>
              <w:ind w:left="180"/>
              <w:spacing w:after="0"/>
              <w:rPr>
                <w:sz w:val="20"/>
                <w:szCs w:val="20"/>
                <w:color w:val="auto"/>
              </w:rPr>
            </w:pPr>
            <w:r>
              <w:rPr>
                <w:rFonts w:ascii="Arial" w:cs="Arial" w:eastAsia="Arial" w:hAnsi="Arial"/>
                <w:sz w:val="17"/>
                <w:szCs w:val="17"/>
                <w:color w:val="auto"/>
                <w:w w:val="95"/>
              </w:rPr>
              <w:t>(23.26)%</w:t>
            </w:r>
          </w:p>
        </w:tc>
        <w:tc>
          <w:tcPr>
            <w:tcW w:w="0" w:type="dxa"/>
            <w:vAlign w:val="bottom"/>
          </w:tcPr>
          <w:p>
            <w:pPr>
              <w:spacing w:after="0"/>
              <w:rPr>
                <w:sz w:val="1"/>
                <w:szCs w:val="1"/>
                <w:color w:val="auto"/>
              </w:rPr>
            </w:pPr>
          </w:p>
        </w:tc>
      </w:tr>
      <w:tr>
        <w:trPr>
          <w:trHeight w:val="204"/>
        </w:trPr>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Second Quarter of 2021</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3"/>
              </w:rPr>
              <w:t>29.28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24.60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21.70</w:t>
            </w:r>
          </w:p>
        </w:tc>
        <w:tc>
          <w:tcPr>
            <w:tcW w:w="4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(15.98)%</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5"/>
              </w:rPr>
              <w:t>(25.89)%</w:t>
            </w:r>
          </w:p>
        </w:tc>
        <w:tc>
          <w:tcPr>
            <w:tcW w:w="0" w:type="dxa"/>
            <w:vAlign w:val="bottom"/>
          </w:tcPr>
          <w:p>
            <w:pPr>
              <w:spacing w:after="0"/>
              <w:rPr>
                <w:sz w:val="1"/>
                <w:szCs w:val="1"/>
                <w:color w:val="auto"/>
              </w:rPr>
            </w:pPr>
          </w:p>
        </w:tc>
      </w:tr>
      <w:tr>
        <w:trPr>
          <w:trHeight w:val="204"/>
        </w:trPr>
        <w:tc>
          <w:tcPr>
            <w:tcW w:w="5480" w:type="dxa"/>
            <w:vAlign w:val="bottom"/>
            <w:gridSpan w:val="2"/>
          </w:tcPr>
          <w:p>
            <w:pPr>
              <w:spacing w:after="0"/>
              <w:rPr>
                <w:sz w:val="20"/>
                <w:szCs w:val="20"/>
                <w:color w:val="auto"/>
              </w:rPr>
            </w:pPr>
            <w:r>
              <w:rPr>
                <w:rFonts w:ascii="Arial" w:cs="Arial" w:eastAsia="Arial" w:hAnsi="Arial"/>
                <w:sz w:val="17"/>
                <w:szCs w:val="17"/>
                <w:color w:val="auto"/>
              </w:rPr>
              <w:t>First Quarter of 2021</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7"/>
                <w:szCs w:val="17"/>
                <w:color w:val="auto"/>
                <w:w w:val="93"/>
              </w:rPr>
              <w:t>29.24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21.70</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18.20</w:t>
            </w:r>
          </w:p>
        </w:tc>
        <w:tc>
          <w:tcPr>
            <w:tcW w:w="400" w:type="dxa"/>
            <w:vAlign w:val="bottom"/>
          </w:tcPr>
          <w:p>
            <w:pPr>
              <w:spacing w:after="0"/>
              <w:rPr>
                <w:sz w:val="17"/>
                <w:szCs w:val="17"/>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(25.79)%</w:t>
            </w:r>
          </w:p>
        </w:tc>
        <w:tc>
          <w:tcPr>
            <w:tcW w:w="860" w:type="dxa"/>
            <w:vAlign w:val="bottom"/>
            <w:gridSpan w:val="2"/>
          </w:tcPr>
          <w:p>
            <w:pPr>
              <w:ind w:left="180"/>
              <w:spacing w:after="0"/>
              <w:rPr>
                <w:sz w:val="20"/>
                <w:szCs w:val="20"/>
                <w:color w:val="auto"/>
              </w:rPr>
            </w:pPr>
            <w:r>
              <w:rPr>
                <w:rFonts w:ascii="Arial" w:cs="Arial" w:eastAsia="Arial" w:hAnsi="Arial"/>
                <w:sz w:val="17"/>
                <w:szCs w:val="17"/>
                <w:color w:val="auto"/>
                <w:w w:val="95"/>
              </w:rPr>
              <w:t>(37.76)%</w:t>
            </w:r>
          </w:p>
        </w:tc>
        <w:tc>
          <w:tcPr>
            <w:tcW w:w="0" w:type="dxa"/>
            <w:vAlign w:val="bottom"/>
          </w:tcPr>
          <w:p>
            <w:pPr>
              <w:spacing w:after="0"/>
              <w:rPr>
                <w:sz w:val="1"/>
                <w:szCs w:val="1"/>
                <w:color w:val="auto"/>
              </w:rPr>
            </w:pPr>
          </w:p>
        </w:tc>
      </w:tr>
      <w:tr>
        <w:trPr>
          <w:trHeight w:val="204"/>
        </w:trPr>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Fourth Quarter of 2020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3"/>
              </w:rPr>
              <w:t>28.77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19.10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12.60</w:t>
            </w:r>
          </w:p>
        </w:tc>
        <w:tc>
          <w:tcPr>
            <w:tcW w:w="4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(33.61)%</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5"/>
              </w:rPr>
              <w:t>(56.20)%</w:t>
            </w:r>
          </w:p>
        </w:tc>
        <w:tc>
          <w:tcPr>
            <w:tcW w:w="0" w:type="dxa"/>
            <w:vAlign w:val="bottom"/>
          </w:tcPr>
          <w:p>
            <w:pPr>
              <w:spacing w:after="0"/>
              <w:rPr>
                <w:sz w:val="1"/>
                <w:szCs w:val="1"/>
                <w:color w:val="auto"/>
              </w:rPr>
            </w:pPr>
          </w:p>
        </w:tc>
      </w:tr>
      <w:tr>
        <w:trPr>
          <w:trHeight w:val="204"/>
        </w:trPr>
        <w:tc>
          <w:tcPr>
            <w:tcW w:w="5480" w:type="dxa"/>
            <w:vAlign w:val="bottom"/>
            <w:gridSpan w:val="2"/>
          </w:tcPr>
          <w:p>
            <w:pPr>
              <w:spacing w:after="0"/>
              <w:rPr>
                <w:sz w:val="20"/>
                <w:szCs w:val="20"/>
                <w:color w:val="auto"/>
              </w:rPr>
            </w:pPr>
            <w:r>
              <w:rPr>
                <w:rFonts w:ascii="Arial" w:cs="Arial" w:eastAsia="Arial" w:hAnsi="Arial"/>
                <w:sz w:val="17"/>
                <w:szCs w:val="17"/>
                <w:color w:val="auto"/>
              </w:rPr>
              <w:t>Third Quarter of 2020</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7"/>
                <w:szCs w:val="17"/>
                <w:color w:val="auto"/>
                <w:w w:val="93"/>
              </w:rPr>
              <w:t>28.51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13.50</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10.50</w:t>
            </w:r>
          </w:p>
        </w:tc>
        <w:tc>
          <w:tcPr>
            <w:tcW w:w="400" w:type="dxa"/>
            <w:vAlign w:val="bottom"/>
          </w:tcPr>
          <w:p>
            <w:pPr>
              <w:spacing w:after="0"/>
              <w:rPr>
                <w:sz w:val="17"/>
                <w:szCs w:val="17"/>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(52.65)%</w:t>
            </w:r>
          </w:p>
        </w:tc>
        <w:tc>
          <w:tcPr>
            <w:tcW w:w="860" w:type="dxa"/>
            <w:vAlign w:val="bottom"/>
            <w:gridSpan w:val="2"/>
          </w:tcPr>
          <w:p>
            <w:pPr>
              <w:ind w:left="180"/>
              <w:spacing w:after="0"/>
              <w:rPr>
                <w:sz w:val="20"/>
                <w:szCs w:val="20"/>
                <w:color w:val="auto"/>
              </w:rPr>
            </w:pPr>
            <w:r>
              <w:rPr>
                <w:rFonts w:ascii="Arial" w:cs="Arial" w:eastAsia="Arial" w:hAnsi="Arial"/>
                <w:sz w:val="17"/>
                <w:szCs w:val="17"/>
                <w:color w:val="auto"/>
                <w:w w:val="95"/>
              </w:rPr>
              <w:t>(63.17)%</w:t>
            </w:r>
          </w:p>
        </w:tc>
        <w:tc>
          <w:tcPr>
            <w:tcW w:w="0" w:type="dxa"/>
            <w:vAlign w:val="bottom"/>
          </w:tcPr>
          <w:p>
            <w:pPr>
              <w:spacing w:after="0"/>
              <w:rPr>
                <w:sz w:val="1"/>
                <w:szCs w:val="1"/>
                <w:color w:val="auto"/>
              </w:rPr>
            </w:pPr>
          </w:p>
        </w:tc>
      </w:tr>
      <w:tr>
        <w:trPr>
          <w:trHeight w:val="204"/>
        </w:trPr>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Second Quarter of 2020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3"/>
              </w:rPr>
              <w:t>27.13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14.40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8.40</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(46.92)%</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5"/>
              </w:rPr>
              <w:t>(69.04)%</w:t>
            </w:r>
          </w:p>
        </w:tc>
        <w:tc>
          <w:tcPr>
            <w:tcW w:w="0" w:type="dxa"/>
            <w:vAlign w:val="bottom"/>
          </w:tcPr>
          <w:p>
            <w:pPr>
              <w:spacing w:after="0"/>
              <w:rPr>
                <w:sz w:val="1"/>
                <w:szCs w:val="1"/>
                <w:color w:val="auto"/>
              </w:rPr>
            </w:pPr>
          </w:p>
        </w:tc>
      </w:tr>
      <w:tr>
        <w:trPr>
          <w:trHeight w:val="204"/>
        </w:trPr>
        <w:tc>
          <w:tcPr>
            <w:tcW w:w="5480" w:type="dxa"/>
            <w:vAlign w:val="bottom"/>
            <w:gridSpan w:val="2"/>
          </w:tcPr>
          <w:p>
            <w:pPr>
              <w:spacing w:after="0"/>
              <w:rPr>
                <w:sz w:val="20"/>
                <w:szCs w:val="20"/>
                <w:color w:val="auto"/>
              </w:rPr>
            </w:pPr>
            <w:r>
              <w:rPr>
                <w:rFonts w:ascii="Arial" w:cs="Arial" w:eastAsia="Arial" w:hAnsi="Arial"/>
                <w:sz w:val="17"/>
                <w:szCs w:val="17"/>
                <w:color w:val="auto"/>
              </w:rPr>
              <w:t>First Quarter of 2020</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7"/>
                <w:szCs w:val="17"/>
                <w:color w:val="auto"/>
                <w:w w:val="93"/>
              </w:rPr>
              <w:t>26.91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23.60</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7"/>
                <w:szCs w:val="17"/>
                <w:color w:val="auto"/>
              </w:rPr>
              <w:t>7.50</w:t>
            </w: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(12.30)%</w:t>
            </w:r>
          </w:p>
        </w:tc>
        <w:tc>
          <w:tcPr>
            <w:tcW w:w="860" w:type="dxa"/>
            <w:vAlign w:val="bottom"/>
            <w:gridSpan w:val="2"/>
          </w:tcPr>
          <w:p>
            <w:pPr>
              <w:ind w:left="180"/>
              <w:spacing w:after="0"/>
              <w:rPr>
                <w:sz w:val="20"/>
                <w:szCs w:val="20"/>
                <w:color w:val="auto"/>
              </w:rPr>
            </w:pPr>
            <w:r>
              <w:rPr>
                <w:rFonts w:ascii="Arial" w:cs="Arial" w:eastAsia="Arial" w:hAnsi="Arial"/>
                <w:sz w:val="17"/>
                <w:szCs w:val="17"/>
                <w:color w:val="auto"/>
                <w:w w:val="95"/>
              </w:rPr>
              <w:t>(72.13)%</w:t>
            </w:r>
          </w:p>
        </w:tc>
        <w:tc>
          <w:tcPr>
            <w:tcW w:w="0" w:type="dxa"/>
            <w:vAlign w:val="bottom"/>
          </w:tcPr>
          <w:p>
            <w:pPr>
              <w:spacing w:after="0"/>
              <w:rPr>
                <w:sz w:val="1"/>
                <w:szCs w:val="1"/>
                <w:color w:val="auto"/>
              </w:rPr>
            </w:pPr>
          </w:p>
        </w:tc>
      </w:tr>
      <w:tr>
        <w:trPr>
          <w:trHeight w:val="204"/>
        </w:trPr>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Fourth Quarter of 2019</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3"/>
              </w:rPr>
              <w:t>33.95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22.60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20.30</w:t>
            </w:r>
          </w:p>
        </w:tc>
        <w:tc>
          <w:tcPr>
            <w:tcW w:w="4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(33.43)%</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5"/>
              </w:rPr>
              <w:t>(40.21)%</w:t>
            </w:r>
          </w:p>
        </w:tc>
        <w:tc>
          <w:tcPr>
            <w:tcW w:w="0" w:type="dxa"/>
            <w:vAlign w:val="bottom"/>
          </w:tcPr>
          <w:p>
            <w:pPr>
              <w:spacing w:after="0"/>
              <w:rPr>
                <w:sz w:val="1"/>
                <w:szCs w:val="1"/>
                <w:color w:val="auto"/>
              </w:rPr>
            </w:pPr>
          </w:p>
        </w:tc>
      </w:tr>
      <w:tr>
        <w:trPr>
          <w:trHeight w:val="204"/>
        </w:trPr>
        <w:tc>
          <w:tcPr>
            <w:tcW w:w="5480" w:type="dxa"/>
            <w:vAlign w:val="bottom"/>
            <w:gridSpan w:val="2"/>
          </w:tcPr>
          <w:p>
            <w:pPr>
              <w:spacing w:after="0"/>
              <w:rPr>
                <w:sz w:val="20"/>
                <w:szCs w:val="20"/>
                <w:color w:val="auto"/>
              </w:rPr>
            </w:pPr>
            <w:r>
              <w:rPr>
                <w:rFonts w:ascii="Arial" w:cs="Arial" w:eastAsia="Arial" w:hAnsi="Arial"/>
                <w:sz w:val="17"/>
                <w:szCs w:val="17"/>
                <w:color w:val="auto"/>
              </w:rPr>
              <w:t>Third Quarter of 2019</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7"/>
                <w:szCs w:val="17"/>
                <w:color w:val="auto"/>
                <w:w w:val="93"/>
              </w:rPr>
              <w:t>35.51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24.70</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21.50</w:t>
            </w:r>
          </w:p>
        </w:tc>
        <w:tc>
          <w:tcPr>
            <w:tcW w:w="400" w:type="dxa"/>
            <w:vAlign w:val="bottom"/>
          </w:tcPr>
          <w:p>
            <w:pPr>
              <w:spacing w:after="0"/>
              <w:rPr>
                <w:sz w:val="17"/>
                <w:szCs w:val="17"/>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(30.44)%</w:t>
            </w:r>
          </w:p>
        </w:tc>
        <w:tc>
          <w:tcPr>
            <w:tcW w:w="860" w:type="dxa"/>
            <w:vAlign w:val="bottom"/>
            <w:gridSpan w:val="2"/>
          </w:tcPr>
          <w:p>
            <w:pPr>
              <w:ind w:left="180"/>
              <w:spacing w:after="0"/>
              <w:rPr>
                <w:sz w:val="20"/>
                <w:szCs w:val="20"/>
                <w:color w:val="auto"/>
              </w:rPr>
            </w:pPr>
            <w:r>
              <w:rPr>
                <w:rFonts w:ascii="Arial" w:cs="Arial" w:eastAsia="Arial" w:hAnsi="Arial"/>
                <w:sz w:val="17"/>
                <w:szCs w:val="17"/>
                <w:color w:val="auto"/>
                <w:w w:val="95"/>
              </w:rPr>
              <w:t>(39.45)%</w:t>
            </w:r>
          </w:p>
        </w:tc>
        <w:tc>
          <w:tcPr>
            <w:tcW w:w="0" w:type="dxa"/>
            <w:vAlign w:val="bottom"/>
          </w:tcPr>
          <w:p>
            <w:pPr>
              <w:spacing w:after="0"/>
              <w:rPr>
                <w:sz w:val="1"/>
                <w:szCs w:val="1"/>
                <w:color w:val="auto"/>
              </w:rPr>
            </w:pPr>
          </w:p>
        </w:tc>
      </w:tr>
      <w:tr>
        <w:trPr>
          <w:trHeight w:val="204"/>
        </w:trPr>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Second Quarter of 2019</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3"/>
              </w:rPr>
              <w:t>37.26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37.50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22.50</w:t>
            </w:r>
          </w:p>
        </w:tc>
        <w:tc>
          <w:tcPr>
            <w:tcW w:w="4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0.64%</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5"/>
              </w:rPr>
              <w:t>(39.61)%</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7"/>
                <w:szCs w:val="17"/>
                <w:color w:val="auto"/>
              </w:rPr>
              <w:t>First Quarter of 2019</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7"/>
                <w:szCs w:val="17"/>
                <w:color w:val="auto"/>
                <w:w w:val="93"/>
              </w:rPr>
              <w:t>38.49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36.80</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33.20</w:t>
            </w:r>
          </w:p>
        </w:tc>
        <w:tc>
          <w:tcPr>
            <w:tcW w:w="4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(4.39)%</w:t>
            </w:r>
          </w:p>
        </w:tc>
        <w:tc>
          <w:tcPr>
            <w:tcW w:w="860" w:type="dxa"/>
            <w:vAlign w:val="bottom"/>
            <w:gridSpan w:val="2"/>
          </w:tcPr>
          <w:p>
            <w:pPr>
              <w:ind w:left="180"/>
              <w:spacing w:after="0"/>
              <w:rPr>
                <w:sz w:val="20"/>
                <w:szCs w:val="20"/>
                <w:color w:val="auto"/>
              </w:rPr>
            </w:pPr>
            <w:r>
              <w:rPr>
                <w:rFonts w:ascii="Arial" w:cs="Arial" w:eastAsia="Arial" w:hAnsi="Arial"/>
                <w:sz w:val="17"/>
                <w:szCs w:val="17"/>
                <w:color w:val="auto"/>
                <w:w w:val="95"/>
              </w:rPr>
              <w:t>(13.74)%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73660</wp:posOffset>
            </wp:positionV>
            <wp:extent cx="7302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135" w:lineRule="exact"/>
        <w:rPr>
          <w:sz w:val="20"/>
          <w:szCs w:val="20"/>
          <w:color w:val="auto"/>
        </w:rPr>
      </w:pPr>
    </w:p>
    <w:p>
      <w:pPr>
        <w:ind w:left="820" w:right="140" w:hanging="409"/>
        <w:spacing w:after="0" w:line="257"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7"/>
          <w:szCs w:val="17"/>
          <w:color w:val="auto"/>
        </w:rPr>
      </w:pPr>
    </w:p>
    <w:p>
      <w:pPr>
        <w:ind w:left="820" w:hanging="409"/>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Closing sales price as provided by the Nasdaq.</w:t>
      </w:r>
    </w:p>
    <w:p>
      <w:pPr>
        <w:spacing w:after="0" w:line="8" w:lineRule="exact"/>
        <w:rPr>
          <w:rFonts w:ascii="Arial" w:cs="Arial" w:eastAsia="Arial" w:hAnsi="Arial"/>
          <w:sz w:val="17"/>
          <w:szCs w:val="17"/>
          <w:color w:val="auto"/>
        </w:rPr>
      </w:pPr>
    </w:p>
    <w:p>
      <w:pPr>
        <w:ind w:left="820" w:hanging="409"/>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Calculated as of the respective high or low closing sales price divided by the quarter end NAV.</w:t>
      </w:r>
    </w:p>
    <w:p>
      <w:pPr>
        <w:spacing w:after="0" w:line="8" w:lineRule="exact"/>
        <w:rPr>
          <w:rFonts w:ascii="Arial" w:cs="Arial" w:eastAsia="Arial" w:hAnsi="Arial"/>
          <w:sz w:val="17"/>
          <w:szCs w:val="17"/>
          <w:color w:val="auto"/>
        </w:rPr>
      </w:pPr>
    </w:p>
    <w:p>
      <w:pPr>
        <w:ind w:left="820" w:hanging="409"/>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August 23, 2021, we filed a Certificate of Amendment to our Certificate of Incorporation with the Secretary of State of Delaware to effect a</w:t>
      </w:r>
    </w:p>
    <w:p>
      <w:pPr>
        <w:spacing w:after="0" w:line="20"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5"/>
          <w:szCs w:val="15"/>
          <w:color w:val="auto"/>
        </w:rPr>
        <w:t>1-for-10 reverse stock split of the issued and outstanding (or held in treasury) of our common stock. The reverse split became effective as of 12:01</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a.m. on August 26, 2021. The share information in the table above has been adjusted to reflect the impact of the reverse stock split thereon.</w:t>
      </w:r>
    </w:p>
    <w:p>
      <w:pPr>
        <w:spacing w:after="0" w:line="20" w:lineRule="exact"/>
        <w:rPr>
          <w:sz w:val="20"/>
          <w:szCs w:val="20"/>
          <w:color w:val="auto"/>
        </w:rPr>
      </w:pPr>
    </w:p>
    <w:p>
      <w:pPr>
        <w:ind w:left="820" w:hanging="409"/>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 determinable at the time of filing.</w:t>
      </w:r>
    </w:p>
    <w:p>
      <w:pPr>
        <w:spacing w:after="0" w:line="202" w:lineRule="exact"/>
        <w:rPr>
          <w:sz w:val="20"/>
          <w:szCs w:val="20"/>
          <w:color w:val="auto"/>
        </w:rPr>
      </w:pPr>
    </w:p>
    <w:p>
      <w:pPr>
        <w:ind w:left="420" w:right="600" w:firstLine="417"/>
        <w:spacing w:after="0" w:line="308" w:lineRule="auto"/>
        <w:rPr>
          <w:sz w:val="20"/>
          <w:szCs w:val="20"/>
          <w:color w:val="auto"/>
        </w:rPr>
      </w:pPr>
      <w:r>
        <w:rPr>
          <w:rFonts w:ascii="Arial" w:cs="Arial" w:eastAsia="Arial" w:hAnsi="Arial"/>
          <w:sz w:val="16"/>
          <w:szCs w:val="16"/>
          <w:color w:val="auto"/>
        </w:rPr>
        <w:t>On November 22, 2021, the reported closing sales price of our common stock was $24.51 per share. As of November 22, 2021, we had 57 stockholders of record, which did not include stockholders for whom shares are held in “nominee” or “street name”.</w:t>
      </w:r>
    </w:p>
    <w:p>
      <w:pPr>
        <w:spacing w:after="0" w:line="7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840"/>
          </w:cols>
          <w:pgMar w:left="320" w:top="443" w:right="7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SENIOR SECURITIES</w:t>
      </w:r>
    </w:p>
    <w:p>
      <w:pPr>
        <w:spacing w:after="0" w:line="217" w:lineRule="exact"/>
        <w:rPr>
          <w:sz w:val="20"/>
          <w:szCs w:val="20"/>
          <w:color w:val="auto"/>
        </w:rPr>
      </w:pPr>
    </w:p>
    <w:p>
      <w:pPr>
        <w:ind w:left="420" w:right="80" w:firstLine="417"/>
        <w:spacing w:after="0" w:line="255" w:lineRule="auto"/>
        <w:rPr>
          <w:sz w:val="20"/>
          <w:szCs w:val="20"/>
          <w:color w:val="auto"/>
        </w:rPr>
      </w:pPr>
      <w:r>
        <w:rPr>
          <w:rFonts w:ascii="Arial" w:cs="Arial" w:eastAsia="Arial" w:hAnsi="Arial"/>
          <w:sz w:val="17"/>
          <w:szCs w:val="17"/>
          <w:color w:val="auto"/>
        </w:rPr>
        <w:t>Information about our senior securities as of each of the years ended December 31, 2020, 2019, 2018, 2017, 2016, 2015, 2014, 2013, 2012 and 2011 can be found under “Note 7. Borrowings – Senior Securities” in the independent auditors report in our Annual Report on Form 10-K for the fiscal year ended December 31, 2020, which is incorporated by reference into this prospectus. The report of KPMG LLP on the Senior Securities table as of December 31, 2020 and 2019, is included in their audit report on the Company’s consolidated financial statements, which is incorporated by reference herein. Ernst &amp; Young LLP’s report on the senior securities table as of December 31, 2018, 2017 and 2016 is attached as an exhibit to the registration statement of which this prospectus is a part.</w:t>
      </w:r>
    </w:p>
    <w:p>
      <w:pPr>
        <w:spacing w:after="0" w:line="185" w:lineRule="exact"/>
        <w:rPr>
          <w:sz w:val="20"/>
          <w:szCs w:val="20"/>
          <w:color w:val="auto"/>
        </w:rPr>
      </w:pPr>
    </w:p>
    <w:p>
      <w:pPr>
        <w:ind w:left="420" w:right="220" w:firstLine="417"/>
        <w:spacing w:after="0" w:line="275" w:lineRule="auto"/>
        <w:rPr>
          <w:sz w:val="20"/>
          <w:szCs w:val="20"/>
          <w:color w:val="auto"/>
        </w:rPr>
      </w:pPr>
      <w:r>
        <w:rPr>
          <w:rFonts w:ascii="Arial" w:cs="Arial" w:eastAsia="Arial" w:hAnsi="Arial"/>
          <w:sz w:val="17"/>
          <w:szCs w:val="17"/>
          <w:color w:val="auto"/>
        </w:rPr>
        <w:t>Information about our senior securities as of September 30, 2021 can be found under “Item 1. – Note 6. Borrowings – Senior Securities” in our Quarterly Report on Form 10-Q, which is incorporated by reference into this prospectus.</w:t>
      </w:r>
    </w:p>
    <w:p>
      <w:pPr>
        <w:spacing w:after="0" w:line="366"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BUSINESS</w:t>
      </w:r>
    </w:p>
    <w:p>
      <w:pPr>
        <w:spacing w:after="0" w:line="21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information in “Item 1. Business” of our most recent Annual Report on Form 10-K is incorporated by reference herein.</w:t>
      </w:r>
    </w:p>
    <w:p>
      <w:pPr>
        <w:spacing w:after="0" w:line="200" w:lineRule="exact"/>
        <w:rPr>
          <w:sz w:val="20"/>
          <w:szCs w:val="20"/>
          <w:color w:val="auto"/>
        </w:rPr>
      </w:pPr>
    </w:p>
    <w:p>
      <w:pPr>
        <w:spacing w:after="0" w:line="21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PORTFOLIO COMPANIES</w:t>
      </w:r>
    </w:p>
    <w:p>
      <w:pPr>
        <w:spacing w:after="0" w:line="217" w:lineRule="exact"/>
        <w:rPr>
          <w:sz w:val="20"/>
          <w:szCs w:val="20"/>
          <w:color w:val="auto"/>
        </w:rPr>
      </w:pPr>
    </w:p>
    <w:p>
      <w:pPr>
        <w:ind w:left="420" w:right="20" w:firstLine="417"/>
        <w:spacing w:after="0" w:line="263" w:lineRule="auto"/>
        <w:rPr>
          <w:sz w:val="20"/>
          <w:szCs w:val="20"/>
          <w:color w:val="auto"/>
        </w:rPr>
      </w:pPr>
      <w:r>
        <w:rPr>
          <w:rFonts w:ascii="Arial" w:cs="Arial" w:eastAsia="Arial" w:hAnsi="Arial"/>
          <w:sz w:val="17"/>
          <w:szCs w:val="17"/>
          <w:color w:val="auto"/>
        </w:rPr>
        <w:t>The following table sets forth certain information as of September 30, 2021 for each portfolio company in which the Company had an investment. Percentages shown for class of securities held by the Company represent percentage of the class owned and do not necessarily represent voting ownership or economic ownership.</w:t>
      </w:r>
    </w:p>
    <w:p>
      <w:pPr>
        <w:spacing w:after="0" w:line="175" w:lineRule="exact"/>
        <w:rPr>
          <w:sz w:val="20"/>
          <w:szCs w:val="20"/>
          <w:color w:val="auto"/>
        </w:rPr>
      </w:pPr>
    </w:p>
    <w:p>
      <w:pPr>
        <w:ind w:left="420" w:firstLine="417"/>
        <w:spacing w:after="0" w:line="304" w:lineRule="auto"/>
        <w:rPr>
          <w:sz w:val="20"/>
          <w:szCs w:val="20"/>
          <w:color w:val="auto"/>
        </w:rPr>
      </w:pPr>
      <w:r>
        <w:rPr>
          <w:rFonts w:ascii="Arial" w:cs="Arial" w:eastAsia="Arial" w:hAnsi="Arial"/>
          <w:sz w:val="15"/>
          <w:szCs w:val="15"/>
          <w:color w:val="auto"/>
        </w:rPr>
        <w:t>The Board of Directors of the Company (the “Board”) approved the valuation of the Company’s investment portfolio, as of September 30, 2021 at fair value as determined in good faith using a consistently applied valuation process in accordance with the Company’s documented valuation policy that has been reviewed and approved by the Board, who also approve in good faith the valuation of such securities as of the end of each quarter. For more information relating to the Company’s investments, see the Company’s financial statements incorporated by reference in this prospectus.</w:t>
      </w:r>
    </w:p>
    <w:p>
      <w:pPr>
        <w:spacing w:after="0" w:line="8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800"/>
          </w:cols>
          <w:pgMar w:left="320" w:top="443" w:right="77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PORTMAN RIDGE FINANCE CORPORATION</w:t>
      </w:r>
    </w:p>
    <w:p>
      <w:pPr>
        <w:spacing w:after="0" w:line="2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CONSOLIDATED SCHEDULE OF INVESTMENTS</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As of September 30, 2021</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Debt Securities Portfolio</w:t>
      </w:r>
    </w:p>
    <w:p>
      <w:pPr>
        <w:spacing w:after="0" w:line="234"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Portfolio Company /</w:t>
            </w:r>
          </w:p>
        </w:tc>
        <w:tc>
          <w:tcPr>
            <w:tcW w:w="940" w:type="dxa"/>
            <w:vAlign w:val="bottom"/>
          </w:tcPr>
          <w:p>
            <w:pPr>
              <w:spacing w:after="0"/>
              <w:rPr>
                <w:sz w:val="13"/>
                <w:szCs w:val="13"/>
                <w:color w:val="auto"/>
              </w:rPr>
            </w:pPr>
          </w:p>
        </w:tc>
        <w:tc>
          <w:tcPr>
            <w:tcW w:w="2380" w:type="dxa"/>
            <w:vAlign w:val="bottom"/>
            <w:gridSpan w:val="2"/>
            <w:vMerge w:val="restart"/>
          </w:tcPr>
          <w:p>
            <w:pPr>
              <w:ind w:left="820"/>
              <w:spacing w:after="0"/>
              <w:rPr>
                <w:sz w:val="20"/>
                <w:szCs w:val="20"/>
                <w:color w:val="auto"/>
              </w:rPr>
            </w:pPr>
            <w:r>
              <w:rPr>
                <w:rFonts w:ascii="Arial" w:cs="Arial" w:eastAsia="Arial" w:hAnsi="Arial"/>
                <w:sz w:val="13"/>
                <w:szCs w:val="13"/>
                <w:b w:val="1"/>
                <w:bCs w:val="1"/>
                <w:color w:val="auto"/>
              </w:rPr>
              <w:t>Investment</w:t>
            </w: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128"/>
        </w:trPr>
        <w:tc>
          <w:tcPr>
            <w:tcW w:w="320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800" w:type="dxa"/>
            <w:vAlign w:val="bottom"/>
            <w:gridSpan w:val="2"/>
          </w:tcPr>
          <w:p>
            <w:pPr>
              <w:jc w:val="center"/>
              <w:ind w:right="140"/>
              <w:spacing w:after="0" w:line="128" w:lineRule="exact"/>
              <w:rPr>
                <w:sz w:val="20"/>
                <w:szCs w:val="20"/>
                <w:color w:val="auto"/>
              </w:rPr>
            </w:pPr>
            <w:r>
              <w:rPr>
                <w:rFonts w:ascii="Arial" w:cs="Arial" w:eastAsia="Arial" w:hAnsi="Arial"/>
                <w:sz w:val="13"/>
                <w:szCs w:val="13"/>
                <w:b w:val="1"/>
                <w:bCs w:val="1"/>
                <w:color w:val="auto"/>
                <w:w w:val="87"/>
              </w:rPr>
              <w:t>Acquisition</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28" w:lineRule="exact"/>
              <w:rPr>
                <w:sz w:val="20"/>
                <w:szCs w:val="20"/>
                <w:color w:val="auto"/>
              </w:rPr>
            </w:pPr>
            <w:r>
              <w:rPr>
                <w:rFonts w:ascii="Arial" w:cs="Arial" w:eastAsia="Arial" w:hAnsi="Arial"/>
                <w:sz w:val="13"/>
                <w:szCs w:val="13"/>
                <w:b w:val="1"/>
                <w:bCs w:val="1"/>
                <w:color w:val="auto"/>
                <w:w w:val="97"/>
              </w:rPr>
              <w:t>Amortized</w:t>
            </w:r>
          </w:p>
        </w:tc>
        <w:tc>
          <w:tcPr>
            <w:tcW w:w="80" w:type="dxa"/>
            <w:vAlign w:val="bottom"/>
          </w:tcPr>
          <w:p>
            <w:pPr>
              <w:spacing w:after="0"/>
              <w:rPr>
                <w:sz w:val="11"/>
                <w:szCs w:val="11"/>
                <w:color w:val="auto"/>
              </w:rPr>
            </w:pPr>
          </w:p>
        </w:tc>
        <w:tc>
          <w:tcPr>
            <w:tcW w:w="880" w:type="dxa"/>
            <w:vAlign w:val="bottom"/>
            <w:gridSpan w:val="2"/>
          </w:tcPr>
          <w:p>
            <w:pPr>
              <w:jc w:val="right"/>
              <w:ind w:right="420"/>
              <w:spacing w:after="0" w:line="128" w:lineRule="exact"/>
              <w:rPr>
                <w:sz w:val="20"/>
                <w:szCs w:val="20"/>
                <w:color w:val="auto"/>
              </w:rPr>
            </w:pPr>
            <w:r>
              <w:rPr>
                <w:rFonts w:ascii="Arial" w:cs="Arial" w:eastAsia="Arial" w:hAnsi="Arial"/>
                <w:sz w:val="13"/>
                <w:szCs w:val="13"/>
                <w:b w:val="1"/>
                <w:bCs w:val="1"/>
                <w:color w:val="auto"/>
              </w:rPr>
              <w:t>Fair</w:t>
            </w:r>
          </w:p>
        </w:tc>
        <w:tc>
          <w:tcPr>
            <w:tcW w:w="500" w:type="dxa"/>
            <w:vAlign w:val="bottom"/>
            <w:gridSpan w:val="2"/>
          </w:tcPr>
          <w:p>
            <w:pPr>
              <w:jc w:val="center"/>
              <w:ind w:right="160"/>
              <w:spacing w:after="0" w:line="128" w:lineRule="exact"/>
              <w:rPr>
                <w:sz w:val="20"/>
                <w:szCs w:val="20"/>
                <w:color w:val="auto"/>
              </w:rPr>
            </w:pPr>
            <w:r>
              <w:rPr>
                <w:rFonts w:ascii="Arial" w:cs="Arial" w:eastAsia="Arial" w:hAnsi="Arial"/>
                <w:sz w:val="13"/>
                <w:szCs w:val="13"/>
                <w:b w:val="1"/>
                <w:bCs w:val="1"/>
                <w:color w:val="auto"/>
                <w:w w:val="85"/>
              </w:rPr>
              <w:t>Net</w:t>
            </w:r>
          </w:p>
        </w:tc>
        <w:tc>
          <w:tcPr>
            <w:tcW w:w="0" w:type="dxa"/>
            <w:vAlign w:val="bottom"/>
          </w:tcPr>
          <w:p>
            <w:pPr>
              <w:spacing w:after="0"/>
              <w:rPr>
                <w:sz w:val="1"/>
                <w:szCs w:val="1"/>
                <w:color w:val="auto"/>
              </w:rPr>
            </w:pPr>
          </w:p>
        </w:tc>
      </w:tr>
      <w:tr>
        <w:trPr>
          <w:trHeight w:val="153"/>
        </w:trPr>
        <w:tc>
          <w:tcPr>
            <w:tcW w:w="320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940" w:type="dxa"/>
            <w:vAlign w:val="bottom"/>
          </w:tcPr>
          <w:p>
            <w:pPr>
              <w:spacing w:after="0"/>
              <w:rPr>
                <w:sz w:val="13"/>
                <w:szCs w:val="13"/>
                <w:color w:val="auto"/>
              </w:rPr>
            </w:pPr>
          </w:p>
        </w:tc>
        <w:tc>
          <w:tcPr>
            <w:tcW w:w="2380" w:type="dxa"/>
            <w:vAlign w:val="bottom"/>
            <w:gridSpan w:val="2"/>
          </w:tcPr>
          <w:p>
            <w:pPr>
              <w:ind w:left="4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Principal</w:t>
            </w:r>
          </w:p>
        </w:tc>
        <w:tc>
          <w:tcPr>
            <w:tcW w:w="8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0"/>
                <w:szCs w:val="10"/>
                <w:b w:val="1"/>
                <w:bCs w:val="1"/>
                <w:color w:val="auto"/>
              </w:rPr>
              <w:t>2</w:t>
            </w:r>
          </w:p>
        </w:tc>
        <w:tc>
          <w:tcPr>
            <w:tcW w:w="5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79"/>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318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1A Smart Start LLC</w:t>
            </w:r>
          </w:p>
        </w:tc>
        <w:tc>
          <w:tcPr>
            <w:tcW w:w="940" w:type="dxa"/>
            <w:vAlign w:val="bottom"/>
            <w:shd w:val="clear" w:color="auto" w:fill="CCEEFF"/>
          </w:tcPr>
          <w:p>
            <w:pPr>
              <w:ind w:left="120"/>
              <w:spacing w:after="0" w:line="101" w:lineRule="exact"/>
              <w:rPr>
                <w:sz w:val="20"/>
                <w:szCs w:val="20"/>
                <w:color w:val="auto"/>
              </w:rPr>
            </w:pPr>
            <w:r>
              <w:rPr>
                <w:rFonts w:ascii="Arial" w:cs="Arial" w:eastAsia="Arial" w:hAnsi="Arial"/>
                <w:sz w:val="10"/>
                <w:szCs w:val="10"/>
                <w:color w:val="auto"/>
              </w:rPr>
              <w:t>(8)(14)</w:t>
            </w:r>
          </w:p>
        </w:tc>
        <w:tc>
          <w:tcPr>
            <w:tcW w:w="228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Senior Secured Loan — First Lien Term</w:t>
            </w: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500 E Dallas Rd #100, Grapevine, TX 76051</w:t>
            </w:r>
          </w:p>
        </w:tc>
        <w:tc>
          <w:tcPr>
            <w:tcW w:w="94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Loan</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80" w:type="dxa"/>
            <w:vAlign w:val="bottom"/>
            <w:gridSpan w:val="2"/>
            <w:shd w:val="clear" w:color="auto" w:fill="CCEEFF"/>
          </w:tcPr>
          <w:p>
            <w:pPr>
              <w:ind w:left="240"/>
              <w:spacing w:after="0" w:line="148" w:lineRule="exact"/>
              <w:rPr>
                <w:sz w:val="20"/>
                <w:szCs w:val="20"/>
                <w:color w:val="auto"/>
              </w:rPr>
            </w:pPr>
            <w:r>
              <w:rPr>
                <w:rFonts w:ascii="Arial" w:cs="Arial" w:eastAsia="Arial" w:hAnsi="Arial"/>
                <w:sz w:val="14"/>
                <w:szCs w:val="14"/>
                <w:color w:val="auto"/>
              </w:rPr>
              <w:t>Consumer goods: Non-durable</w:t>
            </w:r>
          </w:p>
        </w:tc>
        <w:tc>
          <w:tcPr>
            <w:tcW w:w="94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5.8% Cash, 6 Month Libor (1.00%) +</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4.75%; Libor Floor 1.00%, Due 8/27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1"/>
              </w:rPr>
              <w:t>10/28/2020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$ 2,079,053</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$ 1,852,203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$ 2,085,974</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19"/>
        </w:trPr>
        <w:tc>
          <w:tcPr>
            <w:tcW w:w="3200" w:type="dxa"/>
            <w:vAlign w:val="bottom"/>
            <w:gridSpan w:val="3"/>
          </w:tcPr>
          <w:p>
            <w:pPr>
              <w:spacing w:after="0"/>
              <w:rPr>
                <w:sz w:val="20"/>
                <w:szCs w:val="20"/>
                <w:color w:val="auto"/>
              </w:rPr>
            </w:pPr>
            <w:r>
              <w:rPr>
                <w:rFonts w:ascii="Arial" w:cs="Arial" w:eastAsia="Arial" w:hAnsi="Arial"/>
                <w:sz w:val="14"/>
                <w:szCs w:val="14"/>
                <w:color w:val="auto"/>
              </w:rPr>
              <w:t>Accordion Partners LLC</w:t>
            </w:r>
          </w:p>
        </w:tc>
        <w:tc>
          <w:tcPr>
            <w:tcW w:w="940" w:type="dxa"/>
            <w:vAlign w:val="bottom"/>
          </w:tcPr>
          <w:p>
            <w:pPr>
              <w:ind w:left="120"/>
              <w:spacing w:after="0"/>
              <w:rPr>
                <w:sz w:val="20"/>
                <w:szCs w:val="20"/>
                <w:color w:val="auto"/>
              </w:rPr>
            </w:pPr>
            <w:r>
              <w:rPr>
                <w:rFonts w:ascii="Arial" w:cs="Arial" w:eastAsia="Arial" w:hAnsi="Arial"/>
                <w:sz w:val="12"/>
                <w:szCs w:val="12"/>
                <w:color w:val="auto"/>
              </w:rPr>
              <w:t>(8)(13)(14)</w:t>
            </w:r>
          </w:p>
        </w:tc>
        <w:tc>
          <w:tcPr>
            <w:tcW w:w="2380" w:type="dxa"/>
            <w:vAlign w:val="bottom"/>
            <w:gridSpan w:val="2"/>
          </w:tcPr>
          <w:p>
            <w:pPr>
              <w:spacing w:after="0"/>
              <w:rPr>
                <w:sz w:val="20"/>
                <w:szCs w:val="20"/>
                <w:color w:val="auto"/>
              </w:rPr>
            </w:pPr>
            <w:r>
              <w:rPr>
                <w:rFonts w:ascii="Arial" w:cs="Arial" w:eastAsia="Arial" w:hAnsi="Arial"/>
                <w:sz w:val="14"/>
                <w:szCs w:val="14"/>
                <w:color w:val="auto"/>
                <w:w w:val="97"/>
              </w:rPr>
              <w:t>Senior Secured Loan — Delayed Draw</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3200" w:type="dxa"/>
            <w:vAlign w:val="bottom"/>
            <w:gridSpan w:val="3"/>
          </w:tcPr>
          <w:p>
            <w:pPr>
              <w:spacing w:after="0" w:line="146" w:lineRule="exact"/>
              <w:rPr>
                <w:sz w:val="20"/>
                <w:szCs w:val="20"/>
                <w:color w:val="auto"/>
              </w:rPr>
            </w:pPr>
            <w:r>
              <w:rPr>
                <w:rFonts w:ascii="Arial" w:cs="Arial" w:eastAsia="Arial" w:hAnsi="Arial"/>
                <w:sz w:val="14"/>
                <w:szCs w:val="14"/>
                <w:color w:val="auto"/>
                <w:w w:val="95"/>
              </w:rPr>
              <w:t>31 West 52nd Street, 16th Floor New York, NY 10019</w:t>
            </w:r>
          </w:p>
        </w:tc>
        <w:tc>
          <w:tcPr>
            <w:tcW w:w="940" w:type="dxa"/>
            <w:vAlign w:val="bottom"/>
          </w:tcPr>
          <w:p>
            <w:pPr>
              <w:ind w:left="120"/>
              <w:spacing w:after="0"/>
              <w:rPr>
                <w:sz w:val="20"/>
                <w:szCs w:val="20"/>
                <w:color w:val="auto"/>
              </w:rPr>
            </w:pPr>
            <w:r>
              <w:rPr>
                <w:rFonts w:ascii="Arial" w:cs="Arial" w:eastAsia="Arial" w:hAnsi="Arial"/>
                <w:sz w:val="12"/>
                <w:szCs w:val="12"/>
                <w:color w:val="auto"/>
              </w:rPr>
              <w:t>(23)</w:t>
            </w:r>
          </w:p>
        </w:tc>
        <w:tc>
          <w:tcPr>
            <w:tcW w:w="2380" w:type="dxa"/>
            <w:vAlign w:val="bottom"/>
            <w:gridSpan w:val="2"/>
          </w:tcPr>
          <w:p>
            <w:pPr>
              <w:spacing w:after="0" w:line="146" w:lineRule="exact"/>
              <w:rPr>
                <w:sz w:val="20"/>
                <w:szCs w:val="20"/>
                <w:color w:val="auto"/>
              </w:rPr>
            </w:pPr>
            <w:r>
              <w:rPr>
                <w:rFonts w:ascii="Arial" w:cs="Arial" w:eastAsia="Arial" w:hAnsi="Arial"/>
                <w:sz w:val="14"/>
                <w:szCs w:val="14"/>
                <w:color w:val="auto"/>
              </w:rPr>
              <w:t>Term Loan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gridSpan w:val="2"/>
          </w:tcPr>
          <w:p>
            <w:pPr>
              <w:ind w:left="240"/>
              <w:spacing w:after="0"/>
              <w:rPr>
                <w:sz w:val="20"/>
                <w:szCs w:val="20"/>
                <w:color w:val="auto"/>
              </w:rPr>
            </w:pPr>
            <w:r>
              <w:rPr>
                <w:rFonts w:ascii="Arial" w:cs="Arial" w:eastAsia="Arial" w:hAnsi="Arial"/>
                <w:sz w:val="14"/>
                <w:szCs w:val="14"/>
                <w:color w:val="auto"/>
              </w:rPr>
              <w:t>Finance</w:t>
            </w:r>
          </w:p>
        </w:tc>
        <w:tc>
          <w:tcPr>
            <w:tcW w:w="94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1.0% Cash, Due 9/27</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9/24/2021</w:t>
            </w: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(21,000)</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(21,000)</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1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Accordion Partners LLC</w:t>
            </w:r>
          </w:p>
        </w:tc>
        <w:tc>
          <w:tcPr>
            <w:tcW w:w="940" w:type="dxa"/>
            <w:vAlign w:val="bottom"/>
            <w:shd w:val="clear" w:color="auto" w:fill="CCEEFF"/>
          </w:tcPr>
          <w:p>
            <w:pPr>
              <w:ind w:left="120"/>
              <w:spacing w:after="0" w:line="122" w:lineRule="exact"/>
              <w:rPr>
                <w:sz w:val="20"/>
                <w:szCs w:val="20"/>
                <w:color w:val="auto"/>
              </w:rPr>
            </w:pPr>
            <w:r>
              <w:rPr>
                <w:rFonts w:ascii="Arial" w:cs="Arial" w:eastAsia="Arial" w:hAnsi="Arial"/>
                <w:sz w:val="12"/>
                <w:szCs w:val="12"/>
                <w:color w:val="auto"/>
              </w:rPr>
              <w:t>(8)(13)(23)</w:t>
            </w:r>
          </w:p>
        </w:tc>
        <w:tc>
          <w:tcPr>
            <w:tcW w:w="23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Senior Secured Loan — Revolver</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180" w:type="dxa"/>
            <w:vAlign w:val="bottom"/>
            <w:gridSpan w:val="2"/>
            <w:vMerge w:val="restart"/>
            <w:shd w:val="clear" w:color="auto" w:fill="CCEEFF"/>
          </w:tcPr>
          <w:p>
            <w:pPr>
              <w:spacing w:after="0" w:line="141" w:lineRule="exact"/>
              <w:rPr>
                <w:sz w:val="20"/>
                <w:szCs w:val="20"/>
                <w:color w:val="auto"/>
              </w:rPr>
            </w:pPr>
            <w:r>
              <w:rPr>
                <w:rFonts w:ascii="Arial" w:cs="Arial" w:eastAsia="Arial" w:hAnsi="Arial"/>
                <w:sz w:val="14"/>
                <w:szCs w:val="14"/>
                <w:color w:val="auto"/>
                <w:w w:val="94"/>
              </w:rPr>
              <w:t>31 West 52nd Street, 16th Floor New York, NY 10019</w:t>
            </w:r>
          </w:p>
        </w:tc>
        <w:tc>
          <w:tcPr>
            <w:tcW w:w="940" w:type="dxa"/>
            <w:vAlign w:val="bottom"/>
            <w:shd w:val="clear" w:color="auto" w:fill="CCEEFF"/>
          </w:tcPr>
          <w:p>
            <w:pPr>
              <w:spacing w:after="0"/>
              <w:rPr>
                <w:sz w:val="6"/>
                <w:szCs w:val="6"/>
                <w:color w:val="auto"/>
              </w:rPr>
            </w:pPr>
          </w:p>
        </w:tc>
        <w:tc>
          <w:tcPr>
            <w:tcW w:w="2380" w:type="dxa"/>
            <w:vAlign w:val="bottom"/>
            <w:gridSpan w:val="2"/>
            <w:vMerge w:val="continue"/>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180" w:type="dxa"/>
            <w:vAlign w:val="bottom"/>
            <w:gridSpan w:val="2"/>
            <w:vMerge w:val="continue"/>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3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0.5% Cash, Due 9/27</w:t>
            </w:r>
          </w:p>
        </w:tc>
        <w:tc>
          <w:tcPr>
            <w:tcW w:w="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8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Finance</w:t>
            </w:r>
          </w:p>
        </w:tc>
        <w:tc>
          <w:tcPr>
            <w:tcW w:w="940" w:type="dxa"/>
            <w:vAlign w:val="bottom"/>
            <w:shd w:val="clear" w:color="auto" w:fill="CCEEFF"/>
          </w:tcPr>
          <w:p>
            <w:pPr>
              <w:spacing w:after="0"/>
              <w:rPr>
                <w:sz w:val="9"/>
                <w:szCs w:val="9"/>
                <w:color w:val="auto"/>
              </w:rPr>
            </w:pPr>
          </w:p>
        </w:tc>
        <w:tc>
          <w:tcPr>
            <w:tcW w:w="2380" w:type="dxa"/>
            <w:vAlign w:val="bottom"/>
            <w:gridSpan w:val="2"/>
            <w:vMerge w:val="continue"/>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9/24/2021</w:t>
            </w: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(75,000)</w:t>
            </w:r>
          </w:p>
        </w:tc>
        <w:tc>
          <w:tcPr>
            <w:tcW w:w="9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(75,000)</w:t>
            </w:r>
          </w:p>
        </w:tc>
        <w:tc>
          <w:tcPr>
            <w:tcW w:w="5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180" w:type="dxa"/>
            <w:vAlign w:val="bottom"/>
            <w:gridSpan w:val="2"/>
            <w:vMerge w:val="continue"/>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880" w:type="dxa"/>
            <w:vAlign w:val="bottom"/>
            <w:gridSpan w:val="3"/>
            <w:vMerge w:val="continue"/>
            <w:shd w:val="clear" w:color="auto" w:fill="CCEEFF"/>
          </w:tcPr>
          <w:p>
            <w:pPr>
              <w:spacing w:after="0"/>
              <w:rPr>
                <w:sz w:val="5"/>
                <w:szCs w:val="5"/>
                <w:color w:val="auto"/>
              </w:rPr>
            </w:pPr>
          </w:p>
        </w:tc>
        <w:tc>
          <w:tcPr>
            <w:tcW w:w="960" w:type="dxa"/>
            <w:vAlign w:val="bottom"/>
            <w:gridSpan w:val="3"/>
            <w:vMerge w:val="continue"/>
            <w:shd w:val="clear" w:color="auto" w:fill="CCEEFF"/>
          </w:tcPr>
          <w:p>
            <w:pPr>
              <w:spacing w:after="0"/>
              <w:rPr>
                <w:sz w:val="5"/>
                <w:szCs w:val="5"/>
                <w:color w:val="auto"/>
              </w:rPr>
            </w:pPr>
          </w:p>
        </w:tc>
        <w:tc>
          <w:tcPr>
            <w:tcW w:w="5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200" w:type="dxa"/>
            <w:vAlign w:val="bottom"/>
            <w:gridSpan w:val="3"/>
          </w:tcPr>
          <w:p>
            <w:pPr>
              <w:spacing w:after="0"/>
              <w:rPr>
                <w:sz w:val="20"/>
                <w:szCs w:val="20"/>
                <w:color w:val="auto"/>
              </w:rPr>
            </w:pPr>
            <w:r>
              <w:rPr>
                <w:rFonts w:ascii="Arial" w:cs="Arial" w:eastAsia="Arial" w:hAnsi="Arial"/>
                <w:sz w:val="14"/>
                <w:szCs w:val="14"/>
                <w:color w:val="auto"/>
              </w:rPr>
              <w:t>Accordion Partners LLC</w:t>
            </w:r>
          </w:p>
        </w:tc>
        <w:tc>
          <w:tcPr>
            <w:tcW w:w="940" w:type="dxa"/>
            <w:vAlign w:val="bottom"/>
          </w:tcPr>
          <w:p>
            <w:pPr>
              <w:ind w:left="120"/>
              <w:spacing w:after="0"/>
              <w:rPr>
                <w:sz w:val="20"/>
                <w:szCs w:val="20"/>
                <w:color w:val="auto"/>
              </w:rPr>
            </w:pPr>
            <w:r>
              <w:rPr>
                <w:rFonts w:ascii="Arial" w:cs="Arial" w:eastAsia="Arial" w:hAnsi="Arial"/>
                <w:sz w:val="12"/>
                <w:szCs w:val="12"/>
                <w:color w:val="auto"/>
              </w:rPr>
              <w:t>(8)(13)(14)</w:t>
            </w:r>
          </w:p>
        </w:tc>
        <w:tc>
          <w:tcPr>
            <w:tcW w:w="238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200" w:type="dxa"/>
            <w:vAlign w:val="bottom"/>
            <w:gridSpan w:val="3"/>
          </w:tcPr>
          <w:p>
            <w:pPr>
              <w:spacing w:after="0" w:line="141" w:lineRule="exact"/>
              <w:rPr>
                <w:sz w:val="20"/>
                <w:szCs w:val="20"/>
                <w:color w:val="auto"/>
              </w:rPr>
            </w:pPr>
            <w:r>
              <w:rPr>
                <w:rFonts w:ascii="Arial" w:cs="Arial" w:eastAsia="Arial" w:hAnsi="Arial"/>
                <w:sz w:val="14"/>
                <w:szCs w:val="14"/>
                <w:color w:val="auto"/>
                <w:w w:val="95"/>
              </w:rPr>
              <w:t>31 West 52nd Street, 16th Floor New York, NY 10019</w:t>
            </w:r>
          </w:p>
        </w:tc>
        <w:tc>
          <w:tcPr>
            <w:tcW w:w="940" w:type="dxa"/>
            <w:vAlign w:val="bottom"/>
          </w:tcPr>
          <w:p>
            <w:pPr>
              <w:spacing w:after="0"/>
              <w:rPr>
                <w:sz w:val="12"/>
                <w:szCs w:val="12"/>
                <w:color w:val="auto"/>
              </w:rPr>
            </w:pPr>
          </w:p>
        </w:tc>
        <w:tc>
          <w:tcPr>
            <w:tcW w:w="2380" w:type="dxa"/>
            <w:vAlign w:val="bottom"/>
            <w:gridSpan w:val="2"/>
          </w:tcPr>
          <w:p>
            <w:pPr>
              <w:spacing w:after="0" w:line="141" w:lineRule="exact"/>
              <w:rPr>
                <w:sz w:val="20"/>
                <w:szCs w:val="20"/>
                <w:color w:val="auto"/>
              </w:rPr>
            </w:pPr>
            <w:r>
              <w:rPr>
                <w:rFonts w:ascii="Arial" w:cs="Arial" w:eastAsia="Arial" w:hAnsi="Arial"/>
                <w:sz w:val="14"/>
                <w:szCs w:val="14"/>
                <w:color w:val="auto"/>
              </w:rPr>
              <w:t>6.5% Cash, 3 Month Libor (1.00%) +</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gridSpan w:val="2"/>
          </w:tcPr>
          <w:p>
            <w:pPr>
              <w:ind w:left="240"/>
              <w:spacing w:after="0"/>
              <w:rPr>
                <w:sz w:val="20"/>
                <w:szCs w:val="20"/>
                <w:color w:val="auto"/>
              </w:rPr>
            </w:pPr>
            <w:r>
              <w:rPr>
                <w:rFonts w:ascii="Arial" w:cs="Arial" w:eastAsia="Arial" w:hAnsi="Arial"/>
                <w:sz w:val="14"/>
                <w:szCs w:val="14"/>
                <w:color w:val="auto"/>
              </w:rPr>
              <w:t>Finance</w:t>
            </w:r>
          </w:p>
        </w:tc>
        <w:tc>
          <w:tcPr>
            <w:tcW w:w="94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5.50%; Libor Floor 1.00%, Due 9/27</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9/24/2021</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11,200,000</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11,032,537</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11,032,000</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3180" w:type="dxa"/>
            <w:vAlign w:val="bottom"/>
            <w:gridSpan w:val="2"/>
            <w:shd w:val="clear" w:color="auto" w:fill="CCEEFF"/>
          </w:tcPr>
          <w:p>
            <w:pPr>
              <w:spacing w:after="0" w:line="117" w:lineRule="exact"/>
              <w:rPr>
                <w:sz w:val="20"/>
                <w:szCs w:val="20"/>
                <w:color w:val="auto"/>
              </w:rPr>
            </w:pPr>
            <w:r>
              <w:rPr>
                <w:rFonts w:ascii="Arial" w:cs="Arial" w:eastAsia="Arial" w:hAnsi="Arial"/>
                <w:sz w:val="12"/>
                <w:szCs w:val="12"/>
                <w:color w:val="auto"/>
              </w:rPr>
              <w:t>Advantage Capital Holdings LLC</w:t>
            </w:r>
          </w:p>
        </w:tc>
        <w:tc>
          <w:tcPr>
            <w:tcW w:w="940" w:type="dxa"/>
            <w:vAlign w:val="bottom"/>
            <w:shd w:val="clear" w:color="auto" w:fill="CCEEFF"/>
          </w:tcPr>
          <w:p>
            <w:pPr>
              <w:ind w:left="120"/>
              <w:spacing w:after="0" w:line="117" w:lineRule="exact"/>
              <w:rPr>
                <w:sz w:val="20"/>
                <w:szCs w:val="20"/>
                <w:color w:val="auto"/>
              </w:rPr>
            </w:pPr>
            <w:r>
              <w:rPr>
                <w:rFonts w:ascii="Arial" w:cs="Arial" w:eastAsia="Arial" w:hAnsi="Arial"/>
                <w:sz w:val="12"/>
                <w:szCs w:val="12"/>
                <w:color w:val="auto"/>
              </w:rPr>
              <w:t>(8)(13)(14)</w:t>
            </w:r>
          </w:p>
        </w:tc>
        <w:tc>
          <w:tcPr>
            <w:tcW w:w="2380" w:type="dxa"/>
            <w:vAlign w:val="bottom"/>
            <w:gridSpan w:val="2"/>
            <w:shd w:val="clear" w:color="auto" w:fill="CCEEFF"/>
          </w:tcPr>
          <w:p>
            <w:pPr>
              <w:spacing w:after="0" w:line="117" w:lineRule="exact"/>
              <w:rPr>
                <w:sz w:val="20"/>
                <w:szCs w:val="20"/>
                <w:color w:val="auto"/>
              </w:rPr>
            </w:pPr>
            <w:r>
              <w:rPr>
                <w:rFonts w:ascii="Arial" w:cs="Arial" w:eastAsia="Arial" w:hAnsi="Arial"/>
                <w:sz w:val="12"/>
                <w:szCs w:val="12"/>
                <w:color w:val="auto"/>
              </w:rPr>
              <w:t>Senior Secured Loan — Delayed Draw</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w w:val="95"/>
              </w:rPr>
              <w:t>7905 Cochran Road Suite 300 Glenwillow, OH 44139</w:t>
            </w:r>
          </w:p>
        </w:tc>
        <w:tc>
          <w:tcPr>
            <w:tcW w:w="9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(21)</w:t>
            </w:r>
          </w:p>
        </w:tc>
        <w:tc>
          <w:tcPr>
            <w:tcW w:w="238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Term Loan</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Banking, Finance, Insurance &amp; Real Estate</w:t>
            </w:r>
          </w:p>
        </w:tc>
        <w:tc>
          <w:tcPr>
            <w:tcW w:w="94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5.0% Cash, 8.0% PIK, Due 1/25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2/14/2020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2,968,560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2,968,560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2,968,560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9"/>
        </w:trPr>
        <w:tc>
          <w:tcPr>
            <w:tcW w:w="3200" w:type="dxa"/>
            <w:vAlign w:val="bottom"/>
            <w:gridSpan w:val="3"/>
          </w:tcPr>
          <w:p>
            <w:pPr>
              <w:spacing w:after="0"/>
              <w:rPr>
                <w:sz w:val="20"/>
                <w:szCs w:val="20"/>
                <w:color w:val="auto"/>
              </w:rPr>
            </w:pPr>
            <w:r>
              <w:rPr>
                <w:rFonts w:ascii="Arial" w:cs="Arial" w:eastAsia="Arial" w:hAnsi="Arial"/>
                <w:sz w:val="14"/>
                <w:szCs w:val="14"/>
                <w:color w:val="auto"/>
              </w:rPr>
              <w:t>Advantage Capital Holdings LLC</w:t>
            </w:r>
          </w:p>
        </w:tc>
        <w:tc>
          <w:tcPr>
            <w:tcW w:w="940" w:type="dxa"/>
            <w:vAlign w:val="bottom"/>
          </w:tcPr>
          <w:p>
            <w:pPr>
              <w:ind w:left="120"/>
              <w:spacing w:after="0"/>
              <w:rPr>
                <w:sz w:val="20"/>
                <w:szCs w:val="20"/>
                <w:color w:val="auto"/>
              </w:rPr>
            </w:pPr>
            <w:r>
              <w:rPr>
                <w:rFonts w:ascii="Arial" w:cs="Arial" w:eastAsia="Arial" w:hAnsi="Arial"/>
                <w:sz w:val="12"/>
                <w:szCs w:val="12"/>
                <w:color w:val="auto"/>
              </w:rPr>
              <w:t>(8)(13)(14)</w:t>
            </w:r>
          </w:p>
        </w:tc>
        <w:tc>
          <w:tcPr>
            <w:tcW w:w="2380" w:type="dxa"/>
            <w:vAlign w:val="bottom"/>
            <w:gridSpan w:val="2"/>
            <w:vMerge w:val="restart"/>
          </w:tcPr>
          <w:p>
            <w:pPr>
              <w:spacing w:after="0"/>
              <w:rPr>
                <w:sz w:val="20"/>
                <w:szCs w:val="20"/>
                <w:color w:val="auto"/>
              </w:rPr>
            </w:pPr>
            <w:r>
              <w:rPr>
                <w:rFonts w:ascii="Arial" w:cs="Arial" w:eastAsia="Arial" w:hAnsi="Arial"/>
                <w:sz w:val="14"/>
                <w:szCs w:val="14"/>
                <w:color w:val="auto"/>
              </w:rPr>
              <w:t>Senior Secured Loan — Term Loan</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3200" w:type="dxa"/>
            <w:vAlign w:val="bottom"/>
            <w:gridSpan w:val="3"/>
            <w:vMerge w:val="restart"/>
          </w:tcPr>
          <w:p>
            <w:pPr>
              <w:spacing w:after="0" w:line="146" w:lineRule="exact"/>
              <w:rPr>
                <w:sz w:val="20"/>
                <w:szCs w:val="20"/>
                <w:color w:val="auto"/>
              </w:rPr>
            </w:pPr>
            <w:r>
              <w:rPr>
                <w:rFonts w:ascii="Arial" w:cs="Arial" w:eastAsia="Arial" w:hAnsi="Arial"/>
                <w:sz w:val="14"/>
                <w:szCs w:val="14"/>
                <w:color w:val="auto"/>
                <w:w w:val="91"/>
              </w:rPr>
              <w:t>415 Bedford Road — Suite 102 Pleasantville NY, 10570</w:t>
            </w:r>
          </w:p>
        </w:tc>
        <w:tc>
          <w:tcPr>
            <w:tcW w:w="940" w:type="dxa"/>
            <w:vAlign w:val="bottom"/>
            <w:vMerge w:val="restart"/>
          </w:tcPr>
          <w:p>
            <w:pPr>
              <w:ind w:left="120"/>
              <w:spacing w:after="0"/>
              <w:rPr>
                <w:sz w:val="20"/>
                <w:szCs w:val="20"/>
                <w:color w:val="auto"/>
              </w:rPr>
            </w:pPr>
            <w:r>
              <w:rPr>
                <w:rFonts w:ascii="Arial" w:cs="Arial" w:eastAsia="Arial" w:hAnsi="Arial"/>
                <w:sz w:val="12"/>
                <w:szCs w:val="12"/>
                <w:color w:val="auto"/>
              </w:rPr>
              <w:t>(21)</w:t>
            </w:r>
          </w:p>
        </w:tc>
        <w:tc>
          <w:tcPr>
            <w:tcW w:w="238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3200" w:type="dxa"/>
            <w:vAlign w:val="bottom"/>
            <w:gridSpan w:val="3"/>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380" w:type="dxa"/>
            <w:vAlign w:val="bottom"/>
            <w:gridSpan w:val="2"/>
            <w:vMerge w:val="restart"/>
          </w:tcPr>
          <w:p>
            <w:pPr>
              <w:spacing w:after="0"/>
              <w:rPr>
                <w:sz w:val="20"/>
                <w:szCs w:val="20"/>
                <w:color w:val="auto"/>
              </w:rPr>
            </w:pPr>
            <w:r>
              <w:rPr>
                <w:rFonts w:ascii="Arial" w:cs="Arial" w:eastAsia="Arial" w:hAnsi="Arial"/>
                <w:sz w:val="14"/>
                <w:szCs w:val="14"/>
                <w:color w:val="auto"/>
              </w:rPr>
              <w:t>5.0% Cash, 8.0% PIK, Due 1/25</w:t>
            </w: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80" w:type="dxa"/>
            <w:vAlign w:val="bottom"/>
            <w:gridSpan w:val="2"/>
            <w:vMerge w:val="restart"/>
          </w:tcPr>
          <w:p>
            <w:pPr>
              <w:ind w:left="240"/>
              <w:spacing w:after="0"/>
              <w:rPr>
                <w:sz w:val="20"/>
                <w:szCs w:val="20"/>
                <w:color w:val="auto"/>
              </w:rPr>
            </w:pPr>
            <w:r>
              <w:rPr>
                <w:rFonts w:ascii="Arial" w:cs="Arial" w:eastAsia="Arial" w:hAnsi="Arial"/>
                <w:sz w:val="14"/>
                <w:szCs w:val="14"/>
                <w:color w:val="auto"/>
              </w:rPr>
              <w:t>Banking, Finance, Insurance &amp; Real Estate</w:t>
            </w:r>
          </w:p>
        </w:tc>
        <w:tc>
          <w:tcPr>
            <w:tcW w:w="940" w:type="dxa"/>
            <w:vAlign w:val="bottom"/>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2/14/2020</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2,622,599</w:t>
            </w: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2,622,599</w:t>
            </w:r>
          </w:p>
        </w:tc>
        <w:tc>
          <w:tcPr>
            <w:tcW w:w="96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2,622,599</w:t>
            </w:r>
          </w:p>
        </w:tc>
        <w:tc>
          <w:tcPr>
            <w:tcW w:w="5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1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AIS Holdco, LLC</w:t>
            </w:r>
          </w:p>
        </w:tc>
        <w:tc>
          <w:tcPr>
            <w:tcW w:w="940" w:type="dxa"/>
            <w:vAlign w:val="bottom"/>
            <w:shd w:val="clear" w:color="auto" w:fill="CCEEFF"/>
          </w:tcPr>
          <w:p>
            <w:pPr>
              <w:ind w:left="120"/>
              <w:spacing w:after="0" w:line="122" w:lineRule="exact"/>
              <w:rPr>
                <w:sz w:val="20"/>
                <w:szCs w:val="20"/>
                <w:color w:val="auto"/>
              </w:rPr>
            </w:pPr>
            <w:r>
              <w:rPr>
                <w:rFonts w:ascii="Arial" w:cs="Arial" w:eastAsia="Arial" w:hAnsi="Arial"/>
                <w:sz w:val="12"/>
                <w:szCs w:val="12"/>
                <w:color w:val="auto"/>
              </w:rPr>
              <w:t>(8)(13)(14)</w:t>
            </w:r>
          </w:p>
        </w:tc>
        <w:tc>
          <w:tcPr>
            <w:tcW w:w="23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w w:val="95"/>
              </w:rPr>
              <w:t>Senior Secured Loan — First Lien Term</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1"/>
              </w:rPr>
              <w:t>415 Bedford Road — Suite 102 Pleasantville NY, 10570</w:t>
            </w:r>
          </w:p>
        </w:tc>
        <w:tc>
          <w:tcPr>
            <w:tcW w:w="94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Loan A</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8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Banking, Finance, Insurance &amp; Real Estate</w:t>
            </w:r>
          </w:p>
        </w:tc>
        <w:tc>
          <w:tcPr>
            <w:tcW w:w="94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5.1% Cash, 3 Month Libor (0.13%) +</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5.00%, Due 8/25</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1"/>
              </w:rPr>
              <w:t>10/28/2020</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2,511,300</w:t>
            </w:r>
          </w:p>
        </w:tc>
        <w:tc>
          <w:tcPr>
            <w:tcW w:w="88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2,094,296</w:t>
            </w:r>
          </w:p>
        </w:tc>
        <w:tc>
          <w:tcPr>
            <w:tcW w:w="9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2,446,760</w:t>
            </w:r>
          </w:p>
        </w:tc>
        <w:tc>
          <w:tcPr>
            <w:tcW w:w="5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19"/>
        </w:trPr>
        <w:tc>
          <w:tcPr>
            <w:tcW w:w="3200" w:type="dxa"/>
            <w:vAlign w:val="bottom"/>
            <w:gridSpan w:val="3"/>
          </w:tcPr>
          <w:p>
            <w:pPr>
              <w:spacing w:after="0"/>
              <w:rPr>
                <w:sz w:val="20"/>
                <w:szCs w:val="20"/>
                <w:color w:val="auto"/>
              </w:rPr>
            </w:pPr>
            <w:r>
              <w:rPr>
                <w:rFonts w:ascii="Arial" w:cs="Arial" w:eastAsia="Arial" w:hAnsi="Arial"/>
                <w:sz w:val="14"/>
                <w:szCs w:val="14"/>
                <w:color w:val="auto"/>
              </w:rPr>
              <w:t>AMCP Pet Holdings, Inc.</w:t>
            </w:r>
          </w:p>
        </w:tc>
        <w:tc>
          <w:tcPr>
            <w:tcW w:w="940" w:type="dxa"/>
            <w:vAlign w:val="bottom"/>
          </w:tcPr>
          <w:p>
            <w:pPr>
              <w:ind w:left="120"/>
              <w:spacing w:after="0"/>
              <w:rPr>
                <w:sz w:val="20"/>
                <w:szCs w:val="20"/>
                <w:color w:val="auto"/>
              </w:rPr>
            </w:pPr>
            <w:r>
              <w:rPr>
                <w:rFonts w:ascii="Arial" w:cs="Arial" w:eastAsia="Arial" w:hAnsi="Arial"/>
                <w:sz w:val="12"/>
                <w:szCs w:val="12"/>
                <w:color w:val="auto"/>
              </w:rPr>
              <w:t>(8)(13)(14)(21)</w:t>
            </w:r>
          </w:p>
        </w:tc>
        <w:tc>
          <w:tcPr>
            <w:tcW w:w="2380" w:type="dxa"/>
            <w:vAlign w:val="bottom"/>
            <w:gridSpan w:val="2"/>
          </w:tcPr>
          <w:p>
            <w:pPr>
              <w:spacing w:after="0"/>
              <w:rPr>
                <w:sz w:val="20"/>
                <w:szCs w:val="20"/>
                <w:color w:val="auto"/>
              </w:rPr>
            </w:pPr>
            <w:r>
              <w:rPr>
                <w:rFonts w:ascii="Arial" w:cs="Arial" w:eastAsia="Arial" w:hAnsi="Arial"/>
                <w:sz w:val="14"/>
                <w:szCs w:val="14"/>
                <w:color w:val="auto"/>
                <w:w w:val="97"/>
              </w:rPr>
              <w:t>Senior Secured Loan — Delayed Draw</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3200" w:type="dxa"/>
            <w:vAlign w:val="bottom"/>
            <w:gridSpan w:val="3"/>
          </w:tcPr>
          <w:p>
            <w:pPr>
              <w:spacing w:after="0" w:line="146" w:lineRule="exact"/>
              <w:rPr>
                <w:sz w:val="20"/>
                <w:szCs w:val="20"/>
                <w:color w:val="auto"/>
              </w:rPr>
            </w:pPr>
            <w:r>
              <w:rPr>
                <w:rFonts w:ascii="Arial" w:cs="Arial" w:eastAsia="Arial" w:hAnsi="Arial"/>
                <w:sz w:val="14"/>
                <w:szCs w:val="14"/>
                <w:color w:val="auto"/>
              </w:rPr>
              <w:t>801 Crescent Center Drive Franklin, TN 37067</w:t>
            </w:r>
          </w:p>
        </w:tc>
        <w:tc>
          <w:tcPr>
            <w:tcW w:w="940" w:type="dxa"/>
            <w:vAlign w:val="bottom"/>
          </w:tcPr>
          <w:p>
            <w:pPr>
              <w:ind w:left="120"/>
              <w:spacing w:after="0"/>
              <w:rPr>
                <w:sz w:val="20"/>
                <w:szCs w:val="20"/>
                <w:color w:val="auto"/>
              </w:rPr>
            </w:pPr>
            <w:r>
              <w:rPr>
                <w:rFonts w:ascii="Arial" w:cs="Arial" w:eastAsia="Arial" w:hAnsi="Arial"/>
                <w:sz w:val="12"/>
                <w:szCs w:val="12"/>
                <w:color w:val="auto"/>
              </w:rPr>
              <w:t>(23)</w:t>
            </w:r>
          </w:p>
        </w:tc>
        <w:tc>
          <w:tcPr>
            <w:tcW w:w="2380" w:type="dxa"/>
            <w:vAlign w:val="bottom"/>
            <w:gridSpan w:val="2"/>
          </w:tcPr>
          <w:p>
            <w:pPr>
              <w:spacing w:after="0" w:line="146" w:lineRule="exact"/>
              <w:rPr>
                <w:sz w:val="20"/>
                <w:szCs w:val="20"/>
                <w:color w:val="auto"/>
              </w:rPr>
            </w:pPr>
            <w:r>
              <w:rPr>
                <w:rFonts w:ascii="Arial" w:cs="Arial" w:eastAsia="Arial" w:hAnsi="Arial"/>
                <w:sz w:val="14"/>
                <w:szCs w:val="14"/>
                <w:color w:val="auto"/>
              </w:rPr>
              <w:t>Term Loan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gridSpan w:val="2"/>
          </w:tcPr>
          <w:p>
            <w:pPr>
              <w:ind w:left="240"/>
              <w:spacing w:after="0"/>
              <w:rPr>
                <w:sz w:val="20"/>
                <w:szCs w:val="20"/>
                <w:color w:val="auto"/>
              </w:rPr>
            </w:pPr>
            <w:r>
              <w:rPr>
                <w:rFonts w:ascii="Arial" w:cs="Arial" w:eastAsia="Arial" w:hAnsi="Arial"/>
                <w:sz w:val="14"/>
                <w:szCs w:val="14"/>
                <w:color w:val="auto"/>
              </w:rPr>
              <w:t>Beverage, Food and Tobacco</w:t>
            </w:r>
          </w:p>
        </w:tc>
        <w:tc>
          <w:tcPr>
            <w:tcW w:w="94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1.0% Cash, Due 10/26</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12/9/2020</w:t>
            </w: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(17,275)</w:t>
            </w:r>
          </w:p>
        </w:tc>
        <w:tc>
          <w:tcPr>
            <w:tcW w:w="8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3180" w:type="dxa"/>
            <w:vAlign w:val="bottom"/>
            <w:gridSpan w:val="2"/>
            <w:shd w:val="clear" w:color="auto" w:fill="CCEEFF"/>
          </w:tcPr>
          <w:p>
            <w:pPr>
              <w:spacing w:after="0" w:line="117" w:lineRule="exact"/>
              <w:rPr>
                <w:sz w:val="20"/>
                <w:szCs w:val="20"/>
                <w:color w:val="auto"/>
              </w:rPr>
            </w:pPr>
            <w:r>
              <w:rPr>
                <w:rFonts w:ascii="Arial" w:cs="Arial" w:eastAsia="Arial" w:hAnsi="Arial"/>
                <w:sz w:val="12"/>
                <w:szCs w:val="12"/>
                <w:color w:val="auto"/>
              </w:rPr>
              <w:t>AMCP Pet Holdings, Inc.</w:t>
            </w:r>
          </w:p>
        </w:tc>
        <w:tc>
          <w:tcPr>
            <w:tcW w:w="940" w:type="dxa"/>
            <w:vAlign w:val="bottom"/>
            <w:shd w:val="clear" w:color="auto" w:fill="CCEEFF"/>
          </w:tcPr>
          <w:p>
            <w:pPr>
              <w:ind w:left="120"/>
              <w:spacing w:after="0" w:line="117" w:lineRule="exact"/>
              <w:rPr>
                <w:sz w:val="20"/>
                <w:szCs w:val="20"/>
                <w:color w:val="auto"/>
              </w:rPr>
            </w:pPr>
            <w:r>
              <w:rPr>
                <w:rFonts w:ascii="Arial" w:cs="Arial" w:eastAsia="Arial" w:hAnsi="Arial"/>
                <w:sz w:val="12"/>
                <w:szCs w:val="12"/>
                <w:color w:val="auto"/>
              </w:rPr>
              <w:t>(8)(13)(21)</w:t>
            </w:r>
          </w:p>
        </w:tc>
        <w:tc>
          <w:tcPr>
            <w:tcW w:w="2380" w:type="dxa"/>
            <w:vAlign w:val="bottom"/>
            <w:gridSpan w:val="2"/>
            <w:shd w:val="clear" w:color="auto" w:fill="CCEEFF"/>
          </w:tcPr>
          <w:p>
            <w:pPr>
              <w:spacing w:after="0" w:line="117" w:lineRule="exact"/>
              <w:rPr>
                <w:sz w:val="20"/>
                <w:szCs w:val="20"/>
                <w:color w:val="auto"/>
              </w:rPr>
            </w:pPr>
            <w:r>
              <w:rPr>
                <w:rFonts w:ascii="Arial" w:cs="Arial" w:eastAsia="Arial" w:hAnsi="Arial"/>
                <w:sz w:val="12"/>
                <w:szCs w:val="12"/>
                <w:color w:val="auto"/>
              </w:rPr>
              <w:t>Senior Secured Loan — Revolving Loan</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38281 Industrial Park Road, Lisbon, OH 44432</w:t>
            </w:r>
          </w:p>
        </w:tc>
        <w:tc>
          <w:tcPr>
            <w:tcW w:w="9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(23)</w:t>
            </w:r>
          </w:p>
        </w:tc>
        <w:tc>
          <w:tcPr>
            <w:tcW w:w="238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7.3% Cash, 3 Month Libor (1.00%) +</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Beverage, Food and Tobacco</w:t>
            </w:r>
          </w:p>
        </w:tc>
        <w:tc>
          <w:tcPr>
            <w:tcW w:w="94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6.25%; Libor Floor 1.00%, Due 10/26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12/9/2020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475,000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457,619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475,000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19"/>
        </w:trPr>
        <w:tc>
          <w:tcPr>
            <w:tcW w:w="3200" w:type="dxa"/>
            <w:vAlign w:val="bottom"/>
            <w:gridSpan w:val="3"/>
          </w:tcPr>
          <w:p>
            <w:pPr>
              <w:spacing w:after="0"/>
              <w:rPr>
                <w:sz w:val="20"/>
                <w:szCs w:val="20"/>
                <w:color w:val="auto"/>
              </w:rPr>
            </w:pPr>
            <w:r>
              <w:rPr>
                <w:rFonts w:ascii="Arial" w:cs="Arial" w:eastAsia="Arial" w:hAnsi="Arial"/>
                <w:sz w:val="14"/>
                <w:szCs w:val="14"/>
                <w:color w:val="auto"/>
              </w:rPr>
              <w:t>AMCP Pet Holdings, Inc.</w:t>
            </w:r>
          </w:p>
        </w:tc>
        <w:tc>
          <w:tcPr>
            <w:tcW w:w="940" w:type="dxa"/>
            <w:vAlign w:val="bottom"/>
          </w:tcPr>
          <w:p>
            <w:pPr>
              <w:ind w:left="120"/>
              <w:spacing w:after="0"/>
              <w:rPr>
                <w:sz w:val="20"/>
                <w:szCs w:val="20"/>
                <w:color w:val="auto"/>
              </w:rPr>
            </w:pPr>
            <w:r>
              <w:rPr>
                <w:rFonts w:ascii="Arial" w:cs="Arial" w:eastAsia="Arial" w:hAnsi="Arial"/>
                <w:sz w:val="12"/>
                <w:szCs w:val="12"/>
                <w:color w:val="auto"/>
              </w:rPr>
              <w:t>(8)(13)(14)</w:t>
            </w:r>
          </w:p>
        </w:tc>
        <w:tc>
          <w:tcPr>
            <w:tcW w:w="2380" w:type="dxa"/>
            <w:vAlign w:val="bottom"/>
            <w:gridSpan w:val="2"/>
          </w:tcPr>
          <w:p>
            <w:pPr>
              <w:spacing w:after="0"/>
              <w:rPr>
                <w:sz w:val="20"/>
                <w:szCs w:val="20"/>
                <w:color w:val="auto"/>
              </w:rPr>
            </w:pPr>
            <w:r>
              <w:rPr>
                <w:rFonts w:ascii="Arial" w:cs="Arial" w:eastAsia="Arial" w:hAnsi="Arial"/>
                <w:sz w:val="14"/>
                <w:szCs w:val="14"/>
                <w:color w:val="auto"/>
                <w:w w:val="95"/>
              </w:rPr>
              <w:t>Senior Secured Loan — First Lien Term</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3200" w:type="dxa"/>
            <w:vAlign w:val="bottom"/>
            <w:gridSpan w:val="3"/>
          </w:tcPr>
          <w:p>
            <w:pPr>
              <w:spacing w:after="0" w:line="146" w:lineRule="exact"/>
              <w:rPr>
                <w:sz w:val="20"/>
                <w:szCs w:val="20"/>
                <w:color w:val="auto"/>
              </w:rPr>
            </w:pPr>
            <w:r>
              <w:rPr>
                <w:rFonts w:ascii="Arial" w:cs="Arial" w:eastAsia="Arial" w:hAnsi="Arial"/>
                <w:sz w:val="14"/>
                <w:szCs w:val="14"/>
                <w:color w:val="auto"/>
                <w:w w:val="89"/>
              </w:rPr>
              <w:t>161 Washington St, Suite 600, Conshohocken, PA 19428</w:t>
            </w:r>
          </w:p>
        </w:tc>
        <w:tc>
          <w:tcPr>
            <w:tcW w:w="940" w:type="dxa"/>
            <w:vAlign w:val="bottom"/>
          </w:tcPr>
          <w:p>
            <w:pPr>
              <w:ind w:left="120"/>
              <w:spacing w:after="0"/>
              <w:rPr>
                <w:sz w:val="20"/>
                <w:szCs w:val="20"/>
                <w:color w:val="auto"/>
              </w:rPr>
            </w:pPr>
            <w:r>
              <w:rPr>
                <w:rFonts w:ascii="Arial" w:cs="Arial" w:eastAsia="Arial" w:hAnsi="Arial"/>
                <w:sz w:val="12"/>
                <w:szCs w:val="12"/>
                <w:color w:val="auto"/>
              </w:rPr>
              <w:t>(21)</w:t>
            </w:r>
          </w:p>
        </w:tc>
        <w:tc>
          <w:tcPr>
            <w:tcW w:w="2380" w:type="dxa"/>
            <w:vAlign w:val="bottom"/>
            <w:gridSpan w:val="2"/>
          </w:tcPr>
          <w:p>
            <w:pPr>
              <w:spacing w:after="0" w:line="146" w:lineRule="exact"/>
              <w:rPr>
                <w:sz w:val="20"/>
                <w:szCs w:val="20"/>
                <w:color w:val="auto"/>
              </w:rPr>
            </w:pPr>
            <w:r>
              <w:rPr>
                <w:rFonts w:ascii="Arial" w:cs="Arial" w:eastAsia="Arial" w:hAnsi="Arial"/>
                <w:sz w:val="14"/>
                <w:szCs w:val="14"/>
                <w:color w:val="auto"/>
              </w:rPr>
              <w:t>Loan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8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Beverage, Food and Tobacco</w:t>
            </w:r>
          </w:p>
        </w:tc>
        <w:tc>
          <w:tcPr>
            <w:tcW w:w="940" w:type="dxa"/>
            <w:vAlign w:val="bottom"/>
          </w:tcPr>
          <w:p>
            <w:pPr>
              <w:spacing w:after="0"/>
              <w:rPr>
                <w:sz w:val="12"/>
                <w:szCs w:val="12"/>
                <w:color w:val="auto"/>
              </w:rPr>
            </w:pPr>
          </w:p>
        </w:tc>
        <w:tc>
          <w:tcPr>
            <w:tcW w:w="2380" w:type="dxa"/>
            <w:vAlign w:val="bottom"/>
            <w:gridSpan w:val="2"/>
          </w:tcPr>
          <w:p>
            <w:pPr>
              <w:spacing w:after="0" w:line="141" w:lineRule="exact"/>
              <w:rPr>
                <w:sz w:val="20"/>
                <w:szCs w:val="20"/>
                <w:color w:val="auto"/>
              </w:rPr>
            </w:pPr>
            <w:r>
              <w:rPr>
                <w:rFonts w:ascii="Arial" w:cs="Arial" w:eastAsia="Arial" w:hAnsi="Arial"/>
                <w:sz w:val="14"/>
                <w:szCs w:val="14"/>
                <w:color w:val="auto"/>
              </w:rPr>
              <w:t>7.3% Cash, 6 Month Libor (1.00%) +</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6.25%; Libor Floor 1.00%, Due 10/26</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12/9/2020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4,962,500</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4,876,779</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4,962,500</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3180" w:type="dxa"/>
            <w:vAlign w:val="bottom"/>
            <w:gridSpan w:val="2"/>
            <w:shd w:val="clear" w:color="auto" w:fill="CCEEFF"/>
          </w:tcPr>
          <w:p>
            <w:pPr>
              <w:spacing w:after="0" w:line="117" w:lineRule="exact"/>
              <w:rPr>
                <w:sz w:val="20"/>
                <w:szCs w:val="20"/>
                <w:color w:val="auto"/>
              </w:rPr>
            </w:pPr>
            <w:r>
              <w:rPr>
                <w:rFonts w:ascii="Arial" w:cs="Arial" w:eastAsia="Arial" w:hAnsi="Arial"/>
                <w:sz w:val="12"/>
                <w:szCs w:val="12"/>
                <w:color w:val="auto"/>
              </w:rPr>
              <w:t>Analogic Corporation</w:t>
            </w:r>
          </w:p>
        </w:tc>
        <w:tc>
          <w:tcPr>
            <w:tcW w:w="940" w:type="dxa"/>
            <w:vAlign w:val="bottom"/>
            <w:shd w:val="clear" w:color="auto" w:fill="CCEEFF"/>
          </w:tcPr>
          <w:p>
            <w:pPr>
              <w:ind w:left="120"/>
              <w:spacing w:after="0" w:line="117" w:lineRule="exact"/>
              <w:rPr>
                <w:sz w:val="20"/>
                <w:szCs w:val="20"/>
                <w:color w:val="auto"/>
              </w:rPr>
            </w:pPr>
            <w:r>
              <w:rPr>
                <w:rFonts w:ascii="Arial" w:cs="Arial" w:eastAsia="Arial" w:hAnsi="Arial"/>
                <w:sz w:val="12"/>
                <w:szCs w:val="12"/>
                <w:color w:val="auto"/>
              </w:rPr>
              <w:t>(8)(13)(14)</w:t>
            </w:r>
          </w:p>
        </w:tc>
        <w:tc>
          <w:tcPr>
            <w:tcW w:w="23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Senior Secured Loan — Revolver</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180" w:type="dxa"/>
            <w:vAlign w:val="bottom"/>
            <w:gridSpan w:val="2"/>
            <w:vMerge w:val="restart"/>
            <w:shd w:val="clear" w:color="auto" w:fill="CCEEFF"/>
          </w:tcPr>
          <w:p>
            <w:pPr>
              <w:spacing w:after="0" w:line="146" w:lineRule="exact"/>
              <w:rPr>
                <w:sz w:val="20"/>
                <w:szCs w:val="20"/>
                <w:color w:val="auto"/>
              </w:rPr>
            </w:pPr>
            <w:r>
              <w:rPr>
                <w:rFonts w:ascii="Arial" w:cs="Arial" w:eastAsia="Arial" w:hAnsi="Arial"/>
                <w:sz w:val="14"/>
                <w:szCs w:val="14"/>
                <w:color w:val="auto"/>
              </w:rPr>
              <w:t>38281 Industrial Park Road, Lisbon, OH 44432</w:t>
            </w:r>
          </w:p>
        </w:tc>
        <w:tc>
          <w:tcPr>
            <w:tcW w:w="940" w:type="dxa"/>
            <w:vAlign w:val="bottom"/>
            <w:vMerge w:val="restart"/>
            <w:shd w:val="clear" w:color="auto" w:fill="CCEEFF"/>
          </w:tcPr>
          <w:p>
            <w:pPr>
              <w:ind w:left="120"/>
              <w:spacing w:after="0"/>
              <w:rPr>
                <w:sz w:val="20"/>
                <w:szCs w:val="20"/>
                <w:color w:val="auto"/>
              </w:rPr>
            </w:pPr>
            <w:r>
              <w:rPr>
                <w:rFonts w:ascii="Arial" w:cs="Arial" w:eastAsia="Arial" w:hAnsi="Arial"/>
                <w:sz w:val="12"/>
                <w:szCs w:val="12"/>
                <w:color w:val="auto"/>
              </w:rPr>
              <w:t>(23)</w:t>
            </w:r>
          </w:p>
        </w:tc>
        <w:tc>
          <w:tcPr>
            <w:tcW w:w="2380" w:type="dxa"/>
            <w:vAlign w:val="bottom"/>
            <w:gridSpan w:val="2"/>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180" w:type="dxa"/>
            <w:vAlign w:val="bottom"/>
            <w:gridSpan w:val="2"/>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3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0.5% Cash, Due 6/23</w:t>
            </w:r>
          </w:p>
        </w:tc>
        <w:tc>
          <w:tcPr>
            <w:tcW w:w="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8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Electronics</w:t>
            </w:r>
          </w:p>
        </w:tc>
        <w:tc>
          <w:tcPr>
            <w:tcW w:w="940" w:type="dxa"/>
            <w:vAlign w:val="bottom"/>
            <w:shd w:val="clear" w:color="auto" w:fill="CCEEFF"/>
          </w:tcPr>
          <w:p>
            <w:pPr>
              <w:spacing w:after="0"/>
              <w:rPr>
                <w:sz w:val="9"/>
                <w:szCs w:val="9"/>
                <w:color w:val="auto"/>
              </w:rPr>
            </w:pPr>
          </w:p>
        </w:tc>
        <w:tc>
          <w:tcPr>
            <w:tcW w:w="2380" w:type="dxa"/>
            <w:vAlign w:val="bottom"/>
            <w:gridSpan w:val="2"/>
            <w:vMerge w:val="continue"/>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1"/>
              </w:rPr>
              <w:t>10/28/2020</w:t>
            </w: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(7,098)</w:t>
            </w:r>
          </w:p>
        </w:tc>
        <w:tc>
          <w:tcPr>
            <w:tcW w:w="5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180" w:type="dxa"/>
            <w:vAlign w:val="bottom"/>
            <w:gridSpan w:val="2"/>
            <w:vMerge w:val="continue"/>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960" w:type="dxa"/>
            <w:vAlign w:val="bottom"/>
            <w:gridSpan w:val="3"/>
            <w:vMerge w:val="continue"/>
            <w:shd w:val="clear" w:color="auto" w:fill="CCEEFF"/>
          </w:tcPr>
          <w:p>
            <w:pPr>
              <w:spacing w:after="0"/>
              <w:rPr>
                <w:sz w:val="5"/>
                <w:szCs w:val="5"/>
                <w:color w:val="auto"/>
              </w:rPr>
            </w:pPr>
          </w:p>
        </w:tc>
        <w:tc>
          <w:tcPr>
            <w:tcW w:w="5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200" w:type="dxa"/>
            <w:vAlign w:val="bottom"/>
            <w:gridSpan w:val="3"/>
          </w:tcPr>
          <w:p>
            <w:pPr>
              <w:spacing w:after="0"/>
              <w:rPr>
                <w:sz w:val="20"/>
                <w:szCs w:val="20"/>
                <w:color w:val="auto"/>
              </w:rPr>
            </w:pPr>
            <w:r>
              <w:rPr>
                <w:rFonts w:ascii="Arial" w:cs="Arial" w:eastAsia="Arial" w:hAnsi="Arial"/>
                <w:sz w:val="14"/>
                <w:szCs w:val="14"/>
                <w:color w:val="auto"/>
              </w:rPr>
              <w:t>Analogic Corporation</w:t>
            </w:r>
          </w:p>
        </w:tc>
        <w:tc>
          <w:tcPr>
            <w:tcW w:w="940" w:type="dxa"/>
            <w:vAlign w:val="bottom"/>
          </w:tcPr>
          <w:p>
            <w:pPr>
              <w:ind w:left="120"/>
              <w:spacing w:after="0"/>
              <w:rPr>
                <w:sz w:val="20"/>
                <w:szCs w:val="20"/>
                <w:color w:val="auto"/>
              </w:rPr>
            </w:pPr>
            <w:r>
              <w:rPr>
                <w:rFonts w:ascii="Arial" w:cs="Arial" w:eastAsia="Arial" w:hAnsi="Arial"/>
                <w:sz w:val="12"/>
                <w:szCs w:val="12"/>
                <w:color w:val="auto"/>
              </w:rPr>
              <w:t>(8)(13)(14)</w:t>
            </w:r>
          </w:p>
        </w:tc>
        <w:tc>
          <w:tcPr>
            <w:tcW w:w="2380" w:type="dxa"/>
            <w:vAlign w:val="bottom"/>
            <w:gridSpan w:val="2"/>
          </w:tcPr>
          <w:p>
            <w:pPr>
              <w:spacing w:after="0"/>
              <w:rPr>
                <w:sz w:val="20"/>
                <w:szCs w:val="20"/>
                <w:color w:val="auto"/>
              </w:rPr>
            </w:pPr>
            <w:r>
              <w:rPr>
                <w:rFonts w:ascii="Arial" w:cs="Arial" w:eastAsia="Arial" w:hAnsi="Arial"/>
                <w:sz w:val="14"/>
                <w:szCs w:val="14"/>
                <w:color w:val="auto"/>
                <w:w w:val="95"/>
              </w:rPr>
              <w:t>Senior Secured Loan — First Lien Term</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200" w:type="dxa"/>
            <w:vAlign w:val="bottom"/>
            <w:gridSpan w:val="3"/>
          </w:tcPr>
          <w:p>
            <w:pPr>
              <w:spacing w:after="0" w:line="141" w:lineRule="exact"/>
              <w:rPr>
                <w:sz w:val="20"/>
                <w:szCs w:val="20"/>
                <w:color w:val="auto"/>
              </w:rPr>
            </w:pPr>
            <w:r>
              <w:rPr>
                <w:rFonts w:ascii="Arial" w:cs="Arial" w:eastAsia="Arial" w:hAnsi="Arial"/>
                <w:sz w:val="14"/>
                <w:szCs w:val="14"/>
                <w:color w:val="auto"/>
              </w:rPr>
              <w:t>38281 Industrial Park Road, Lisbon, OH 44432</w:t>
            </w:r>
          </w:p>
        </w:tc>
        <w:tc>
          <w:tcPr>
            <w:tcW w:w="940" w:type="dxa"/>
            <w:vAlign w:val="bottom"/>
          </w:tcPr>
          <w:p>
            <w:pPr>
              <w:spacing w:after="0"/>
              <w:rPr>
                <w:sz w:val="12"/>
                <w:szCs w:val="12"/>
                <w:color w:val="auto"/>
              </w:rPr>
            </w:pPr>
          </w:p>
        </w:tc>
        <w:tc>
          <w:tcPr>
            <w:tcW w:w="2380" w:type="dxa"/>
            <w:vAlign w:val="bottom"/>
            <w:gridSpan w:val="2"/>
          </w:tcPr>
          <w:p>
            <w:pPr>
              <w:spacing w:after="0" w:line="141" w:lineRule="exact"/>
              <w:rPr>
                <w:sz w:val="20"/>
                <w:szCs w:val="20"/>
                <w:color w:val="auto"/>
              </w:rPr>
            </w:pPr>
            <w:r>
              <w:rPr>
                <w:rFonts w:ascii="Arial" w:cs="Arial" w:eastAsia="Arial" w:hAnsi="Arial"/>
                <w:sz w:val="14"/>
                <w:szCs w:val="14"/>
                <w:color w:val="auto"/>
              </w:rPr>
              <w:t>Loan A</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8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Electronics</w:t>
            </w:r>
          </w:p>
        </w:tc>
        <w:tc>
          <w:tcPr>
            <w:tcW w:w="940" w:type="dxa"/>
            <w:vAlign w:val="bottom"/>
          </w:tcPr>
          <w:p>
            <w:pPr>
              <w:spacing w:after="0"/>
              <w:rPr>
                <w:sz w:val="12"/>
                <w:szCs w:val="12"/>
                <w:color w:val="auto"/>
              </w:rPr>
            </w:pPr>
          </w:p>
        </w:tc>
        <w:tc>
          <w:tcPr>
            <w:tcW w:w="2380" w:type="dxa"/>
            <w:vAlign w:val="bottom"/>
            <w:gridSpan w:val="2"/>
          </w:tcPr>
          <w:p>
            <w:pPr>
              <w:spacing w:after="0" w:line="141" w:lineRule="exact"/>
              <w:rPr>
                <w:sz w:val="20"/>
                <w:szCs w:val="20"/>
                <w:color w:val="auto"/>
              </w:rPr>
            </w:pPr>
            <w:r>
              <w:rPr>
                <w:rFonts w:ascii="Arial" w:cs="Arial" w:eastAsia="Arial" w:hAnsi="Arial"/>
                <w:sz w:val="14"/>
                <w:szCs w:val="14"/>
                <w:color w:val="auto"/>
              </w:rPr>
              <w:t>6.3% Cash, 1 Month Libor (1.00%) +</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5.25%; Libor Floor 1.00%, Due 6/24</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10/28/2020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3,528,873</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3,176,599</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3,405,009</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bl>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840"/>
          </w:cols>
          <w:pgMar w:left="320" w:top="443" w:right="7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28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Portfolio Company /</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128"/>
        </w:trPr>
        <w:tc>
          <w:tcPr>
            <w:tcW w:w="2820" w:type="dxa"/>
            <w:vAlign w:val="bottom"/>
            <w:gridSpan w:val="3"/>
            <w:vMerge w:val="continue"/>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880" w:type="dxa"/>
            <w:vAlign w:val="bottom"/>
            <w:gridSpan w:val="2"/>
          </w:tcPr>
          <w:p>
            <w:pPr>
              <w:jc w:val="center"/>
              <w:ind w:right="140"/>
              <w:spacing w:after="0" w:line="128" w:lineRule="exact"/>
              <w:rPr>
                <w:sz w:val="20"/>
                <w:szCs w:val="20"/>
                <w:color w:val="auto"/>
              </w:rPr>
            </w:pPr>
            <w:r>
              <w:rPr>
                <w:rFonts w:ascii="Arial" w:cs="Arial" w:eastAsia="Arial" w:hAnsi="Arial"/>
                <w:sz w:val="13"/>
                <w:szCs w:val="13"/>
                <w:b w:val="1"/>
                <w:bCs w:val="1"/>
                <w:color w:val="auto"/>
                <w:w w:val="87"/>
              </w:rPr>
              <w:t>Acquisition</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240"/>
              <w:spacing w:after="0" w:line="128" w:lineRule="exact"/>
              <w:rPr>
                <w:sz w:val="20"/>
                <w:szCs w:val="20"/>
                <w:color w:val="auto"/>
              </w:rPr>
            </w:pPr>
            <w:r>
              <w:rPr>
                <w:rFonts w:ascii="Arial" w:cs="Arial" w:eastAsia="Arial" w:hAnsi="Arial"/>
                <w:sz w:val="13"/>
                <w:szCs w:val="13"/>
                <w:b w:val="1"/>
                <w:bCs w:val="1"/>
                <w:color w:val="auto"/>
                <w:w w:val="94"/>
              </w:rPr>
              <w:t>Amortized</w:t>
            </w:r>
          </w:p>
        </w:tc>
        <w:tc>
          <w:tcPr>
            <w:tcW w:w="860" w:type="dxa"/>
            <w:vAlign w:val="bottom"/>
            <w:gridSpan w:val="2"/>
          </w:tcPr>
          <w:p>
            <w:pPr>
              <w:jc w:val="right"/>
              <w:ind w:right="420"/>
              <w:spacing w:after="0" w:line="128" w:lineRule="exact"/>
              <w:rPr>
                <w:sz w:val="20"/>
                <w:szCs w:val="20"/>
                <w:color w:val="auto"/>
              </w:rPr>
            </w:pPr>
            <w:r>
              <w:rPr>
                <w:rFonts w:ascii="Arial" w:cs="Arial" w:eastAsia="Arial" w:hAnsi="Arial"/>
                <w:sz w:val="13"/>
                <w:szCs w:val="13"/>
                <w:b w:val="1"/>
                <w:bCs w:val="1"/>
                <w:color w:val="auto"/>
              </w:rPr>
              <w:t>Fair</w:t>
            </w:r>
          </w:p>
        </w:tc>
        <w:tc>
          <w:tcPr>
            <w:tcW w:w="600" w:type="dxa"/>
            <w:vAlign w:val="bottom"/>
            <w:gridSpan w:val="2"/>
          </w:tcPr>
          <w:p>
            <w:pPr>
              <w:jc w:val="center"/>
              <w:ind w:right="180"/>
              <w:spacing w:after="0" w:line="128" w:lineRule="exact"/>
              <w:rPr>
                <w:sz w:val="20"/>
                <w:szCs w:val="20"/>
                <w:color w:val="auto"/>
              </w:rPr>
            </w:pPr>
            <w:r>
              <w:rPr>
                <w:rFonts w:ascii="Arial" w:cs="Arial" w:eastAsia="Arial" w:hAnsi="Arial"/>
                <w:sz w:val="13"/>
                <w:szCs w:val="13"/>
                <w:b w:val="1"/>
                <w:bCs w:val="1"/>
                <w:color w:val="auto"/>
                <w:w w:val="85"/>
              </w:rPr>
              <w:t>Net</w:t>
            </w:r>
          </w:p>
        </w:tc>
        <w:tc>
          <w:tcPr>
            <w:tcW w:w="0" w:type="dxa"/>
            <w:vAlign w:val="bottom"/>
          </w:tcPr>
          <w:p>
            <w:pPr>
              <w:spacing w:after="0"/>
              <w:rPr>
                <w:sz w:val="1"/>
                <w:szCs w:val="1"/>
                <w:color w:val="auto"/>
              </w:rPr>
            </w:pPr>
          </w:p>
        </w:tc>
      </w:tr>
      <w:tr>
        <w:trPr>
          <w:trHeight w:val="153"/>
        </w:trPr>
        <w:tc>
          <w:tcPr>
            <w:tcW w:w="282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Principal</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Cost</w:t>
            </w: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0"/>
                <w:szCs w:val="10"/>
                <w:b w:val="1"/>
                <w:bCs w:val="1"/>
                <w:color w:val="auto"/>
              </w:rPr>
              <w:t>2</w:t>
            </w:r>
          </w:p>
        </w:tc>
        <w:tc>
          <w:tcPr>
            <w:tcW w:w="6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9"/>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28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Ancile Solutions, Inc.</w:t>
            </w:r>
          </w:p>
        </w:tc>
        <w:tc>
          <w:tcPr>
            <w:tcW w:w="1120" w:type="dxa"/>
            <w:vAlign w:val="bottom"/>
            <w:shd w:val="clear" w:color="auto" w:fill="CCEEFF"/>
          </w:tcPr>
          <w:p>
            <w:pPr>
              <w:ind w:left="80"/>
              <w:spacing w:after="0" w:line="101" w:lineRule="exact"/>
              <w:rPr>
                <w:sz w:val="20"/>
                <w:szCs w:val="20"/>
                <w:color w:val="auto"/>
              </w:rPr>
            </w:pPr>
            <w:r>
              <w:rPr>
                <w:rFonts w:ascii="Arial" w:cs="Arial" w:eastAsia="Arial" w:hAnsi="Arial"/>
                <w:sz w:val="10"/>
                <w:szCs w:val="10"/>
                <w:color w:val="auto"/>
              </w:rPr>
              <w:t>(8)(13)(14)</w:t>
            </w:r>
          </w:p>
        </w:tc>
        <w:tc>
          <w:tcPr>
            <w:tcW w:w="1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Senior Secured Loan — First Lien Term</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6"/>
              </w:rPr>
              <w:t>6085 Marshalee Drive Suite 300, Elkridge, MD</w:t>
            </w:r>
          </w:p>
        </w:tc>
        <w:tc>
          <w:tcPr>
            <w:tcW w:w="112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80" w:type="dxa"/>
            <w:vAlign w:val="bottom"/>
            <w:shd w:val="clear" w:color="auto" w:fill="CCEEFF"/>
          </w:tcPr>
          <w:p>
            <w:pPr>
              <w:ind w:left="100"/>
              <w:spacing w:after="0" w:line="141" w:lineRule="exact"/>
              <w:rPr>
                <w:sz w:val="20"/>
                <w:szCs w:val="20"/>
                <w:color w:val="auto"/>
              </w:rPr>
            </w:pPr>
            <w:r>
              <w:rPr>
                <w:rFonts w:ascii="Arial" w:cs="Arial" w:eastAsia="Arial" w:hAnsi="Arial"/>
                <w:sz w:val="14"/>
                <w:szCs w:val="14"/>
                <w:color w:val="auto"/>
              </w:rPr>
              <w:t>21075</w:t>
            </w:r>
          </w:p>
        </w:tc>
        <w:tc>
          <w:tcPr>
            <w:tcW w:w="1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8.0% Cash, 3.0% PIK, 3 Month Libor</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gridSpan w:val="2"/>
            <w:shd w:val="clear" w:color="auto" w:fill="CCEEFF"/>
          </w:tcPr>
          <w:p>
            <w:pPr>
              <w:ind w:left="240"/>
              <w:spacing w:after="0" w:line="148" w:lineRule="exact"/>
              <w:rPr>
                <w:sz w:val="20"/>
                <w:szCs w:val="20"/>
                <w:color w:val="auto"/>
              </w:rPr>
            </w:pPr>
            <w:r>
              <w:rPr>
                <w:rFonts w:ascii="Arial" w:cs="Arial" w:eastAsia="Arial" w:hAnsi="Arial"/>
                <w:sz w:val="14"/>
                <w:szCs w:val="14"/>
                <w:color w:val="auto"/>
              </w:rPr>
              <w:t>High Tech Industries</w:t>
            </w:r>
          </w:p>
        </w:tc>
        <w:tc>
          <w:tcPr>
            <w:tcW w:w="112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8" w:lineRule="exact"/>
              <w:rPr>
                <w:sz w:val="20"/>
                <w:szCs w:val="20"/>
                <w:color w:val="auto"/>
              </w:rPr>
            </w:pPr>
            <w:r>
              <w:rPr>
                <w:rFonts w:ascii="Arial" w:cs="Arial" w:eastAsia="Arial" w:hAnsi="Arial"/>
                <w:sz w:val="14"/>
                <w:szCs w:val="14"/>
                <w:color w:val="auto"/>
              </w:rPr>
              <w:t>(1.00%) + 7.00%; Libor Floor 1.00%,</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50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Due 6/26</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6/11/2021</w:t>
            </w: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7,011,083</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6,815,187</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6,835,806</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4"/>
        </w:trPr>
        <w:tc>
          <w:tcPr>
            <w:tcW w:w="2820" w:type="dxa"/>
            <w:vAlign w:val="bottom"/>
            <w:gridSpan w:val="3"/>
          </w:tcPr>
          <w:p>
            <w:pPr>
              <w:spacing w:after="0"/>
              <w:rPr>
                <w:sz w:val="20"/>
                <w:szCs w:val="20"/>
                <w:color w:val="auto"/>
              </w:rPr>
            </w:pPr>
            <w:r>
              <w:rPr>
                <w:rFonts w:ascii="Arial" w:cs="Arial" w:eastAsia="Arial" w:hAnsi="Arial"/>
                <w:sz w:val="14"/>
                <w:szCs w:val="14"/>
                <w:color w:val="auto"/>
              </w:rPr>
              <w:t>Anthem Sports &amp; Entertainment Inc.</w:t>
            </w:r>
          </w:p>
        </w:tc>
        <w:tc>
          <w:tcPr>
            <w:tcW w:w="1120" w:type="dxa"/>
            <w:vAlign w:val="bottom"/>
          </w:tcPr>
          <w:p>
            <w:pPr>
              <w:ind w:left="80"/>
              <w:spacing w:after="0"/>
              <w:rPr>
                <w:sz w:val="20"/>
                <w:szCs w:val="20"/>
                <w:color w:val="auto"/>
              </w:rPr>
            </w:pPr>
            <w:r>
              <w:rPr>
                <w:rFonts w:ascii="Arial" w:cs="Arial" w:eastAsia="Arial" w:hAnsi="Arial"/>
                <w:sz w:val="12"/>
                <w:szCs w:val="12"/>
                <w:color w:val="auto"/>
              </w:rPr>
              <w:t>(8)(13)(14)</w:t>
            </w: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rPr>
              <w:t>Senior Secured Loan — Term Loan</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820" w:type="dxa"/>
            <w:vAlign w:val="bottom"/>
            <w:gridSpan w:val="3"/>
          </w:tcPr>
          <w:p>
            <w:pPr>
              <w:spacing w:after="0" w:line="141" w:lineRule="exact"/>
              <w:rPr>
                <w:sz w:val="20"/>
                <w:szCs w:val="20"/>
                <w:color w:val="auto"/>
              </w:rPr>
            </w:pPr>
            <w:r>
              <w:rPr>
                <w:rFonts w:ascii="Arial" w:cs="Arial" w:eastAsia="Arial" w:hAnsi="Arial"/>
                <w:sz w:val="14"/>
                <w:szCs w:val="14"/>
                <w:color w:val="auto"/>
              </w:rPr>
              <w:t>8 Centennial Drive Peabody, MA 01960</w:t>
            </w:r>
          </w:p>
        </w:tc>
        <w:tc>
          <w:tcPr>
            <w:tcW w:w="1120" w:type="dxa"/>
            <w:vAlign w:val="bottom"/>
          </w:tcPr>
          <w:p>
            <w:pPr>
              <w:spacing w:after="0"/>
              <w:rPr>
                <w:sz w:val="12"/>
                <w:szCs w:val="12"/>
                <w:color w:val="auto"/>
              </w:rPr>
            </w:pPr>
          </w:p>
        </w:tc>
        <w:tc>
          <w:tcPr>
            <w:tcW w:w="250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10.5% Cash, 3 Month Libor (1.00%) +</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00" w:type="dxa"/>
            <w:vAlign w:val="bottom"/>
            <w:gridSpan w:val="2"/>
          </w:tcPr>
          <w:p>
            <w:pPr>
              <w:ind w:left="240"/>
              <w:spacing w:after="0"/>
              <w:rPr>
                <w:sz w:val="20"/>
                <w:szCs w:val="20"/>
                <w:color w:val="auto"/>
              </w:rPr>
            </w:pPr>
            <w:r>
              <w:rPr>
                <w:rFonts w:ascii="Arial" w:cs="Arial" w:eastAsia="Arial" w:hAnsi="Arial"/>
                <w:sz w:val="14"/>
                <w:szCs w:val="14"/>
                <w:color w:val="auto"/>
              </w:rPr>
              <w:t>Media: Broadcasting &amp; Subscription</w:t>
            </w:r>
          </w:p>
        </w:tc>
        <w:tc>
          <w:tcPr>
            <w:tcW w:w="1120" w:type="dxa"/>
            <w:vAlign w:val="bottom"/>
          </w:tcPr>
          <w:p>
            <w:pPr>
              <w:spacing w:after="0"/>
              <w:rPr>
                <w:sz w:val="16"/>
                <w:szCs w:val="16"/>
                <w:color w:val="auto"/>
              </w:rPr>
            </w:pP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rPr>
              <w:t>9.50%; Libor Floor 1.00%, Due 9/24</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3/31/2021</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812,912</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724,261</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786,737</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Anthem Sports &amp; Entertainment Inc.</w:t>
            </w:r>
          </w:p>
        </w:tc>
        <w:tc>
          <w:tcPr>
            <w:tcW w:w="1120" w:type="dxa"/>
            <w:vAlign w:val="bottom"/>
            <w:shd w:val="clear" w:color="auto" w:fill="CCEEFF"/>
          </w:tcPr>
          <w:p>
            <w:pPr>
              <w:ind w:left="80"/>
              <w:spacing w:after="0" w:line="122" w:lineRule="exact"/>
              <w:rPr>
                <w:sz w:val="20"/>
                <w:szCs w:val="20"/>
                <w:color w:val="auto"/>
              </w:rPr>
            </w:pPr>
            <w:r>
              <w:rPr>
                <w:rFonts w:ascii="Arial" w:cs="Arial" w:eastAsia="Arial" w:hAnsi="Arial"/>
                <w:sz w:val="12"/>
                <w:szCs w:val="12"/>
                <w:color w:val="auto"/>
              </w:rPr>
              <w:t>(8)(13)(21)(23)</w:t>
            </w:r>
          </w:p>
        </w:tc>
        <w:tc>
          <w:tcPr>
            <w:tcW w:w="250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w w:val="94"/>
              </w:rPr>
              <w:t>Senior Secured Loan — Revolving Loan</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8269 E. 23rd Ave Denver, CO 80238</w:t>
            </w:r>
          </w:p>
        </w:tc>
        <w:tc>
          <w:tcPr>
            <w:tcW w:w="112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10.5% Cash, 3 Month Libor (1.00%) +</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Media: Broadcasting &amp; Subscription</w:t>
            </w:r>
          </w:p>
        </w:tc>
        <w:tc>
          <w:tcPr>
            <w:tcW w:w="1120" w:type="dxa"/>
            <w:vAlign w:val="bottom"/>
            <w:shd w:val="clear" w:color="auto" w:fill="CCEEFF"/>
          </w:tcPr>
          <w:p>
            <w:pPr>
              <w:spacing w:after="0"/>
              <w:rPr>
                <w:sz w:val="14"/>
                <w:szCs w:val="14"/>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9.50%; Libor Floor 1.00%, Due 9/24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9/9/2019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208,333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183,812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173,450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24"/>
        </w:trPr>
        <w:tc>
          <w:tcPr>
            <w:tcW w:w="2820" w:type="dxa"/>
            <w:vAlign w:val="bottom"/>
            <w:gridSpan w:val="3"/>
          </w:tcPr>
          <w:p>
            <w:pPr>
              <w:spacing w:after="0"/>
              <w:rPr>
                <w:sz w:val="20"/>
                <w:szCs w:val="20"/>
                <w:color w:val="auto"/>
              </w:rPr>
            </w:pPr>
            <w:r>
              <w:rPr>
                <w:rFonts w:ascii="Arial" w:cs="Arial" w:eastAsia="Arial" w:hAnsi="Arial"/>
                <w:sz w:val="14"/>
                <w:szCs w:val="14"/>
                <w:color w:val="auto"/>
              </w:rPr>
              <w:t>Anthem Sports &amp; Entertainment Inc.</w:t>
            </w:r>
          </w:p>
        </w:tc>
        <w:tc>
          <w:tcPr>
            <w:tcW w:w="1120" w:type="dxa"/>
            <w:vAlign w:val="bottom"/>
          </w:tcPr>
          <w:p>
            <w:pPr>
              <w:ind w:left="80"/>
              <w:spacing w:after="0"/>
              <w:rPr>
                <w:sz w:val="20"/>
                <w:szCs w:val="20"/>
                <w:color w:val="auto"/>
              </w:rPr>
            </w:pPr>
            <w:r>
              <w:rPr>
                <w:rFonts w:ascii="Arial" w:cs="Arial" w:eastAsia="Arial" w:hAnsi="Arial"/>
                <w:sz w:val="12"/>
                <w:szCs w:val="12"/>
                <w:color w:val="auto"/>
              </w:rPr>
              <w:t>(8)(13)(14)(21)</w:t>
            </w: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rPr>
              <w:t>Senior Secured Loan — Term Loan</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820" w:type="dxa"/>
            <w:vAlign w:val="bottom"/>
            <w:gridSpan w:val="3"/>
          </w:tcPr>
          <w:p>
            <w:pPr>
              <w:spacing w:after="0" w:line="141" w:lineRule="exact"/>
              <w:rPr>
                <w:sz w:val="20"/>
                <w:szCs w:val="20"/>
                <w:color w:val="auto"/>
              </w:rPr>
            </w:pPr>
            <w:r>
              <w:rPr>
                <w:rFonts w:ascii="Arial" w:cs="Arial" w:eastAsia="Arial" w:hAnsi="Arial"/>
                <w:sz w:val="14"/>
                <w:szCs w:val="14"/>
                <w:color w:val="auto"/>
              </w:rPr>
              <w:t>8 Centennial Drive Peabody, MA 01960</w:t>
            </w:r>
          </w:p>
        </w:tc>
        <w:tc>
          <w:tcPr>
            <w:tcW w:w="1120" w:type="dxa"/>
            <w:vAlign w:val="bottom"/>
          </w:tcPr>
          <w:p>
            <w:pPr>
              <w:spacing w:after="0"/>
              <w:rPr>
                <w:sz w:val="12"/>
                <w:szCs w:val="12"/>
                <w:color w:val="auto"/>
              </w:rPr>
            </w:pPr>
          </w:p>
        </w:tc>
        <w:tc>
          <w:tcPr>
            <w:tcW w:w="250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10.5% Cash, 3 Month Libor (1.00%) +</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00" w:type="dxa"/>
            <w:vAlign w:val="bottom"/>
            <w:gridSpan w:val="2"/>
          </w:tcPr>
          <w:p>
            <w:pPr>
              <w:ind w:left="240"/>
              <w:spacing w:after="0"/>
              <w:rPr>
                <w:sz w:val="20"/>
                <w:szCs w:val="20"/>
                <w:color w:val="auto"/>
              </w:rPr>
            </w:pPr>
            <w:r>
              <w:rPr>
                <w:rFonts w:ascii="Arial" w:cs="Arial" w:eastAsia="Arial" w:hAnsi="Arial"/>
                <w:sz w:val="14"/>
                <w:szCs w:val="14"/>
                <w:color w:val="auto"/>
              </w:rPr>
              <w:t>Media: Broadcasting &amp; Subscription</w:t>
            </w:r>
          </w:p>
        </w:tc>
        <w:tc>
          <w:tcPr>
            <w:tcW w:w="1120" w:type="dxa"/>
            <w:vAlign w:val="bottom"/>
          </w:tcPr>
          <w:p>
            <w:pPr>
              <w:spacing w:after="0"/>
              <w:rPr>
                <w:sz w:val="16"/>
                <w:szCs w:val="16"/>
                <w:color w:val="auto"/>
              </w:rPr>
            </w:pP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rPr>
              <w:t>9.50%; Libor Floor 1.00%, Due 9/24</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9/9/2019</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3,112,292</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3,044,915</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3,012,077</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AP Core Holdings II, LLC</w:t>
            </w:r>
          </w:p>
        </w:tc>
        <w:tc>
          <w:tcPr>
            <w:tcW w:w="1120" w:type="dxa"/>
            <w:vAlign w:val="bottom"/>
            <w:shd w:val="clear" w:color="auto" w:fill="CCEEFF"/>
          </w:tcPr>
          <w:p>
            <w:pPr>
              <w:ind w:left="80"/>
              <w:spacing w:after="0" w:line="122" w:lineRule="exact"/>
              <w:rPr>
                <w:sz w:val="20"/>
                <w:szCs w:val="20"/>
                <w:color w:val="auto"/>
              </w:rPr>
            </w:pPr>
            <w:r>
              <w:rPr>
                <w:rFonts w:ascii="Arial" w:cs="Arial" w:eastAsia="Arial" w:hAnsi="Arial"/>
                <w:sz w:val="12"/>
                <w:szCs w:val="12"/>
                <w:color w:val="auto"/>
              </w:rPr>
              <w:t>(8)(14)</w:t>
            </w:r>
          </w:p>
        </w:tc>
        <w:tc>
          <w:tcPr>
            <w:tcW w:w="250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w w:val="95"/>
              </w:rPr>
              <w:t>Senior Secured Loan — First Lien Term</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770 Broadway New York, NY 10003</w:t>
            </w:r>
          </w:p>
        </w:tc>
        <w:tc>
          <w:tcPr>
            <w:tcW w:w="112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Media: Diversified &amp; Production</w:t>
            </w:r>
          </w:p>
        </w:tc>
        <w:tc>
          <w:tcPr>
            <w:tcW w:w="112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6.3% Cash, 1 Month Libor (0.75%) +</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50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5.50%; Libor Floor 0.75%, Due 7/27</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7/21/2021</w:t>
            </w: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4,000,000</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3,940,477</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4,023,340</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24"/>
        </w:trPr>
        <w:tc>
          <w:tcPr>
            <w:tcW w:w="2820" w:type="dxa"/>
            <w:vAlign w:val="bottom"/>
            <w:gridSpan w:val="3"/>
          </w:tcPr>
          <w:p>
            <w:pPr>
              <w:spacing w:after="0"/>
              <w:rPr>
                <w:sz w:val="20"/>
                <w:szCs w:val="20"/>
                <w:color w:val="auto"/>
              </w:rPr>
            </w:pPr>
            <w:r>
              <w:rPr>
                <w:rFonts w:ascii="Arial" w:cs="Arial" w:eastAsia="Arial" w:hAnsi="Arial"/>
                <w:sz w:val="14"/>
                <w:szCs w:val="14"/>
                <w:color w:val="auto"/>
              </w:rPr>
              <w:t>AP Core Holdings II, LLC</w:t>
            </w:r>
          </w:p>
        </w:tc>
        <w:tc>
          <w:tcPr>
            <w:tcW w:w="1120" w:type="dxa"/>
            <w:vAlign w:val="bottom"/>
          </w:tcPr>
          <w:p>
            <w:pPr>
              <w:ind w:left="80"/>
              <w:spacing w:after="0"/>
              <w:rPr>
                <w:sz w:val="20"/>
                <w:szCs w:val="20"/>
                <w:color w:val="auto"/>
              </w:rPr>
            </w:pPr>
            <w:r>
              <w:rPr>
                <w:rFonts w:ascii="Arial" w:cs="Arial" w:eastAsia="Arial" w:hAnsi="Arial"/>
                <w:sz w:val="12"/>
                <w:szCs w:val="12"/>
                <w:color w:val="auto"/>
              </w:rPr>
              <w:t>(8)(13)(14)</w:t>
            </w: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w w:val="95"/>
              </w:rPr>
              <w:t>Senior Secured Loan — First Lien Term</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820" w:type="dxa"/>
            <w:vAlign w:val="bottom"/>
            <w:gridSpan w:val="3"/>
          </w:tcPr>
          <w:p>
            <w:pPr>
              <w:spacing w:after="0" w:line="141" w:lineRule="exact"/>
              <w:rPr>
                <w:sz w:val="20"/>
                <w:szCs w:val="20"/>
                <w:color w:val="auto"/>
              </w:rPr>
            </w:pPr>
            <w:r>
              <w:rPr>
                <w:rFonts w:ascii="Arial" w:cs="Arial" w:eastAsia="Arial" w:hAnsi="Arial"/>
                <w:sz w:val="14"/>
                <w:szCs w:val="14"/>
                <w:color w:val="auto"/>
              </w:rPr>
              <w:t>770 Broadway New York, NY 10003</w:t>
            </w:r>
          </w:p>
        </w:tc>
        <w:tc>
          <w:tcPr>
            <w:tcW w:w="1120" w:type="dxa"/>
            <w:vAlign w:val="bottom"/>
          </w:tcPr>
          <w:p>
            <w:pPr>
              <w:spacing w:after="0"/>
              <w:rPr>
                <w:sz w:val="12"/>
                <w:szCs w:val="12"/>
                <w:color w:val="auto"/>
              </w:rPr>
            </w:pPr>
          </w:p>
        </w:tc>
        <w:tc>
          <w:tcPr>
            <w:tcW w:w="250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Media: Diversified &amp; Production</w:t>
            </w:r>
          </w:p>
        </w:tc>
        <w:tc>
          <w:tcPr>
            <w:tcW w:w="1120" w:type="dxa"/>
            <w:vAlign w:val="bottom"/>
          </w:tcPr>
          <w:p>
            <w:pPr>
              <w:spacing w:after="0"/>
              <w:rPr>
                <w:sz w:val="12"/>
                <w:szCs w:val="12"/>
                <w:color w:val="auto"/>
              </w:rPr>
            </w:pPr>
          </w:p>
        </w:tc>
        <w:tc>
          <w:tcPr>
            <w:tcW w:w="250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6.3% Cash, 1 Month Libor (0.75%) +</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rPr>
              <w:t>5.50%; Libor Floor 0.75%, Due 7/27</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7/21/2021</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4,000,000</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3,940,589</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3,940,000</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Appfire Technologies, LLC</w:t>
            </w:r>
          </w:p>
        </w:tc>
        <w:tc>
          <w:tcPr>
            <w:tcW w:w="1120" w:type="dxa"/>
            <w:vAlign w:val="bottom"/>
            <w:shd w:val="clear" w:color="auto" w:fill="CCEEFF"/>
          </w:tcPr>
          <w:p>
            <w:pPr>
              <w:ind w:left="80"/>
              <w:spacing w:after="0" w:line="122" w:lineRule="exact"/>
              <w:rPr>
                <w:sz w:val="20"/>
                <w:szCs w:val="20"/>
                <w:color w:val="auto"/>
              </w:rPr>
            </w:pPr>
            <w:r>
              <w:rPr>
                <w:rFonts w:ascii="Arial" w:cs="Arial" w:eastAsia="Arial" w:hAnsi="Arial"/>
                <w:sz w:val="12"/>
                <w:szCs w:val="12"/>
                <w:color w:val="auto"/>
              </w:rPr>
              <w:t>(8)(13)(14)(23)</w:t>
            </w:r>
          </w:p>
        </w:tc>
        <w:tc>
          <w:tcPr>
            <w:tcW w:w="250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w w:val="97"/>
              </w:rPr>
              <w:t>Senior Secured Loan — Delayed Draw</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1500 District Ave, Burlington, MA 01803</w:t>
            </w:r>
          </w:p>
        </w:tc>
        <w:tc>
          <w:tcPr>
            <w:tcW w:w="112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Term Loan</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High Tech Industries</w:t>
            </w:r>
          </w:p>
        </w:tc>
        <w:tc>
          <w:tcPr>
            <w:tcW w:w="1120" w:type="dxa"/>
            <w:vAlign w:val="bottom"/>
            <w:shd w:val="clear" w:color="auto" w:fill="CCEEFF"/>
          </w:tcPr>
          <w:p>
            <w:pPr>
              <w:spacing w:after="0"/>
              <w:rPr>
                <w:sz w:val="14"/>
                <w:szCs w:val="14"/>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0.1% Cash, Due 3/27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7/7/2021</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(43,131)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(45,000)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24"/>
        </w:trPr>
        <w:tc>
          <w:tcPr>
            <w:tcW w:w="2820" w:type="dxa"/>
            <w:vAlign w:val="bottom"/>
            <w:gridSpan w:val="3"/>
          </w:tcPr>
          <w:p>
            <w:pPr>
              <w:spacing w:after="0"/>
              <w:rPr>
                <w:sz w:val="20"/>
                <w:szCs w:val="20"/>
                <w:color w:val="auto"/>
              </w:rPr>
            </w:pPr>
            <w:r>
              <w:rPr>
                <w:rFonts w:ascii="Arial" w:cs="Arial" w:eastAsia="Arial" w:hAnsi="Arial"/>
                <w:sz w:val="14"/>
                <w:szCs w:val="14"/>
                <w:color w:val="auto"/>
              </w:rPr>
              <w:t>Athos Merger Sub LLC</w:t>
            </w:r>
          </w:p>
        </w:tc>
        <w:tc>
          <w:tcPr>
            <w:tcW w:w="1120" w:type="dxa"/>
            <w:vAlign w:val="bottom"/>
          </w:tcPr>
          <w:p>
            <w:pPr>
              <w:ind w:left="80"/>
              <w:spacing w:after="0"/>
              <w:rPr>
                <w:sz w:val="20"/>
                <w:szCs w:val="20"/>
                <w:color w:val="auto"/>
              </w:rPr>
            </w:pPr>
            <w:r>
              <w:rPr>
                <w:rFonts w:ascii="Arial" w:cs="Arial" w:eastAsia="Arial" w:hAnsi="Arial"/>
                <w:sz w:val="12"/>
                <w:szCs w:val="12"/>
                <w:color w:val="auto"/>
              </w:rPr>
              <w:t>(8)(13)(14)</w:t>
            </w: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w w:val="95"/>
              </w:rPr>
              <w:t>Senior Secured Loan — First Lien Term</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820" w:type="dxa"/>
            <w:vAlign w:val="bottom"/>
            <w:gridSpan w:val="3"/>
          </w:tcPr>
          <w:p>
            <w:pPr>
              <w:spacing w:after="0" w:line="141" w:lineRule="exact"/>
              <w:rPr>
                <w:sz w:val="20"/>
                <w:szCs w:val="20"/>
                <w:color w:val="auto"/>
              </w:rPr>
            </w:pPr>
            <w:r>
              <w:rPr>
                <w:rFonts w:ascii="Arial" w:cs="Arial" w:eastAsia="Arial" w:hAnsi="Arial"/>
                <w:sz w:val="14"/>
                <w:szCs w:val="14"/>
                <w:color w:val="auto"/>
              </w:rPr>
              <w:t>2821 Northrup Way, Suite 275 Bellevue, WA</w:t>
            </w:r>
          </w:p>
        </w:tc>
        <w:tc>
          <w:tcPr>
            <w:tcW w:w="1120" w:type="dxa"/>
            <w:vAlign w:val="bottom"/>
          </w:tcPr>
          <w:p>
            <w:pPr>
              <w:spacing w:after="0"/>
              <w:rPr>
                <w:sz w:val="12"/>
                <w:szCs w:val="12"/>
                <w:color w:val="auto"/>
              </w:rPr>
            </w:pPr>
          </w:p>
        </w:tc>
        <w:tc>
          <w:tcPr>
            <w:tcW w:w="250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0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98004</w:t>
            </w:r>
          </w:p>
        </w:tc>
        <w:tc>
          <w:tcPr>
            <w:tcW w:w="1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50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5.1% Cash, 1 Month Libor (0.08%) +</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00" w:type="dxa"/>
            <w:vAlign w:val="bottom"/>
            <w:gridSpan w:val="2"/>
          </w:tcPr>
          <w:p>
            <w:pPr>
              <w:ind w:left="240"/>
              <w:spacing w:after="0"/>
              <w:rPr>
                <w:sz w:val="20"/>
                <w:szCs w:val="20"/>
                <w:color w:val="auto"/>
              </w:rPr>
            </w:pPr>
            <w:r>
              <w:rPr>
                <w:rFonts w:ascii="Arial" w:cs="Arial" w:eastAsia="Arial" w:hAnsi="Arial"/>
                <w:sz w:val="14"/>
                <w:szCs w:val="14"/>
                <w:color w:val="auto"/>
              </w:rPr>
              <w:t>Services: Business</w:t>
            </w:r>
          </w:p>
        </w:tc>
        <w:tc>
          <w:tcPr>
            <w:tcW w:w="1120" w:type="dxa"/>
            <w:vAlign w:val="bottom"/>
          </w:tcPr>
          <w:p>
            <w:pPr>
              <w:spacing w:after="0"/>
              <w:rPr>
                <w:sz w:val="16"/>
                <w:szCs w:val="16"/>
                <w:color w:val="auto"/>
              </w:rPr>
            </w:pP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rPr>
              <w:t>5.00%, Due 7/26</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1,319,019</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1,158,907</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1,319,019</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Back Porch International, Inc.</w:t>
            </w:r>
          </w:p>
        </w:tc>
        <w:tc>
          <w:tcPr>
            <w:tcW w:w="1120" w:type="dxa"/>
            <w:vAlign w:val="bottom"/>
            <w:shd w:val="clear" w:color="auto" w:fill="CCEEFF"/>
          </w:tcPr>
          <w:p>
            <w:pPr>
              <w:ind w:left="80"/>
              <w:spacing w:after="0" w:line="122" w:lineRule="exact"/>
              <w:rPr>
                <w:sz w:val="20"/>
                <w:szCs w:val="20"/>
                <w:color w:val="auto"/>
              </w:rPr>
            </w:pPr>
            <w:r>
              <w:rPr>
                <w:rFonts w:ascii="Arial" w:cs="Arial" w:eastAsia="Arial" w:hAnsi="Arial"/>
                <w:sz w:val="12"/>
                <w:szCs w:val="12"/>
                <w:color w:val="auto"/>
              </w:rPr>
              <w:t>(8)(13)(24)</w:t>
            </w:r>
          </w:p>
        </w:tc>
        <w:tc>
          <w:tcPr>
            <w:tcW w:w="250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w w:val="95"/>
              </w:rPr>
              <w:t>Senior Secured Loan — First Lien Term</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88"/>
              </w:rPr>
              <w:t>6405 SW Rosewood St, Ste C., Lake Oswego, OR</w:t>
            </w:r>
          </w:p>
        </w:tc>
        <w:tc>
          <w:tcPr>
            <w:tcW w:w="112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80" w:type="dxa"/>
            <w:vAlign w:val="bottom"/>
            <w:shd w:val="clear" w:color="auto" w:fill="CCEEFF"/>
          </w:tcPr>
          <w:p>
            <w:pPr>
              <w:ind w:left="100"/>
              <w:spacing w:after="0" w:line="141" w:lineRule="exact"/>
              <w:rPr>
                <w:sz w:val="20"/>
                <w:szCs w:val="20"/>
                <w:color w:val="auto"/>
              </w:rPr>
            </w:pPr>
            <w:r>
              <w:rPr>
                <w:rFonts w:ascii="Arial" w:cs="Arial" w:eastAsia="Arial" w:hAnsi="Arial"/>
                <w:sz w:val="14"/>
                <w:szCs w:val="14"/>
                <w:color w:val="auto"/>
              </w:rPr>
              <w:t>97035</w:t>
            </w:r>
          </w:p>
        </w:tc>
        <w:tc>
          <w:tcPr>
            <w:tcW w:w="1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12.5% Cash, 1.0% PIK, 1 Month Libor</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High Tech Industries</w:t>
            </w:r>
          </w:p>
        </w:tc>
        <w:tc>
          <w:tcPr>
            <w:tcW w:w="112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(2.25%) + 10.25%; Libor Floor 2.25%,</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50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Due 3/24</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6/9/2021</w:t>
            </w: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5,593,090</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5,225,707</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5,593,090</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24"/>
        </w:trPr>
        <w:tc>
          <w:tcPr>
            <w:tcW w:w="2820" w:type="dxa"/>
            <w:vAlign w:val="bottom"/>
            <w:gridSpan w:val="3"/>
          </w:tcPr>
          <w:p>
            <w:pPr>
              <w:spacing w:after="0"/>
              <w:rPr>
                <w:sz w:val="20"/>
                <w:szCs w:val="20"/>
                <w:color w:val="auto"/>
              </w:rPr>
            </w:pPr>
            <w:r>
              <w:rPr>
                <w:rFonts w:ascii="Arial" w:cs="Arial" w:eastAsia="Arial" w:hAnsi="Arial"/>
                <w:sz w:val="14"/>
                <w:szCs w:val="14"/>
                <w:color w:val="auto"/>
              </w:rPr>
              <w:t>BJ Services, LLC</w:t>
            </w:r>
          </w:p>
        </w:tc>
        <w:tc>
          <w:tcPr>
            <w:tcW w:w="1120" w:type="dxa"/>
            <w:vAlign w:val="bottom"/>
          </w:tcPr>
          <w:p>
            <w:pPr>
              <w:ind w:left="80"/>
              <w:spacing w:after="0"/>
              <w:rPr>
                <w:sz w:val="20"/>
                <w:szCs w:val="20"/>
                <w:color w:val="auto"/>
              </w:rPr>
            </w:pPr>
            <w:r>
              <w:rPr>
                <w:rFonts w:ascii="Arial" w:cs="Arial" w:eastAsia="Arial" w:hAnsi="Arial"/>
                <w:sz w:val="12"/>
                <w:szCs w:val="12"/>
                <w:color w:val="auto"/>
              </w:rPr>
              <w:t>(8)(13)(14)</w:t>
            </w: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w w:val="96"/>
              </w:rPr>
              <w:t>Senior Secured Loan — First Out Term</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820" w:type="dxa"/>
            <w:vAlign w:val="bottom"/>
            <w:gridSpan w:val="3"/>
          </w:tcPr>
          <w:p>
            <w:pPr>
              <w:spacing w:after="0" w:line="141" w:lineRule="exact"/>
              <w:rPr>
                <w:sz w:val="20"/>
                <w:szCs w:val="20"/>
                <w:color w:val="auto"/>
              </w:rPr>
            </w:pPr>
            <w:r>
              <w:rPr>
                <w:rFonts w:ascii="Arial" w:cs="Arial" w:eastAsia="Arial" w:hAnsi="Arial"/>
                <w:sz w:val="14"/>
                <w:szCs w:val="14"/>
                <w:color w:val="auto"/>
                <w:w w:val="99"/>
              </w:rPr>
              <w:t>520 US-22, Bridgewater Township, NJ 08807</w:t>
            </w:r>
          </w:p>
        </w:tc>
        <w:tc>
          <w:tcPr>
            <w:tcW w:w="1120" w:type="dxa"/>
            <w:vAlign w:val="bottom"/>
          </w:tcPr>
          <w:p>
            <w:pPr>
              <w:spacing w:after="0"/>
              <w:rPr>
                <w:sz w:val="12"/>
                <w:szCs w:val="12"/>
                <w:color w:val="auto"/>
              </w:rPr>
            </w:pPr>
          </w:p>
        </w:tc>
        <w:tc>
          <w:tcPr>
            <w:tcW w:w="250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Energy: Oil &amp; Gas</w:t>
            </w:r>
          </w:p>
        </w:tc>
        <w:tc>
          <w:tcPr>
            <w:tcW w:w="1120" w:type="dxa"/>
            <w:vAlign w:val="bottom"/>
          </w:tcPr>
          <w:p>
            <w:pPr>
              <w:spacing w:after="0"/>
              <w:rPr>
                <w:sz w:val="12"/>
                <w:szCs w:val="12"/>
                <w:color w:val="auto"/>
              </w:rPr>
            </w:pPr>
          </w:p>
        </w:tc>
        <w:tc>
          <w:tcPr>
            <w:tcW w:w="250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8.5% Cash, 1 Month Libor (1.50%) +</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rPr>
              <w:t>7.00%; Libor Floor 1.50%, Due 1/23</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1,384,155</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1,369,016</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1,384,155</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BMC Acquisition, Inc.</w:t>
            </w:r>
          </w:p>
        </w:tc>
        <w:tc>
          <w:tcPr>
            <w:tcW w:w="1120" w:type="dxa"/>
            <w:vAlign w:val="bottom"/>
            <w:shd w:val="clear" w:color="auto" w:fill="CCEEFF"/>
          </w:tcPr>
          <w:p>
            <w:pPr>
              <w:ind w:left="80"/>
              <w:spacing w:after="0" w:line="122" w:lineRule="exact"/>
              <w:rPr>
                <w:sz w:val="20"/>
                <w:szCs w:val="20"/>
                <w:color w:val="auto"/>
              </w:rPr>
            </w:pPr>
            <w:r>
              <w:rPr>
                <w:rFonts w:ascii="Arial" w:cs="Arial" w:eastAsia="Arial" w:hAnsi="Arial"/>
                <w:sz w:val="12"/>
                <w:szCs w:val="12"/>
                <w:color w:val="auto"/>
              </w:rPr>
              <w:t>(8)(14)</w:t>
            </w:r>
          </w:p>
        </w:tc>
        <w:tc>
          <w:tcPr>
            <w:tcW w:w="250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rPr>
              <w:t>Senior Secured Loan — Initial Term</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11211 FM 2920 Rd. Tomball, TX 77375</w:t>
            </w:r>
          </w:p>
        </w:tc>
        <w:tc>
          <w:tcPr>
            <w:tcW w:w="112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w w:val="95"/>
              </w:rPr>
              <w:t>Banking, Finance, Insurance &amp; Real Estate</w:t>
            </w:r>
          </w:p>
        </w:tc>
        <w:tc>
          <w:tcPr>
            <w:tcW w:w="112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6.3% Cash, 3 Month Libor (1.00%) +</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50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5.25%; Libor Floor 1.00%, Due 12/24</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1/2/2018</w:t>
            </w: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2,691,522</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2,690,784</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2,684,793</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4"/>
        </w:trPr>
        <w:tc>
          <w:tcPr>
            <w:tcW w:w="2820" w:type="dxa"/>
            <w:vAlign w:val="bottom"/>
            <w:gridSpan w:val="3"/>
          </w:tcPr>
          <w:p>
            <w:pPr>
              <w:spacing w:after="0"/>
              <w:rPr>
                <w:sz w:val="20"/>
                <w:szCs w:val="20"/>
                <w:color w:val="auto"/>
              </w:rPr>
            </w:pPr>
            <w:r>
              <w:rPr>
                <w:rFonts w:ascii="Arial" w:cs="Arial" w:eastAsia="Arial" w:hAnsi="Arial"/>
                <w:sz w:val="14"/>
                <w:szCs w:val="14"/>
                <w:color w:val="auto"/>
              </w:rPr>
              <w:t>Bristol Hospice</w:t>
            </w:r>
          </w:p>
        </w:tc>
        <w:tc>
          <w:tcPr>
            <w:tcW w:w="1120" w:type="dxa"/>
            <w:vAlign w:val="bottom"/>
          </w:tcPr>
          <w:p>
            <w:pPr>
              <w:ind w:left="80"/>
              <w:spacing w:after="0"/>
              <w:rPr>
                <w:sz w:val="20"/>
                <w:szCs w:val="20"/>
                <w:color w:val="auto"/>
              </w:rPr>
            </w:pPr>
            <w:r>
              <w:rPr>
                <w:rFonts w:ascii="Arial" w:cs="Arial" w:eastAsia="Arial" w:hAnsi="Arial"/>
                <w:sz w:val="12"/>
                <w:szCs w:val="12"/>
                <w:color w:val="auto"/>
              </w:rPr>
              <w:t>(8)(13)(14)(21)(23)</w:t>
            </w:r>
          </w:p>
        </w:tc>
        <w:tc>
          <w:tcPr>
            <w:tcW w:w="2500" w:type="dxa"/>
            <w:vAlign w:val="bottom"/>
            <w:gridSpan w:val="3"/>
            <w:vMerge w:val="restart"/>
          </w:tcPr>
          <w:p>
            <w:pPr>
              <w:ind w:left="120"/>
              <w:spacing w:after="0"/>
              <w:rPr>
                <w:sz w:val="20"/>
                <w:szCs w:val="20"/>
                <w:color w:val="auto"/>
              </w:rPr>
            </w:pPr>
            <w:r>
              <w:rPr>
                <w:rFonts w:ascii="Arial" w:cs="Arial" w:eastAsia="Arial" w:hAnsi="Arial"/>
                <w:sz w:val="14"/>
                <w:szCs w:val="14"/>
                <w:color w:val="auto"/>
                <w:w w:val="97"/>
              </w:rPr>
              <w:t>Senior Secured Loan — Delayed Draw</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2820" w:type="dxa"/>
            <w:vAlign w:val="bottom"/>
            <w:gridSpan w:val="3"/>
            <w:vMerge w:val="restart"/>
          </w:tcPr>
          <w:p>
            <w:pPr>
              <w:spacing w:after="0" w:line="141" w:lineRule="exact"/>
              <w:rPr>
                <w:sz w:val="20"/>
                <w:szCs w:val="20"/>
                <w:color w:val="auto"/>
              </w:rPr>
            </w:pPr>
            <w:r>
              <w:rPr>
                <w:rFonts w:ascii="Arial" w:cs="Arial" w:eastAsia="Arial" w:hAnsi="Arial"/>
                <w:sz w:val="14"/>
                <w:szCs w:val="14"/>
                <w:color w:val="auto"/>
                <w:w w:val="91"/>
              </w:rPr>
              <w:t>12404 Park Central Drive, Suite 400S Dallas, TX,</w:t>
            </w:r>
          </w:p>
        </w:tc>
        <w:tc>
          <w:tcPr>
            <w:tcW w:w="1120" w:type="dxa"/>
            <w:vAlign w:val="bottom"/>
          </w:tcPr>
          <w:p>
            <w:pPr>
              <w:spacing w:after="0"/>
              <w:rPr>
                <w:sz w:val="6"/>
                <w:szCs w:val="6"/>
                <w:color w:val="auto"/>
              </w:rPr>
            </w:pPr>
          </w:p>
        </w:tc>
        <w:tc>
          <w:tcPr>
            <w:tcW w:w="25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820" w:type="dxa"/>
            <w:vAlign w:val="bottom"/>
            <w:gridSpan w:val="3"/>
            <w:vMerge w:val="continue"/>
          </w:tcPr>
          <w:p>
            <w:pPr>
              <w:spacing w:after="0"/>
              <w:rPr>
                <w:sz w:val="5"/>
                <w:szCs w:val="5"/>
                <w:color w:val="auto"/>
              </w:rPr>
            </w:pPr>
          </w:p>
        </w:tc>
        <w:tc>
          <w:tcPr>
            <w:tcW w:w="1120" w:type="dxa"/>
            <w:vAlign w:val="bottom"/>
          </w:tcPr>
          <w:p>
            <w:pPr>
              <w:spacing w:after="0"/>
              <w:rPr>
                <w:sz w:val="5"/>
                <w:szCs w:val="5"/>
                <w:color w:val="auto"/>
              </w:rPr>
            </w:pPr>
          </w:p>
        </w:tc>
        <w:tc>
          <w:tcPr>
            <w:tcW w:w="2500" w:type="dxa"/>
            <w:vAlign w:val="bottom"/>
            <w:gridSpan w:val="3"/>
            <w:vMerge w:val="restart"/>
          </w:tcPr>
          <w:p>
            <w:pPr>
              <w:ind w:left="120"/>
              <w:spacing w:after="0" w:line="141" w:lineRule="exact"/>
              <w:rPr>
                <w:sz w:val="20"/>
                <w:szCs w:val="20"/>
                <w:color w:val="auto"/>
              </w:rPr>
            </w:pPr>
            <w:r>
              <w:rPr>
                <w:rFonts w:ascii="Arial" w:cs="Arial" w:eastAsia="Arial" w:hAnsi="Arial"/>
                <w:sz w:val="14"/>
                <w:szCs w:val="14"/>
                <w:color w:val="auto"/>
              </w:rPr>
              <w:t>Term Loan</w:t>
            </w: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000" w:type="dxa"/>
            <w:vAlign w:val="bottom"/>
            <w:gridSpan w:val="2"/>
            <w:vMerge w:val="restart"/>
          </w:tcPr>
          <w:p>
            <w:pPr>
              <w:ind w:left="120"/>
              <w:spacing w:after="0" w:line="141" w:lineRule="exact"/>
              <w:rPr>
                <w:sz w:val="20"/>
                <w:szCs w:val="20"/>
                <w:color w:val="auto"/>
              </w:rPr>
            </w:pPr>
            <w:r>
              <w:rPr>
                <w:rFonts w:ascii="Arial" w:cs="Arial" w:eastAsia="Arial" w:hAnsi="Arial"/>
                <w:sz w:val="14"/>
                <w:szCs w:val="14"/>
                <w:color w:val="auto"/>
              </w:rPr>
              <w:t>75251</w:t>
            </w:r>
          </w:p>
        </w:tc>
        <w:tc>
          <w:tcPr>
            <w:tcW w:w="1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5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000" w:type="dxa"/>
            <w:vAlign w:val="bottom"/>
            <w:gridSpan w:val="2"/>
            <w:vMerge w:val="continue"/>
          </w:tcPr>
          <w:p>
            <w:pPr>
              <w:spacing w:after="0"/>
              <w:rPr>
                <w:sz w:val="5"/>
                <w:szCs w:val="5"/>
                <w:color w:val="auto"/>
              </w:rPr>
            </w:pPr>
          </w:p>
        </w:tc>
        <w:tc>
          <w:tcPr>
            <w:tcW w:w="1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500" w:type="dxa"/>
            <w:vAlign w:val="bottom"/>
            <w:gridSpan w:val="3"/>
            <w:vMerge w:val="restart"/>
          </w:tcPr>
          <w:p>
            <w:pPr>
              <w:ind w:left="120"/>
              <w:spacing w:after="0"/>
              <w:rPr>
                <w:sz w:val="20"/>
                <w:szCs w:val="20"/>
                <w:color w:val="auto"/>
              </w:rPr>
            </w:pPr>
            <w:r>
              <w:rPr>
                <w:rFonts w:ascii="Arial" w:cs="Arial" w:eastAsia="Arial" w:hAnsi="Arial"/>
                <w:sz w:val="14"/>
                <w:szCs w:val="14"/>
                <w:color w:val="auto"/>
              </w:rPr>
              <w:t>1.0% Cash, Due 12/26</w:t>
            </w: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800" w:type="dxa"/>
            <w:vAlign w:val="bottom"/>
            <w:gridSpan w:val="2"/>
            <w:vMerge w:val="restart"/>
          </w:tcPr>
          <w:p>
            <w:pPr>
              <w:ind w:left="240"/>
              <w:spacing w:after="0"/>
              <w:rPr>
                <w:sz w:val="20"/>
                <w:szCs w:val="20"/>
                <w:color w:val="auto"/>
              </w:rPr>
            </w:pPr>
            <w:r>
              <w:rPr>
                <w:rFonts w:ascii="Arial" w:cs="Arial" w:eastAsia="Arial" w:hAnsi="Arial"/>
                <w:sz w:val="14"/>
                <w:szCs w:val="14"/>
                <w:color w:val="auto"/>
              </w:rPr>
              <w:t>Healthcare &amp; Pharmaceuticals</w:t>
            </w:r>
          </w:p>
        </w:tc>
        <w:tc>
          <w:tcPr>
            <w:tcW w:w="11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12/22/2020</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(7,158)</w:t>
            </w: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Bristol Hospice</w:t>
            </w:r>
          </w:p>
        </w:tc>
        <w:tc>
          <w:tcPr>
            <w:tcW w:w="1120" w:type="dxa"/>
            <w:vAlign w:val="bottom"/>
            <w:shd w:val="clear" w:color="auto" w:fill="CCEEFF"/>
          </w:tcPr>
          <w:p>
            <w:pPr>
              <w:ind w:left="80"/>
              <w:spacing w:after="0" w:line="122" w:lineRule="exact"/>
              <w:rPr>
                <w:sz w:val="20"/>
                <w:szCs w:val="20"/>
                <w:color w:val="auto"/>
              </w:rPr>
            </w:pPr>
            <w:r>
              <w:rPr>
                <w:rFonts w:ascii="Arial" w:cs="Arial" w:eastAsia="Arial" w:hAnsi="Arial"/>
                <w:sz w:val="12"/>
                <w:szCs w:val="12"/>
                <w:color w:val="auto"/>
              </w:rPr>
              <w:t>(8)(13)(14)(21)</w:t>
            </w:r>
          </w:p>
        </w:tc>
        <w:tc>
          <w:tcPr>
            <w:tcW w:w="250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Senior Secured Loan — Unitranche</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800" w:type="dxa"/>
            <w:vAlign w:val="bottom"/>
            <w:gridSpan w:val="2"/>
            <w:vMerge w:val="restart"/>
            <w:shd w:val="clear" w:color="auto" w:fill="CCEEFF"/>
          </w:tcPr>
          <w:p>
            <w:pPr>
              <w:spacing w:after="0" w:line="141" w:lineRule="exact"/>
              <w:rPr>
                <w:sz w:val="20"/>
                <w:szCs w:val="20"/>
                <w:color w:val="auto"/>
              </w:rPr>
            </w:pPr>
            <w:r>
              <w:rPr>
                <w:rFonts w:ascii="Arial" w:cs="Arial" w:eastAsia="Arial" w:hAnsi="Arial"/>
                <w:sz w:val="14"/>
                <w:szCs w:val="14"/>
                <w:color w:val="auto"/>
                <w:w w:val="89"/>
              </w:rPr>
              <w:t>206 North 2100 West, Ste 202, Salt Lake City, UT</w:t>
            </w:r>
          </w:p>
        </w:tc>
        <w:tc>
          <w:tcPr>
            <w:tcW w:w="1120" w:type="dxa"/>
            <w:vAlign w:val="bottom"/>
            <w:shd w:val="clear" w:color="auto" w:fill="CCEEFF"/>
          </w:tcPr>
          <w:p>
            <w:pPr>
              <w:spacing w:after="0"/>
              <w:rPr>
                <w:sz w:val="6"/>
                <w:szCs w:val="6"/>
                <w:color w:val="auto"/>
              </w:rPr>
            </w:pPr>
          </w:p>
        </w:tc>
        <w:tc>
          <w:tcPr>
            <w:tcW w:w="2500" w:type="dxa"/>
            <w:vAlign w:val="bottom"/>
            <w:gridSpan w:val="3"/>
            <w:vMerge w:val="continue"/>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800" w:type="dxa"/>
            <w:vAlign w:val="bottom"/>
            <w:gridSpan w:val="2"/>
            <w:vMerge w:val="continue"/>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500" w:type="dxa"/>
            <w:vAlign w:val="bottom"/>
            <w:gridSpan w:val="3"/>
            <w:vMerge w:val="restart"/>
            <w:shd w:val="clear" w:color="auto" w:fill="CCEEFF"/>
          </w:tcPr>
          <w:p>
            <w:pPr>
              <w:ind w:left="120"/>
              <w:spacing w:after="0" w:line="141" w:lineRule="exact"/>
              <w:rPr>
                <w:sz w:val="20"/>
                <w:szCs w:val="20"/>
                <w:color w:val="auto"/>
              </w:rPr>
            </w:pPr>
            <w:r>
              <w:rPr>
                <w:rFonts w:ascii="Arial" w:cs="Arial" w:eastAsia="Arial" w:hAnsi="Arial"/>
                <w:sz w:val="14"/>
                <w:szCs w:val="14"/>
                <w:color w:val="auto"/>
              </w:rPr>
              <w:t>6.3% Cash, 1 Month Libor (1.00%) +</w:t>
            </w:r>
          </w:p>
        </w:tc>
        <w:tc>
          <w:tcPr>
            <w:tcW w:w="7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80" w:type="dxa"/>
            <w:vAlign w:val="bottom"/>
            <w:vMerge w:val="restart"/>
            <w:shd w:val="clear" w:color="auto" w:fill="CCEEFF"/>
          </w:tcPr>
          <w:p>
            <w:pPr>
              <w:ind w:left="100"/>
              <w:spacing w:after="0" w:line="141" w:lineRule="exact"/>
              <w:rPr>
                <w:sz w:val="20"/>
                <w:szCs w:val="20"/>
                <w:color w:val="auto"/>
              </w:rPr>
            </w:pPr>
            <w:r>
              <w:rPr>
                <w:rFonts w:ascii="Arial" w:cs="Arial" w:eastAsia="Arial" w:hAnsi="Arial"/>
                <w:sz w:val="14"/>
                <w:szCs w:val="14"/>
                <w:color w:val="auto"/>
              </w:rPr>
              <w:t>84116</w:t>
            </w:r>
          </w:p>
        </w:tc>
        <w:tc>
          <w:tcPr>
            <w:tcW w:w="18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2500" w:type="dxa"/>
            <w:vAlign w:val="bottom"/>
            <w:gridSpan w:val="3"/>
            <w:vMerge w:val="continue"/>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50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5.25%; Libor Floor 1.00%, Due 12/26</w:t>
            </w:r>
          </w:p>
        </w:tc>
        <w:tc>
          <w:tcPr>
            <w:tcW w:w="7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80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Healthcare &amp; Pharmaceuticals</w:t>
            </w:r>
          </w:p>
        </w:tc>
        <w:tc>
          <w:tcPr>
            <w:tcW w:w="1120" w:type="dxa"/>
            <w:vAlign w:val="bottom"/>
            <w:shd w:val="clear" w:color="auto" w:fill="CCEEFF"/>
          </w:tcPr>
          <w:p>
            <w:pPr>
              <w:spacing w:after="0"/>
              <w:rPr>
                <w:sz w:val="9"/>
                <w:szCs w:val="9"/>
                <w:color w:val="auto"/>
              </w:rPr>
            </w:pPr>
          </w:p>
        </w:tc>
        <w:tc>
          <w:tcPr>
            <w:tcW w:w="2500" w:type="dxa"/>
            <w:vAlign w:val="bottom"/>
            <w:gridSpan w:val="3"/>
            <w:vMerge w:val="continue"/>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12/22/2020</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2,161,747</w:t>
            </w: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2,124,095</w:t>
            </w: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2,161,747</w:t>
            </w: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00" w:type="dxa"/>
            <w:vAlign w:val="bottom"/>
            <w:gridSpan w:val="2"/>
            <w:vMerge w:val="continue"/>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6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840"/>
          </w:cols>
          <w:pgMar w:left="320" w:top="443" w:right="7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30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Portfolio Company /</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Investment</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Initial</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28"/>
        </w:trPr>
        <w:tc>
          <w:tcPr>
            <w:tcW w:w="3060" w:type="dxa"/>
            <w:vAlign w:val="bottom"/>
            <w:gridSpan w:val="3"/>
            <w:vMerge w:val="continue"/>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900" w:type="dxa"/>
            <w:vAlign w:val="bottom"/>
            <w:gridSpan w:val="2"/>
          </w:tcPr>
          <w:p>
            <w:pPr>
              <w:jc w:val="center"/>
              <w:ind w:right="160"/>
              <w:spacing w:after="0" w:line="128" w:lineRule="exact"/>
              <w:rPr>
                <w:sz w:val="20"/>
                <w:szCs w:val="20"/>
                <w:color w:val="auto"/>
              </w:rPr>
            </w:pPr>
            <w:r>
              <w:rPr>
                <w:rFonts w:ascii="Arial" w:cs="Arial" w:eastAsia="Arial" w:hAnsi="Arial"/>
                <w:sz w:val="13"/>
                <w:szCs w:val="13"/>
                <w:b w:val="1"/>
                <w:bCs w:val="1"/>
                <w:color w:val="auto"/>
                <w:w w:val="87"/>
              </w:rPr>
              <w:t>Acquisition</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28" w:lineRule="exact"/>
              <w:rPr>
                <w:sz w:val="20"/>
                <w:szCs w:val="20"/>
                <w:color w:val="auto"/>
              </w:rPr>
            </w:pPr>
            <w:r>
              <w:rPr>
                <w:rFonts w:ascii="Arial" w:cs="Arial" w:eastAsia="Arial" w:hAnsi="Arial"/>
                <w:sz w:val="13"/>
                <w:szCs w:val="13"/>
                <w:b w:val="1"/>
                <w:bCs w:val="1"/>
                <w:color w:val="auto"/>
                <w:w w:val="97"/>
              </w:rPr>
              <w:t>Amortized</w:t>
            </w:r>
          </w:p>
        </w:tc>
        <w:tc>
          <w:tcPr>
            <w:tcW w:w="840" w:type="dxa"/>
            <w:vAlign w:val="bottom"/>
            <w:gridSpan w:val="2"/>
          </w:tcPr>
          <w:p>
            <w:pPr>
              <w:jc w:val="center"/>
              <w:ind w:right="140"/>
              <w:spacing w:after="0" w:line="128" w:lineRule="exact"/>
              <w:rPr>
                <w:sz w:val="20"/>
                <w:szCs w:val="20"/>
                <w:color w:val="auto"/>
              </w:rPr>
            </w:pPr>
            <w:r>
              <w:rPr>
                <w:rFonts w:ascii="Arial" w:cs="Arial" w:eastAsia="Arial" w:hAnsi="Arial"/>
                <w:sz w:val="13"/>
                <w:szCs w:val="13"/>
                <w:b w:val="1"/>
                <w:bCs w:val="1"/>
                <w:color w:val="auto"/>
                <w:w w:val="92"/>
              </w:rPr>
              <w:t>Fair</w:t>
            </w:r>
          </w:p>
        </w:tc>
        <w:tc>
          <w:tcPr>
            <w:tcW w:w="60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53"/>
        </w:trPr>
        <w:tc>
          <w:tcPr>
            <w:tcW w:w="306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Interest Rate¹ / Maturity</w:t>
            </w:r>
            <w:r>
              <w:rPr>
                <w:rFonts w:ascii="Arial" w:cs="Arial" w:eastAsia="Arial" w:hAnsi="Arial"/>
                <w:sz w:val="10"/>
                <w:szCs w:val="10"/>
                <w:b w:val="1"/>
                <w:bCs w:val="1"/>
                <w:color w:val="auto"/>
                <w:w w:val="93"/>
              </w:rPr>
              <w:t>15</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Principal</w:t>
            </w:r>
          </w:p>
        </w:tc>
        <w:tc>
          <w:tcPr>
            <w:tcW w:w="8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Cost</w:t>
            </w: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Value</w:t>
            </w:r>
            <w:r>
              <w:rPr>
                <w:rFonts w:ascii="Arial" w:cs="Arial" w:eastAsia="Arial" w:hAnsi="Arial"/>
                <w:sz w:val="10"/>
                <w:szCs w:val="10"/>
                <w:b w:val="1"/>
                <w:bCs w:val="1"/>
                <w:color w:val="auto"/>
                <w:w w:val="94"/>
              </w:rPr>
              <w:t>2</w:t>
            </w:r>
          </w:p>
        </w:tc>
        <w:tc>
          <w:tcPr>
            <w:tcW w:w="6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9"/>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304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C.P. Converters, Inc.</w:t>
            </w:r>
          </w:p>
        </w:tc>
        <w:tc>
          <w:tcPr>
            <w:tcW w:w="880" w:type="dxa"/>
            <w:vAlign w:val="bottom"/>
            <w:shd w:val="clear" w:color="auto" w:fill="CCEEFF"/>
          </w:tcPr>
          <w:p>
            <w:pPr>
              <w:ind w:left="40"/>
              <w:spacing w:after="0" w:line="101" w:lineRule="exact"/>
              <w:rPr>
                <w:sz w:val="20"/>
                <w:szCs w:val="20"/>
                <w:color w:val="auto"/>
              </w:rPr>
            </w:pPr>
            <w:r>
              <w:rPr>
                <w:rFonts w:ascii="Arial" w:cs="Arial" w:eastAsia="Arial" w:hAnsi="Arial"/>
                <w:sz w:val="10"/>
                <w:szCs w:val="10"/>
                <w:color w:val="auto"/>
              </w:rPr>
              <w:t>(8)(13)(14)</w:t>
            </w:r>
          </w:p>
        </w:tc>
        <w:tc>
          <w:tcPr>
            <w:tcW w:w="1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Senior Secured Loan — Term Loan</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15 Grumbacher Road York, PA 17406</w:t>
            </w:r>
          </w:p>
        </w:tc>
        <w:tc>
          <w:tcPr>
            <w:tcW w:w="88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7.0% Cash, 3 Month Libor (1.00%) +</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0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Chemicals, Plastics &amp; Rubber</w:t>
            </w:r>
          </w:p>
        </w:tc>
        <w:tc>
          <w:tcPr>
            <w:tcW w:w="88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6.00%; Libor Floor 1.00%, Due 6/23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7/29/2021</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1,120,738</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1,104,985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1,103,927</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24"/>
        </w:trPr>
        <w:tc>
          <w:tcPr>
            <w:tcW w:w="3060" w:type="dxa"/>
            <w:vAlign w:val="bottom"/>
            <w:gridSpan w:val="3"/>
          </w:tcPr>
          <w:p>
            <w:pPr>
              <w:spacing w:after="0"/>
              <w:rPr>
                <w:sz w:val="20"/>
                <w:szCs w:val="20"/>
                <w:color w:val="auto"/>
              </w:rPr>
            </w:pPr>
            <w:r>
              <w:rPr>
                <w:rFonts w:ascii="Arial" w:cs="Arial" w:eastAsia="Arial" w:hAnsi="Arial"/>
                <w:sz w:val="14"/>
                <w:szCs w:val="14"/>
                <w:color w:val="auto"/>
              </w:rPr>
              <w:t>C.P. Converters, Inc.</w:t>
            </w:r>
          </w:p>
        </w:tc>
        <w:tc>
          <w:tcPr>
            <w:tcW w:w="880" w:type="dxa"/>
            <w:vAlign w:val="bottom"/>
          </w:tcPr>
          <w:p>
            <w:pPr>
              <w:ind w:left="40"/>
              <w:spacing w:after="0"/>
              <w:rPr>
                <w:sz w:val="20"/>
                <w:szCs w:val="20"/>
                <w:color w:val="auto"/>
              </w:rPr>
            </w:pPr>
            <w:r>
              <w:rPr>
                <w:rFonts w:ascii="Arial" w:cs="Arial" w:eastAsia="Arial" w:hAnsi="Arial"/>
                <w:sz w:val="12"/>
                <w:szCs w:val="12"/>
                <w:color w:val="auto"/>
              </w:rPr>
              <w:t>(8)(13)(14)</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Senior Secured Loan — Seventh</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060" w:type="dxa"/>
            <w:vAlign w:val="bottom"/>
            <w:gridSpan w:val="3"/>
          </w:tcPr>
          <w:p>
            <w:pPr>
              <w:spacing w:after="0" w:line="141" w:lineRule="exact"/>
              <w:rPr>
                <w:sz w:val="20"/>
                <w:szCs w:val="20"/>
                <w:color w:val="auto"/>
              </w:rPr>
            </w:pPr>
            <w:r>
              <w:rPr>
                <w:rFonts w:ascii="Arial" w:cs="Arial" w:eastAsia="Arial" w:hAnsi="Arial"/>
                <w:sz w:val="14"/>
                <w:szCs w:val="14"/>
                <w:color w:val="auto"/>
                <w:w w:val="98"/>
              </w:rPr>
              <w:t>206 North 2100 West, Ste 202, Salt Lake City, UT</w:t>
            </w:r>
          </w:p>
        </w:tc>
        <w:tc>
          <w:tcPr>
            <w:tcW w:w="88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Amendment Acquisition Loan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0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84116</w:t>
            </w:r>
          </w:p>
        </w:tc>
        <w:tc>
          <w:tcPr>
            <w:tcW w:w="2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7.5% Cash, 3 Month Libor (1.00%) +</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40" w:type="dxa"/>
            <w:vAlign w:val="bottom"/>
            <w:gridSpan w:val="2"/>
          </w:tcPr>
          <w:p>
            <w:pPr>
              <w:ind w:left="240"/>
              <w:spacing w:after="0"/>
              <w:rPr>
                <w:sz w:val="20"/>
                <w:szCs w:val="20"/>
                <w:color w:val="auto"/>
              </w:rPr>
            </w:pPr>
            <w:r>
              <w:rPr>
                <w:rFonts w:ascii="Arial" w:cs="Arial" w:eastAsia="Arial" w:hAnsi="Arial"/>
                <w:sz w:val="14"/>
                <w:szCs w:val="14"/>
                <w:color w:val="auto"/>
              </w:rPr>
              <w:t>Chemicals, Plastics &amp; Rubber</w:t>
            </w:r>
          </w:p>
        </w:tc>
        <w:tc>
          <w:tcPr>
            <w:tcW w:w="880" w:type="dxa"/>
            <w:vAlign w:val="bottom"/>
          </w:tcPr>
          <w:p>
            <w:pPr>
              <w:spacing w:after="0"/>
              <w:rPr>
                <w:sz w:val="16"/>
                <w:szCs w:val="16"/>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6.50%; Libor Floor 1.00%, Due 6/23</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6/26/2020</w:t>
            </w:r>
          </w:p>
        </w:tc>
        <w:tc>
          <w:tcPr>
            <w:tcW w:w="660" w:type="dxa"/>
            <w:vAlign w:val="bottom"/>
          </w:tcPr>
          <w:p>
            <w:pPr>
              <w:jc w:val="right"/>
              <w:spacing w:after="0"/>
              <w:rPr>
                <w:sz w:val="20"/>
                <w:szCs w:val="20"/>
                <w:color w:val="auto"/>
              </w:rPr>
            </w:pPr>
            <w:r>
              <w:rPr>
                <w:rFonts w:ascii="Arial" w:cs="Arial" w:eastAsia="Arial" w:hAnsi="Arial"/>
                <w:sz w:val="14"/>
                <w:szCs w:val="14"/>
                <w:color w:val="auto"/>
              </w:rPr>
              <w:t>2,906,250</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2,864,474</w:t>
            </w:r>
          </w:p>
        </w:tc>
        <w:tc>
          <w:tcPr>
            <w:tcW w:w="700" w:type="dxa"/>
            <w:vAlign w:val="bottom"/>
          </w:tcPr>
          <w:p>
            <w:pPr>
              <w:jc w:val="right"/>
              <w:spacing w:after="0"/>
              <w:rPr>
                <w:sz w:val="20"/>
                <w:szCs w:val="20"/>
                <w:color w:val="auto"/>
              </w:rPr>
            </w:pPr>
            <w:r>
              <w:rPr>
                <w:rFonts w:ascii="Arial" w:cs="Arial" w:eastAsia="Arial" w:hAnsi="Arial"/>
                <w:sz w:val="14"/>
                <w:szCs w:val="14"/>
                <w:color w:val="auto"/>
              </w:rPr>
              <w:t>2,906,250</w:t>
            </w:r>
          </w:p>
        </w:tc>
        <w:tc>
          <w:tcPr>
            <w:tcW w:w="14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0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Carestream Health, Inc.</w:t>
            </w:r>
          </w:p>
        </w:tc>
        <w:tc>
          <w:tcPr>
            <w:tcW w:w="880" w:type="dxa"/>
            <w:vAlign w:val="bottom"/>
            <w:shd w:val="clear" w:color="auto" w:fill="CCEEFF"/>
          </w:tcPr>
          <w:p>
            <w:pPr>
              <w:ind w:left="40"/>
              <w:spacing w:after="0" w:line="122" w:lineRule="exact"/>
              <w:rPr>
                <w:sz w:val="20"/>
                <w:szCs w:val="20"/>
                <w:color w:val="auto"/>
              </w:rPr>
            </w:pPr>
            <w:r>
              <w:rPr>
                <w:rFonts w:ascii="Arial" w:cs="Arial" w:eastAsia="Arial" w:hAnsi="Arial"/>
                <w:sz w:val="12"/>
                <w:szCs w:val="12"/>
                <w:color w:val="auto"/>
              </w:rPr>
              <w:t>(8)(14)</w:t>
            </w:r>
          </w:p>
        </w:tc>
        <w:tc>
          <w:tcPr>
            <w:tcW w:w="252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w w:val="97"/>
              </w:rPr>
              <w:t>Junior Secured Loan — 2023 Extended</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15 Grumbacher Rd, York, PA 17406</w:t>
            </w:r>
          </w:p>
        </w:tc>
        <w:tc>
          <w:tcPr>
            <w:tcW w:w="88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Term Loan (Second Lien)</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4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Healthcare &amp; Pharmaceuticals</w:t>
            </w:r>
          </w:p>
        </w:tc>
        <w:tc>
          <w:tcPr>
            <w:tcW w:w="88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5.5% Cash, 8.0% PIK, 6 Month Libor</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(1.00%) + 4.50%; Libor Floor 1.00%,</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Due 8/23</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5/8/2020</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1,730,386</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1,605,794</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1,702,994</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24"/>
        </w:trPr>
        <w:tc>
          <w:tcPr>
            <w:tcW w:w="3060" w:type="dxa"/>
            <w:vAlign w:val="bottom"/>
            <w:gridSpan w:val="3"/>
          </w:tcPr>
          <w:p>
            <w:pPr>
              <w:spacing w:after="0"/>
              <w:rPr>
                <w:sz w:val="20"/>
                <w:szCs w:val="20"/>
                <w:color w:val="auto"/>
              </w:rPr>
            </w:pPr>
            <w:r>
              <w:rPr>
                <w:rFonts w:ascii="Arial" w:cs="Arial" w:eastAsia="Arial" w:hAnsi="Arial"/>
                <w:sz w:val="14"/>
                <w:szCs w:val="14"/>
                <w:color w:val="auto"/>
              </w:rPr>
              <w:t>Centric Brands Inc.</w:t>
            </w:r>
          </w:p>
        </w:tc>
        <w:tc>
          <w:tcPr>
            <w:tcW w:w="880" w:type="dxa"/>
            <w:vAlign w:val="bottom"/>
          </w:tcPr>
          <w:p>
            <w:pPr>
              <w:ind w:left="40"/>
              <w:spacing w:after="0"/>
              <w:rPr>
                <w:sz w:val="20"/>
                <w:szCs w:val="20"/>
                <w:color w:val="auto"/>
              </w:rPr>
            </w:pPr>
            <w:r>
              <w:rPr>
                <w:rFonts w:ascii="Arial" w:cs="Arial" w:eastAsia="Arial" w:hAnsi="Arial"/>
                <w:sz w:val="12"/>
                <w:szCs w:val="12"/>
                <w:color w:val="auto"/>
              </w:rPr>
              <w:t>(8)(13)(14)(20)</w:t>
            </w:r>
          </w:p>
        </w:tc>
        <w:tc>
          <w:tcPr>
            <w:tcW w:w="2520" w:type="dxa"/>
            <w:vAlign w:val="bottom"/>
            <w:gridSpan w:val="3"/>
            <w:vMerge w:val="restart"/>
          </w:tcPr>
          <w:p>
            <w:pPr>
              <w:ind w:left="120"/>
              <w:spacing w:after="0"/>
              <w:rPr>
                <w:sz w:val="20"/>
                <w:szCs w:val="20"/>
                <w:color w:val="auto"/>
              </w:rPr>
            </w:pPr>
            <w:r>
              <w:rPr>
                <w:rFonts w:ascii="Arial" w:cs="Arial" w:eastAsia="Arial" w:hAnsi="Arial"/>
                <w:sz w:val="14"/>
                <w:szCs w:val="14"/>
                <w:color w:val="auto"/>
              </w:rPr>
              <w:t>Senior Secured Loan — Term Loan</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3060" w:type="dxa"/>
            <w:vAlign w:val="bottom"/>
            <w:gridSpan w:val="3"/>
            <w:vMerge w:val="restart"/>
          </w:tcPr>
          <w:p>
            <w:pPr>
              <w:spacing w:after="0" w:line="141" w:lineRule="exact"/>
              <w:rPr>
                <w:sz w:val="20"/>
                <w:szCs w:val="20"/>
                <w:color w:val="auto"/>
              </w:rPr>
            </w:pPr>
            <w:r>
              <w:rPr>
                <w:rFonts w:ascii="Arial" w:cs="Arial" w:eastAsia="Arial" w:hAnsi="Arial"/>
                <w:sz w:val="14"/>
                <w:szCs w:val="14"/>
                <w:color w:val="auto"/>
              </w:rPr>
              <w:t>150 Verona Street, Rochester, NY 14608</w:t>
            </w:r>
          </w:p>
        </w:tc>
        <w:tc>
          <w:tcPr>
            <w:tcW w:w="880" w:type="dxa"/>
            <w:vAlign w:val="bottom"/>
          </w:tcPr>
          <w:p>
            <w:pPr>
              <w:spacing w:after="0"/>
              <w:rPr>
                <w:sz w:val="6"/>
                <w:szCs w:val="6"/>
                <w:color w:val="auto"/>
              </w:rPr>
            </w:pPr>
          </w:p>
        </w:tc>
        <w:tc>
          <w:tcPr>
            <w:tcW w:w="252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306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2520" w:type="dxa"/>
            <w:vAlign w:val="bottom"/>
            <w:gridSpan w:val="3"/>
            <w:vMerge w:val="restart"/>
          </w:tcPr>
          <w:p>
            <w:pPr>
              <w:ind w:left="120"/>
              <w:spacing w:after="0"/>
              <w:rPr>
                <w:sz w:val="20"/>
                <w:szCs w:val="20"/>
                <w:color w:val="auto"/>
              </w:rPr>
            </w:pPr>
            <w:r>
              <w:rPr>
                <w:rFonts w:ascii="Arial" w:cs="Arial" w:eastAsia="Arial" w:hAnsi="Arial"/>
                <w:sz w:val="14"/>
                <w:szCs w:val="14"/>
                <w:color w:val="auto"/>
              </w:rPr>
              <w:t>10.0% PIK, Due 10/25</w:t>
            </w: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40" w:type="dxa"/>
            <w:vAlign w:val="bottom"/>
            <w:gridSpan w:val="2"/>
            <w:vMerge w:val="restart"/>
          </w:tcPr>
          <w:p>
            <w:pPr>
              <w:ind w:left="240"/>
              <w:spacing w:after="0"/>
              <w:rPr>
                <w:sz w:val="20"/>
                <w:szCs w:val="20"/>
                <w:color w:val="auto"/>
              </w:rPr>
            </w:pPr>
            <w:r>
              <w:rPr>
                <w:rFonts w:ascii="Arial" w:cs="Arial" w:eastAsia="Arial" w:hAnsi="Arial"/>
                <w:sz w:val="14"/>
                <w:szCs w:val="14"/>
                <w:color w:val="auto"/>
              </w:rPr>
              <w:t>Machinery (Non-Agrclt/Constr/Electr)</w:t>
            </w:r>
          </w:p>
        </w:tc>
        <w:tc>
          <w:tcPr>
            <w:tcW w:w="88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10/28/2020</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8,617,896</w:t>
            </w: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7,173,780</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7,950,009</w:t>
            </w:r>
          </w:p>
        </w:tc>
        <w:tc>
          <w:tcPr>
            <w:tcW w:w="140" w:type="dxa"/>
            <w:vAlign w:val="bottom"/>
          </w:tcPr>
          <w:p>
            <w:pPr>
              <w:spacing w:after="0"/>
              <w:rPr>
                <w:sz w:val="9"/>
                <w:szCs w:val="9"/>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04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0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Centric Brands Inc.</w:t>
            </w:r>
          </w:p>
        </w:tc>
        <w:tc>
          <w:tcPr>
            <w:tcW w:w="880" w:type="dxa"/>
            <w:vAlign w:val="bottom"/>
            <w:shd w:val="clear" w:color="auto" w:fill="CCEEFF"/>
          </w:tcPr>
          <w:p>
            <w:pPr>
              <w:ind w:left="40"/>
              <w:spacing w:after="0" w:line="122" w:lineRule="exact"/>
              <w:rPr>
                <w:sz w:val="20"/>
                <w:szCs w:val="20"/>
                <w:color w:val="auto"/>
              </w:rPr>
            </w:pPr>
            <w:r>
              <w:rPr>
                <w:rFonts w:ascii="Arial" w:cs="Arial" w:eastAsia="Arial" w:hAnsi="Arial"/>
                <w:sz w:val="12"/>
                <w:szCs w:val="12"/>
                <w:color w:val="auto"/>
              </w:rPr>
              <w:t>(8)(13)(14)(23)</w:t>
            </w:r>
          </w:p>
        </w:tc>
        <w:tc>
          <w:tcPr>
            <w:tcW w:w="25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Senior Secured Loan — Revolver</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040" w:type="dxa"/>
            <w:vAlign w:val="bottom"/>
            <w:gridSpan w:val="2"/>
            <w:vMerge w:val="restart"/>
            <w:shd w:val="clear" w:color="auto" w:fill="CCEEFF"/>
          </w:tcPr>
          <w:p>
            <w:pPr>
              <w:spacing w:after="0" w:line="141" w:lineRule="exact"/>
              <w:rPr>
                <w:sz w:val="20"/>
                <w:szCs w:val="20"/>
                <w:color w:val="auto"/>
              </w:rPr>
            </w:pPr>
            <w:r>
              <w:rPr>
                <w:rFonts w:ascii="Arial" w:cs="Arial" w:eastAsia="Arial" w:hAnsi="Arial"/>
                <w:sz w:val="14"/>
                <w:szCs w:val="14"/>
                <w:color w:val="auto"/>
                <w:w w:val="94"/>
              </w:rPr>
              <w:t>350 Fifth Ave, Empire State Building, 6th Floor New</w:t>
            </w:r>
          </w:p>
        </w:tc>
        <w:tc>
          <w:tcPr>
            <w:tcW w:w="880" w:type="dxa"/>
            <w:vAlign w:val="bottom"/>
            <w:shd w:val="clear" w:color="auto" w:fill="CCEEFF"/>
          </w:tcPr>
          <w:p>
            <w:pPr>
              <w:spacing w:after="0"/>
              <w:rPr>
                <w:sz w:val="6"/>
                <w:szCs w:val="6"/>
                <w:color w:val="auto"/>
              </w:rPr>
            </w:pPr>
          </w:p>
        </w:tc>
        <w:tc>
          <w:tcPr>
            <w:tcW w:w="2520" w:type="dxa"/>
            <w:vAlign w:val="bottom"/>
            <w:gridSpan w:val="3"/>
            <w:vMerge w:val="continue"/>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040" w:type="dxa"/>
            <w:vAlign w:val="bottom"/>
            <w:gridSpan w:val="2"/>
            <w:vMerge w:val="continue"/>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2520" w:type="dxa"/>
            <w:vAlign w:val="bottom"/>
            <w:gridSpan w:val="3"/>
            <w:vMerge w:val="restart"/>
            <w:shd w:val="clear" w:color="auto" w:fill="CCEEFF"/>
          </w:tcPr>
          <w:p>
            <w:pPr>
              <w:ind w:left="120"/>
              <w:spacing w:after="0" w:line="141" w:lineRule="exact"/>
              <w:rPr>
                <w:sz w:val="20"/>
                <w:szCs w:val="20"/>
                <w:color w:val="auto"/>
              </w:rPr>
            </w:pPr>
            <w:r>
              <w:rPr>
                <w:rFonts w:ascii="Arial" w:cs="Arial" w:eastAsia="Arial" w:hAnsi="Arial"/>
                <w:sz w:val="14"/>
                <w:szCs w:val="14"/>
                <w:color w:val="auto"/>
              </w:rPr>
              <w:t>6.5% Cash, 3 Month Libor (1.00%) +</w:t>
            </w:r>
          </w:p>
        </w:tc>
        <w:tc>
          <w:tcPr>
            <w:tcW w:w="7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040" w:type="dxa"/>
            <w:vAlign w:val="bottom"/>
            <w:gridSpan w:val="2"/>
            <w:vMerge w:val="restart"/>
            <w:shd w:val="clear" w:color="auto" w:fill="CCEEFF"/>
          </w:tcPr>
          <w:p>
            <w:pPr>
              <w:ind w:left="100"/>
              <w:spacing w:after="0" w:line="141" w:lineRule="exact"/>
              <w:rPr>
                <w:sz w:val="20"/>
                <w:szCs w:val="20"/>
                <w:color w:val="auto"/>
              </w:rPr>
            </w:pPr>
            <w:r>
              <w:rPr>
                <w:rFonts w:ascii="Arial" w:cs="Arial" w:eastAsia="Arial" w:hAnsi="Arial"/>
                <w:sz w:val="14"/>
                <w:szCs w:val="14"/>
                <w:color w:val="auto"/>
              </w:rPr>
              <w:t>York, NY 10118</w:t>
            </w:r>
          </w:p>
        </w:tc>
        <w:tc>
          <w:tcPr>
            <w:tcW w:w="880" w:type="dxa"/>
            <w:vAlign w:val="bottom"/>
            <w:shd w:val="clear" w:color="auto" w:fill="CCEEFF"/>
          </w:tcPr>
          <w:p>
            <w:pPr>
              <w:spacing w:after="0"/>
              <w:rPr>
                <w:sz w:val="6"/>
                <w:szCs w:val="6"/>
                <w:color w:val="auto"/>
              </w:rPr>
            </w:pPr>
          </w:p>
        </w:tc>
        <w:tc>
          <w:tcPr>
            <w:tcW w:w="2520" w:type="dxa"/>
            <w:vAlign w:val="bottom"/>
            <w:gridSpan w:val="3"/>
            <w:vMerge w:val="continue"/>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040" w:type="dxa"/>
            <w:vAlign w:val="bottom"/>
            <w:gridSpan w:val="2"/>
            <w:vMerge w:val="continue"/>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25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5.50%; Libor Floor 1.00%, Due 10/24</w:t>
            </w:r>
          </w:p>
        </w:tc>
        <w:tc>
          <w:tcPr>
            <w:tcW w:w="7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4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Machinery (Non-Agrclt/Constr/Electr)</w:t>
            </w:r>
          </w:p>
        </w:tc>
        <w:tc>
          <w:tcPr>
            <w:tcW w:w="880" w:type="dxa"/>
            <w:vAlign w:val="bottom"/>
            <w:shd w:val="clear" w:color="auto" w:fill="CCEEFF"/>
          </w:tcPr>
          <w:p>
            <w:pPr>
              <w:spacing w:after="0"/>
              <w:rPr>
                <w:sz w:val="9"/>
                <w:szCs w:val="9"/>
                <w:color w:val="auto"/>
              </w:rPr>
            </w:pPr>
          </w:p>
        </w:tc>
        <w:tc>
          <w:tcPr>
            <w:tcW w:w="2520" w:type="dxa"/>
            <w:vAlign w:val="bottom"/>
            <w:gridSpan w:val="3"/>
            <w:vMerge w:val="continue"/>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10/28/2020</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761,825</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706,344</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761,825</w:t>
            </w: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040" w:type="dxa"/>
            <w:vAlign w:val="bottom"/>
            <w:gridSpan w:val="2"/>
            <w:vMerge w:val="continue"/>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6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060" w:type="dxa"/>
            <w:vAlign w:val="bottom"/>
            <w:gridSpan w:val="3"/>
          </w:tcPr>
          <w:p>
            <w:pPr>
              <w:spacing w:after="0"/>
              <w:rPr>
                <w:sz w:val="20"/>
                <w:szCs w:val="20"/>
                <w:color w:val="auto"/>
              </w:rPr>
            </w:pPr>
            <w:r>
              <w:rPr>
                <w:rFonts w:ascii="Arial" w:cs="Arial" w:eastAsia="Arial" w:hAnsi="Arial"/>
                <w:sz w:val="14"/>
                <w:szCs w:val="14"/>
                <w:color w:val="auto"/>
              </w:rPr>
              <w:t>Child Development Schools, Inc.</w:t>
            </w:r>
          </w:p>
        </w:tc>
        <w:tc>
          <w:tcPr>
            <w:tcW w:w="880" w:type="dxa"/>
            <w:vAlign w:val="bottom"/>
          </w:tcPr>
          <w:p>
            <w:pPr>
              <w:ind w:left="40"/>
              <w:spacing w:after="0"/>
              <w:rPr>
                <w:sz w:val="20"/>
                <w:szCs w:val="20"/>
                <w:color w:val="auto"/>
              </w:rPr>
            </w:pPr>
            <w:r>
              <w:rPr>
                <w:rFonts w:ascii="Arial" w:cs="Arial" w:eastAsia="Arial" w:hAnsi="Arial"/>
                <w:sz w:val="12"/>
                <w:szCs w:val="12"/>
                <w:color w:val="auto"/>
              </w:rPr>
              <w:t>(8)(13)(14)</w:t>
            </w:r>
          </w:p>
        </w:tc>
        <w:tc>
          <w:tcPr>
            <w:tcW w:w="2520" w:type="dxa"/>
            <w:vAlign w:val="bottom"/>
            <w:gridSpan w:val="3"/>
            <w:vMerge w:val="restart"/>
          </w:tcPr>
          <w:p>
            <w:pPr>
              <w:ind w:left="120"/>
              <w:spacing w:after="0"/>
              <w:rPr>
                <w:sz w:val="20"/>
                <w:szCs w:val="20"/>
                <w:color w:val="auto"/>
              </w:rPr>
            </w:pPr>
            <w:r>
              <w:rPr>
                <w:rFonts w:ascii="Arial" w:cs="Arial" w:eastAsia="Arial" w:hAnsi="Arial"/>
                <w:sz w:val="14"/>
                <w:szCs w:val="14"/>
                <w:color w:val="auto"/>
              </w:rPr>
              <w:t>Senior Secured Loan — Term Loan</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3060" w:type="dxa"/>
            <w:vAlign w:val="bottom"/>
            <w:gridSpan w:val="3"/>
            <w:vMerge w:val="restart"/>
          </w:tcPr>
          <w:p>
            <w:pPr>
              <w:spacing w:after="0" w:line="141" w:lineRule="exact"/>
              <w:rPr>
                <w:sz w:val="20"/>
                <w:szCs w:val="20"/>
                <w:color w:val="auto"/>
              </w:rPr>
            </w:pPr>
            <w:r>
              <w:rPr>
                <w:rFonts w:ascii="Arial" w:cs="Arial" w:eastAsia="Arial" w:hAnsi="Arial"/>
                <w:sz w:val="14"/>
                <w:szCs w:val="14"/>
                <w:color w:val="auto"/>
                <w:w w:val="95"/>
              </w:rPr>
              <w:t>350 Fifth Ave, Empire State Building, 6th Floor New</w:t>
            </w:r>
          </w:p>
        </w:tc>
        <w:tc>
          <w:tcPr>
            <w:tcW w:w="880" w:type="dxa"/>
            <w:vAlign w:val="bottom"/>
          </w:tcPr>
          <w:p>
            <w:pPr>
              <w:spacing w:after="0"/>
              <w:rPr>
                <w:sz w:val="6"/>
                <w:szCs w:val="6"/>
                <w:color w:val="auto"/>
              </w:rPr>
            </w:pPr>
          </w:p>
        </w:tc>
        <w:tc>
          <w:tcPr>
            <w:tcW w:w="252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306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2520" w:type="dxa"/>
            <w:vAlign w:val="bottom"/>
            <w:gridSpan w:val="3"/>
            <w:vMerge w:val="restart"/>
          </w:tcPr>
          <w:p>
            <w:pPr>
              <w:ind w:left="120"/>
              <w:spacing w:after="0" w:line="141" w:lineRule="exact"/>
              <w:rPr>
                <w:sz w:val="20"/>
                <w:szCs w:val="20"/>
                <w:color w:val="auto"/>
              </w:rPr>
            </w:pPr>
            <w:r>
              <w:rPr>
                <w:rFonts w:ascii="Arial" w:cs="Arial" w:eastAsia="Arial" w:hAnsi="Arial"/>
                <w:sz w:val="14"/>
                <w:szCs w:val="14"/>
                <w:color w:val="auto"/>
              </w:rPr>
              <w:t>5.3% Cash, 3 Month Libor (1.00%) +</w:t>
            </w: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040" w:type="dxa"/>
            <w:vAlign w:val="bottom"/>
            <w:gridSpan w:val="2"/>
            <w:vMerge w:val="restart"/>
          </w:tcPr>
          <w:p>
            <w:pPr>
              <w:ind w:left="100"/>
              <w:spacing w:after="0" w:line="141" w:lineRule="exact"/>
              <w:rPr>
                <w:sz w:val="20"/>
                <w:szCs w:val="20"/>
                <w:color w:val="auto"/>
              </w:rPr>
            </w:pPr>
            <w:r>
              <w:rPr>
                <w:rFonts w:ascii="Arial" w:cs="Arial" w:eastAsia="Arial" w:hAnsi="Arial"/>
                <w:sz w:val="14"/>
                <w:szCs w:val="14"/>
                <w:color w:val="auto"/>
              </w:rPr>
              <w:t>York, NY 10118</w:t>
            </w:r>
          </w:p>
        </w:tc>
        <w:tc>
          <w:tcPr>
            <w:tcW w:w="880" w:type="dxa"/>
            <w:vAlign w:val="bottom"/>
          </w:tcPr>
          <w:p>
            <w:pPr>
              <w:spacing w:after="0"/>
              <w:rPr>
                <w:sz w:val="6"/>
                <w:szCs w:val="6"/>
                <w:color w:val="auto"/>
              </w:rPr>
            </w:pPr>
          </w:p>
        </w:tc>
        <w:tc>
          <w:tcPr>
            <w:tcW w:w="252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04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2520" w:type="dxa"/>
            <w:vAlign w:val="bottom"/>
            <w:gridSpan w:val="3"/>
            <w:vMerge w:val="restart"/>
          </w:tcPr>
          <w:p>
            <w:pPr>
              <w:ind w:left="120"/>
              <w:spacing w:after="0"/>
              <w:rPr>
                <w:sz w:val="20"/>
                <w:szCs w:val="20"/>
                <w:color w:val="auto"/>
              </w:rPr>
            </w:pPr>
            <w:r>
              <w:rPr>
                <w:rFonts w:ascii="Arial" w:cs="Arial" w:eastAsia="Arial" w:hAnsi="Arial"/>
                <w:sz w:val="14"/>
                <w:szCs w:val="14"/>
                <w:color w:val="auto"/>
              </w:rPr>
              <w:t>4.25%; Libor Floor 1.00%, Due 5/23</w:t>
            </w: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40" w:type="dxa"/>
            <w:vAlign w:val="bottom"/>
            <w:gridSpan w:val="2"/>
            <w:vMerge w:val="restart"/>
          </w:tcPr>
          <w:p>
            <w:pPr>
              <w:ind w:left="240"/>
              <w:spacing w:after="0"/>
              <w:rPr>
                <w:sz w:val="20"/>
                <w:szCs w:val="20"/>
                <w:color w:val="auto"/>
              </w:rPr>
            </w:pPr>
            <w:r>
              <w:rPr>
                <w:rFonts w:ascii="Arial" w:cs="Arial" w:eastAsia="Arial" w:hAnsi="Arial"/>
                <w:sz w:val="14"/>
                <w:szCs w:val="14"/>
                <w:color w:val="auto"/>
              </w:rPr>
              <w:t>Services: Consumer</w:t>
            </w:r>
          </w:p>
        </w:tc>
        <w:tc>
          <w:tcPr>
            <w:tcW w:w="88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6/6/2018</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3,840,200</w:t>
            </w: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3,837,036</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3,840,200</w:t>
            </w:r>
          </w:p>
        </w:tc>
        <w:tc>
          <w:tcPr>
            <w:tcW w:w="140" w:type="dxa"/>
            <w:vAlign w:val="bottom"/>
          </w:tcPr>
          <w:p>
            <w:pPr>
              <w:spacing w:after="0"/>
              <w:rPr>
                <w:sz w:val="9"/>
                <w:szCs w:val="9"/>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04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0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Circustrix Holdings, LLC</w:t>
            </w:r>
          </w:p>
        </w:tc>
        <w:tc>
          <w:tcPr>
            <w:tcW w:w="880" w:type="dxa"/>
            <w:vAlign w:val="bottom"/>
            <w:shd w:val="clear" w:color="auto" w:fill="CCEEFF"/>
          </w:tcPr>
          <w:p>
            <w:pPr>
              <w:ind w:left="40"/>
              <w:spacing w:after="0" w:line="122" w:lineRule="exact"/>
              <w:rPr>
                <w:sz w:val="20"/>
                <w:szCs w:val="20"/>
                <w:color w:val="auto"/>
              </w:rPr>
            </w:pPr>
            <w:r>
              <w:rPr>
                <w:rFonts w:ascii="Arial" w:cs="Arial" w:eastAsia="Arial" w:hAnsi="Arial"/>
                <w:sz w:val="12"/>
                <w:szCs w:val="12"/>
                <w:color w:val="auto"/>
              </w:rPr>
              <w:t>(8)(13)(14)</w:t>
            </w:r>
          </w:p>
        </w:tc>
        <w:tc>
          <w:tcPr>
            <w:tcW w:w="252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rPr>
              <w:t>Senior Secured Loan — Term Loan</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4055 Valley View Ln Ste 400 Dallas, TX 75244</w:t>
            </w:r>
          </w:p>
        </w:tc>
        <w:tc>
          <w:tcPr>
            <w:tcW w:w="88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6.5% Cash, 2.5% PIK, 1 Month Libor</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4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Banking, Finance, Insurance &amp; Real Estate</w:t>
            </w:r>
          </w:p>
        </w:tc>
        <w:tc>
          <w:tcPr>
            <w:tcW w:w="88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(1.00%) + 5.50%; Libor Floor 1.00%,</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Due 7/23</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1/29/2021</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579,154</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579,154</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579,154</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24"/>
        </w:trPr>
        <w:tc>
          <w:tcPr>
            <w:tcW w:w="3060" w:type="dxa"/>
            <w:vAlign w:val="bottom"/>
            <w:gridSpan w:val="3"/>
          </w:tcPr>
          <w:p>
            <w:pPr>
              <w:spacing w:after="0"/>
              <w:rPr>
                <w:sz w:val="20"/>
                <w:szCs w:val="20"/>
                <w:color w:val="auto"/>
              </w:rPr>
            </w:pPr>
            <w:r>
              <w:rPr>
                <w:rFonts w:ascii="Arial" w:cs="Arial" w:eastAsia="Arial" w:hAnsi="Arial"/>
                <w:sz w:val="14"/>
                <w:szCs w:val="14"/>
                <w:color w:val="auto"/>
              </w:rPr>
              <w:t>Circustrix Holdings, LLC</w:t>
            </w:r>
          </w:p>
        </w:tc>
        <w:tc>
          <w:tcPr>
            <w:tcW w:w="880" w:type="dxa"/>
            <w:vAlign w:val="bottom"/>
          </w:tcPr>
          <w:p>
            <w:pPr>
              <w:ind w:left="40"/>
              <w:spacing w:after="0"/>
              <w:rPr>
                <w:sz w:val="20"/>
                <w:szCs w:val="20"/>
                <w:color w:val="auto"/>
              </w:rPr>
            </w:pPr>
            <w:r>
              <w:rPr>
                <w:rFonts w:ascii="Arial" w:cs="Arial" w:eastAsia="Arial" w:hAnsi="Arial"/>
                <w:sz w:val="12"/>
                <w:szCs w:val="12"/>
                <w:color w:val="auto"/>
              </w:rPr>
              <w:t>(8)(13)(14)</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w w:val="98"/>
              </w:rPr>
              <w:t>Senior Secured Loan — Delayed Draw</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060" w:type="dxa"/>
            <w:vAlign w:val="bottom"/>
            <w:gridSpan w:val="3"/>
          </w:tcPr>
          <w:p>
            <w:pPr>
              <w:spacing w:after="0" w:line="141" w:lineRule="exact"/>
              <w:rPr>
                <w:sz w:val="20"/>
                <w:szCs w:val="20"/>
                <w:color w:val="auto"/>
              </w:rPr>
            </w:pPr>
            <w:r>
              <w:rPr>
                <w:rFonts w:ascii="Arial" w:cs="Arial" w:eastAsia="Arial" w:hAnsi="Arial"/>
                <w:sz w:val="14"/>
                <w:szCs w:val="14"/>
                <w:color w:val="auto"/>
                <w:w w:val="96"/>
              </w:rPr>
              <w:t>42 West Center Street, Suite 301 Provo, UT 84603</w:t>
            </w:r>
          </w:p>
        </w:tc>
        <w:tc>
          <w:tcPr>
            <w:tcW w:w="88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Term Loan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4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Banking, Finance, Insurance &amp; Real Estate</w:t>
            </w:r>
          </w:p>
        </w:tc>
        <w:tc>
          <w:tcPr>
            <w:tcW w:w="88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9.0% Cash, 1 Month Libor (1.00%) +</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8.00%; Libor Floor 1.00%, Due 7/23</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1/11/2021</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575,128</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575,128</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575,128</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0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Circustrix Holdings, LLC</w:t>
            </w:r>
          </w:p>
        </w:tc>
        <w:tc>
          <w:tcPr>
            <w:tcW w:w="880" w:type="dxa"/>
            <w:vAlign w:val="bottom"/>
            <w:shd w:val="clear" w:color="auto" w:fill="CCEEFF"/>
          </w:tcPr>
          <w:p>
            <w:pPr>
              <w:ind w:left="40"/>
              <w:spacing w:after="0" w:line="122" w:lineRule="exact"/>
              <w:rPr>
                <w:sz w:val="20"/>
                <w:szCs w:val="20"/>
                <w:color w:val="auto"/>
              </w:rPr>
            </w:pPr>
            <w:r>
              <w:rPr>
                <w:rFonts w:ascii="Arial" w:cs="Arial" w:eastAsia="Arial" w:hAnsi="Arial"/>
                <w:sz w:val="12"/>
                <w:szCs w:val="12"/>
                <w:color w:val="auto"/>
              </w:rPr>
              <w:t>(8)(13)(14)</w:t>
            </w:r>
          </w:p>
        </w:tc>
        <w:tc>
          <w:tcPr>
            <w:tcW w:w="252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w w:val="96"/>
              </w:rPr>
              <w:t>Senior Secured Loan — First Lien Term</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89"/>
              </w:rPr>
              <w:t>301 Matheson Blvd West, Mississauga, ON, L5R 3G3,</w:t>
            </w:r>
          </w:p>
        </w:tc>
        <w:tc>
          <w:tcPr>
            <w:tcW w:w="88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Loan B</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4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Canada</w:t>
            </w:r>
          </w:p>
        </w:tc>
        <w:tc>
          <w:tcPr>
            <w:tcW w:w="88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6.5% Cash, 2.5% PIK, 1 Month Libor</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4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Banking, Finance, Insurance &amp; Real Estate</w:t>
            </w:r>
          </w:p>
        </w:tc>
        <w:tc>
          <w:tcPr>
            <w:tcW w:w="88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(1.00%) + 5.50%; Libor Floor 1.00%,</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Due 12/21</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10/28/2020</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6,610,307</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4,773,389</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5,677,593</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24"/>
        </w:trPr>
        <w:tc>
          <w:tcPr>
            <w:tcW w:w="3060" w:type="dxa"/>
            <w:vAlign w:val="bottom"/>
            <w:gridSpan w:val="3"/>
          </w:tcPr>
          <w:p>
            <w:pPr>
              <w:spacing w:after="0"/>
              <w:rPr>
                <w:sz w:val="20"/>
                <w:szCs w:val="20"/>
                <w:color w:val="auto"/>
              </w:rPr>
            </w:pPr>
            <w:r>
              <w:rPr>
                <w:rFonts w:ascii="Arial" w:cs="Arial" w:eastAsia="Arial" w:hAnsi="Arial"/>
                <w:sz w:val="14"/>
                <w:szCs w:val="14"/>
                <w:color w:val="auto"/>
              </w:rPr>
              <w:t>Coastal Screen and Rail, LLC</w:t>
            </w:r>
          </w:p>
        </w:tc>
        <w:tc>
          <w:tcPr>
            <w:tcW w:w="880" w:type="dxa"/>
            <w:vAlign w:val="bottom"/>
          </w:tcPr>
          <w:p>
            <w:pPr>
              <w:ind w:left="40"/>
              <w:spacing w:after="0"/>
              <w:rPr>
                <w:sz w:val="20"/>
                <w:szCs w:val="20"/>
                <w:color w:val="auto"/>
              </w:rPr>
            </w:pPr>
            <w:r>
              <w:rPr>
                <w:rFonts w:ascii="Arial" w:cs="Arial" w:eastAsia="Arial" w:hAnsi="Arial"/>
                <w:sz w:val="12"/>
                <w:szCs w:val="12"/>
                <w:color w:val="auto"/>
              </w:rPr>
              <w:t>(8)(13)(24)</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w w:val="96"/>
              </w:rPr>
              <w:t>Senior Secured Loan — First Lien Term</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060" w:type="dxa"/>
            <w:vAlign w:val="bottom"/>
            <w:gridSpan w:val="3"/>
          </w:tcPr>
          <w:p>
            <w:pPr>
              <w:spacing w:after="0" w:line="141" w:lineRule="exact"/>
              <w:rPr>
                <w:sz w:val="20"/>
                <w:szCs w:val="20"/>
                <w:color w:val="auto"/>
              </w:rPr>
            </w:pPr>
            <w:r>
              <w:rPr>
                <w:rFonts w:ascii="Arial" w:cs="Arial" w:eastAsia="Arial" w:hAnsi="Arial"/>
                <w:sz w:val="14"/>
                <w:szCs w:val="14"/>
                <w:color w:val="auto"/>
              </w:rPr>
              <w:t>1127 Poinsettia Dr., Delray Beach, FL 33444</w:t>
            </w:r>
          </w:p>
        </w:tc>
        <w:tc>
          <w:tcPr>
            <w:tcW w:w="88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40" w:type="dxa"/>
            <w:vAlign w:val="bottom"/>
            <w:gridSpan w:val="2"/>
          </w:tcPr>
          <w:p>
            <w:pPr>
              <w:ind w:left="240"/>
              <w:spacing w:after="0"/>
              <w:rPr>
                <w:sz w:val="20"/>
                <w:szCs w:val="20"/>
                <w:color w:val="auto"/>
              </w:rPr>
            </w:pPr>
            <w:r>
              <w:rPr>
                <w:rFonts w:ascii="Arial" w:cs="Arial" w:eastAsia="Arial" w:hAnsi="Arial"/>
                <w:sz w:val="14"/>
                <w:szCs w:val="14"/>
                <w:color w:val="auto"/>
              </w:rPr>
              <w:t>Construction &amp; Building</w:t>
            </w:r>
          </w:p>
        </w:tc>
        <w:tc>
          <w:tcPr>
            <w:tcW w:w="880" w:type="dxa"/>
            <w:vAlign w:val="bottom"/>
          </w:tcPr>
          <w:p>
            <w:pPr>
              <w:spacing w:after="0"/>
              <w:rPr>
                <w:sz w:val="16"/>
                <w:szCs w:val="16"/>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10.5% Cash, 1.5% PIK, Due 1/23</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660" w:type="dxa"/>
            <w:vAlign w:val="bottom"/>
          </w:tcPr>
          <w:p>
            <w:pPr>
              <w:jc w:val="right"/>
              <w:spacing w:after="0"/>
              <w:rPr>
                <w:sz w:val="20"/>
                <w:szCs w:val="20"/>
                <w:color w:val="auto"/>
              </w:rPr>
            </w:pPr>
            <w:r>
              <w:rPr>
                <w:rFonts w:ascii="Arial" w:cs="Arial" w:eastAsia="Arial" w:hAnsi="Arial"/>
                <w:sz w:val="14"/>
                <w:szCs w:val="14"/>
                <w:color w:val="auto"/>
              </w:rPr>
              <w:t>1,750,000</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1,646,662</w:t>
            </w:r>
          </w:p>
        </w:tc>
        <w:tc>
          <w:tcPr>
            <w:tcW w:w="700" w:type="dxa"/>
            <w:vAlign w:val="bottom"/>
          </w:tcPr>
          <w:p>
            <w:pPr>
              <w:jc w:val="right"/>
              <w:spacing w:after="0"/>
              <w:rPr>
                <w:sz w:val="20"/>
                <w:szCs w:val="20"/>
                <w:color w:val="auto"/>
              </w:rPr>
            </w:pPr>
            <w:r>
              <w:rPr>
                <w:rFonts w:ascii="Arial" w:cs="Arial" w:eastAsia="Arial" w:hAnsi="Arial"/>
                <w:sz w:val="14"/>
                <w:szCs w:val="14"/>
                <w:color w:val="auto"/>
              </w:rPr>
              <w:t>1,750,000</w:t>
            </w:r>
          </w:p>
        </w:tc>
        <w:tc>
          <w:tcPr>
            <w:tcW w:w="14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0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Confluence Technologies, Inc.</w:t>
            </w:r>
          </w:p>
        </w:tc>
        <w:tc>
          <w:tcPr>
            <w:tcW w:w="880" w:type="dxa"/>
            <w:vAlign w:val="bottom"/>
            <w:shd w:val="clear" w:color="auto" w:fill="CCEEFF"/>
          </w:tcPr>
          <w:p>
            <w:pPr>
              <w:ind w:left="40"/>
              <w:spacing w:after="0" w:line="122" w:lineRule="exact"/>
              <w:rPr>
                <w:sz w:val="20"/>
                <w:szCs w:val="20"/>
                <w:color w:val="auto"/>
              </w:rPr>
            </w:pPr>
            <w:r>
              <w:rPr>
                <w:rFonts w:ascii="Arial" w:cs="Arial" w:eastAsia="Arial" w:hAnsi="Arial"/>
                <w:sz w:val="12"/>
                <w:szCs w:val="12"/>
                <w:color w:val="auto"/>
              </w:rPr>
              <w:t>(8)(13)</w:t>
            </w:r>
          </w:p>
        </w:tc>
        <w:tc>
          <w:tcPr>
            <w:tcW w:w="252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rPr>
              <w:t>Junior Secured Loan — Term Loan</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0"/>
              </w:rPr>
              <w:t>233 Wilshire Blvd, Suite 800 Santa Monica, CA 90401</w:t>
            </w:r>
          </w:p>
        </w:tc>
        <w:tc>
          <w:tcPr>
            <w:tcW w:w="88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Second Lien</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4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Services: Business</w:t>
            </w:r>
          </w:p>
        </w:tc>
        <w:tc>
          <w:tcPr>
            <w:tcW w:w="88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7.0% Cash, 3 Month Libor (0.50%) +</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6.50%; Libor Floor 0.50%, Due 7/29</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7/22/2021</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2,000,000</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1,980,385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1,980,000</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24"/>
        </w:trPr>
        <w:tc>
          <w:tcPr>
            <w:tcW w:w="3060" w:type="dxa"/>
            <w:vAlign w:val="bottom"/>
            <w:gridSpan w:val="3"/>
          </w:tcPr>
          <w:p>
            <w:pPr>
              <w:spacing w:after="0"/>
              <w:rPr>
                <w:sz w:val="20"/>
                <w:szCs w:val="20"/>
                <w:color w:val="auto"/>
              </w:rPr>
            </w:pPr>
            <w:r>
              <w:rPr>
                <w:rFonts w:ascii="Arial" w:cs="Arial" w:eastAsia="Arial" w:hAnsi="Arial"/>
                <w:sz w:val="14"/>
                <w:szCs w:val="14"/>
                <w:color w:val="auto"/>
              </w:rPr>
              <w:t>Convergeone Holdings Corp.</w:t>
            </w:r>
          </w:p>
        </w:tc>
        <w:tc>
          <w:tcPr>
            <w:tcW w:w="880" w:type="dxa"/>
            <w:vAlign w:val="bottom"/>
          </w:tcPr>
          <w:p>
            <w:pPr>
              <w:ind w:left="40"/>
              <w:spacing w:after="0"/>
              <w:rPr>
                <w:sz w:val="20"/>
                <w:szCs w:val="20"/>
                <w:color w:val="auto"/>
              </w:rPr>
            </w:pPr>
            <w:r>
              <w:rPr>
                <w:rFonts w:ascii="Arial" w:cs="Arial" w:eastAsia="Arial" w:hAnsi="Arial"/>
                <w:sz w:val="12"/>
                <w:szCs w:val="12"/>
                <w:color w:val="auto"/>
              </w:rPr>
              <w:t>(8)(14)</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w w:val="96"/>
              </w:rPr>
              <w:t>Senior Secured Loan — First Lien Term</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060" w:type="dxa"/>
            <w:vAlign w:val="bottom"/>
            <w:gridSpan w:val="3"/>
          </w:tcPr>
          <w:p>
            <w:pPr>
              <w:spacing w:after="0" w:line="141" w:lineRule="exact"/>
              <w:rPr>
                <w:sz w:val="20"/>
                <w:szCs w:val="20"/>
                <w:color w:val="auto"/>
              </w:rPr>
            </w:pPr>
            <w:r>
              <w:rPr>
                <w:rFonts w:ascii="Arial" w:cs="Arial" w:eastAsia="Arial" w:hAnsi="Arial"/>
                <w:sz w:val="14"/>
                <w:szCs w:val="14"/>
                <w:color w:val="auto"/>
                <w:w w:val="98"/>
              </w:rPr>
              <w:t>2711 Centerville Road, Suite 400, Wilmington, DE</w:t>
            </w:r>
          </w:p>
        </w:tc>
        <w:tc>
          <w:tcPr>
            <w:tcW w:w="88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0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19808</w:t>
            </w:r>
          </w:p>
        </w:tc>
        <w:tc>
          <w:tcPr>
            <w:tcW w:w="2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5.1% Cash, 1 Month Libor (0.08%) +</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40" w:type="dxa"/>
            <w:vAlign w:val="bottom"/>
            <w:gridSpan w:val="2"/>
          </w:tcPr>
          <w:p>
            <w:pPr>
              <w:ind w:left="240"/>
              <w:spacing w:after="0"/>
              <w:rPr>
                <w:sz w:val="20"/>
                <w:szCs w:val="20"/>
                <w:color w:val="auto"/>
              </w:rPr>
            </w:pPr>
            <w:r>
              <w:rPr>
                <w:rFonts w:ascii="Arial" w:cs="Arial" w:eastAsia="Arial" w:hAnsi="Arial"/>
                <w:sz w:val="14"/>
                <w:szCs w:val="14"/>
                <w:color w:val="auto"/>
              </w:rPr>
              <w:t>Electronics</w:t>
            </w:r>
          </w:p>
        </w:tc>
        <w:tc>
          <w:tcPr>
            <w:tcW w:w="880" w:type="dxa"/>
            <w:vAlign w:val="bottom"/>
          </w:tcPr>
          <w:p>
            <w:pPr>
              <w:spacing w:after="0"/>
              <w:rPr>
                <w:sz w:val="16"/>
                <w:szCs w:val="16"/>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5.00%, Due 1/26</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660" w:type="dxa"/>
            <w:vAlign w:val="bottom"/>
          </w:tcPr>
          <w:p>
            <w:pPr>
              <w:jc w:val="right"/>
              <w:spacing w:after="0"/>
              <w:rPr>
                <w:sz w:val="20"/>
                <w:szCs w:val="20"/>
                <w:color w:val="auto"/>
              </w:rPr>
            </w:pPr>
            <w:r>
              <w:rPr>
                <w:rFonts w:ascii="Arial" w:cs="Arial" w:eastAsia="Arial" w:hAnsi="Arial"/>
                <w:sz w:val="14"/>
                <w:szCs w:val="14"/>
                <w:color w:val="auto"/>
              </w:rPr>
              <w:t>2,151,476</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1,790,719</w:t>
            </w:r>
          </w:p>
        </w:tc>
        <w:tc>
          <w:tcPr>
            <w:tcW w:w="700" w:type="dxa"/>
            <w:vAlign w:val="bottom"/>
          </w:tcPr>
          <w:p>
            <w:pPr>
              <w:jc w:val="right"/>
              <w:spacing w:after="0"/>
              <w:rPr>
                <w:sz w:val="20"/>
                <w:szCs w:val="20"/>
                <w:color w:val="auto"/>
              </w:rPr>
            </w:pPr>
            <w:r>
              <w:rPr>
                <w:rFonts w:ascii="Arial" w:cs="Arial" w:eastAsia="Arial" w:hAnsi="Arial"/>
                <w:sz w:val="14"/>
                <w:szCs w:val="14"/>
                <w:color w:val="auto"/>
              </w:rPr>
              <w:t>2,145,054</w:t>
            </w:r>
          </w:p>
        </w:tc>
        <w:tc>
          <w:tcPr>
            <w:tcW w:w="14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bl>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840"/>
          </w:cols>
          <w:pgMar w:left="320" w:top="443" w:right="7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29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Portfolio Company /</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Investment</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28"/>
        </w:trPr>
        <w:tc>
          <w:tcPr>
            <w:tcW w:w="2940" w:type="dxa"/>
            <w:vAlign w:val="bottom"/>
            <w:gridSpan w:val="3"/>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880" w:type="dxa"/>
            <w:vAlign w:val="bottom"/>
            <w:gridSpan w:val="2"/>
          </w:tcPr>
          <w:p>
            <w:pPr>
              <w:jc w:val="center"/>
              <w:ind w:right="140"/>
              <w:spacing w:after="0" w:line="128" w:lineRule="exact"/>
              <w:rPr>
                <w:sz w:val="20"/>
                <w:szCs w:val="20"/>
                <w:color w:val="auto"/>
              </w:rPr>
            </w:pPr>
            <w:r>
              <w:rPr>
                <w:rFonts w:ascii="Arial" w:cs="Arial" w:eastAsia="Arial" w:hAnsi="Arial"/>
                <w:sz w:val="13"/>
                <w:szCs w:val="13"/>
                <w:b w:val="1"/>
                <w:bCs w:val="1"/>
                <w:color w:val="auto"/>
                <w:w w:val="87"/>
              </w:rPr>
              <w:t>Acquisition</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260"/>
              <w:spacing w:after="0" w:line="128" w:lineRule="exact"/>
              <w:rPr>
                <w:sz w:val="20"/>
                <w:szCs w:val="20"/>
                <w:color w:val="auto"/>
              </w:rPr>
            </w:pPr>
            <w:r>
              <w:rPr>
                <w:rFonts w:ascii="Arial" w:cs="Arial" w:eastAsia="Arial" w:hAnsi="Arial"/>
                <w:sz w:val="13"/>
                <w:szCs w:val="13"/>
                <w:b w:val="1"/>
                <w:bCs w:val="1"/>
                <w:color w:val="auto"/>
                <w:w w:val="94"/>
              </w:rPr>
              <w:t>Amortized</w:t>
            </w:r>
          </w:p>
        </w:tc>
        <w:tc>
          <w:tcPr>
            <w:tcW w:w="880" w:type="dxa"/>
            <w:vAlign w:val="bottom"/>
            <w:gridSpan w:val="2"/>
          </w:tcPr>
          <w:p>
            <w:pPr>
              <w:jc w:val="right"/>
              <w:ind w:right="420"/>
              <w:spacing w:after="0" w:line="128" w:lineRule="exact"/>
              <w:rPr>
                <w:sz w:val="20"/>
                <w:szCs w:val="20"/>
                <w:color w:val="auto"/>
              </w:rPr>
            </w:pPr>
            <w:r>
              <w:rPr>
                <w:rFonts w:ascii="Arial" w:cs="Arial" w:eastAsia="Arial" w:hAnsi="Arial"/>
                <w:sz w:val="13"/>
                <w:szCs w:val="13"/>
                <w:b w:val="1"/>
                <w:bCs w:val="1"/>
                <w:color w:val="auto"/>
              </w:rPr>
              <w:t>Fair</w:t>
            </w:r>
          </w:p>
        </w:tc>
        <w:tc>
          <w:tcPr>
            <w:tcW w:w="60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73"/>
        </w:trPr>
        <w:tc>
          <w:tcPr>
            <w:tcW w:w="294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Interest Rate¹ / Maturity</w:t>
            </w:r>
            <w:r>
              <w:rPr>
                <w:rFonts w:ascii="Arial" w:cs="Arial" w:eastAsia="Arial" w:hAnsi="Arial"/>
                <w:sz w:val="10"/>
                <w:szCs w:val="10"/>
                <w:b w:val="1"/>
                <w:bCs w:val="1"/>
                <w:color w:val="auto"/>
                <w:w w:val="93"/>
              </w:rPr>
              <w:t>15</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Principal</w:t>
            </w:r>
          </w:p>
        </w:tc>
        <w:tc>
          <w:tcPr>
            <w:tcW w:w="8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Cost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0"/>
                <w:szCs w:val="10"/>
                <w:b w:val="1"/>
                <w:bCs w:val="1"/>
                <w:color w:val="auto"/>
              </w:rPr>
              <w:t>2</w:t>
            </w:r>
          </w:p>
        </w:tc>
        <w:tc>
          <w:tcPr>
            <w:tcW w:w="6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9"/>
              </w:rPr>
              <w:t>Assets</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80" w:type="dxa"/>
            <w:vAlign w:val="bottom"/>
            <w:tcBorders>
              <w:top w:val="single" w:sz="8" w:color="auto"/>
            </w:tcBorders>
            <w:shd w:val="clear" w:color="auto" w:fill="CCEEFF"/>
          </w:tcPr>
          <w:p>
            <w:pPr>
              <w:spacing w:after="0" w:line="101" w:lineRule="exact"/>
              <w:rPr>
                <w:sz w:val="20"/>
                <w:szCs w:val="20"/>
                <w:color w:val="auto"/>
              </w:rPr>
            </w:pPr>
            <w:r>
              <w:rPr>
                <w:rFonts w:ascii="Arial" w:cs="Arial" w:eastAsia="Arial" w:hAnsi="Arial"/>
                <w:sz w:val="11"/>
                <w:szCs w:val="11"/>
                <w:color w:val="auto"/>
              </w:rPr>
              <w:t>Datalink, LLC</w:t>
            </w:r>
          </w:p>
        </w:tc>
        <w:tc>
          <w:tcPr>
            <w:tcW w:w="194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ind w:left="60"/>
              <w:spacing w:after="0" w:line="101" w:lineRule="exact"/>
              <w:rPr>
                <w:sz w:val="20"/>
                <w:szCs w:val="20"/>
                <w:color w:val="auto"/>
              </w:rPr>
            </w:pPr>
            <w:r>
              <w:rPr>
                <w:rFonts w:ascii="Arial" w:cs="Arial" w:eastAsia="Arial" w:hAnsi="Arial"/>
                <w:sz w:val="10"/>
                <w:szCs w:val="10"/>
                <w:color w:val="auto"/>
              </w:rPr>
              <w:t>(8)(13)(23)</w:t>
            </w:r>
          </w:p>
        </w:tc>
        <w:tc>
          <w:tcPr>
            <w:tcW w:w="120" w:type="dxa"/>
            <w:vAlign w:val="bottom"/>
            <w:tcBorders>
              <w:top w:val="single" w:sz="8" w:color="CCEEFF"/>
            </w:tcBorders>
            <w:shd w:val="clear" w:color="auto" w:fill="CCEEFF"/>
          </w:tcPr>
          <w:p>
            <w:pPr>
              <w:spacing w:after="0"/>
              <w:rPr>
                <w:sz w:val="8"/>
                <w:szCs w:val="8"/>
                <w:color w:val="auto"/>
              </w:rPr>
            </w:pPr>
          </w:p>
        </w:tc>
        <w:tc>
          <w:tcPr>
            <w:tcW w:w="2300" w:type="dxa"/>
            <w:vAlign w:val="bottom"/>
            <w:tcBorders>
              <w:top w:val="single" w:sz="8" w:color="auto"/>
            </w:tcBorders>
            <w:shd w:val="clear" w:color="auto" w:fill="CCEEFF"/>
          </w:tcPr>
          <w:p>
            <w:pPr>
              <w:spacing w:after="0" w:line="101" w:lineRule="exact"/>
              <w:rPr>
                <w:sz w:val="20"/>
                <w:szCs w:val="20"/>
                <w:color w:val="auto"/>
              </w:rPr>
            </w:pPr>
            <w:r>
              <w:rPr>
                <w:rFonts w:ascii="Arial" w:cs="Arial" w:eastAsia="Arial" w:hAnsi="Arial"/>
                <w:sz w:val="11"/>
                <w:szCs w:val="11"/>
                <w:color w:val="auto"/>
              </w:rPr>
              <w:t>Senior Secured Loan — Delayed Draw</w:t>
            </w:r>
          </w:p>
        </w:tc>
        <w:tc>
          <w:tcPr>
            <w:tcW w:w="1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8"/>
              </w:rPr>
              <w:t>14055 Riveredge Dr Ste 600, Tampa, FL 33637</w:t>
            </w:r>
          </w:p>
        </w:tc>
        <w:tc>
          <w:tcPr>
            <w:tcW w:w="90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Term Loan (First Lien)</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Healthcare &amp; Pharmaceuticals</w:t>
            </w:r>
          </w:p>
        </w:tc>
        <w:tc>
          <w:tcPr>
            <w:tcW w:w="90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 Cash, Due 11/26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11/23/2020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(12,381)</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24"/>
        </w:trPr>
        <w:tc>
          <w:tcPr>
            <w:tcW w:w="2940" w:type="dxa"/>
            <w:vAlign w:val="bottom"/>
            <w:gridSpan w:val="3"/>
          </w:tcPr>
          <w:p>
            <w:pPr>
              <w:spacing w:after="0"/>
              <w:rPr>
                <w:sz w:val="20"/>
                <w:szCs w:val="20"/>
                <w:color w:val="auto"/>
              </w:rPr>
            </w:pPr>
            <w:r>
              <w:rPr>
                <w:rFonts w:ascii="Arial" w:cs="Arial" w:eastAsia="Arial" w:hAnsi="Arial"/>
                <w:sz w:val="14"/>
                <w:szCs w:val="14"/>
                <w:color w:val="auto"/>
              </w:rPr>
              <w:t>Datalink, LLC</w:t>
            </w:r>
          </w:p>
        </w:tc>
        <w:tc>
          <w:tcPr>
            <w:tcW w:w="900" w:type="dxa"/>
            <w:vAlign w:val="bottom"/>
          </w:tcPr>
          <w:p>
            <w:pPr>
              <w:ind w:left="60"/>
              <w:spacing w:after="0"/>
              <w:rPr>
                <w:sz w:val="20"/>
                <w:szCs w:val="20"/>
                <w:color w:val="auto"/>
              </w:rPr>
            </w:pPr>
            <w:r>
              <w:rPr>
                <w:rFonts w:ascii="Arial" w:cs="Arial" w:eastAsia="Arial" w:hAnsi="Arial"/>
                <w:sz w:val="12"/>
                <w:szCs w:val="12"/>
                <w:color w:val="auto"/>
              </w:rPr>
              <w:t>(8)(13)(14)</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w w:val="96"/>
              </w:rPr>
              <w:t>Senior Secured Loan — First Lien Term</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40" w:type="dxa"/>
            <w:vAlign w:val="bottom"/>
            <w:gridSpan w:val="3"/>
          </w:tcPr>
          <w:p>
            <w:pPr>
              <w:spacing w:after="0" w:line="141" w:lineRule="exact"/>
              <w:rPr>
                <w:sz w:val="20"/>
                <w:szCs w:val="20"/>
                <w:color w:val="auto"/>
              </w:rPr>
            </w:pPr>
            <w:r>
              <w:rPr>
                <w:rFonts w:ascii="Arial" w:cs="Arial" w:eastAsia="Arial" w:hAnsi="Arial"/>
                <w:sz w:val="14"/>
                <w:szCs w:val="14"/>
                <w:color w:val="auto"/>
                <w:w w:val="98"/>
              </w:rPr>
              <w:t>14055 Riveredge Dr Ste 600, Tampa, FL 33637</w:t>
            </w:r>
          </w:p>
        </w:tc>
        <w:tc>
          <w:tcPr>
            <w:tcW w:w="90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Healthcare &amp; Pharmaceuticals</w:t>
            </w:r>
          </w:p>
        </w:tc>
        <w:tc>
          <w:tcPr>
            <w:tcW w:w="90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7.3% Cash, 1 Month Libor (1.00%) +</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6.25%; Libor Floor 1.00%, Due 11/26</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11/23/2020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2,863,438</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2,795,657</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2,863,438</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DCert Buyer, Inc.</w:t>
            </w:r>
          </w:p>
        </w:tc>
        <w:tc>
          <w:tcPr>
            <w:tcW w:w="90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(8)(13)(14)</w:t>
            </w:r>
          </w:p>
        </w:tc>
        <w:tc>
          <w:tcPr>
            <w:tcW w:w="252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rPr>
              <w:t>Junior Secured Loan — Term Loan</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9"/>
              </w:rPr>
              <w:t>131 Griffin Way, Mount Washington, KY 40047</w:t>
            </w:r>
          </w:p>
        </w:tc>
        <w:tc>
          <w:tcPr>
            <w:tcW w:w="90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(Second Lien)</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High Tech Industries</w:t>
            </w:r>
          </w:p>
        </w:tc>
        <w:tc>
          <w:tcPr>
            <w:tcW w:w="90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7.1% Cash, 1 Month Libor (0.08%) +</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7.00%, Due 2/29</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3/16/2021</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5,400,000</w:t>
            </w: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5,387,016</w:t>
            </w: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5,445,900</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4"/>
        </w:trPr>
        <w:tc>
          <w:tcPr>
            <w:tcW w:w="2940" w:type="dxa"/>
            <w:vAlign w:val="bottom"/>
            <w:gridSpan w:val="3"/>
          </w:tcPr>
          <w:p>
            <w:pPr>
              <w:spacing w:after="0"/>
              <w:rPr>
                <w:sz w:val="20"/>
                <w:szCs w:val="20"/>
                <w:color w:val="auto"/>
              </w:rPr>
            </w:pPr>
            <w:r>
              <w:rPr>
                <w:rFonts w:ascii="Arial" w:cs="Arial" w:eastAsia="Arial" w:hAnsi="Arial"/>
                <w:sz w:val="14"/>
                <w:szCs w:val="14"/>
                <w:color w:val="auto"/>
              </w:rPr>
              <w:t>Deliver Buyer, Inc.</w:t>
            </w:r>
          </w:p>
        </w:tc>
        <w:tc>
          <w:tcPr>
            <w:tcW w:w="900" w:type="dxa"/>
            <w:vAlign w:val="bottom"/>
          </w:tcPr>
          <w:p>
            <w:pPr>
              <w:ind w:left="60"/>
              <w:spacing w:after="0"/>
              <w:rPr>
                <w:sz w:val="20"/>
                <w:szCs w:val="20"/>
                <w:color w:val="auto"/>
              </w:rPr>
            </w:pPr>
            <w:r>
              <w:rPr>
                <w:rFonts w:ascii="Arial" w:cs="Arial" w:eastAsia="Arial" w:hAnsi="Arial"/>
                <w:sz w:val="12"/>
                <w:szCs w:val="12"/>
                <w:color w:val="auto"/>
              </w:rPr>
              <w:t>(8)(13)(14)</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Senior Secured Loan — Incremental</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40" w:type="dxa"/>
            <w:vAlign w:val="bottom"/>
            <w:gridSpan w:val="3"/>
          </w:tcPr>
          <w:p>
            <w:pPr>
              <w:spacing w:after="0" w:line="141" w:lineRule="exact"/>
              <w:rPr>
                <w:sz w:val="20"/>
                <w:szCs w:val="20"/>
                <w:color w:val="auto"/>
              </w:rPr>
            </w:pPr>
            <w:r>
              <w:rPr>
                <w:rFonts w:ascii="Arial" w:cs="Arial" w:eastAsia="Arial" w:hAnsi="Arial"/>
                <w:sz w:val="14"/>
                <w:szCs w:val="14"/>
                <w:color w:val="auto"/>
              </w:rPr>
              <w:t>Jachthavenweg 109 H, Amsterdam, 1081 KM ,</w:t>
            </w:r>
          </w:p>
        </w:tc>
        <w:tc>
          <w:tcPr>
            <w:tcW w:w="90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Term Loan (First Lien)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Netherlands</w:t>
            </w:r>
          </w:p>
        </w:tc>
        <w:tc>
          <w:tcPr>
            <w:tcW w:w="90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7.3% Cash, 3 Month Libor (1.00%) +</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20" w:type="dxa"/>
            <w:vAlign w:val="bottom"/>
            <w:gridSpan w:val="2"/>
          </w:tcPr>
          <w:p>
            <w:pPr>
              <w:ind w:left="240"/>
              <w:spacing w:after="0"/>
              <w:rPr>
                <w:sz w:val="20"/>
                <w:szCs w:val="20"/>
                <w:color w:val="auto"/>
              </w:rPr>
            </w:pPr>
            <w:r>
              <w:rPr>
                <w:rFonts w:ascii="Arial" w:cs="Arial" w:eastAsia="Arial" w:hAnsi="Arial"/>
                <w:sz w:val="14"/>
                <w:szCs w:val="14"/>
                <w:color w:val="auto"/>
              </w:rPr>
              <w:t>Capital Equipment</w:t>
            </w:r>
          </w:p>
        </w:tc>
        <w:tc>
          <w:tcPr>
            <w:tcW w:w="900" w:type="dxa"/>
            <w:vAlign w:val="bottom"/>
          </w:tcPr>
          <w:p>
            <w:pPr>
              <w:spacing w:after="0"/>
              <w:rPr>
                <w:sz w:val="16"/>
                <w:szCs w:val="16"/>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6.25%; Libor Floor 1.00%, Due 5/24</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7/1/2020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4,731,902</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4,680,990</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4,731,902</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Digitran Innovations B.V. (Pomeroy Solutions</w:t>
            </w:r>
          </w:p>
        </w:tc>
        <w:tc>
          <w:tcPr>
            <w:tcW w:w="90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Holding Company, Inc.)</w:t>
            </w:r>
          </w:p>
        </w:tc>
        <w:tc>
          <w:tcPr>
            <w:tcW w:w="90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w w:val="93"/>
              </w:rPr>
              <w:t>Senior Secured Loan — EUR Term Loan</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Jachthavenweg 109 H, Amsterdam, 1081 KM ,</w:t>
            </w:r>
          </w:p>
        </w:tc>
        <w:tc>
          <w:tcPr>
            <w:tcW w:w="90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A</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Netherlands</w:t>
            </w:r>
          </w:p>
        </w:tc>
        <w:tc>
          <w:tcPr>
            <w:tcW w:w="90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5.0% PIK, Due 5/22</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High Tech Industries</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5/11/2020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261,136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307,187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256,970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24"/>
        </w:trPr>
        <w:tc>
          <w:tcPr>
            <w:tcW w:w="2940" w:type="dxa"/>
            <w:vAlign w:val="bottom"/>
            <w:gridSpan w:val="3"/>
          </w:tcPr>
          <w:p>
            <w:pPr>
              <w:spacing w:after="0"/>
              <w:rPr>
                <w:sz w:val="20"/>
                <w:szCs w:val="20"/>
                <w:color w:val="auto"/>
              </w:rPr>
            </w:pPr>
            <w:r>
              <w:rPr>
                <w:rFonts w:ascii="Arial" w:cs="Arial" w:eastAsia="Arial" w:hAnsi="Arial"/>
                <w:sz w:val="14"/>
                <w:szCs w:val="14"/>
                <w:color w:val="auto"/>
              </w:rPr>
              <w:t>Drilling Info Holdings, Inc.</w:t>
            </w:r>
          </w:p>
        </w:tc>
        <w:tc>
          <w:tcPr>
            <w:tcW w:w="900" w:type="dxa"/>
            <w:vAlign w:val="bottom"/>
          </w:tcPr>
          <w:p>
            <w:pPr>
              <w:ind w:left="60"/>
              <w:spacing w:after="0"/>
              <w:rPr>
                <w:sz w:val="20"/>
                <w:szCs w:val="20"/>
                <w:color w:val="auto"/>
              </w:rPr>
            </w:pPr>
            <w:r>
              <w:rPr>
                <w:rFonts w:ascii="Arial" w:cs="Arial" w:eastAsia="Arial" w:hAnsi="Arial"/>
                <w:sz w:val="12"/>
                <w:szCs w:val="12"/>
                <w:color w:val="auto"/>
              </w:rPr>
              <w:t>(8)(13)(14)(21)</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Senior Secured Loan — Initial Term</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40" w:type="dxa"/>
            <w:vAlign w:val="bottom"/>
            <w:gridSpan w:val="3"/>
          </w:tcPr>
          <w:p>
            <w:pPr>
              <w:spacing w:after="0" w:line="141" w:lineRule="exact"/>
              <w:rPr>
                <w:sz w:val="20"/>
                <w:szCs w:val="20"/>
                <w:color w:val="auto"/>
              </w:rPr>
            </w:pPr>
            <w:r>
              <w:rPr>
                <w:rFonts w:ascii="Arial" w:cs="Arial" w:eastAsia="Arial" w:hAnsi="Arial"/>
                <w:sz w:val="14"/>
                <w:szCs w:val="14"/>
                <w:color w:val="auto"/>
              </w:rPr>
              <w:t>2901 Via Fortuna #200 Austin, TX 78746</w:t>
            </w:r>
          </w:p>
        </w:tc>
        <w:tc>
          <w:tcPr>
            <w:tcW w:w="90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 (First Lien)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High Tech Industries</w:t>
            </w:r>
          </w:p>
        </w:tc>
        <w:tc>
          <w:tcPr>
            <w:tcW w:w="90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4.3% Cash, 1 Month Libor (0.08%) +</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4.25%, Due 7/25</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6/27/2019</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824,363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824,363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816,614</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Drilling Info Holdings, Inc.</w:t>
            </w:r>
          </w:p>
        </w:tc>
        <w:tc>
          <w:tcPr>
            <w:tcW w:w="90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(8)(13)(14)(21)</w:t>
            </w:r>
          </w:p>
        </w:tc>
        <w:tc>
          <w:tcPr>
            <w:tcW w:w="252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w w:val="92"/>
              </w:rPr>
              <w:t>Senior Secured Loan — 2020 Term Loan</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2901 Via Fortuna #200 Austin, TX 78746</w:t>
            </w:r>
          </w:p>
        </w:tc>
        <w:tc>
          <w:tcPr>
            <w:tcW w:w="90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(First Lien)</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High Tech Industries</w:t>
            </w:r>
          </w:p>
        </w:tc>
        <w:tc>
          <w:tcPr>
            <w:tcW w:w="90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4.6% Cash, 1 Month Libor (0.08%) +</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4.50%, Due 7/25</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2/14/2020</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985,000</w:t>
            </w: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981,546</w:t>
            </w: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983,917</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24"/>
        </w:trPr>
        <w:tc>
          <w:tcPr>
            <w:tcW w:w="2940" w:type="dxa"/>
            <w:vAlign w:val="bottom"/>
            <w:gridSpan w:val="3"/>
          </w:tcPr>
          <w:p>
            <w:pPr>
              <w:spacing w:after="0"/>
              <w:rPr>
                <w:sz w:val="20"/>
                <w:szCs w:val="20"/>
                <w:color w:val="auto"/>
              </w:rPr>
            </w:pPr>
            <w:r>
              <w:rPr>
                <w:rFonts w:ascii="Arial" w:cs="Arial" w:eastAsia="Arial" w:hAnsi="Arial"/>
                <w:sz w:val="14"/>
                <w:szCs w:val="14"/>
                <w:color w:val="auto"/>
              </w:rPr>
              <w:t>Electronics for Imaging, Inc.</w:t>
            </w:r>
          </w:p>
        </w:tc>
        <w:tc>
          <w:tcPr>
            <w:tcW w:w="900" w:type="dxa"/>
            <w:vAlign w:val="bottom"/>
          </w:tcPr>
          <w:p>
            <w:pPr>
              <w:ind w:left="60"/>
              <w:spacing w:after="0"/>
              <w:rPr>
                <w:sz w:val="20"/>
                <w:szCs w:val="20"/>
                <w:color w:val="auto"/>
              </w:rPr>
            </w:pPr>
            <w:r>
              <w:rPr>
                <w:rFonts w:ascii="Arial" w:cs="Arial" w:eastAsia="Arial" w:hAnsi="Arial"/>
                <w:sz w:val="12"/>
                <w:szCs w:val="12"/>
                <w:color w:val="auto"/>
              </w:rPr>
              <w:t>(8)(14)</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w w:val="96"/>
              </w:rPr>
              <w:t>Senior Secured Loan — First Lien Term</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40" w:type="dxa"/>
            <w:vAlign w:val="bottom"/>
            <w:gridSpan w:val="3"/>
          </w:tcPr>
          <w:p>
            <w:pPr>
              <w:spacing w:after="0" w:line="141" w:lineRule="exact"/>
              <w:rPr>
                <w:sz w:val="20"/>
                <w:szCs w:val="20"/>
                <w:color w:val="auto"/>
              </w:rPr>
            </w:pPr>
            <w:r>
              <w:rPr>
                <w:rFonts w:ascii="Arial" w:cs="Arial" w:eastAsia="Arial" w:hAnsi="Arial"/>
                <w:sz w:val="14"/>
                <w:szCs w:val="14"/>
                <w:color w:val="auto"/>
              </w:rPr>
              <w:t>6750 Dumbarton Circle Fremont, CA 94555</w:t>
            </w:r>
          </w:p>
        </w:tc>
        <w:tc>
          <w:tcPr>
            <w:tcW w:w="90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Electronics</w:t>
            </w:r>
          </w:p>
        </w:tc>
        <w:tc>
          <w:tcPr>
            <w:tcW w:w="90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5.1% Cash, 1 Month Libor (0.08%) +</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5.00%, Due 7/26</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2,165,206</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1,699,195</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2,049,000</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ELO Touch Solutions, Inc.</w:t>
            </w:r>
          </w:p>
        </w:tc>
        <w:tc>
          <w:tcPr>
            <w:tcW w:w="90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(8)(14)</w:t>
            </w:r>
          </w:p>
        </w:tc>
        <w:tc>
          <w:tcPr>
            <w:tcW w:w="252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w w:val="96"/>
              </w:rPr>
              <w:t>Senior Secured Loan — First Lien Term</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670 N. McCarthy Blvd. Milpitas, CA 95035</w:t>
            </w:r>
          </w:p>
        </w:tc>
        <w:tc>
          <w:tcPr>
            <w:tcW w:w="90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High Tech Industries</w:t>
            </w:r>
          </w:p>
        </w:tc>
        <w:tc>
          <w:tcPr>
            <w:tcW w:w="90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6.6% Cash, 1 Month Libor (0.08%) +</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6.50%, Due 12/25</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10/28/2020</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2,483,213</w:t>
            </w: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2,168,264</w:t>
            </w: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2,491,495</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24"/>
        </w:trPr>
        <w:tc>
          <w:tcPr>
            <w:tcW w:w="2940" w:type="dxa"/>
            <w:vAlign w:val="bottom"/>
            <w:gridSpan w:val="3"/>
          </w:tcPr>
          <w:p>
            <w:pPr>
              <w:spacing w:after="0"/>
              <w:rPr>
                <w:sz w:val="20"/>
                <w:szCs w:val="20"/>
                <w:color w:val="auto"/>
              </w:rPr>
            </w:pPr>
            <w:r>
              <w:rPr>
                <w:rFonts w:ascii="Arial" w:cs="Arial" w:eastAsia="Arial" w:hAnsi="Arial"/>
                <w:sz w:val="14"/>
                <w:szCs w:val="14"/>
                <w:color w:val="auto"/>
              </w:rPr>
              <w:t>Energy Acquisition LP</w:t>
            </w:r>
          </w:p>
        </w:tc>
        <w:tc>
          <w:tcPr>
            <w:tcW w:w="900" w:type="dxa"/>
            <w:vAlign w:val="bottom"/>
          </w:tcPr>
          <w:p>
            <w:pPr>
              <w:ind w:left="60"/>
              <w:spacing w:after="0"/>
              <w:rPr>
                <w:sz w:val="20"/>
                <w:szCs w:val="20"/>
                <w:color w:val="auto"/>
              </w:rPr>
            </w:pPr>
            <w:r>
              <w:rPr>
                <w:rFonts w:ascii="Arial" w:cs="Arial" w:eastAsia="Arial" w:hAnsi="Arial"/>
                <w:sz w:val="12"/>
                <w:szCs w:val="12"/>
                <w:color w:val="auto"/>
              </w:rPr>
              <w:t>(14)</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w w:val="96"/>
              </w:rPr>
              <w:t>Senior Secured Loan — First Lien Term</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40" w:type="dxa"/>
            <w:vAlign w:val="bottom"/>
            <w:gridSpan w:val="3"/>
          </w:tcPr>
          <w:p>
            <w:pPr>
              <w:spacing w:after="0" w:line="141" w:lineRule="exact"/>
              <w:rPr>
                <w:sz w:val="20"/>
                <w:szCs w:val="20"/>
                <w:color w:val="auto"/>
              </w:rPr>
            </w:pPr>
            <w:r>
              <w:rPr>
                <w:rFonts w:ascii="Arial" w:cs="Arial" w:eastAsia="Arial" w:hAnsi="Arial"/>
                <w:sz w:val="14"/>
                <w:szCs w:val="14"/>
                <w:color w:val="auto"/>
                <w:w w:val="91"/>
              </w:rPr>
              <w:t>One City Place Drive Suite 450 St Louis, MO 63141</w:t>
            </w:r>
          </w:p>
        </w:tc>
        <w:tc>
          <w:tcPr>
            <w:tcW w:w="90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Electronics</w:t>
            </w:r>
          </w:p>
        </w:tc>
        <w:tc>
          <w:tcPr>
            <w:tcW w:w="90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4.3% Cash, 2 Month Libor (0.10%) +</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4.25%, Due 6/25</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4,784,289</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4,012,166</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4,756,636</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Firstlight Holdco Inc.</w:t>
            </w:r>
          </w:p>
        </w:tc>
        <w:tc>
          <w:tcPr>
            <w:tcW w:w="90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(8)(13)(14)</w:t>
            </w:r>
          </w:p>
        </w:tc>
        <w:tc>
          <w:tcPr>
            <w:tcW w:w="252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rPr>
              <w:t>Junior Secured Loan — Initial Term</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491 Lisbon Street Lewistown, ME 04240</w:t>
            </w:r>
          </w:p>
        </w:tc>
        <w:tc>
          <w:tcPr>
            <w:tcW w:w="90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Loan (Second Lien)</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Telecommunications</w:t>
            </w:r>
          </w:p>
        </w:tc>
        <w:tc>
          <w:tcPr>
            <w:tcW w:w="90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7.6% Cash, 1 Month Libor (0.08%) +</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7.50%, Due 7/26</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12/18/2019</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400,000</w:t>
            </w: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367,113</w:t>
            </w: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400,000</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24"/>
        </w:trPr>
        <w:tc>
          <w:tcPr>
            <w:tcW w:w="2940" w:type="dxa"/>
            <w:vAlign w:val="bottom"/>
            <w:gridSpan w:val="3"/>
          </w:tcPr>
          <w:p>
            <w:pPr>
              <w:spacing w:after="0"/>
              <w:rPr>
                <w:sz w:val="20"/>
                <w:szCs w:val="20"/>
                <w:color w:val="auto"/>
              </w:rPr>
            </w:pPr>
            <w:r>
              <w:rPr>
                <w:rFonts w:ascii="Arial" w:cs="Arial" w:eastAsia="Arial" w:hAnsi="Arial"/>
                <w:sz w:val="14"/>
                <w:szCs w:val="14"/>
                <w:color w:val="auto"/>
              </w:rPr>
              <w:t>Geo Parent Corporation</w:t>
            </w:r>
          </w:p>
        </w:tc>
        <w:tc>
          <w:tcPr>
            <w:tcW w:w="900" w:type="dxa"/>
            <w:vAlign w:val="bottom"/>
          </w:tcPr>
          <w:p>
            <w:pPr>
              <w:ind w:left="60"/>
              <w:spacing w:after="0"/>
              <w:rPr>
                <w:sz w:val="20"/>
                <w:szCs w:val="20"/>
                <w:color w:val="auto"/>
              </w:rPr>
            </w:pPr>
            <w:r>
              <w:rPr>
                <w:rFonts w:ascii="Arial" w:cs="Arial" w:eastAsia="Arial" w:hAnsi="Arial"/>
                <w:sz w:val="12"/>
                <w:szCs w:val="12"/>
                <w:color w:val="auto"/>
              </w:rPr>
              <w:t>(8)(13)(14)</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w w:val="96"/>
              </w:rPr>
              <w:t>Senior Secured Loan — First Lien Term</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40" w:type="dxa"/>
            <w:vAlign w:val="bottom"/>
            <w:gridSpan w:val="3"/>
          </w:tcPr>
          <w:p>
            <w:pPr>
              <w:spacing w:after="0" w:line="141" w:lineRule="exact"/>
              <w:rPr>
                <w:sz w:val="20"/>
                <w:szCs w:val="20"/>
                <w:color w:val="auto"/>
              </w:rPr>
            </w:pPr>
            <w:r>
              <w:rPr>
                <w:rFonts w:ascii="Arial" w:cs="Arial" w:eastAsia="Arial" w:hAnsi="Arial"/>
                <w:sz w:val="14"/>
                <w:szCs w:val="14"/>
                <w:color w:val="auto"/>
              </w:rPr>
              <w:t>420 Lexington Ave., Suite 1718 New York, NY</w:t>
            </w:r>
          </w:p>
        </w:tc>
        <w:tc>
          <w:tcPr>
            <w:tcW w:w="90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0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10170</w:t>
            </w:r>
          </w:p>
        </w:tc>
        <w:tc>
          <w:tcPr>
            <w:tcW w:w="1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5.3% Cash, 1 Month Libor (0.08%) +</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20" w:type="dxa"/>
            <w:vAlign w:val="bottom"/>
            <w:gridSpan w:val="2"/>
          </w:tcPr>
          <w:p>
            <w:pPr>
              <w:ind w:left="240"/>
              <w:spacing w:after="0"/>
              <w:rPr>
                <w:sz w:val="20"/>
                <w:szCs w:val="20"/>
                <w:color w:val="auto"/>
              </w:rPr>
            </w:pPr>
            <w:r>
              <w:rPr>
                <w:rFonts w:ascii="Arial" w:cs="Arial" w:eastAsia="Arial" w:hAnsi="Arial"/>
                <w:sz w:val="14"/>
                <w:szCs w:val="14"/>
                <w:color w:val="auto"/>
              </w:rPr>
              <w:t>Media: Advertising, Printing &amp; Publishing</w:t>
            </w:r>
          </w:p>
        </w:tc>
        <w:tc>
          <w:tcPr>
            <w:tcW w:w="900" w:type="dxa"/>
            <w:vAlign w:val="bottom"/>
          </w:tcPr>
          <w:p>
            <w:pPr>
              <w:spacing w:after="0"/>
              <w:rPr>
                <w:sz w:val="16"/>
                <w:szCs w:val="16"/>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5.25%, Due 12/25</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3,264,896</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2,877,635</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3,264,896</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Global Integrated Flooring Systems Inc.</w:t>
            </w:r>
          </w:p>
        </w:tc>
        <w:tc>
          <w:tcPr>
            <w:tcW w:w="90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(8)(13)(23)</w:t>
            </w:r>
          </w:p>
        </w:tc>
        <w:tc>
          <w:tcPr>
            <w:tcW w:w="25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Senior Secured Loan — Revolver</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920" w:type="dxa"/>
            <w:vAlign w:val="bottom"/>
            <w:gridSpan w:val="2"/>
            <w:vMerge w:val="restart"/>
            <w:shd w:val="clear" w:color="auto" w:fill="CCEEFF"/>
          </w:tcPr>
          <w:p>
            <w:pPr>
              <w:spacing w:after="0" w:line="141" w:lineRule="exact"/>
              <w:rPr>
                <w:sz w:val="20"/>
                <w:szCs w:val="20"/>
                <w:color w:val="auto"/>
              </w:rPr>
            </w:pPr>
            <w:r>
              <w:rPr>
                <w:rFonts w:ascii="Arial" w:cs="Arial" w:eastAsia="Arial" w:hAnsi="Arial"/>
                <w:sz w:val="14"/>
                <w:szCs w:val="14"/>
                <w:color w:val="auto"/>
                <w:w w:val="90"/>
              </w:rPr>
              <w:t>9000 Regency Parkway Suite 400, Cary, NC 27518</w:t>
            </w:r>
          </w:p>
        </w:tc>
        <w:tc>
          <w:tcPr>
            <w:tcW w:w="900" w:type="dxa"/>
            <w:vAlign w:val="bottom"/>
            <w:shd w:val="clear" w:color="auto" w:fill="CCEEFF"/>
          </w:tcPr>
          <w:p>
            <w:pPr>
              <w:spacing w:after="0"/>
              <w:rPr>
                <w:sz w:val="6"/>
                <w:szCs w:val="6"/>
                <w:color w:val="auto"/>
              </w:rPr>
            </w:pPr>
          </w:p>
        </w:tc>
        <w:tc>
          <w:tcPr>
            <w:tcW w:w="2520" w:type="dxa"/>
            <w:vAlign w:val="bottom"/>
            <w:gridSpan w:val="3"/>
            <w:vMerge w:val="continue"/>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920" w:type="dxa"/>
            <w:vAlign w:val="bottom"/>
            <w:gridSpan w:val="2"/>
            <w:vMerge w:val="continue"/>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5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0.8% Cash, Due 2/23</w:t>
            </w:r>
          </w:p>
        </w:tc>
        <w:tc>
          <w:tcPr>
            <w:tcW w:w="7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92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Consumer goods: Durable</w:t>
            </w:r>
          </w:p>
        </w:tc>
        <w:tc>
          <w:tcPr>
            <w:tcW w:w="900" w:type="dxa"/>
            <w:vAlign w:val="bottom"/>
            <w:shd w:val="clear" w:color="auto" w:fill="CCEEFF"/>
          </w:tcPr>
          <w:p>
            <w:pPr>
              <w:spacing w:after="0"/>
              <w:rPr>
                <w:sz w:val="9"/>
                <w:szCs w:val="9"/>
                <w:color w:val="auto"/>
              </w:rPr>
            </w:pPr>
          </w:p>
        </w:tc>
        <w:tc>
          <w:tcPr>
            <w:tcW w:w="2520" w:type="dxa"/>
            <w:vAlign w:val="bottom"/>
            <w:gridSpan w:val="3"/>
            <w:vMerge w:val="continue"/>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10/28/2020</w:t>
            </w:r>
          </w:p>
        </w:tc>
        <w:tc>
          <w:tcPr>
            <w:tcW w:w="820" w:type="dxa"/>
            <w:vAlign w:val="bottom"/>
            <w:gridSpan w:val="2"/>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(19,149)</w:t>
            </w: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920" w:type="dxa"/>
            <w:vAlign w:val="bottom"/>
            <w:gridSpan w:val="2"/>
            <w:vMerge w:val="continue"/>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6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940" w:type="dxa"/>
            <w:vAlign w:val="bottom"/>
            <w:gridSpan w:val="3"/>
          </w:tcPr>
          <w:p>
            <w:pPr>
              <w:spacing w:after="0"/>
              <w:rPr>
                <w:sz w:val="20"/>
                <w:szCs w:val="20"/>
                <w:color w:val="auto"/>
              </w:rPr>
            </w:pPr>
            <w:r>
              <w:rPr>
                <w:rFonts w:ascii="Arial" w:cs="Arial" w:eastAsia="Arial" w:hAnsi="Arial"/>
                <w:sz w:val="14"/>
                <w:szCs w:val="14"/>
                <w:color w:val="auto"/>
              </w:rPr>
              <w:t>Global Integrated Flooring Systems Inc.</w:t>
            </w:r>
          </w:p>
        </w:tc>
        <w:tc>
          <w:tcPr>
            <w:tcW w:w="900" w:type="dxa"/>
            <w:vAlign w:val="bottom"/>
          </w:tcPr>
          <w:p>
            <w:pPr>
              <w:ind w:left="60"/>
              <w:spacing w:after="0"/>
              <w:rPr>
                <w:sz w:val="20"/>
                <w:szCs w:val="20"/>
                <w:color w:val="auto"/>
              </w:rPr>
            </w:pPr>
            <w:r>
              <w:rPr>
                <w:rFonts w:ascii="Arial" w:cs="Arial" w:eastAsia="Arial" w:hAnsi="Arial"/>
                <w:sz w:val="12"/>
                <w:szCs w:val="12"/>
                <w:color w:val="auto"/>
              </w:rPr>
              <w:t>(8)(13)</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w w:val="96"/>
              </w:rPr>
              <w:t>Senior Secured Loan — First Lien Term</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40" w:type="dxa"/>
            <w:vAlign w:val="bottom"/>
            <w:gridSpan w:val="3"/>
          </w:tcPr>
          <w:p>
            <w:pPr>
              <w:spacing w:after="0" w:line="141" w:lineRule="exact"/>
              <w:rPr>
                <w:sz w:val="20"/>
                <w:szCs w:val="20"/>
                <w:color w:val="auto"/>
              </w:rPr>
            </w:pPr>
            <w:r>
              <w:rPr>
                <w:rFonts w:ascii="Arial" w:cs="Arial" w:eastAsia="Arial" w:hAnsi="Arial"/>
                <w:sz w:val="14"/>
                <w:szCs w:val="14"/>
                <w:color w:val="auto"/>
              </w:rPr>
              <w:t>3700 32nd Street SE Grand Rapids, MI 49512</w:t>
            </w:r>
          </w:p>
        </w:tc>
        <w:tc>
          <w:tcPr>
            <w:tcW w:w="90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Consumer goods: Durable</w:t>
            </w:r>
          </w:p>
        </w:tc>
        <w:tc>
          <w:tcPr>
            <w:tcW w:w="90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9.5% Cash, 3 Month Libor (1.25%) +</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8.25%; Libor Floor 1.25%, Due 2/23</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6,300,000</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4,835,288</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3,485,160</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bl>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840"/>
          </w:cols>
          <w:pgMar w:left="320" w:top="443" w:right="7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31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Portfolio Company /</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128"/>
        </w:trPr>
        <w:tc>
          <w:tcPr>
            <w:tcW w:w="316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860" w:type="dxa"/>
            <w:vAlign w:val="bottom"/>
            <w:gridSpan w:val="2"/>
          </w:tcPr>
          <w:p>
            <w:pPr>
              <w:jc w:val="center"/>
              <w:ind w:right="140"/>
              <w:spacing w:after="0" w:line="128" w:lineRule="exact"/>
              <w:rPr>
                <w:sz w:val="20"/>
                <w:szCs w:val="20"/>
                <w:color w:val="auto"/>
              </w:rPr>
            </w:pPr>
            <w:r>
              <w:rPr>
                <w:rFonts w:ascii="Arial" w:cs="Arial" w:eastAsia="Arial" w:hAnsi="Arial"/>
                <w:sz w:val="13"/>
                <w:szCs w:val="13"/>
                <w:b w:val="1"/>
                <w:bCs w:val="1"/>
                <w:color w:val="auto"/>
                <w:w w:val="90"/>
              </w:rPr>
              <w:t>Acquisition</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140"/>
              <w:spacing w:after="0" w:line="128" w:lineRule="exact"/>
              <w:rPr>
                <w:sz w:val="20"/>
                <w:szCs w:val="20"/>
                <w:color w:val="auto"/>
              </w:rPr>
            </w:pPr>
            <w:r>
              <w:rPr>
                <w:rFonts w:ascii="Arial" w:cs="Arial" w:eastAsia="Arial" w:hAnsi="Arial"/>
                <w:sz w:val="13"/>
                <w:szCs w:val="13"/>
                <w:b w:val="1"/>
                <w:bCs w:val="1"/>
                <w:color w:val="auto"/>
                <w:w w:val="94"/>
              </w:rPr>
              <w:t>Amortized</w:t>
            </w:r>
          </w:p>
        </w:tc>
        <w:tc>
          <w:tcPr>
            <w:tcW w:w="860" w:type="dxa"/>
            <w:vAlign w:val="bottom"/>
            <w:gridSpan w:val="2"/>
          </w:tcPr>
          <w:p>
            <w:pPr>
              <w:jc w:val="center"/>
              <w:ind w:right="140"/>
              <w:spacing w:after="0" w:line="128" w:lineRule="exact"/>
              <w:rPr>
                <w:sz w:val="20"/>
                <w:szCs w:val="20"/>
                <w:color w:val="auto"/>
              </w:rPr>
            </w:pPr>
            <w:r>
              <w:rPr>
                <w:rFonts w:ascii="Arial" w:cs="Arial" w:eastAsia="Arial" w:hAnsi="Arial"/>
                <w:sz w:val="13"/>
                <w:szCs w:val="13"/>
                <w:b w:val="1"/>
                <w:bCs w:val="1"/>
                <w:color w:val="auto"/>
              </w:rPr>
              <w:t>Fair</w:t>
            </w:r>
          </w:p>
        </w:tc>
        <w:tc>
          <w:tcPr>
            <w:tcW w:w="560" w:type="dxa"/>
            <w:vAlign w:val="bottom"/>
            <w:gridSpan w:val="2"/>
          </w:tcPr>
          <w:p>
            <w:pPr>
              <w:jc w:val="center"/>
              <w:ind w:right="180"/>
              <w:spacing w:after="0" w:line="128" w:lineRule="exact"/>
              <w:rPr>
                <w:sz w:val="20"/>
                <w:szCs w:val="20"/>
                <w:color w:val="auto"/>
              </w:rPr>
            </w:pPr>
            <w:r>
              <w:rPr>
                <w:rFonts w:ascii="Arial" w:cs="Arial" w:eastAsia="Arial" w:hAnsi="Arial"/>
                <w:sz w:val="13"/>
                <w:szCs w:val="13"/>
                <w:b w:val="1"/>
                <w:bCs w:val="1"/>
                <w:color w:val="auto"/>
                <w:w w:val="85"/>
              </w:rPr>
              <w:t>Net</w:t>
            </w:r>
          </w:p>
        </w:tc>
        <w:tc>
          <w:tcPr>
            <w:tcW w:w="0" w:type="dxa"/>
            <w:vAlign w:val="bottom"/>
          </w:tcPr>
          <w:p>
            <w:pPr>
              <w:spacing w:after="0"/>
              <w:rPr>
                <w:sz w:val="1"/>
                <w:szCs w:val="1"/>
                <w:color w:val="auto"/>
              </w:rPr>
            </w:pPr>
          </w:p>
        </w:tc>
      </w:tr>
      <w:tr>
        <w:trPr>
          <w:trHeight w:val="153"/>
        </w:trPr>
        <w:tc>
          <w:tcPr>
            <w:tcW w:w="316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Principal</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Cost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Value</w:t>
            </w:r>
            <w:r>
              <w:rPr>
                <w:rFonts w:ascii="Arial" w:cs="Arial" w:eastAsia="Arial" w:hAnsi="Arial"/>
                <w:sz w:val="10"/>
                <w:szCs w:val="10"/>
                <w:b w:val="1"/>
                <w:bCs w:val="1"/>
                <w:color w:val="auto"/>
                <w:w w:val="89"/>
              </w:rPr>
              <w:t>2</w:t>
            </w:r>
          </w:p>
        </w:tc>
        <w:tc>
          <w:tcPr>
            <w:tcW w:w="5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9"/>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314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Global Tel*Link Corporation</w:t>
            </w:r>
          </w:p>
        </w:tc>
        <w:tc>
          <w:tcPr>
            <w:tcW w:w="800" w:type="dxa"/>
            <w:vAlign w:val="bottom"/>
            <w:shd w:val="clear" w:color="auto" w:fill="CCEEFF"/>
          </w:tcPr>
          <w:p>
            <w:pPr>
              <w:ind w:left="60"/>
              <w:spacing w:after="0" w:line="101" w:lineRule="exact"/>
              <w:rPr>
                <w:sz w:val="20"/>
                <w:szCs w:val="20"/>
                <w:color w:val="auto"/>
              </w:rPr>
            </w:pPr>
            <w:r>
              <w:rPr>
                <w:rFonts w:ascii="Arial" w:cs="Arial" w:eastAsia="Arial" w:hAnsi="Arial"/>
                <w:sz w:val="10"/>
                <w:szCs w:val="10"/>
                <w:color w:val="auto"/>
              </w:rPr>
              <w:t>(8)(14)</w:t>
            </w:r>
          </w:p>
        </w:tc>
        <w:tc>
          <w:tcPr>
            <w:tcW w:w="100" w:type="dxa"/>
            <w:vAlign w:val="bottom"/>
            <w:shd w:val="clear" w:color="auto" w:fill="CCEEFF"/>
          </w:tcPr>
          <w:p>
            <w:pPr>
              <w:spacing w:after="0"/>
              <w:rPr>
                <w:sz w:val="8"/>
                <w:szCs w:val="8"/>
                <w:color w:val="auto"/>
              </w:rPr>
            </w:pPr>
          </w:p>
        </w:tc>
        <w:tc>
          <w:tcPr>
            <w:tcW w:w="228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Junior Secured Loan — Term Loan</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3700 32nd Street SE Grand Rapids, MI 49512</w:t>
            </w:r>
          </w:p>
        </w:tc>
        <w:tc>
          <w:tcPr>
            <w:tcW w:w="80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00"/>
              <w:spacing w:after="0" w:line="141" w:lineRule="exact"/>
              <w:rPr>
                <w:sz w:val="20"/>
                <w:szCs w:val="20"/>
                <w:color w:val="auto"/>
              </w:rPr>
            </w:pPr>
            <w:r>
              <w:rPr>
                <w:rFonts w:ascii="Arial" w:cs="Arial" w:eastAsia="Arial" w:hAnsi="Arial"/>
                <w:sz w:val="14"/>
                <w:szCs w:val="14"/>
                <w:color w:val="auto"/>
              </w:rPr>
              <w:t>(Second Lien)</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gridSpan w:val="2"/>
            <w:shd w:val="clear" w:color="auto" w:fill="CCEEFF"/>
          </w:tcPr>
          <w:p>
            <w:pPr>
              <w:ind w:left="240"/>
              <w:spacing w:after="0" w:line="148" w:lineRule="exact"/>
              <w:rPr>
                <w:sz w:val="20"/>
                <w:szCs w:val="20"/>
                <w:color w:val="auto"/>
              </w:rPr>
            </w:pPr>
            <w:r>
              <w:rPr>
                <w:rFonts w:ascii="Arial" w:cs="Arial" w:eastAsia="Arial" w:hAnsi="Arial"/>
                <w:sz w:val="14"/>
                <w:szCs w:val="14"/>
                <w:color w:val="auto"/>
              </w:rPr>
              <w:t>Telecommunications</w:t>
            </w:r>
          </w:p>
        </w:tc>
        <w:tc>
          <w:tcPr>
            <w:tcW w:w="80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8.3% Cash, 1 Month Libor (0.08%) +</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8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8.25%, Due 11/26</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5/21/2013</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1,500,000</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1,483,417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1,406,250</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4"/>
        </w:trPr>
        <w:tc>
          <w:tcPr>
            <w:tcW w:w="3160" w:type="dxa"/>
            <w:vAlign w:val="bottom"/>
            <w:gridSpan w:val="3"/>
          </w:tcPr>
          <w:p>
            <w:pPr>
              <w:spacing w:after="0"/>
              <w:rPr>
                <w:sz w:val="20"/>
                <w:szCs w:val="20"/>
                <w:color w:val="auto"/>
              </w:rPr>
            </w:pPr>
            <w:r>
              <w:rPr>
                <w:rFonts w:ascii="Arial" w:cs="Arial" w:eastAsia="Arial" w:hAnsi="Arial"/>
                <w:sz w:val="14"/>
                <w:szCs w:val="14"/>
                <w:color w:val="auto"/>
              </w:rPr>
              <w:t>Grupo HIMA San Pablo, Inc.</w:t>
            </w:r>
          </w:p>
        </w:tc>
        <w:tc>
          <w:tcPr>
            <w:tcW w:w="800" w:type="dxa"/>
            <w:vAlign w:val="bottom"/>
          </w:tcPr>
          <w:p>
            <w:pPr>
              <w:ind w:left="60"/>
              <w:spacing w:after="0"/>
              <w:rPr>
                <w:sz w:val="20"/>
                <w:szCs w:val="20"/>
                <w:color w:val="auto"/>
              </w:rPr>
            </w:pPr>
            <w:r>
              <w:rPr>
                <w:rFonts w:ascii="Arial" w:cs="Arial" w:eastAsia="Arial" w:hAnsi="Arial"/>
                <w:sz w:val="12"/>
                <w:szCs w:val="12"/>
                <w:color w:val="auto"/>
              </w:rPr>
              <w:t>(5)(8)(13)</w:t>
            </w:r>
          </w:p>
        </w:tc>
        <w:tc>
          <w:tcPr>
            <w:tcW w:w="2480" w:type="dxa"/>
            <w:vAlign w:val="bottom"/>
            <w:gridSpan w:val="3"/>
          </w:tcPr>
          <w:p>
            <w:pPr>
              <w:ind w:left="100"/>
              <w:spacing w:after="0"/>
              <w:rPr>
                <w:sz w:val="20"/>
                <w:szCs w:val="20"/>
                <w:color w:val="auto"/>
              </w:rPr>
            </w:pPr>
            <w:r>
              <w:rPr>
                <w:rFonts w:ascii="Arial" w:cs="Arial" w:eastAsia="Arial" w:hAnsi="Arial"/>
                <w:sz w:val="14"/>
                <w:szCs w:val="14"/>
                <w:color w:val="auto"/>
              </w:rPr>
              <w:t>Junior Secured Loan — Term Loan</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160" w:type="dxa"/>
            <w:vAlign w:val="bottom"/>
            <w:gridSpan w:val="3"/>
          </w:tcPr>
          <w:p>
            <w:pPr>
              <w:spacing w:after="0" w:line="141" w:lineRule="exact"/>
              <w:rPr>
                <w:sz w:val="20"/>
                <w:szCs w:val="20"/>
                <w:color w:val="auto"/>
              </w:rPr>
            </w:pPr>
            <w:r>
              <w:rPr>
                <w:rFonts w:ascii="Arial" w:cs="Arial" w:eastAsia="Arial" w:hAnsi="Arial"/>
                <w:sz w:val="14"/>
                <w:szCs w:val="14"/>
                <w:color w:val="auto"/>
              </w:rPr>
              <w:t>P.O. Box 4980 Caguas, PR 00726</w:t>
            </w:r>
          </w:p>
        </w:tc>
        <w:tc>
          <w:tcPr>
            <w:tcW w:w="800" w:type="dxa"/>
            <w:vAlign w:val="bottom"/>
          </w:tcPr>
          <w:p>
            <w:pPr>
              <w:spacing w:after="0"/>
              <w:rPr>
                <w:sz w:val="12"/>
                <w:szCs w:val="12"/>
                <w:color w:val="auto"/>
              </w:rPr>
            </w:pPr>
          </w:p>
        </w:tc>
        <w:tc>
          <w:tcPr>
            <w:tcW w:w="2480" w:type="dxa"/>
            <w:vAlign w:val="bottom"/>
            <w:gridSpan w:val="3"/>
          </w:tcPr>
          <w:p>
            <w:pPr>
              <w:ind w:left="100"/>
              <w:spacing w:after="0" w:line="141" w:lineRule="exact"/>
              <w:rPr>
                <w:sz w:val="20"/>
                <w:szCs w:val="20"/>
                <w:color w:val="auto"/>
              </w:rPr>
            </w:pPr>
            <w:r>
              <w:rPr>
                <w:rFonts w:ascii="Arial" w:cs="Arial" w:eastAsia="Arial" w:hAnsi="Arial"/>
                <w:sz w:val="14"/>
                <w:szCs w:val="14"/>
                <w:color w:val="auto"/>
              </w:rPr>
              <w:t>(Second Lien)</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gridSpan w:val="2"/>
          </w:tcPr>
          <w:p>
            <w:pPr>
              <w:ind w:left="240"/>
              <w:spacing w:after="0"/>
              <w:rPr>
                <w:sz w:val="20"/>
                <w:szCs w:val="20"/>
                <w:color w:val="auto"/>
              </w:rPr>
            </w:pPr>
            <w:r>
              <w:rPr>
                <w:rFonts w:ascii="Arial" w:cs="Arial" w:eastAsia="Arial" w:hAnsi="Arial"/>
                <w:sz w:val="14"/>
                <w:szCs w:val="14"/>
                <w:color w:val="auto"/>
              </w:rPr>
              <w:t>Healthcare &amp; Pharmaceuticals</w:t>
            </w:r>
          </w:p>
        </w:tc>
        <w:tc>
          <w:tcPr>
            <w:tcW w:w="800" w:type="dxa"/>
            <w:vAlign w:val="bottom"/>
          </w:tcPr>
          <w:p>
            <w:pPr>
              <w:spacing w:after="0"/>
              <w:rPr>
                <w:sz w:val="16"/>
                <w:szCs w:val="16"/>
                <w:color w:val="auto"/>
              </w:rPr>
            </w:pPr>
          </w:p>
        </w:tc>
        <w:tc>
          <w:tcPr>
            <w:tcW w:w="2480" w:type="dxa"/>
            <w:vAlign w:val="bottom"/>
            <w:gridSpan w:val="3"/>
          </w:tcPr>
          <w:p>
            <w:pPr>
              <w:ind w:left="100"/>
              <w:spacing w:after="0"/>
              <w:rPr>
                <w:sz w:val="20"/>
                <w:szCs w:val="20"/>
                <w:color w:val="auto"/>
              </w:rPr>
            </w:pPr>
            <w:r>
              <w:rPr>
                <w:rFonts w:ascii="Arial" w:cs="Arial" w:eastAsia="Arial" w:hAnsi="Arial"/>
                <w:sz w:val="14"/>
                <w:szCs w:val="14"/>
                <w:color w:val="auto"/>
              </w:rPr>
              <w:t>13.8% Cash, Due 7/18</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1/30/2013</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7,191,667</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7,191,667</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48,903</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1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Grupo HIMA San Pablo, Inc.</w:t>
            </w:r>
          </w:p>
        </w:tc>
        <w:tc>
          <w:tcPr>
            <w:tcW w:w="80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w w:val="99"/>
              </w:rPr>
              <w:t>(5)(8)(13)(14)</w:t>
            </w:r>
          </w:p>
        </w:tc>
        <w:tc>
          <w:tcPr>
            <w:tcW w:w="2480" w:type="dxa"/>
            <w:vAlign w:val="bottom"/>
            <w:gridSpan w:val="3"/>
            <w:shd w:val="clear" w:color="auto" w:fill="CCEEFF"/>
          </w:tcPr>
          <w:p>
            <w:pPr>
              <w:ind w:left="100"/>
              <w:spacing w:after="0" w:line="123" w:lineRule="exact"/>
              <w:rPr>
                <w:sz w:val="20"/>
                <w:szCs w:val="20"/>
                <w:color w:val="auto"/>
              </w:rPr>
            </w:pPr>
            <w:r>
              <w:rPr>
                <w:rFonts w:ascii="Arial" w:cs="Arial" w:eastAsia="Arial" w:hAnsi="Arial"/>
                <w:sz w:val="14"/>
                <w:szCs w:val="14"/>
                <w:color w:val="auto"/>
              </w:rPr>
              <w:t>Senior Secured Loan — Term B Loan</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4"/>
              </w:rPr>
              <w:t>601 Lexington Avenue Suite 53 New York, NY 10022</w:t>
            </w:r>
          </w:p>
        </w:tc>
        <w:tc>
          <w:tcPr>
            <w:tcW w:w="80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00"/>
              <w:spacing w:after="0" w:line="141" w:lineRule="exact"/>
              <w:rPr>
                <w:sz w:val="20"/>
                <w:szCs w:val="20"/>
                <w:color w:val="auto"/>
              </w:rPr>
            </w:pPr>
            <w:r>
              <w:rPr>
                <w:rFonts w:ascii="Arial" w:cs="Arial" w:eastAsia="Arial" w:hAnsi="Arial"/>
                <w:sz w:val="14"/>
                <w:szCs w:val="14"/>
                <w:color w:val="auto"/>
              </w:rPr>
              <w:t>(First Lien)</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4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Healthcare &amp; Pharmaceuticals</w:t>
            </w:r>
          </w:p>
        </w:tc>
        <w:tc>
          <w:tcPr>
            <w:tcW w:w="80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00"/>
              <w:spacing w:after="0" w:line="141" w:lineRule="exact"/>
              <w:rPr>
                <w:sz w:val="20"/>
                <w:szCs w:val="20"/>
                <w:color w:val="auto"/>
              </w:rPr>
            </w:pPr>
            <w:r>
              <w:rPr>
                <w:rFonts w:ascii="Arial" w:cs="Arial" w:eastAsia="Arial" w:hAnsi="Arial"/>
                <w:sz w:val="14"/>
                <w:szCs w:val="14"/>
                <w:color w:val="auto"/>
              </w:rPr>
              <w:t>10.5% Cash, 3 Month Libor (1.50%) +</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8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9.00%; Libor Floor 1.50%, Due 8/21</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1/30/2013</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2,702,232</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2,702,232</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1,357,872</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4"/>
        </w:trPr>
        <w:tc>
          <w:tcPr>
            <w:tcW w:w="3160" w:type="dxa"/>
            <w:vAlign w:val="bottom"/>
            <w:gridSpan w:val="3"/>
          </w:tcPr>
          <w:p>
            <w:pPr>
              <w:spacing w:after="0"/>
              <w:rPr>
                <w:sz w:val="20"/>
                <w:szCs w:val="20"/>
                <w:color w:val="auto"/>
              </w:rPr>
            </w:pPr>
            <w:r>
              <w:rPr>
                <w:rFonts w:ascii="Arial" w:cs="Arial" w:eastAsia="Arial" w:hAnsi="Arial"/>
                <w:sz w:val="14"/>
                <w:szCs w:val="14"/>
                <w:color w:val="auto"/>
              </w:rPr>
              <w:t>H.W. Lochner, Inc.</w:t>
            </w:r>
          </w:p>
        </w:tc>
        <w:tc>
          <w:tcPr>
            <w:tcW w:w="800" w:type="dxa"/>
            <w:vAlign w:val="bottom"/>
          </w:tcPr>
          <w:p>
            <w:pPr>
              <w:ind w:left="60"/>
              <w:spacing w:after="0"/>
              <w:rPr>
                <w:sz w:val="20"/>
                <w:szCs w:val="20"/>
                <w:color w:val="auto"/>
              </w:rPr>
            </w:pPr>
            <w:r>
              <w:rPr>
                <w:rFonts w:ascii="Arial" w:cs="Arial" w:eastAsia="Arial" w:hAnsi="Arial"/>
                <w:sz w:val="12"/>
                <w:szCs w:val="12"/>
                <w:color w:val="auto"/>
              </w:rPr>
              <w:t>(8)(13)(23)</w:t>
            </w:r>
          </w:p>
        </w:tc>
        <w:tc>
          <w:tcPr>
            <w:tcW w:w="2480" w:type="dxa"/>
            <w:vAlign w:val="bottom"/>
            <w:gridSpan w:val="3"/>
            <w:vMerge w:val="restart"/>
          </w:tcPr>
          <w:p>
            <w:pPr>
              <w:ind w:left="100"/>
              <w:spacing w:after="0"/>
              <w:rPr>
                <w:sz w:val="20"/>
                <w:szCs w:val="20"/>
                <w:color w:val="auto"/>
              </w:rPr>
            </w:pPr>
            <w:r>
              <w:rPr>
                <w:rFonts w:ascii="Arial" w:cs="Arial" w:eastAsia="Arial" w:hAnsi="Arial"/>
                <w:sz w:val="14"/>
                <w:szCs w:val="14"/>
                <w:color w:val="auto"/>
              </w:rPr>
              <w:t>Senior Secured Loan — Revolver</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3160" w:type="dxa"/>
            <w:vAlign w:val="bottom"/>
            <w:gridSpan w:val="3"/>
            <w:vMerge w:val="restart"/>
          </w:tcPr>
          <w:p>
            <w:pPr>
              <w:spacing w:after="0" w:line="141" w:lineRule="exact"/>
              <w:rPr>
                <w:sz w:val="20"/>
                <w:szCs w:val="20"/>
                <w:color w:val="auto"/>
              </w:rPr>
            </w:pPr>
            <w:r>
              <w:rPr>
                <w:rFonts w:ascii="Arial" w:cs="Arial" w:eastAsia="Arial" w:hAnsi="Arial"/>
                <w:sz w:val="14"/>
                <w:szCs w:val="14"/>
                <w:color w:val="auto"/>
                <w:w w:val="97"/>
              </w:rPr>
              <w:t>225 West Washington Street, 12th Floor, Chicago, Il</w:t>
            </w:r>
          </w:p>
        </w:tc>
        <w:tc>
          <w:tcPr>
            <w:tcW w:w="800" w:type="dxa"/>
            <w:vAlign w:val="bottom"/>
          </w:tcPr>
          <w:p>
            <w:pPr>
              <w:spacing w:after="0"/>
              <w:rPr>
                <w:sz w:val="6"/>
                <w:szCs w:val="6"/>
                <w:color w:val="auto"/>
              </w:rPr>
            </w:pPr>
          </w:p>
        </w:tc>
        <w:tc>
          <w:tcPr>
            <w:tcW w:w="248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316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2480" w:type="dxa"/>
            <w:vAlign w:val="bottom"/>
            <w:gridSpan w:val="3"/>
            <w:vMerge w:val="restart"/>
          </w:tcPr>
          <w:p>
            <w:pPr>
              <w:ind w:left="100"/>
              <w:spacing w:after="0" w:line="141" w:lineRule="exact"/>
              <w:rPr>
                <w:sz w:val="20"/>
                <w:szCs w:val="20"/>
                <w:color w:val="auto"/>
              </w:rPr>
            </w:pPr>
            <w:r>
              <w:rPr>
                <w:rFonts w:ascii="Arial" w:cs="Arial" w:eastAsia="Arial" w:hAnsi="Arial"/>
                <w:sz w:val="14"/>
                <w:szCs w:val="14"/>
                <w:color w:val="auto"/>
              </w:rPr>
              <w:t>6.8% Cash, 3 Month Libor (1.00%) +</w:t>
            </w: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000" w:type="dxa"/>
            <w:vAlign w:val="bottom"/>
            <w:gridSpan w:val="2"/>
            <w:vMerge w:val="restart"/>
          </w:tcPr>
          <w:p>
            <w:pPr>
              <w:ind w:left="120"/>
              <w:spacing w:after="0" w:line="141" w:lineRule="exact"/>
              <w:rPr>
                <w:sz w:val="20"/>
                <w:szCs w:val="20"/>
                <w:color w:val="auto"/>
              </w:rPr>
            </w:pPr>
            <w:r>
              <w:rPr>
                <w:rFonts w:ascii="Arial" w:cs="Arial" w:eastAsia="Arial" w:hAnsi="Arial"/>
                <w:sz w:val="14"/>
                <w:szCs w:val="14"/>
                <w:color w:val="auto"/>
              </w:rPr>
              <w:t>60606</w:t>
            </w:r>
          </w:p>
        </w:tc>
        <w:tc>
          <w:tcPr>
            <w:tcW w:w="2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8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000" w:type="dxa"/>
            <w:vAlign w:val="bottom"/>
            <w:gridSpan w:val="2"/>
            <w:vMerge w:val="continue"/>
          </w:tcPr>
          <w:p>
            <w:pPr>
              <w:spacing w:after="0"/>
              <w:rPr>
                <w:sz w:val="5"/>
                <w:szCs w:val="5"/>
                <w:color w:val="auto"/>
              </w:rPr>
            </w:pPr>
          </w:p>
        </w:tc>
        <w:tc>
          <w:tcPr>
            <w:tcW w:w="2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80" w:type="dxa"/>
            <w:vAlign w:val="bottom"/>
            <w:gridSpan w:val="3"/>
            <w:vMerge w:val="restart"/>
          </w:tcPr>
          <w:p>
            <w:pPr>
              <w:ind w:left="100"/>
              <w:spacing w:after="0"/>
              <w:rPr>
                <w:sz w:val="20"/>
                <w:szCs w:val="20"/>
                <w:color w:val="auto"/>
              </w:rPr>
            </w:pPr>
            <w:r>
              <w:rPr>
                <w:rFonts w:ascii="Arial" w:cs="Arial" w:eastAsia="Arial" w:hAnsi="Arial"/>
                <w:sz w:val="14"/>
                <w:szCs w:val="14"/>
                <w:color w:val="auto"/>
              </w:rPr>
              <w:t>5.75%; Libor Floor 1.00%, Due 7/27</w:t>
            </w: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40" w:type="dxa"/>
            <w:vAlign w:val="bottom"/>
            <w:gridSpan w:val="2"/>
            <w:vMerge w:val="restart"/>
          </w:tcPr>
          <w:p>
            <w:pPr>
              <w:ind w:left="240"/>
              <w:spacing w:after="0"/>
              <w:rPr>
                <w:sz w:val="20"/>
                <w:szCs w:val="20"/>
                <w:color w:val="auto"/>
              </w:rPr>
            </w:pPr>
            <w:r>
              <w:rPr>
                <w:rFonts w:ascii="Arial" w:cs="Arial" w:eastAsia="Arial" w:hAnsi="Arial"/>
                <w:sz w:val="14"/>
                <w:szCs w:val="14"/>
                <w:color w:val="auto"/>
              </w:rPr>
              <w:t>Services: Business</w:t>
            </w:r>
          </w:p>
        </w:tc>
        <w:tc>
          <w:tcPr>
            <w:tcW w:w="80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7/2/2021</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6,200,524</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6,047,170</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6,040,524</w:t>
            </w:r>
          </w:p>
        </w:tc>
        <w:tc>
          <w:tcPr>
            <w:tcW w:w="140" w:type="dxa"/>
            <w:vAlign w:val="bottom"/>
          </w:tcPr>
          <w:p>
            <w:pPr>
              <w:spacing w:after="0"/>
              <w:rPr>
                <w:sz w:val="9"/>
                <w:szCs w:val="9"/>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1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1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H.W. Lochner, Inc.</w:t>
            </w:r>
          </w:p>
        </w:tc>
        <w:tc>
          <w:tcPr>
            <w:tcW w:w="80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(8)(13)(14)</w:t>
            </w:r>
          </w:p>
        </w:tc>
        <w:tc>
          <w:tcPr>
            <w:tcW w:w="2480" w:type="dxa"/>
            <w:vAlign w:val="bottom"/>
            <w:gridSpan w:val="3"/>
            <w:vMerge w:val="restart"/>
            <w:shd w:val="clear" w:color="auto" w:fill="CCEEFF"/>
          </w:tcPr>
          <w:p>
            <w:pPr>
              <w:ind w:left="100"/>
              <w:spacing w:after="0"/>
              <w:rPr>
                <w:sz w:val="20"/>
                <w:szCs w:val="20"/>
                <w:color w:val="auto"/>
              </w:rPr>
            </w:pPr>
            <w:r>
              <w:rPr>
                <w:rFonts w:ascii="Arial" w:cs="Arial" w:eastAsia="Arial" w:hAnsi="Arial"/>
                <w:sz w:val="14"/>
                <w:szCs w:val="14"/>
                <w:color w:val="auto"/>
              </w:rPr>
              <w:t>Senior Secured Loan — Term Loan</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140" w:type="dxa"/>
            <w:vAlign w:val="bottom"/>
            <w:gridSpan w:val="2"/>
            <w:vMerge w:val="restart"/>
            <w:shd w:val="clear" w:color="auto" w:fill="CCEEFF"/>
          </w:tcPr>
          <w:p>
            <w:pPr>
              <w:spacing w:after="0" w:line="141" w:lineRule="exact"/>
              <w:rPr>
                <w:sz w:val="20"/>
                <w:szCs w:val="20"/>
                <w:color w:val="auto"/>
              </w:rPr>
            </w:pPr>
            <w:r>
              <w:rPr>
                <w:rFonts w:ascii="Arial" w:cs="Arial" w:eastAsia="Arial" w:hAnsi="Arial"/>
                <w:sz w:val="14"/>
                <w:szCs w:val="14"/>
                <w:color w:val="auto"/>
                <w:w w:val="96"/>
              </w:rPr>
              <w:t>225 West Washington Street, 12th Floor, Chicago, Il</w:t>
            </w:r>
          </w:p>
        </w:tc>
        <w:tc>
          <w:tcPr>
            <w:tcW w:w="800" w:type="dxa"/>
            <w:vAlign w:val="bottom"/>
            <w:shd w:val="clear" w:color="auto" w:fill="CCEEFF"/>
          </w:tcPr>
          <w:p>
            <w:pPr>
              <w:spacing w:after="0"/>
              <w:rPr>
                <w:sz w:val="6"/>
                <w:szCs w:val="6"/>
                <w:color w:val="auto"/>
              </w:rPr>
            </w:pPr>
          </w:p>
        </w:tc>
        <w:tc>
          <w:tcPr>
            <w:tcW w:w="2480" w:type="dxa"/>
            <w:vAlign w:val="bottom"/>
            <w:gridSpan w:val="3"/>
            <w:vMerge w:val="continue"/>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140" w:type="dxa"/>
            <w:vAlign w:val="bottom"/>
            <w:gridSpan w:val="2"/>
            <w:vMerge w:val="continue"/>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480" w:type="dxa"/>
            <w:vAlign w:val="bottom"/>
            <w:gridSpan w:val="3"/>
            <w:vMerge w:val="restart"/>
            <w:shd w:val="clear" w:color="auto" w:fill="CCEEFF"/>
          </w:tcPr>
          <w:p>
            <w:pPr>
              <w:ind w:left="100"/>
              <w:spacing w:after="0" w:line="141" w:lineRule="exact"/>
              <w:rPr>
                <w:sz w:val="20"/>
                <w:szCs w:val="20"/>
                <w:color w:val="auto"/>
              </w:rPr>
            </w:pPr>
            <w:r>
              <w:rPr>
                <w:rFonts w:ascii="Arial" w:cs="Arial" w:eastAsia="Arial" w:hAnsi="Arial"/>
                <w:sz w:val="14"/>
                <w:szCs w:val="14"/>
                <w:color w:val="auto"/>
              </w:rPr>
              <w:t>6.8% Cash, 3 Month Libor (1.00%) +</w:t>
            </w:r>
          </w:p>
        </w:tc>
        <w:tc>
          <w:tcPr>
            <w:tcW w:w="7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80" w:type="dxa"/>
            <w:vAlign w:val="bottom"/>
            <w:vMerge w:val="restart"/>
            <w:shd w:val="clear" w:color="auto" w:fill="CCEEFF"/>
          </w:tcPr>
          <w:p>
            <w:pPr>
              <w:ind w:left="100"/>
              <w:spacing w:after="0" w:line="141" w:lineRule="exact"/>
              <w:rPr>
                <w:sz w:val="20"/>
                <w:szCs w:val="20"/>
                <w:color w:val="auto"/>
              </w:rPr>
            </w:pPr>
            <w:r>
              <w:rPr>
                <w:rFonts w:ascii="Arial" w:cs="Arial" w:eastAsia="Arial" w:hAnsi="Arial"/>
                <w:sz w:val="14"/>
                <w:szCs w:val="14"/>
                <w:color w:val="auto"/>
              </w:rPr>
              <w:t>60606</w:t>
            </w:r>
          </w:p>
        </w:tc>
        <w:tc>
          <w:tcPr>
            <w:tcW w:w="2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480" w:type="dxa"/>
            <w:vAlign w:val="bottom"/>
            <w:gridSpan w:val="3"/>
            <w:vMerge w:val="continue"/>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480" w:type="dxa"/>
            <w:vAlign w:val="bottom"/>
            <w:gridSpan w:val="3"/>
            <w:vMerge w:val="restart"/>
            <w:shd w:val="clear" w:color="auto" w:fill="CCEEFF"/>
          </w:tcPr>
          <w:p>
            <w:pPr>
              <w:ind w:left="100"/>
              <w:spacing w:after="0"/>
              <w:rPr>
                <w:sz w:val="20"/>
                <w:szCs w:val="20"/>
                <w:color w:val="auto"/>
              </w:rPr>
            </w:pPr>
            <w:r>
              <w:rPr>
                <w:rFonts w:ascii="Arial" w:cs="Arial" w:eastAsia="Arial" w:hAnsi="Arial"/>
                <w:sz w:val="14"/>
                <w:szCs w:val="14"/>
                <w:color w:val="auto"/>
              </w:rPr>
              <w:t>5.75%; Libor Floor 1.00%, Due 7/27</w:t>
            </w:r>
          </w:p>
        </w:tc>
        <w:tc>
          <w:tcPr>
            <w:tcW w:w="7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4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Services: Business</w:t>
            </w:r>
          </w:p>
        </w:tc>
        <w:tc>
          <w:tcPr>
            <w:tcW w:w="800" w:type="dxa"/>
            <w:vAlign w:val="bottom"/>
            <w:shd w:val="clear" w:color="auto" w:fill="CCEEFF"/>
          </w:tcPr>
          <w:p>
            <w:pPr>
              <w:spacing w:after="0"/>
              <w:rPr>
                <w:sz w:val="9"/>
                <w:szCs w:val="9"/>
                <w:color w:val="auto"/>
              </w:rPr>
            </w:pPr>
          </w:p>
        </w:tc>
        <w:tc>
          <w:tcPr>
            <w:tcW w:w="2480" w:type="dxa"/>
            <w:vAlign w:val="bottom"/>
            <w:gridSpan w:val="3"/>
            <w:vMerge w:val="continue"/>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7/2/2021</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6"/>
              </w:rPr>
              <w:t>15,000,000</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14,712,460</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14,700,000</w:t>
            </w:r>
          </w:p>
        </w:tc>
        <w:tc>
          <w:tcPr>
            <w:tcW w:w="14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140" w:type="dxa"/>
            <w:vAlign w:val="bottom"/>
            <w:gridSpan w:val="2"/>
            <w:vMerge w:val="continue"/>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6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160" w:type="dxa"/>
            <w:vAlign w:val="bottom"/>
            <w:gridSpan w:val="3"/>
          </w:tcPr>
          <w:p>
            <w:pPr>
              <w:spacing w:after="0"/>
              <w:rPr>
                <w:sz w:val="20"/>
                <w:szCs w:val="20"/>
                <w:color w:val="auto"/>
              </w:rPr>
            </w:pPr>
            <w:r>
              <w:rPr>
                <w:rFonts w:ascii="Arial" w:cs="Arial" w:eastAsia="Arial" w:hAnsi="Arial"/>
                <w:sz w:val="14"/>
                <w:szCs w:val="14"/>
                <w:color w:val="auto"/>
              </w:rPr>
              <w:t>H-CA II, LLC</w:t>
            </w:r>
          </w:p>
        </w:tc>
        <w:tc>
          <w:tcPr>
            <w:tcW w:w="800" w:type="dxa"/>
            <w:vAlign w:val="bottom"/>
          </w:tcPr>
          <w:p>
            <w:pPr>
              <w:ind w:left="60"/>
              <w:spacing w:after="0"/>
              <w:rPr>
                <w:sz w:val="20"/>
                <w:szCs w:val="20"/>
                <w:color w:val="auto"/>
              </w:rPr>
            </w:pPr>
            <w:r>
              <w:rPr>
                <w:rFonts w:ascii="Arial" w:cs="Arial" w:eastAsia="Arial" w:hAnsi="Arial"/>
                <w:sz w:val="12"/>
                <w:szCs w:val="12"/>
                <w:color w:val="auto"/>
              </w:rPr>
              <w:t>(8)(13)</w:t>
            </w:r>
          </w:p>
        </w:tc>
        <w:tc>
          <w:tcPr>
            <w:tcW w:w="2480" w:type="dxa"/>
            <w:vAlign w:val="bottom"/>
            <w:gridSpan w:val="3"/>
            <w:vMerge w:val="restart"/>
          </w:tcPr>
          <w:p>
            <w:pPr>
              <w:ind w:left="100"/>
              <w:spacing w:after="0"/>
              <w:rPr>
                <w:sz w:val="20"/>
                <w:szCs w:val="20"/>
                <w:color w:val="auto"/>
              </w:rPr>
            </w:pPr>
            <w:r>
              <w:rPr>
                <w:rFonts w:ascii="Arial" w:cs="Arial" w:eastAsia="Arial" w:hAnsi="Arial"/>
                <w:sz w:val="14"/>
                <w:szCs w:val="14"/>
                <w:color w:val="auto"/>
              </w:rPr>
              <w:t>Senior Secured Loan — Term Loan</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3160" w:type="dxa"/>
            <w:vAlign w:val="bottom"/>
            <w:gridSpan w:val="3"/>
            <w:vMerge w:val="restart"/>
          </w:tcPr>
          <w:p>
            <w:pPr>
              <w:spacing w:after="0" w:line="141" w:lineRule="exact"/>
              <w:rPr>
                <w:sz w:val="20"/>
                <w:szCs w:val="20"/>
                <w:color w:val="auto"/>
              </w:rPr>
            </w:pPr>
            <w:r>
              <w:rPr>
                <w:rFonts w:ascii="Arial" w:cs="Arial" w:eastAsia="Arial" w:hAnsi="Arial"/>
                <w:sz w:val="14"/>
                <w:szCs w:val="14"/>
                <w:color w:val="auto"/>
              </w:rPr>
              <w:t>P.O. Box 4980 Caguas, PR 00726</w:t>
            </w:r>
          </w:p>
        </w:tc>
        <w:tc>
          <w:tcPr>
            <w:tcW w:w="800" w:type="dxa"/>
            <w:vAlign w:val="bottom"/>
          </w:tcPr>
          <w:p>
            <w:pPr>
              <w:spacing w:after="0"/>
              <w:rPr>
                <w:sz w:val="6"/>
                <w:szCs w:val="6"/>
                <w:color w:val="auto"/>
              </w:rPr>
            </w:pPr>
          </w:p>
        </w:tc>
        <w:tc>
          <w:tcPr>
            <w:tcW w:w="248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316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2480" w:type="dxa"/>
            <w:vAlign w:val="bottom"/>
            <w:gridSpan w:val="3"/>
            <w:vMerge w:val="restart"/>
          </w:tcPr>
          <w:p>
            <w:pPr>
              <w:ind w:left="100"/>
              <w:spacing w:after="0"/>
              <w:rPr>
                <w:sz w:val="20"/>
                <w:szCs w:val="20"/>
                <w:color w:val="auto"/>
              </w:rPr>
            </w:pPr>
            <w:r>
              <w:rPr>
                <w:rFonts w:ascii="Arial" w:cs="Arial" w:eastAsia="Arial" w:hAnsi="Arial"/>
                <w:sz w:val="14"/>
                <w:szCs w:val="14"/>
                <w:color w:val="auto"/>
              </w:rPr>
              <w:t>19.0% Cash, Due 2/24</w:t>
            </w: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40" w:type="dxa"/>
            <w:vAlign w:val="bottom"/>
            <w:gridSpan w:val="2"/>
            <w:vMerge w:val="restart"/>
          </w:tcPr>
          <w:p>
            <w:pPr>
              <w:ind w:left="240"/>
              <w:spacing w:after="0"/>
              <w:rPr>
                <w:sz w:val="20"/>
                <w:szCs w:val="20"/>
                <w:color w:val="auto"/>
              </w:rPr>
            </w:pPr>
            <w:r>
              <w:rPr>
                <w:rFonts w:ascii="Arial" w:cs="Arial" w:eastAsia="Arial" w:hAnsi="Arial"/>
                <w:sz w:val="14"/>
                <w:szCs w:val="14"/>
                <w:color w:val="auto"/>
              </w:rPr>
              <w:t>Banking, Finance, Insurance &amp; Real Estate</w:t>
            </w:r>
          </w:p>
        </w:tc>
        <w:tc>
          <w:tcPr>
            <w:tcW w:w="80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2/16/2021</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2,000,000</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2,000,000</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2,000,000</w:t>
            </w:r>
          </w:p>
        </w:tc>
        <w:tc>
          <w:tcPr>
            <w:tcW w:w="140" w:type="dxa"/>
            <w:vAlign w:val="bottom"/>
          </w:tcPr>
          <w:p>
            <w:pPr>
              <w:spacing w:after="0"/>
              <w:rPr>
                <w:sz w:val="9"/>
                <w:szCs w:val="9"/>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1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1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HDC/HW Intermediate Holdings, LLC</w:t>
            </w:r>
          </w:p>
        </w:tc>
        <w:tc>
          <w:tcPr>
            <w:tcW w:w="80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(8)(13)(14)</w:t>
            </w:r>
          </w:p>
        </w:tc>
        <w:tc>
          <w:tcPr>
            <w:tcW w:w="2480" w:type="dxa"/>
            <w:vAlign w:val="bottom"/>
            <w:gridSpan w:val="3"/>
            <w:shd w:val="clear" w:color="auto" w:fill="CCEEFF"/>
          </w:tcPr>
          <w:p>
            <w:pPr>
              <w:ind w:left="100"/>
              <w:spacing w:after="0" w:line="123" w:lineRule="exact"/>
              <w:rPr>
                <w:sz w:val="20"/>
                <w:szCs w:val="20"/>
                <w:color w:val="auto"/>
              </w:rPr>
            </w:pPr>
            <w:r>
              <w:rPr>
                <w:rFonts w:ascii="Arial" w:cs="Arial" w:eastAsia="Arial" w:hAnsi="Arial"/>
                <w:sz w:val="14"/>
                <w:szCs w:val="14"/>
                <w:color w:val="auto"/>
              </w:rPr>
              <w:t>Senior Secured Loan — Revolver</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620 Division Street, Elizabeth, NJ 07207</w:t>
            </w:r>
          </w:p>
        </w:tc>
        <w:tc>
          <w:tcPr>
            <w:tcW w:w="80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00"/>
              <w:spacing w:after="0" w:line="141" w:lineRule="exact"/>
              <w:rPr>
                <w:sz w:val="20"/>
                <w:szCs w:val="20"/>
                <w:color w:val="auto"/>
              </w:rPr>
            </w:pPr>
            <w:r>
              <w:rPr>
                <w:rFonts w:ascii="Arial" w:cs="Arial" w:eastAsia="Arial" w:hAnsi="Arial"/>
                <w:sz w:val="14"/>
                <w:szCs w:val="14"/>
                <w:color w:val="auto"/>
              </w:rPr>
              <w:t>8.5% Cash, 3 Month Libor (1.00%) +</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High Tech Industries</w:t>
            </w:r>
          </w:p>
        </w:tc>
        <w:tc>
          <w:tcPr>
            <w:tcW w:w="80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7.50%; Libor Floor 1.00%, Due 12/23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10/28/2020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669,722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588,967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593,977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24"/>
        </w:trPr>
        <w:tc>
          <w:tcPr>
            <w:tcW w:w="3160" w:type="dxa"/>
            <w:vAlign w:val="bottom"/>
            <w:gridSpan w:val="3"/>
          </w:tcPr>
          <w:p>
            <w:pPr>
              <w:spacing w:after="0"/>
              <w:rPr>
                <w:sz w:val="20"/>
                <w:szCs w:val="20"/>
                <w:color w:val="auto"/>
              </w:rPr>
            </w:pPr>
            <w:r>
              <w:rPr>
                <w:rFonts w:ascii="Arial" w:cs="Arial" w:eastAsia="Arial" w:hAnsi="Arial"/>
                <w:sz w:val="14"/>
                <w:szCs w:val="14"/>
                <w:color w:val="auto"/>
              </w:rPr>
              <w:t>HDC/HW Intermediate Holdings, LLC</w:t>
            </w:r>
          </w:p>
        </w:tc>
        <w:tc>
          <w:tcPr>
            <w:tcW w:w="800" w:type="dxa"/>
            <w:vAlign w:val="bottom"/>
          </w:tcPr>
          <w:p>
            <w:pPr>
              <w:ind w:left="60"/>
              <w:spacing w:after="0"/>
              <w:rPr>
                <w:sz w:val="20"/>
                <w:szCs w:val="20"/>
                <w:color w:val="auto"/>
              </w:rPr>
            </w:pPr>
            <w:r>
              <w:rPr>
                <w:rFonts w:ascii="Arial" w:cs="Arial" w:eastAsia="Arial" w:hAnsi="Arial"/>
                <w:sz w:val="12"/>
                <w:szCs w:val="12"/>
                <w:color w:val="auto"/>
              </w:rPr>
              <w:t>(8)(13)(14)</w:t>
            </w:r>
          </w:p>
        </w:tc>
        <w:tc>
          <w:tcPr>
            <w:tcW w:w="2480" w:type="dxa"/>
            <w:vAlign w:val="bottom"/>
            <w:gridSpan w:val="3"/>
          </w:tcPr>
          <w:p>
            <w:pPr>
              <w:ind w:left="100"/>
              <w:spacing w:after="0"/>
              <w:rPr>
                <w:sz w:val="20"/>
                <w:szCs w:val="20"/>
                <w:color w:val="auto"/>
              </w:rPr>
            </w:pPr>
            <w:r>
              <w:rPr>
                <w:rFonts w:ascii="Arial" w:cs="Arial" w:eastAsia="Arial" w:hAnsi="Arial"/>
                <w:sz w:val="14"/>
                <w:szCs w:val="14"/>
                <w:color w:val="auto"/>
                <w:w w:val="95"/>
              </w:rPr>
              <w:t>Senior Secured Loan — First Lien Term</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160" w:type="dxa"/>
            <w:vAlign w:val="bottom"/>
            <w:gridSpan w:val="3"/>
          </w:tcPr>
          <w:p>
            <w:pPr>
              <w:spacing w:after="0" w:line="141" w:lineRule="exact"/>
              <w:rPr>
                <w:sz w:val="20"/>
                <w:szCs w:val="20"/>
                <w:color w:val="auto"/>
              </w:rPr>
            </w:pPr>
            <w:r>
              <w:rPr>
                <w:rFonts w:ascii="Arial" w:cs="Arial" w:eastAsia="Arial" w:hAnsi="Arial"/>
                <w:sz w:val="14"/>
                <w:szCs w:val="14"/>
                <w:color w:val="auto"/>
              </w:rPr>
              <w:t>211 Wacker Dr., Suite 900E Chicago, IL 60606</w:t>
            </w:r>
          </w:p>
        </w:tc>
        <w:tc>
          <w:tcPr>
            <w:tcW w:w="800" w:type="dxa"/>
            <w:vAlign w:val="bottom"/>
          </w:tcPr>
          <w:p>
            <w:pPr>
              <w:spacing w:after="0"/>
              <w:rPr>
                <w:sz w:val="12"/>
                <w:szCs w:val="12"/>
                <w:color w:val="auto"/>
              </w:rPr>
            </w:pPr>
          </w:p>
        </w:tc>
        <w:tc>
          <w:tcPr>
            <w:tcW w:w="2480" w:type="dxa"/>
            <w:vAlign w:val="bottom"/>
            <w:gridSpan w:val="3"/>
          </w:tcPr>
          <w:p>
            <w:pPr>
              <w:ind w:left="100"/>
              <w:spacing w:after="0" w:line="141" w:lineRule="exact"/>
              <w:rPr>
                <w:sz w:val="20"/>
                <w:szCs w:val="20"/>
                <w:color w:val="auto"/>
              </w:rPr>
            </w:pPr>
            <w:r>
              <w:rPr>
                <w:rFonts w:ascii="Arial" w:cs="Arial" w:eastAsia="Arial" w:hAnsi="Arial"/>
                <w:sz w:val="14"/>
                <w:szCs w:val="14"/>
                <w:color w:val="auto"/>
              </w:rPr>
              <w:t>Loan A</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4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High Tech Industries</w:t>
            </w:r>
          </w:p>
        </w:tc>
        <w:tc>
          <w:tcPr>
            <w:tcW w:w="800" w:type="dxa"/>
            <w:vAlign w:val="bottom"/>
          </w:tcPr>
          <w:p>
            <w:pPr>
              <w:spacing w:after="0"/>
              <w:rPr>
                <w:sz w:val="12"/>
                <w:szCs w:val="12"/>
                <w:color w:val="auto"/>
              </w:rPr>
            </w:pPr>
          </w:p>
        </w:tc>
        <w:tc>
          <w:tcPr>
            <w:tcW w:w="2480" w:type="dxa"/>
            <w:vAlign w:val="bottom"/>
            <w:gridSpan w:val="3"/>
          </w:tcPr>
          <w:p>
            <w:pPr>
              <w:ind w:left="100"/>
              <w:spacing w:after="0" w:line="141" w:lineRule="exact"/>
              <w:rPr>
                <w:sz w:val="20"/>
                <w:szCs w:val="20"/>
                <w:color w:val="auto"/>
              </w:rPr>
            </w:pPr>
            <w:r>
              <w:rPr>
                <w:rFonts w:ascii="Arial" w:cs="Arial" w:eastAsia="Arial" w:hAnsi="Arial"/>
                <w:sz w:val="14"/>
                <w:szCs w:val="14"/>
                <w:color w:val="auto"/>
              </w:rPr>
              <w:t>8.5% Cash, 3 Month Libor (1.00%) +</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80" w:type="dxa"/>
            <w:vAlign w:val="bottom"/>
            <w:gridSpan w:val="3"/>
          </w:tcPr>
          <w:p>
            <w:pPr>
              <w:ind w:left="100"/>
              <w:spacing w:after="0"/>
              <w:rPr>
                <w:sz w:val="20"/>
                <w:szCs w:val="20"/>
                <w:color w:val="auto"/>
              </w:rPr>
            </w:pPr>
            <w:r>
              <w:rPr>
                <w:rFonts w:ascii="Arial" w:cs="Arial" w:eastAsia="Arial" w:hAnsi="Arial"/>
                <w:sz w:val="14"/>
                <w:szCs w:val="14"/>
                <w:color w:val="auto"/>
              </w:rPr>
              <w:t>7.50%; Libor Floor 1.00%, Due 12/23</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10/28/2020</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6,546,535</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5,757,168</w:t>
            </w:r>
          </w:p>
        </w:tc>
        <w:tc>
          <w:tcPr>
            <w:tcW w:w="720" w:type="dxa"/>
            <w:vAlign w:val="bottom"/>
          </w:tcPr>
          <w:p>
            <w:pPr>
              <w:jc w:val="right"/>
              <w:spacing w:after="0"/>
              <w:rPr>
                <w:sz w:val="20"/>
                <w:szCs w:val="20"/>
                <w:color w:val="auto"/>
              </w:rPr>
            </w:pPr>
            <w:r>
              <w:rPr>
                <w:rFonts w:ascii="Arial" w:cs="Arial" w:eastAsia="Arial" w:hAnsi="Arial"/>
                <w:sz w:val="14"/>
                <w:szCs w:val="14"/>
                <w:color w:val="auto"/>
              </w:rPr>
              <w:t>5,806,122</w:t>
            </w:r>
          </w:p>
        </w:tc>
        <w:tc>
          <w:tcPr>
            <w:tcW w:w="14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1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Helix Acquisition Holdings, Inc.</w:t>
            </w:r>
          </w:p>
        </w:tc>
        <w:tc>
          <w:tcPr>
            <w:tcW w:w="80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(8)(14)</w:t>
            </w:r>
          </w:p>
        </w:tc>
        <w:tc>
          <w:tcPr>
            <w:tcW w:w="2480" w:type="dxa"/>
            <w:vAlign w:val="bottom"/>
            <w:gridSpan w:val="3"/>
            <w:shd w:val="clear" w:color="auto" w:fill="CCEEFF"/>
          </w:tcPr>
          <w:p>
            <w:pPr>
              <w:ind w:left="100"/>
              <w:spacing w:after="0" w:line="123" w:lineRule="exact"/>
              <w:rPr>
                <w:sz w:val="20"/>
                <w:szCs w:val="20"/>
                <w:color w:val="auto"/>
              </w:rPr>
            </w:pPr>
            <w:r>
              <w:rPr>
                <w:rFonts w:ascii="Arial" w:cs="Arial" w:eastAsia="Arial" w:hAnsi="Arial"/>
                <w:sz w:val="14"/>
                <w:szCs w:val="14"/>
                <w:color w:val="auto"/>
              </w:rPr>
              <w:t>Junior Secured Loan — Initial Term</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211 Wacker Dr., Suite 900E Chicago, IL 60606</w:t>
            </w:r>
          </w:p>
        </w:tc>
        <w:tc>
          <w:tcPr>
            <w:tcW w:w="80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00"/>
              <w:spacing w:after="0" w:line="141" w:lineRule="exact"/>
              <w:rPr>
                <w:sz w:val="20"/>
                <w:szCs w:val="20"/>
                <w:color w:val="auto"/>
              </w:rPr>
            </w:pPr>
            <w:r>
              <w:rPr>
                <w:rFonts w:ascii="Arial" w:cs="Arial" w:eastAsia="Arial" w:hAnsi="Arial"/>
                <w:sz w:val="14"/>
                <w:szCs w:val="14"/>
                <w:color w:val="auto"/>
              </w:rPr>
              <w:t>Loan (Second Lien)</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4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Metals &amp; Mining</w:t>
            </w:r>
          </w:p>
        </w:tc>
        <w:tc>
          <w:tcPr>
            <w:tcW w:w="80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00"/>
              <w:spacing w:after="0" w:line="141" w:lineRule="exact"/>
              <w:rPr>
                <w:sz w:val="20"/>
                <w:szCs w:val="20"/>
                <w:color w:val="auto"/>
              </w:rPr>
            </w:pPr>
            <w:r>
              <w:rPr>
                <w:rFonts w:ascii="Arial" w:cs="Arial" w:eastAsia="Arial" w:hAnsi="Arial"/>
                <w:sz w:val="14"/>
                <w:szCs w:val="14"/>
                <w:color w:val="auto"/>
              </w:rPr>
              <w:t>8.1% Cash, 3 Month Libor (0.13%) +</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8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8.00%, Due 9/25</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12/18/2019</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1,400,000</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1,247,689</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1,360,191</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4"/>
        </w:trPr>
        <w:tc>
          <w:tcPr>
            <w:tcW w:w="3160" w:type="dxa"/>
            <w:vAlign w:val="bottom"/>
            <w:gridSpan w:val="3"/>
          </w:tcPr>
          <w:p>
            <w:pPr>
              <w:spacing w:after="0"/>
              <w:rPr>
                <w:sz w:val="20"/>
                <w:szCs w:val="20"/>
                <w:color w:val="auto"/>
              </w:rPr>
            </w:pPr>
            <w:r>
              <w:rPr>
                <w:rFonts w:ascii="Arial" w:cs="Arial" w:eastAsia="Arial" w:hAnsi="Arial"/>
                <w:sz w:val="14"/>
                <w:szCs w:val="14"/>
                <w:color w:val="auto"/>
              </w:rPr>
              <w:t>Hoffmaster Group, Inc.</w:t>
            </w:r>
          </w:p>
        </w:tc>
        <w:tc>
          <w:tcPr>
            <w:tcW w:w="800" w:type="dxa"/>
            <w:vAlign w:val="bottom"/>
          </w:tcPr>
          <w:p>
            <w:pPr>
              <w:ind w:left="60"/>
              <w:spacing w:after="0"/>
              <w:rPr>
                <w:sz w:val="20"/>
                <w:szCs w:val="20"/>
                <w:color w:val="auto"/>
              </w:rPr>
            </w:pPr>
            <w:r>
              <w:rPr>
                <w:rFonts w:ascii="Arial" w:cs="Arial" w:eastAsia="Arial" w:hAnsi="Arial"/>
                <w:sz w:val="12"/>
                <w:szCs w:val="12"/>
                <w:color w:val="auto"/>
              </w:rPr>
              <w:t>(8)(13)(14)</w:t>
            </w:r>
          </w:p>
        </w:tc>
        <w:tc>
          <w:tcPr>
            <w:tcW w:w="2480" w:type="dxa"/>
            <w:vAlign w:val="bottom"/>
            <w:gridSpan w:val="3"/>
          </w:tcPr>
          <w:p>
            <w:pPr>
              <w:ind w:left="100"/>
              <w:spacing w:after="0"/>
              <w:rPr>
                <w:sz w:val="20"/>
                <w:szCs w:val="20"/>
                <w:color w:val="auto"/>
              </w:rPr>
            </w:pPr>
            <w:r>
              <w:rPr>
                <w:rFonts w:ascii="Arial" w:cs="Arial" w:eastAsia="Arial" w:hAnsi="Arial"/>
                <w:sz w:val="14"/>
                <w:szCs w:val="14"/>
                <w:color w:val="auto"/>
              </w:rPr>
              <w:t>Junior Secured Loan — Initial Term</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160" w:type="dxa"/>
            <w:vAlign w:val="bottom"/>
            <w:gridSpan w:val="3"/>
          </w:tcPr>
          <w:p>
            <w:pPr>
              <w:spacing w:after="0" w:line="141" w:lineRule="exact"/>
              <w:rPr>
                <w:sz w:val="20"/>
                <w:szCs w:val="20"/>
                <w:color w:val="auto"/>
              </w:rPr>
            </w:pPr>
            <w:r>
              <w:rPr>
                <w:rFonts w:ascii="Arial" w:cs="Arial" w:eastAsia="Arial" w:hAnsi="Arial"/>
                <w:sz w:val="14"/>
                <w:szCs w:val="14"/>
                <w:color w:val="auto"/>
                <w:w w:val="94"/>
              </w:rPr>
              <w:t>9501 Technology Boulevard, Suite 401, Rosemont, IL</w:t>
            </w:r>
          </w:p>
        </w:tc>
        <w:tc>
          <w:tcPr>
            <w:tcW w:w="800" w:type="dxa"/>
            <w:vAlign w:val="bottom"/>
          </w:tcPr>
          <w:p>
            <w:pPr>
              <w:spacing w:after="0"/>
              <w:rPr>
                <w:sz w:val="12"/>
                <w:szCs w:val="12"/>
                <w:color w:val="auto"/>
              </w:rPr>
            </w:pPr>
          </w:p>
        </w:tc>
        <w:tc>
          <w:tcPr>
            <w:tcW w:w="2480" w:type="dxa"/>
            <w:vAlign w:val="bottom"/>
            <w:gridSpan w:val="3"/>
          </w:tcPr>
          <w:p>
            <w:pPr>
              <w:ind w:left="100"/>
              <w:spacing w:after="0" w:line="141" w:lineRule="exact"/>
              <w:rPr>
                <w:sz w:val="20"/>
                <w:szCs w:val="20"/>
                <w:color w:val="auto"/>
              </w:rPr>
            </w:pPr>
            <w:r>
              <w:rPr>
                <w:rFonts w:ascii="Arial" w:cs="Arial" w:eastAsia="Arial" w:hAnsi="Arial"/>
                <w:sz w:val="14"/>
                <w:szCs w:val="14"/>
                <w:color w:val="auto"/>
              </w:rPr>
              <w:t>Loan (Second Lien)</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0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60018</w:t>
            </w:r>
          </w:p>
        </w:tc>
        <w:tc>
          <w:tcPr>
            <w:tcW w:w="2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80" w:type="dxa"/>
            <w:vAlign w:val="bottom"/>
            <w:gridSpan w:val="3"/>
          </w:tcPr>
          <w:p>
            <w:pPr>
              <w:ind w:left="100"/>
              <w:spacing w:after="0" w:line="141" w:lineRule="exact"/>
              <w:rPr>
                <w:sz w:val="20"/>
                <w:szCs w:val="20"/>
                <w:color w:val="auto"/>
              </w:rPr>
            </w:pPr>
            <w:r>
              <w:rPr>
                <w:rFonts w:ascii="Arial" w:cs="Arial" w:eastAsia="Arial" w:hAnsi="Arial"/>
                <w:sz w:val="14"/>
                <w:szCs w:val="14"/>
                <w:color w:val="auto"/>
              </w:rPr>
              <w:t>10.5% Cash, 3 Month Libor (1.00%) +</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gridSpan w:val="2"/>
          </w:tcPr>
          <w:p>
            <w:pPr>
              <w:ind w:left="240"/>
              <w:spacing w:after="0"/>
              <w:rPr>
                <w:sz w:val="20"/>
                <w:szCs w:val="20"/>
                <w:color w:val="auto"/>
              </w:rPr>
            </w:pPr>
            <w:r>
              <w:rPr>
                <w:rFonts w:ascii="Arial" w:cs="Arial" w:eastAsia="Arial" w:hAnsi="Arial"/>
                <w:sz w:val="14"/>
                <w:szCs w:val="14"/>
                <w:color w:val="auto"/>
              </w:rPr>
              <w:t>Forest Products &amp; Paper</w:t>
            </w:r>
          </w:p>
        </w:tc>
        <w:tc>
          <w:tcPr>
            <w:tcW w:w="800" w:type="dxa"/>
            <w:vAlign w:val="bottom"/>
          </w:tcPr>
          <w:p>
            <w:pPr>
              <w:spacing w:after="0"/>
              <w:rPr>
                <w:sz w:val="16"/>
                <w:szCs w:val="16"/>
                <w:color w:val="auto"/>
              </w:rPr>
            </w:pPr>
          </w:p>
        </w:tc>
        <w:tc>
          <w:tcPr>
            <w:tcW w:w="2480" w:type="dxa"/>
            <w:vAlign w:val="bottom"/>
            <w:gridSpan w:val="3"/>
          </w:tcPr>
          <w:p>
            <w:pPr>
              <w:ind w:left="100"/>
              <w:spacing w:after="0"/>
              <w:rPr>
                <w:sz w:val="20"/>
                <w:szCs w:val="20"/>
                <w:color w:val="auto"/>
              </w:rPr>
            </w:pPr>
            <w:r>
              <w:rPr>
                <w:rFonts w:ascii="Arial" w:cs="Arial" w:eastAsia="Arial" w:hAnsi="Arial"/>
                <w:sz w:val="14"/>
                <w:szCs w:val="14"/>
                <w:color w:val="auto"/>
              </w:rPr>
              <w:t>9.50%; Libor Floor 1.00%, Due 11/24</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5/6/2014</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1,600,000</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1,581,127</w:t>
            </w:r>
          </w:p>
        </w:tc>
        <w:tc>
          <w:tcPr>
            <w:tcW w:w="720" w:type="dxa"/>
            <w:vAlign w:val="bottom"/>
          </w:tcPr>
          <w:p>
            <w:pPr>
              <w:jc w:val="right"/>
              <w:spacing w:after="0"/>
              <w:rPr>
                <w:sz w:val="20"/>
                <w:szCs w:val="20"/>
                <w:color w:val="auto"/>
              </w:rPr>
            </w:pPr>
            <w:r>
              <w:rPr>
                <w:rFonts w:ascii="Arial" w:cs="Arial" w:eastAsia="Arial" w:hAnsi="Arial"/>
                <w:sz w:val="14"/>
                <w:szCs w:val="14"/>
                <w:color w:val="auto"/>
              </w:rPr>
              <w:t>1,358,240</w:t>
            </w:r>
          </w:p>
        </w:tc>
        <w:tc>
          <w:tcPr>
            <w:tcW w:w="14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1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Idera, Inc.</w:t>
            </w:r>
          </w:p>
        </w:tc>
        <w:tc>
          <w:tcPr>
            <w:tcW w:w="80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(8)(13)(14)</w:t>
            </w:r>
          </w:p>
        </w:tc>
        <w:tc>
          <w:tcPr>
            <w:tcW w:w="2480" w:type="dxa"/>
            <w:vAlign w:val="bottom"/>
            <w:gridSpan w:val="3"/>
            <w:shd w:val="clear" w:color="auto" w:fill="CCEEFF"/>
          </w:tcPr>
          <w:p>
            <w:pPr>
              <w:ind w:left="100"/>
              <w:spacing w:after="0" w:line="123" w:lineRule="exact"/>
              <w:rPr>
                <w:sz w:val="20"/>
                <w:szCs w:val="20"/>
                <w:color w:val="auto"/>
              </w:rPr>
            </w:pPr>
            <w:r>
              <w:rPr>
                <w:rFonts w:ascii="Arial" w:cs="Arial" w:eastAsia="Arial" w:hAnsi="Arial"/>
                <w:sz w:val="14"/>
                <w:szCs w:val="14"/>
                <w:color w:val="auto"/>
              </w:rPr>
              <w:t>Junior Secured Loan — Term Loan</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89"/>
              </w:rPr>
              <w:t>2950 North Loop Freeway West, Suite 700, Houston, TX</w:t>
            </w:r>
          </w:p>
        </w:tc>
        <w:tc>
          <w:tcPr>
            <w:tcW w:w="80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00"/>
              <w:spacing w:after="0" w:line="141" w:lineRule="exact"/>
              <w:rPr>
                <w:sz w:val="20"/>
                <w:szCs w:val="20"/>
                <w:color w:val="auto"/>
              </w:rPr>
            </w:pPr>
            <w:r>
              <w:rPr>
                <w:rFonts w:ascii="Arial" w:cs="Arial" w:eastAsia="Arial" w:hAnsi="Arial"/>
                <w:sz w:val="14"/>
                <w:szCs w:val="14"/>
                <w:color w:val="auto"/>
              </w:rPr>
              <w:t>(Second Lien)</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80" w:type="dxa"/>
            <w:vAlign w:val="bottom"/>
            <w:shd w:val="clear" w:color="auto" w:fill="CCEEFF"/>
          </w:tcPr>
          <w:p>
            <w:pPr>
              <w:ind w:left="100"/>
              <w:spacing w:after="0" w:line="141" w:lineRule="exact"/>
              <w:rPr>
                <w:sz w:val="20"/>
                <w:szCs w:val="20"/>
                <w:color w:val="auto"/>
              </w:rPr>
            </w:pPr>
            <w:r>
              <w:rPr>
                <w:rFonts w:ascii="Arial" w:cs="Arial" w:eastAsia="Arial" w:hAnsi="Arial"/>
                <w:sz w:val="14"/>
                <w:szCs w:val="14"/>
                <w:color w:val="auto"/>
              </w:rPr>
              <w:t>77042</w:t>
            </w:r>
          </w:p>
        </w:tc>
        <w:tc>
          <w:tcPr>
            <w:tcW w:w="2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00"/>
              <w:spacing w:after="0" w:line="141" w:lineRule="exact"/>
              <w:rPr>
                <w:sz w:val="20"/>
                <w:szCs w:val="20"/>
                <w:color w:val="auto"/>
              </w:rPr>
            </w:pPr>
            <w:r>
              <w:rPr>
                <w:rFonts w:ascii="Arial" w:cs="Arial" w:eastAsia="Arial" w:hAnsi="Arial"/>
                <w:sz w:val="14"/>
                <w:szCs w:val="14"/>
                <w:color w:val="auto"/>
              </w:rPr>
              <w:t>7.5% Cash, 6 Month Libor (0.75%) +</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High Tech Industries</w:t>
            </w:r>
          </w:p>
        </w:tc>
        <w:tc>
          <w:tcPr>
            <w:tcW w:w="80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6.75%; Libor Floor 0.75%, Due 2/29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4/29/2021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6,000,000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5,942,874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6,048,600</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24"/>
        </w:trPr>
        <w:tc>
          <w:tcPr>
            <w:tcW w:w="3160" w:type="dxa"/>
            <w:vAlign w:val="bottom"/>
            <w:gridSpan w:val="3"/>
          </w:tcPr>
          <w:p>
            <w:pPr>
              <w:spacing w:after="0"/>
              <w:rPr>
                <w:sz w:val="20"/>
                <w:szCs w:val="20"/>
                <w:color w:val="auto"/>
              </w:rPr>
            </w:pPr>
            <w:r>
              <w:rPr>
                <w:rFonts w:ascii="Arial" w:cs="Arial" w:eastAsia="Arial" w:hAnsi="Arial"/>
                <w:sz w:val="14"/>
                <w:szCs w:val="14"/>
                <w:color w:val="auto"/>
              </w:rPr>
              <w:t>Infobase Holdings, Inc.</w:t>
            </w:r>
          </w:p>
        </w:tc>
        <w:tc>
          <w:tcPr>
            <w:tcW w:w="800" w:type="dxa"/>
            <w:vAlign w:val="bottom"/>
          </w:tcPr>
          <w:p>
            <w:pPr>
              <w:ind w:left="60"/>
              <w:spacing w:after="0"/>
              <w:rPr>
                <w:sz w:val="20"/>
                <w:szCs w:val="20"/>
                <w:color w:val="auto"/>
              </w:rPr>
            </w:pPr>
            <w:r>
              <w:rPr>
                <w:rFonts w:ascii="Arial" w:cs="Arial" w:eastAsia="Arial" w:hAnsi="Arial"/>
                <w:sz w:val="12"/>
                <w:szCs w:val="12"/>
                <w:color w:val="auto"/>
              </w:rPr>
              <w:t>(8)(13)(14)</w:t>
            </w:r>
          </w:p>
        </w:tc>
        <w:tc>
          <w:tcPr>
            <w:tcW w:w="2480" w:type="dxa"/>
            <w:vAlign w:val="bottom"/>
            <w:gridSpan w:val="3"/>
          </w:tcPr>
          <w:p>
            <w:pPr>
              <w:ind w:left="100"/>
              <w:spacing w:after="0"/>
              <w:rPr>
                <w:sz w:val="20"/>
                <w:szCs w:val="20"/>
                <w:color w:val="auto"/>
              </w:rPr>
            </w:pPr>
            <w:r>
              <w:rPr>
                <w:rFonts w:ascii="Arial" w:cs="Arial" w:eastAsia="Arial" w:hAnsi="Arial"/>
                <w:sz w:val="14"/>
                <w:szCs w:val="14"/>
                <w:color w:val="auto"/>
              </w:rPr>
              <w:t>Senior Secured Loan — Term Loan</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160" w:type="dxa"/>
            <w:vAlign w:val="bottom"/>
            <w:gridSpan w:val="3"/>
          </w:tcPr>
          <w:p>
            <w:pPr>
              <w:spacing w:after="0" w:line="141" w:lineRule="exact"/>
              <w:rPr>
                <w:sz w:val="20"/>
                <w:szCs w:val="20"/>
                <w:color w:val="auto"/>
              </w:rPr>
            </w:pPr>
            <w:r>
              <w:rPr>
                <w:rFonts w:ascii="Arial" w:cs="Arial" w:eastAsia="Arial" w:hAnsi="Arial"/>
                <w:sz w:val="14"/>
                <w:szCs w:val="14"/>
                <w:color w:val="auto"/>
              </w:rPr>
              <w:t>1801 Russellville Rd. Bowling Green, KY 42101</w:t>
            </w:r>
          </w:p>
        </w:tc>
        <w:tc>
          <w:tcPr>
            <w:tcW w:w="800" w:type="dxa"/>
            <w:vAlign w:val="bottom"/>
          </w:tcPr>
          <w:p>
            <w:pPr>
              <w:spacing w:after="0"/>
              <w:rPr>
                <w:sz w:val="12"/>
                <w:szCs w:val="12"/>
                <w:color w:val="auto"/>
              </w:rPr>
            </w:pPr>
          </w:p>
        </w:tc>
        <w:tc>
          <w:tcPr>
            <w:tcW w:w="2480" w:type="dxa"/>
            <w:vAlign w:val="bottom"/>
            <w:gridSpan w:val="3"/>
          </w:tcPr>
          <w:p>
            <w:pPr>
              <w:ind w:left="100"/>
              <w:spacing w:after="0" w:line="141" w:lineRule="exact"/>
              <w:rPr>
                <w:sz w:val="20"/>
                <w:szCs w:val="20"/>
                <w:color w:val="auto"/>
              </w:rPr>
            </w:pPr>
            <w:r>
              <w:rPr>
                <w:rFonts w:ascii="Arial" w:cs="Arial" w:eastAsia="Arial" w:hAnsi="Arial"/>
                <w:sz w:val="14"/>
                <w:szCs w:val="14"/>
                <w:color w:val="auto"/>
              </w:rPr>
              <w:t>5.5% Cash, 3 Month Libor (1.00%) +</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gridSpan w:val="2"/>
          </w:tcPr>
          <w:p>
            <w:pPr>
              <w:ind w:left="240"/>
              <w:spacing w:after="0"/>
              <w:rPr>
                <w:sz w:val="20"/>
                <w:szCs w:val="20"/>
                <w:color w:val="auto"/>
              </w:rPr>
            </w:pPr>
            <w:r>
              <w:rPr>
                <w:rFonts w:ascii="Arial" w:cs="Arial" w:eastAsia="Arial" w:hAnsi="Arial"/>
                <w:sz w:val="14"/>
                <w:szCs w:val="14"/>
                <w:color w:val="auto"/>
              </w:rPr>
              <w:t>High Tech Industries</w:t>
            </w:r>
          </w:p>
        </w:tc>
        <w:tc>
          <w:tcPr>
            <w:tcW w:w="800" w:type="dxa"/>
            <w:vAlign w:val="bottom"/>
          </w:tcPr>
          <w:p>
            <w:pPr>
              <w:spacing w:after="0"/>
              <w:rPr>
                <w:sz w:val="16"/>
                <w:szCs w:val="16"/>
                <w:color w:val="auto"/>
              </w:rPr>
            </w:pPr>
          </w:p>
        </w:tc>
        <w:tc>
          <w:tcPr>
            <w:tcW w:w="2480" w:type="dxa"/>
            <w:vAlign w:val="bottom"/>
            <w:gridSpan w:val="3"/>
          </w:tcPr>
          <w:p>
            <w:pPr>
              <w:ind w:left="100"/>
              <w:spacing w:after="0"/>
              <w:rPr>
                <w:sz w:val="20"/>
                <w:szCs w:val="20"/>
                <w:color w:val="auto"/>
              </w:rPr>
            </w:pPr>
            <w:r>
              <w:rPr>
                <w:rFonts w:ascii="Arial" w:cs="Arial" w:eastAsia="Arial" w:hAnsi="Arial"/>
                <w:sz w:val="14"/>
                <w:szCs w:val="14"/>
                <w:color w:val="auto"/>
              </w:rPr>
              <w:t>4.50%; Libor Floor 1.00%, Due 12/22</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12/13/2017</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1,812,500</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1,807,555</w:t>
            </w:r>
          </w:p>
        </w:tc>
        <w:tc>
          <w:tcPr>
            <w:tcW w:w="720" w:type="dxa"/>
            <w:vAlign w:val="bottom"/>
          </w:tcPr>
          <w:p>
            <w:pPr>
              <w:jc w:val="right"/>
              <w:spacing w:after="0"/>
              <w:rPr>
                <w:sz w:val="20"/>
                <w:szCs w:val="20"/>
                <w:color w:val="auto"/>
              </w:rPr>
            </w:pPr>
            <w:r>
              <w:rPr>
                <w:rFonts w:ascii="Arial" w:cs="Arial" w:eastAsia="Arial" w:hAnsi="Arial"/>
                <w:sz w:val="14"/>
                <w:szCs w:val="14"/>
                <w:color w:val="auto"/>
              </w:rPr>
              <w:t>1,812,500</w:t>
            </w:r>
          </w:p>
        </w:tc>
        <w:tc>
          <w:tcPr>
            <w:tcW w:w="14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1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Infobase Holdings, Inc.</w:t>
            </w:r>
          </w:p>
        </w:tc>
        <w:tc>
          <w:tcPr>
            <w:tcW w:w="80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(8)(13)(14)</w:t>
            </w:r>
          </w:p>
        </w:tc>
        <w:tc>
          <w:tcPr>
            <w:tcW w:w="2480" w:type="dxa"/>
            <w:vAlign w:val="bottom"/>
            <w:gridSpan w:val="3"/>
            <w:shd w:val="clear" w:color="auto" w:fill="CCEEFF"/>
          </w:tcPr>
          <w:p>
            <w:pPr>
              <w:ind w:left="100"/>
              <w:spacing w:after="0" w:line="123" w:lineRule="exact"/>
              <w:rPr>
                <w:sz w:val="20"/>
                <w:szCs w:val="20"/>
                <w:color w:val="auto"/>
              </w:rPr>
            </w:pPr>
            <w:r>
              <w:rPr>
                <w:rFonts w:ascii="Arial" w:cs="Arial" w:eastAsia="Arial" w:hAnsi="Arial"/>
                <w:sz w:val="14"/>
                <w:szCs w:val="14"/>
                <w:color w:val="auto"/>
                <w:w w:val="93"/>
              </w:rPr>
              <w:t>Senior Secured Loan — Term Loan (add</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0"/>
              </w:rPr>
              <w:t>2950 North Loop Freeway West Suite 700, Houston, TX</w:t>
            </w:r>
          </w:p>
        </w:tc>
        <w:tc>
          <w:tcPr>
            <w:tcW w:w="80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00"/>
              <w:spacing w:after="0" w:line="141" w:lineRule="exact"/>
              <w:rPr>
                <w:sz w:val="20"/>
                <w:szCs w:val="20"/>
                <w:color w:val="auto"/>
              </w:rPr>
            </w:pPr>
            <w:r>
              <w:rPr>
                <w:rFonts w:ascii="Arial" w:cs="Arial" w:eastAsia="Arial" w:hAnsi="Arial"/>
                <w:sz w:val="14"/>
                <w:szCs w:val="14"/>
                <w:color w:val="auto"/>
              </w:rPr>
              <w:t>on)</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80" w:type="dxa"/>
            <w:vAlign w:val="bottom"/>
            <w:shd w:val="clear" w:color="auto" w:fill="CCEEFF"/>
          </w:tcPr>
          <w:p>
            <w:pPr>
              <w:ind w:left="100"/>
              <w:spacing w:after="0" w:line="141" w:lineRule="exact"/>
              <w:rPr>
                <w:sz w:val="20"/>
                <w:szCs w:val="20"/>
                <w:color w:val="auto"/>
              </w:rPr>
            </w:pPr>
            <w:r>
              <w:rPr>
                <w:rFonts w:ascii="Arial" w:cs="Arial" w:eastAsia="Arial" w:hAnsi="Arial"/>
                <w:sz w:val="14"/>
                <w:szCs w:val="14"/>
                <w:color w:val="auto"/>
              </w:rPr>
              <w:t>77042</w:t>
            </w:r>
          </w:p>
        </w:tc>
        <w:tc>
          <w:tcPr>
            <w:tcW w:w="2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00"/>
              <w:spacing w:after="0" w:line="141" w:lineRule="exact"/>
              <w:rPr>
                <w:sz w:val="20"/>
                <w:szCs w:val="20"/>
                <w:color w:val="auto"/>
              </w:rPr>
            </w:pPr>
            <w:r>
              <w:rPr>
                <w:rFonts w:ascii="Arial" w:cs="Arial" w:eastAsia="Arial" w:hAnsi="Arial"/>
                <w:sz w:val="14"/>
                <w:szCs w:val="14"/>
                <w:color w:val="auto"/>
              </w:rPr>
              <w:t>5.5% Cash, 3 Month Libor (1.00%) +</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High Tech Industries</w:t>
            </w:r>
          </w:p>
        </w:tc>
        <w:tc>
          <w:tcPr>
            <w:tcW w:w="80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4.50%; Libor Floor 1.00%, Due 12/22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12/13/2017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1,921,615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1,916,372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1,921,615</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840"/>
          </w:cols>
          <w:pgMar w:left="320" w:top="443" w:right="7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28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Portfolio Company /</w:t>
            </w:r>
          </w:p>
        </w:tc>
        <w:tc>
          <w:tcPr>
            <w:tcW w:w="1240" w:type="dxa"/>
            <w:vAlign w:val="bottom"/>
          </w:tcPr>
          <w:p>
            <w:pPr>
              <w:spacing w:after="0"/>
              <w:rPr>
                <w:sz w:val="13"/>
                <w:szCs w:val="13"/>
                <w:color w:val="auto"/>
              </w:rPr>
            </w:pPr>
          </w:p>
        </w:tc>
        <w:tc>
          <w:tcPr>
            <w:tcW w:w="2400" w:type="dxa"/>
            <w:vAlign w:val="bottom"/>
            <w:gridSpan w:val="2"/>
            <w:vMerge w:val="restart"/>
          </w:tcPr>
          <w:p>
            <w:pPr>
              <w:ind w:left="840"/>
              <w:spacing w:after="0"/>
              <w:rPr>
                <w:sz w:val="20"/>
                <w:szCs w:val="20"/>
                <w:color w:val="auto"/>
              </w:rPr>
            </w:pPr>
            <w:r>
              <w:rPr>
                <w:rFonts w:ascii="Arial" w:cs="Arial" w:eastAsia="Arial" w:hAnsi="Arial"/>
                <w:sz w:val="13"/>
                <w:szCs w:val="13"/>
                <w:b w:val="1"/>
                <w:bCs w:val="1"/>
                <w:color w:val="auto"/>
              </w:rPr>
              <w:t>Investment</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Initial</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128"/>
        </w:trPr>
        <w:tc>
          <w:tcPr>
            <w:tcW w:w="280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860" w:type="dxa"/>
            <w:vAlign w:val="bottom"/>
            <w:gridSpan w:val="2"/>
          </w:tcPr>
          <w:p>
            <w:pPr>
              <w:jc w:val="center"/>
              <w:ind w:right="160"/>
              <w:spacing w:after="0" w:line="128" w:lineRule="exact"/>
              <w:rPr>
                <w:sz w:val="20"/>
                <w:szCs w:val="20"/>
                <w:color w:val="auto"/>
              </w:rPr>
            </w:pPr>
            <w:r>
              <w:rPr>
                <w:rFonts w:ascii="Arial" w:cs="Arial" w:eastAsia="Arial" w:hAnsi="Arial"/>
                <w:sz w:val="13"/>
                <w:szCs w:val="13"/>
                <w:b w:val="1"/>
                <w:bCs w:val="1"/>
                <w:color w:val="auto"/>
                <w:w w:val="87"/>
              </w:rPr>
              <w:t>Acquisition</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28" w:lineRule="exact"/>
              <w:rPr>
                <w:sz w:val="20"/>
                <w:szCs w:val="20"/>
                <w:color w:val="auto"/>
              </w:rPr>
            </w:pPr>
            <w:r>
              <w:rPr>
                <w:rFonts w:ascii="Arial" w:cs="Arial" w:eastAsia="Arial" w:hAnsi="Arial"/>
                <w:sz w:val="13"/>
                <w:szCs w:val="13"/>
                <w:b w:val="1"/>
                <w:bCs w:val="1"/>
                <w:color w:val="auto"/>
                <w:w w:val="91"/>
              </w:rPr>
              <w:t>Amortized</w:t>
            </w:r>
          </w:p>
        </w:tc>
        <w:tc>
          <w:tcPr>
            <w:tcW w:w="860" w:type="dxa"/>
            <w:vAlign w:val="bottom"/>
            <w:gridSpan w:val="2"/>
          </w:tcPr>
          <w:p>
            <w:pPr>
              <w:jc w:val="right"/>
              <w:ind w:right="420"/>
              <w:spacing w:after="0" w:line="128" w:lineRule="exact"/>
              <w:rPr>
                <w:sz w:val="20"/>
                <w:szCs w:val="20"/>
                <w:color w:val="auto"/>
              </w:rPr>
            </w:pPr>
            <w:r>
              <w:rPr>
                <w:rFonts w:ascii="Arial" w:cs="Arial" w:eastAsia="Arial" w:hAnsi="Arial"/>
                <w:sz w:val="13"/>
                <w:szCs w:val="13"/>
                <w:b w:val="1"/>
                <w:bCs w:val="1"/>
                <w:color w:val="auto"/>
              </w:rPr>
              <w:t>Fair</w:t>
            </w:r>
          </w:p>
        </w:tc>
        <w:tc>
          <w:tcPr>
            <w:tcW w:w="58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85"/>
              </w:rPr>
              <w:t>Net</w:t>
            </w:r>
          </w:p>
        </w:tc>
        <w:tc>
          <w:tcPr>
            <w:tcW w:w="0" w:type="dxa"/>
            <w:vAlign w:val="bottom"/>
          </w:tcPr>
          <w:p>
            <w:pPr>
              <w:spacing w:after="0"/>
              <w:rPr>
                <w:sz w:val="1"/>
                <w:szCs w:val="1"/>
                <w:color w:val="auto"/>
              </w:rPr>
            </w:pPr>
          </w:p>
        </w:tc>
      </w:tr>
      <w:tr>
        <w:trPr>
          <w:trHeight w:val="153"/>
        </w:trPr>
        <w:tc>
          <w:tcPr>
            <w:tcW w:w="280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1240" w:type="dxa"/>
            <w:vAlign w:val="bottom"/>
          </w:tcPr>
          <w:p>
            <w:pPr>
              <w:spacing w:after="0"/>
              <w:rPr>
                <w:sz w:val="13"/>
                <w:szCs w:val="13"/>
                <w:color w:val="auto"/>
              </w:rPr>
            </w:pPr>
          </w:p>
        </w:tc>
        <w:tc>
          <w:tcPr>
            <w:tcW w:w="2400" w:type="dxa"/>
            <w:vAlign w:val="bottom"/>
            <w:gridSpan w:val="2"/>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Date</w:t>
            </w:r>
          </w:p>
        </w:tc>
        <w:tc>
          <w:tcPr>
            <w:tcW w:w="860" w:type="dxa"/>
            <w:vAlign w:val="bottom"/>
            <w:gridSpan w:val="2"/>
          </w:tcPr>
          <w:p>
            <w:pPr>
              <w:ind w:left="100"/>
              <w:spacing w:after="0"/>
              <w:rPr>
                <w:sz w:val="20"/>
                <w:szCs w:val="20"/>
                <w:color w:val="auto"/>
              </w:rPr>
            </w:pPr>
            <w:r>
              <w:rPr>
                <w:rFonts w:ascii="Arial" w:cs="Arial" w:eastAsia="Arial" w:hAnsi="Arial"/>
                <w:sz w:val="13"/>
                <w:szCs w:val="13"/>
                <w:b w:val="1"/>
                <w:bCs w:val="1"/>
                <w:color w:val="auto"/>
              </w:rPr>
              <w:t>Principal</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0"/>
                <w:szCs w:val="10"/>
                <w:b w:val="1"/>
                <w:bCs w:val="1"/>
                <w:color w:val="auto"/>
              </w:rPr>
              <w:t>2</w:t>
            </w: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9"/>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278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Intermedia Holdings, Inc.</w:t>
            </w:r>
          </w:p>
        </w:tc>
        <w:tc>
          <w:tcPr>
            <w:tcW w:w="1240" w:type="dxa"/>
            <w:vAlign w:val="bottom"/>
            <w:shd w:val="clear" w:color="auto" w:fill="CCEEFF"/>
          </w:tcPr>
          <w:p>
            <w:pPr>
              <w:ind w:left="100"/>
              <w:spacing w:after="0" w:line="101" w:lineRule="exact"/>
              <w:rPr>
                <w:sz w:val="20"/>
                <w:szCs w:val="20"/>
                <w:color w:val="auto"/>
              </w:rPr>
            </w:pPr>
            <w:r>
              <w:rPr>
                <w:rFonts w:ascii="Arial" w:cs="Arial" w:eastAsia="Arial" w:hAnsi="Arial"/>
                <w:sz w:val="10"/>
                <w:szCs w:val="10"/>
                <w:color w:val="auto"/>
              </w:rPr>
              <w:t>(8)(14)</w:t>
            </w:r>
          </w:p>
        </w:tc>
        <w:tc>
          <w:tcPr>
            <w:tcW w:w="228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Senior Secured Loan — First Lien Term</w:t>
            </w: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132 West 31st Street New York, NY 10001</w:t>
            </w:r>
          </w:p>
        </w:tc>
        <w:tc>
          <w:tcPr>
            <w:tcW w:w="124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Loan B</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gridSpan w:val="2"/>
            <w:shd w:val="clear" w:color="auto" w:fill="CCEEFF"/>
          </w:tcPr>
          <w:p>
            <w:pPr>
              <w:ind w:left="240"/>
              <w:spacing w:after="0" w:line="148" w:lineRule="exact"/>
              <w:rPr>
                <w:sz w:val="20"/>
                <w:szCs w:val="20"/>
                <w:color w:val="auto"/>
              </w:rPr>
            </w:pPr>
            <w:r>
              <w:rPr>
                <w:rFonts w:ascii="Arial" w:cs="Arial" w:eastAsia="Arial" w:hAnsi="Arial"/>
                <w:sz w:val="14"/>
                <w:szCs w:val="14"/>
                <w:color w:val="auto"/>
              </w:rPr>
              <w:t>High Tech Industries</w:t>
            </w:r>
          </w:p>
        </w:tc>
        <w:tc>
          <w:tcPr>
            <w:tcW w:w="124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7.0% Cash, 1 Month Libor (1.00%) +</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4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6.00%; Libor Floor 1.00%, Due 7/25</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10/28/2020</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2,674,810</w:t>
            </w: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99"/>
              </w:rPr>
              <w:t>2,387,684</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2,676,482</w:t>
            </w:r>
          </w:p>
        </w:tc>
        <w:tc>
          <w:tcPr>
            <w:tcW w:w="5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4"/>
        </w:trPr>
        <w:tc>
          <w:tcPr>
            <w:tcW w:w="2800" w:type="dxa"/>
            <w:vAlign w:val="bottom"/>
            <w:gridSpan w:val="3"/>
          </w:tcPr>
          <w:p>
            <w:pPr>
              <w:spacing w:after="0"/>
              <w:rPr>
                <w:sz w:val="20"/>
                <w:szCs w:val="20"/>
                <w:color w:val="auto"/>
              </w:rPr>
            </w:pPr>
            <w:r>
              <w:rPr>
                <w:rFonts w:ascii="Arial" w:cs="Arial" w:eastAsia="Arial" w:hAnsi="Arial"/>
                <w:sz w:val="14"/>
                <w:szCs w:val="14"/>
                <w:color w:val="auto"/>
              </w:rPr>
              <w:t>Keeco, LLC</w:t>
            </w:r>
          </w:p>
        </w:tc>
        <w:tc>
          <w:tcPr>
            <w:tcW w:w="1240" w:type="dxa"/>
            <w:vAlign w:val="bottom"/>
          </w:tcPr>
          <w:p>
            <w:pPr>
              <w:ind w:left="100"/>
              <w:spacing w:after="0"/>
              <w:rPr>
                <w:sz w:val="20"/>
                <w:szCs w:val="20"/>
                <w:color w:val="auto"/>
              </w:rPr>
            </w:pPr>
            <w:r>
              <w:rPr>
                <w:rFonts w:ascii="Arial" w:cs="Arial" w:eastAsia="Arial" w:hAnsi="Arial"/>
                <w:sz w:val="12"/>
                <w:szCs w:val="12"/>
                <w:color w:val="auto"/>
              </w:rPr>
              <w:t>(8)(13)(14)</w:t>
            </w:r>
          </w:p>
        </w:tc>
        <w:tc>
          <w:tcPr>
            <w:tcW w:w="2400" w:type="dxa"/>
            <w:vAlign w:val="bottom"/>
            <w:gridSpan w:val="2"/>
          </w:tcPr>
          <w:p>
            <w:pPr>
              <w:spacing w:after="0"/>
              <w:rPr>
                <w:sz w:val="20"/>
                <w:szCs w:val="20"/>
                <w:color w:val="auto"/>
              </w:rPr>
            </w:pPr>
            <w:r>
              <w:rPr>
                <w:rFonts w:ascii="Arial" w:cs="Arial" w:eastAsia="Arial" w:hAnsi="Arial"/>
                <w:sz w:val="14"/>
                <w:szCs w:val="14"/>
                <w:color w:val="auto"/>
                <w:w w:val="96"/>
              </w:rPr>
              <w:t>Senior Secured Loan — First Lien Term</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800" w:type="dxa"/>
            <w:vAlign w:val="bottom"/>
            <w:gridSpan w:val="3"/>
          </w:tcPr>
          <w:p>
            <w:pPr>
              <w:spacing w:after="0" w:line="141" w:lineRule="exact"/>
              <w:rPr>
                <w:sz w:val="20"/>
                <w:szCs w:val="20"/>
                <w:color w:val="auto"/>
              </w:rPr>
            </w:pPr>
            <w:r>
              <w:rPr>
                <w:rFonts w:ascii="Arial" w:cs="Arial" w:eastAsia="Arial" w:hAnsi="Arial"/>
                <w:sz w:val="14"/>
                <w:szCs w:val="14"/>
                <w:color w:val="auto"/>
                <w:w w:val="96"/>
              </w:rPr>
              <w:t>702 King Farm Boulevard, Suite 400 Rockville,</w:t>
            </w:r>
          </w:p>
        </w:tc>
        <w:tc>
          <w:tcPr>
            <w:tcW w:w="124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Loan A</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8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MD 20850</w:t>
            </w:r>
          </w:p>
        </w:tc>
        <w:tc>
          <w:tcPr>
            <w:tcW w:w="124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9.5% Cash, 0.8% PIK, 1 Month Libor</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8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Consumer goods: Durable</w:t>
            </w:r>
          </w:p>
        </w:tc>
        <w:tc>
          <w:tcPr>
            <w:tcW w:w="124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(1.75%) + 7.75%; Libor Floor 1.75%,</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4"/>
                <w:szCs w:val="14"/>
                <w:color w:val="auto"/>
              </w:rPr>
              <w:t>Due 3/24</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10/28/2020</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5,442,260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4,560,968</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5,261,033</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7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Lifescan Global Corporation</w:t>
            </w:r>
          </w:p>
        </w:tc>
        <w:tc>
          <w:tcPr>
            <w:tcW w:w="124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(8)(14)</w:t>
            </w:r>
          </w:p>
        </w:tc>
        <w:tc>
          <w:tcPr>
            <w:tcW w:w="24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w w:val="96"/>
              </w:rPr>
              <w:t>Senior Secured Loan — First Lien Term</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5"/>
              </w:rPr>
              <w:t>825 East Middlefield Road, Mountain View, CA</w:t>
            </w:r>
          </w:p>
        </w:tc>
        <w:tc>
          <w:tcPr>
            <w:tcW w:w="124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Loan A</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80" w:type="dxa"/>
            <w:vAlign w:val="bottom"/>
            <w:shd w:val="clear" w:color="auto" w:fill="CCEEFF"/>
          </w:tcPr>
          <w:p>
            <w:pPr>
              <w:ind w:left="100"/>
              <w:spacing w:after="0" w:line="141" w:lineRule="exact"/>
              <w:rPr>
                <w:sz w:val="20"/>
                <w:szCs w:val="20"/>
                <w:color w:val="auto"/>
              </w:rPr>
            </w:pPr>
            <w:r>
              <w:rPr>
                <w:rFonts w:ascii="Arial" w:cs="Arial" w:eastAsia="Arial" w:hAnsi="Arial"/>
                <w:sz w:val="14"/>
                <w:szCs w:val="14"/>
                <w:color w:val="auto"/>
              </w:rPr>
              <w:t>94043</w:t>
            </w:r>
          </w:p>
        </w:tc>
        <w:tc>
          <w:tcPr>
            <w:tcW w:w="18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6.2% Cash, 3 Month Libor (0.15%) +</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Healthcare &amp; Pharmaceuticals</w:t>
            </w:r>
          </w:p>
        </w:tc>
        <w:tc>
          <w:tcPr>
            <w:tcW w:w="124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6.00%, Due 10/24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10/28/2020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3,036,157</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2,615,697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3,014,964</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4"/>
        </w:trPr>
        <w:tc>
          <w:tcPr>
            <w:tcW w:w="2800" w:type="dxa"/>
            <w:vAlign w:val="bottom"/>
            <w:gridSpan w:val="3"/>
          </w:tcPr>
          <w:p>
            <w:pPr>
              <w:spacing w:after="0"/>
              <w:rPr>
                <w:sz w:val="20"/>
                <w:szCs w:val="20"/>
                <w:color w:val="auto"/>
              </w:rPr>
            </w:pPr>
            <w:r>
              <w:rPr>
                <w:rFonts w:ascii="Arial" w:cs="Arial" w:eastAsia="Arial" w:hAnsi="Arial"/>
                <w:sz w:val="14"/>
                <w:szCs w:val="14"/>
                <w:color w:val="auto"/>
              </w:rPr>
              <w:t>Location Services Holdings, LLC</w:t>
            </w:r>
          </w:p>
        </w:tc>
        <w:tc>
          <w:tcPr>
            <w:tcW w:w="1240" w:type="dxa"/>
            <w:vAlign w:val="bottom"/>
          </w:tcPr>
          <w:p>
            <w:pPr>
              <w:ind w:left="100"/>
              <w:spacing w:after="0"/>
              <w:rPr>
                <w:sz w:val="20"/>
                <w:szCs w:val="20"/>
                <w:color w:val="auto"/>
              </w:rPr>
            </w:pPr>
            <w:r>
              <w:rPr>
                <w:rFonts w:ascii="Arial" w:cs="Arial" w:eastAsia="Arial" w:hAnsi="Arial"/>
                <w:sz w:val="12"/>
                <w:szCs w:val="12"/>
                <w:color w:val="auto"/>
              </w:rPr>
              <w:t>(8)(13)(14)(21)(23)</w:t>
            </w:r>
          </w:p>
        </w:tc>
        <w:tc>
          <w:tcPr>
            <w:tcW w:w="2400" w:type="dxa"/>
            <w:vAlign w:val="bottom"/>
            <w:gridSpan w:val="2"/>
          </w:tcPr>
          <w:p>
            <w:pPr>
              <w:spacing w:after="0"/>
              <w:rPr>
                <w:sz w:val="20"/>
                <w:szCs w:val="20"/>
                <w:color w:val="auto"/>
              </w:rPr>
            </w:pPr>
            <w:r>
              <w:rPr>
                <w:rFonts w:ascii="Arial" w:cs="Arial" w:eastAsia="Arial" w:hAnsi="Arial"/>
                <w:sz w:val="14"/>
                <w:szCs w:val="14"/>
                <w:color w:val="auto"/>
              </w:rPr>
              <w:t>Senior Secured Loan — Revolving</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800" w:type="dxa"/>
            <w:vAlign w:val="bottom"/>
            <w:gridSpan w:val="3"/>
          </w:tcPr>
          <w:p>
            <w:pPr>
              <w:spacing w:after="0" w:line="141" w:lineRule="exact"/>
              <w:rPr>
                <w:sz w:val="20"/>
                <w:szCs w:val="20"/>
                <w:color w:val="auto"/>
              </w:rPr>
            </w:pPr>
            <w:r>
              <w:rPr>
                <w:rFonts w:ascii="Arial" w:cs="Arial" w:eastAsia="Arial" w:hAnsi="Arial"/>
                <w:sz w:val="14"/>
                <w:szCs w:val="14"/>
                <w:color w:val="auto"/>
                <w:w w:val="92"/>
              </w:rPr>
              <w:t>135 Janus International Blvd. Temple, GA 30179</w:t>
            </w:r>
          </w:p>
        </w:tc>
        <w:tc>
          <w:tcPr>
            <w:tcW w:w="124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Credit</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8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Services: Business</w:t>
            </w:r>
          </w:p>
        </w:tc>
        <w:tc>
          <w:tcPr>
            <w:tcW w:w="124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7.8% Cash, 1 Month Libor (1.00%) +</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4"/>
                <w:szCs w:val="14"/>
                <w:color w:val="auto"/>
              </w:rPr>
              <w:t>6.75%; Libor Floor 1.00%, Due 10/21</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11/7/2019</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2,291,667</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2,290,205</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2,287,167</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7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Lucky Bucks, LLC</w:t>
            </w:r>
          </w:p>
        </w:tc>
        <w:tc>
          <w:tcPr>
            <w:tcW w:w="124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(8)(13)(14)</w:t>
            </w: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Senior Secured Loan — Term Loan</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780" w:type="dxa"/>
            <w:vAlign w:val="bottom"/>
            <w:gridSpan w:val="2"/>
            <w:vMerge w:val="restart"/>
            <w:shd w:val="clear" w:color="auto" w:fill="CCEEFF"/>
          </w:tcPr>
          <w:p>
            <w:pPr>
              <w:spacing w:after="0" w:line="141" w:lineRule="exact"/>
              <w:rPr>
                <w:sz w:val="20"/>
                <w:szCs w:val="20"/>
                <w:color w:val="auto"/>
              </w:rPr>
            </w:pPr>
            <w:r>
              <w:rPr>
                <w:rFonts w:ascii="Arial" w:cs="Arial" w:eastAsia="Arial" w:hAnsi="Arial"/>
                <w:sz w:val="14"/>
                <w:szCs w:val="14"/>
                <w:color w:val="auto"/>
                <w:w w:val="91"/>
              </w:rPr>
              <w:t>5820 Live Oak Parkway, Suite 300 Norcross, GA</w:t>
            </w:r>
          </w:p>
        </w:tc>
        <w:tc>
          <w:tcPr>
            <w:tcW w:w="1240" w:type="dxa"/>
            <w:vAlign w:val="bottom"/>
            <w:shd w:val="clear" w:color="auto" w:fill="CCEEFF"/>
          </w:tcPr>
          <w:p>
            <w:pPr>
              <w:spacing w:after="0"/>
              <w:rPr>
                <w:sz w:val="6"/>
                <w:szCs w:val="6"/>
                <w:color w:val="auto"/>
              </w:rPr>
            </w:pPr>
          </w:p>
        </w:tc>
        <w:tc>
          <w:tcPr>
            <w:tcW w:w="2400" w:type="dxa"/>
            <w:vAlign w:val="bottom"/>
            <w:gridSpan w:val="2"/>
            <w:vMerge w:val="continue"/>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780" w:type="dxa"/>
            <w:vAlign w:val="bottom"/>
            <w:gridSpan w:val="2"/>
            <w:vMerge w:val="continue"/>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2400" w:type="dxa"/>
            <w:vAlign w:val="bottom"/>
            <w:gridSpan w:val="2"/>
            <w:vMerge w:val="restart"/>
            <w:shd w:val="clear" w:color="auto" w:fill="CCEEFF"/>
          </w:tcPr>
          <w:p>
            <w:pPr>
              <w:spacing w:after="0" w:line="141" w:lineRule="exact"/>
              <w:rPr>
                <w:sz w:val="20"/>
                <w:szCs w:val="20"/>
                <w:color w:val="auto"/>
              </w:rPr>
            </w:pPr>
            <w:r>
              <w:rPr>
                <w:rFonts w:ascii="Arial" w:cs="Arial" w:eastAsia="Arial" w:hAnsi="Arial"/>
                <w:sz w:val="14"/>
                <w:szCs w:val="14"/>
                <w:color w:val="auto"/>
              </w:rPr>
              <w:t>6.3% Cash, 6 Month Libor (0.75%) +</w:t>
            </w:r>
          </w:p>
        </w:tc>
        <w:tc>
          <w:tcPr>
            <w:tcW w:w="7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80" w:type="dxa"/>
            <w:vAlign w:val="bottom"/>
            <w:vMerge w:val="restart"/>
            <w:shd w:val="clear" w:color="auto" w:fill="CCEEFF"/>
          </w:tcPr>
          <w:p>
            <w:pPr>
              <w:ind w:left="100"/>
              <w:spacing w:after="0" w:line="141" w:lineRule="exact"/>
              <w:rPr>
                <w:sz w:val="20"/>
                <w:szCs w:val="20"/>
                <w:color w:val="auto"/>
              </w:rPr>
            </w:pPr>
            <w:r>
              <w:rPr>
                <w:rFonts w:ascii="Arial" w:cs="Arial" w:eastAsia="Arial" w:hAnsi="Arial"/>
                <w:sz w:val="14"/>
                <w:szCs w:val="14"/>
                <w:color w:val="auto"/>
              </w:rPr>
              <w:t>30071</w:t>
            </w:r>
          </w:p>
        </w:tc>
        <w:tc>
          <w:tcPr>
            <w:tcW w:w="18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400" w:type="dxa"/>
            <w:vAlign w:val="bottom"/>
            <w:gridSpan w:val="2"/>
            <w:vMerge w:val="continue"/>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5.50%; Libor Floor 0.75%, Due 7/27</w:t>
            </w:r>
          </w:p>
        </w:tc>
        <w:tc>
          <w:tcPr>
            <w:tcW w:w="7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78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Hotel, Gaming &amp; Leisure</w:t>
            </w:r>
          </w:p>
        </w:tc>
        <w:tc>
          <w:tcPr>
            <w:tcW w:w="1240" w:type="dxa"/>
            <w:vAlign w:val="bottom"/>
            <w:shd w:val="clear" w:color="auto" w:fill="CCEEFF"/>
          </w:tcPr>
          <w:p>
            <w:pPr>
              <w:spacing w:after="0"/>
              <w:rPr>
                <w:sz w:val="9"/>
                <w:szCs w:val="9"/>
                <w:color w:val="auto"/>
              </w:rPr>
            </w:pPr>
          </w:p>
        </w:tc>
        <w:tc>
          <w:tcPr>
            <w:tcW w:w="2400" w:type="dxa"/>
            <w:vAlign w:val="bottom"/>
            <w:gridSpan w:val="2"/>
            <w:vMerge w:val="continue"/>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7/20/2021</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10,000,000</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w w:val="99"/>
              </w:rPr>
              <w:t>9,804,159</w:t>
            </w: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9,800,000</w:t>
            </w: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80" w:type="dxa"/>
            <w:vAlign w:val="bottom"/>
            <w:gridSpan w:val="2"/>
            <w:vMerge w:val="continue"/>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2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5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800" w:type="dxa"/>
            <w:vAlign w:val="bottom"/>
            <w:gridSpan w:val="3"/>
          </w:tcPr>
          <w:p>
            <w:pPr>
              <w:spacing w:after="0"/>
              <w:rPr>
                <w:sz w:val="20"/>
                <w:szCs w:val="20"/>
                <w:color w:val="auto"/>
              </w:rPr>
            </w:pPr>
            <w:r>
              <w:rPr>
                <w:rFonts w:ascii="Arial" w:cs="Arial" w:eastAsia="Arial" w:hAnsi="Arial"/>
                <w:sz w:val="14"/>
                <w:szCs w:val="14"/>
                <w:color w:val="auto"/>
              </w:rPr>
              <w:t>Luminii LLC</w:t>
            </w:r>
          </w:p>
        </w:tc>
        <w:tc>
          <w:tcPr>
            <w:tcW w:w="1240" w:type="dxa"/>
            <w:vAlign w:val="bottom"/>
          </w:tcPr>
          <w:p>
            <w:pPr>
              <w:ind w:left="100"/>
              <w:spacing w:after="0"/>
              <w:rPr>
                <w:sz w:val="20"/>
                <w:szCs w:val="20"/>
                <w:color w:val="auto"/>
              </w:rPr>
            </w:pPr>
            <w:r>
              <w:rPr>
                <w:rFonts w:ascii="Arial" w:cs="Arial" w:eastAsia="Arial" w:hAnsi="Arial"/>
                <w:sz w:val="12"/>
                <w:szCs w:val="12"/>
                <w:color w:val="auto"/>
              </w:rPr>
              <w:t>(8)(13)(14)(23)</w:t>
            </w:r>
          </w:p>
        </w:tc>
        <w:tc>
          <w:tcPr>
            <w:tcW w:w="2400" w:type="dxa"/>
            <w:vAlign w:val="bottom"/>
            <w:gridSpan w:val="2"/>
          </w:tcPr>
          <w:p>
            <w:pPr>
              <w:spacing w:after="0"/>
              <w:rPr>
                <w:sz w:val="20"/>
                <w:szCs w:val="20"/>
                <w:color w:val="auto"/>
              </w:rPr>
            </w:pPr>
            <w:r>
              <w:rPr>
                <w:rFonts w:ascii="Arial" w:cs="Arial" w:eastAsia="Arial" w:hAnsi="Arial"/>
                <w:sz w:val="14"/>
                <w:szCs w:val="14"/>
                <w:color w:val="auto"/>
              </w:rPr>
              <w:t>Senior Secured Loan — Revolver</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80" w:type="dxa"/>
            <w:vAlign w:val="bottom"/>
            <w:gridSpan w:val="2"/>
          </w:tcPr>
          <w:p>
            <w:pPr>
              <w:ind w:left="100"/>
              <w:spacing w:after="0" w:line="141" w:lineRule="exact"/>
              <w:rPr>
                <w:sz w:val="20"/>
                <w:szCs w:val="20"/>
                <w:color w:val="auto"/>
              </w:rPr>
            </w:pPr>
            <w:r>
              <w:rPr>
                <w:rFonts w:ascii="Arial" w:cs="Arial" w:eastAsia="Arial" w:hAnsi="Arial"/>
                <w:sz w:val="14"/>
                <w:szCs w:val="14"/>
                <w:color w:val="auto"/>
                <w:w w:val="99"/>
              </w:rPr>
              <w:t>30736 Wiegman Road Hayward, CA 94544</w:t>
            </w:r>
          </w:p>
        </w:tc>
        <w:tc>
          <w:tcPr>
            <w:tcW w:w="124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7.3% Cash, 1 Month Libor (1.00%) +</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80" w:type="dxa"/>
            <w:vAlign w:val="bottom"/>
            <w:gridSpan w:val="2"/>
          </w:tcPr>
          <w:p>
            <w:pPr>
              <w:ind w:left="240"/>
              <w:spacing w:after="0"/>
              <w:rPr>
                <w:sz w:val="20"/>
                <w:szCs w:val="20"/>
                <w:color w:val="auto"/>
              </w:rPr>
            </w:pPr>
            <w:r>
              <w:rPr>
                <w:rFonts w:ascii="Arial" w:cs="Arial" w:eastAsia="Arial" w:hAnsi="Arial"/>
                <w:sz w:val="14"/>
                <w:szCs w:val="14"/>
                <w:color w:val="auto"/>
              </w:rPr>
              <w:t>Construction &amp; Building</w:t>
            </w:r>
          </w:p>
        </w:tc>
        <w:tc>
          <w:tcPr>
            <w:tcW w:w="124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Arial" w:cs="Arial" w:eastAsia="Arial" w:hAnsi="Arial"/>
                <w:sz w:val="14"/>
                <w:szCs w:val="14"/>
                <w:color w:val="auto"/>
              </w:rPr>
              <w:t>6.25%; Libor Floor 1.00%, Due 4/23</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10/28/2020</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343,473</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314,418</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339,145</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7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Luminii LLC</w:t>
            </w:r>
          </w:p>
        </w:tc>
        <w:tc>
          <w:tcPr>
            <w:tcW w:w="124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(8)(13)(14)</w:t>
            </w:r>
          </w:p>
        </w:tc>
        <w:tc>
          <w:tcPr>
            <w:tcW w:w="24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w w:val="96"/>
              </w:rPr>
              <w:t>Senior Secured Loan — First Lien Term</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360 North Crescent Drive, Beverly Hills, CA</w:t>
            </w:r>
          </w:p>
        </w:tc>
        <w:tc>
          <w:tcPr>
            <w:tcW w:w="124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Loan B</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80" w:type="dxa"/>
            <w:vAlign w:val="bottom"/>
            <w:shd w:val="clear" w:color="auto" w:fill="CCEEFF"/>
          </w:tcPr>
          <w:p>
            <w:pPr>
              <w:ind w:left="100"/>
              <w:spacing w:after="0" w:line="141" w:lineRule="exact"/>
              <w:rPr>
                <w:sz w:val="20"/>
                <w:szCs w:val="20"/>
                <w:color w:val="auto"/>
              </w:rPr>
            </w:pPr>
            <w:r>
              <w:rPr>
                <w:rFonts w:ascii="Arial" w:cs="Arial" w:eastAsia="Arial" w:hAnsi="Arial"/>
                <w:sz w:val="14"/>
                <w:szCs w:val="14"/>
                <w:color w:val="auto"/>
              </w:rPr>
              <w:t>90210</w:t>
            </w:r>
          </w:p>
        </w:tc>
        <w:tc>
          <w:tcPr>
            <w:tcW w:w="18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7.3% Cash, 1 Month Libor (1.00%) +</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Construction &amp; Building</w:t>
            </w:r>
          </w:p>
        </w:tc>
        <w:tc>
          <w:tcPr>
            <w:tcW w:w="124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6.25%; Libor Floor 1.00%, Due 4/23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10/28/2020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7,080,442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6,481,519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7,020,966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24"/>
        </w:trPr>
        <w:tc>
          <w:tcPr>
            <w:tcW w:w="2800" w:type="dxa"/>
            <w:vAlign w:val="bottom"/>
            <w:gridSpan w:val="3"/>
          </w:tcPr>
          <w:p>
            <w:pPr>
              <w:spacing w:after="0"/>
              <w:rPr>
                <w:sz w:val="20"/>
                <w:szCs w:val="20"/>
                <w:color w:val="auto"/>
              </w:rPr>
            </w:pPr>
            <w:r>
              <w:rPr>
                <w:rFonts w:ascii="Arial" w:cs="Arial" w:eastAsia="Arial" w:hAnsi="Arial"/>
                <w:sz w:val="14"/>
                <w:szCs w:val="14"/>
                <w:color w:val="auto"/>
              </w:rPr>
              <w:t>Mag Ds Corp.</w:t>
            </w:r>
          </w:p>
        </w:tc>
        <w:tc>
          <w:tcPr>
            <w:tcW w:w="1240" w:type="dxa"/>
            <w:vAlign w:val="bottom"/>
          </w:tcPr>
          <w:p>
            <w:pPr>
              <w:ind w:left="100"/>
              <w:spacing w:after="0"/>
              <w:rPr>
                <w:sz w:val="20"/>
                <w:szCs w:val="20"/>
                <w:color w:val="auto"/>
              </w:rPr>
            </w:pPr>
            <w:r>
              <w:rPr>
                <w:rFonts w:ascii="Arial" w:cs="Arial" w:eastAsia="Arial" w:hAnsi="Arial"/>
                <w:sz w:val="12"/>
                <w:szCs w:val="12"/>
                <w:color w:val="auto"/>
              </w:rPr>
              <w:t>(8)(13)(14)(21)</w:t>
            </w:r>
          </w:p>
        </w:tc>
        <w:tc>
          <w:tcPr>
            <w:tcW w:w="2400" w:type="dxa"/>
            <w:vAlign w:val="bottom"/>
            <w:gridSpan w:val="2"/>
          </w:tcPr>
          <w:p>
            <w:pPr>
              <w:spacing w:after="0"/>
              <w:rPr>
                <w:sz w:val="20"/>
                <w:szCs w:val="20"/>
                <w:color w:val="auto"/>
              </w:rPr>
            </w:pPr>
            <w:r>
              <w:rPr>
                <w:rFonts w:ascii="Arial" w:cs="Arial" w:eastAsia="Arial" w:hAnsi="Arial"/>
                <w:sz w:val="14"/>
                <w:szCs w:val="14"/>
                <w:color w:val="auto"/>
                <w:w w:val="96"/>
              </w:rPr>
              <w:t>Senior Secured Loan — First Lien Term</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800" w:type="dxa"/>
            <w:vAlign w:val="bottom"/>
            <w:gridSpan w:val="3"/>
          </w:tcPr>
          <w:p>
            <w:pPr>
              <w:spacing w:after="0" w:line="141" w:lineRule="exact"/>
              <w:rPr>
                <w:sz w:val="20"/>
                <w:szCs w:val="20"/>
                <w:color w:val="auto"/>
              </w:rPr>
            </w:pPr>
            <w:r>
              <w:rPr>
                <w:rFonts w:ascii="Arial" w:cs="Arial" w:eastAsia="Arial" w:hAnsi="Arial"/>
                <w:sz w:val="14"/>
                <w:szCs w:val="14"/>
                <w:color w:val="auto"/>
              </w:rPr>
              <w:t>3923 Ranchero Drive Ann Arbor, MI 48108</w:t>
            </w:r>
          </w:p>
        </w:tc>
        <w:tc>
          <w:tcPr>
            <w:tcW w:w="124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8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Aerospace and Defense</w:t>
            </w:r>
          </w:p>
        </w:tc>
        <w:tc>
          <w:tcPr>
            <w:tcW w:w="124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6.5% Cash, 3 Month Libor (1.00%) +</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4"/>
                <w:szCs w:val="14"/>
                <w:color w:val="auto"/>
              </w:rPr>
              <w:t>5.50%; Libor Floor 1.00%, Due 4/27</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10/28/2020</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3,891,201</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3,322,235</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3,700,532</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7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Marble Point Credit Management LLC</w:t>
            </w:r>
          </w:p>
        </w:tc>
        <w:tc>
          <w:tcPr>
            <w:tcW w:w="124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(13)(23)</w:t>
            </w:r>
          </w:p>
        </w:tc>
        <w:tc>
          <w:tcPr>
            <w:tcW w:w="2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3"/>
              </w:rPr>
              <w:t>600 Steamboat Road, Suite 202 Greenwich, CT</w:t>
            </w:r>
          </w:p>
        </w:tc>
        <w:tc>
          <w:tcPr>
            <w:tcW w:w="124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Senior Secured Loan — Revolver</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80" w:type="dxa"/>
            <w:vAlign w:val="bottom"/>
            <w:shd w:val="clear" w:color="auto" w:fill="CCEEFF"/>
          </w:tcPr>
          <w:p>
            <w:pPr>
              <w:ind w:left="100"/>
              <w:spacing w:after="0" w:line="141" w:lineRule="exact"/>
              <w:rPr>
                <w:sz w:val="20"/>
                <w:szCs w:val="20"/>
                <w:color w:val="auto"/>
              </w:rPr>
            </w:pPr>
            <w:r>
              <w:rPr>
                <w:rFonts w:ascii="Arial" w:cs="Arial" w:eastAsia="Arial" w:hAnsi="Arial"/>
                <w:sz w:val="14"/>
                <w:szCs w:val="14"/>
                <w:color w:val="auto"/>
              </w:rPr>
              <w:t>06830</w:t>
            </w:r>
          </w:p>
        </w:tc>
        <w:tc>
          <w:tcPr>
            <w:tcW w:w="18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0.5% Cash, Due 8/28</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4"/>
              </w:rPr>
              <w:t>Banking, Finance, Insurance &amp; Real Estate</w:t>
            </w:r>
          </w:p>
        </w:tc>
        <w:tc>
          <w:tcPr>
            <w:tcW w:w="12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8/11/2021</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(25,000)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24"/>
        </w:trPr>
        <w:tc>
          <w:tcPr>
            <w:tcW w:w="2800" w:type="dxa"/>
            <w:vAlign w:val="bottom"/>
            <w:gridSpan w:val="3"/>
          </w:tcPr>
          <w:p>
            <w:pPr>
              <w:spacing w:after="0"/>
              <w:rPr>
                <w:sz w:val="20"/>
                <w:szCs w:val="20"/>
                <w:color w:val="auto"/>
              </w:rPr>
            </w:pPr>
            <w:r>
              <w:rPr>
                <w:rFonts w:ascii="Arial" w:cs="Arial" w:eastAsia="Arial" w:hAnsi="Arial"/>
                <w:sz w:val="14"/>
                <w:szCs w:val="14"/>
                <w:color w:val="auto"/>
              </w:rPr>
              <w:t>Marble Point Credit Management LLC</w:t>
            </w:r>
          </w:p>
        </w:tc>
        <w:tc>
          <w:tcPr>
            <w:tcW w:w="1240" w:type="dxa"/>
            <w:vAlign w:val="bottom"/>
          </w:tcPr>
          <w:p>
            <w:pPr>
              <w:ind w:left="100"/>
              <w:spacing w:after="0"/>
              <w:rPr>
                <w:sz w:val="20"/>
                <w:szCs w:val="20"/>
                <w:color w:val="auto"/>
              </w:rPr>
            </w:pPr>
            <w:r>
              <w:rPr>
                <w:rFonts w:ascii="Arial" w:cs="Arial" w:eastAsia="Arial" w:hAnsi="Arial"/>
                <w:sz w:val="12"/>
                <w:szCs w:val="12"/>
                <w:color w:val="auto"/>
              </w:rPr>
              <w:t>(13)(14)</w:t>
            </w:r>
          </w:p>
        </w:tc>
        <w:tc>
          <w:tcPr>
            <w:tcW w:w="2400" w:type="dxa"/>
            <w:vAlign w:val="bottom"/>
            <w:gridSpan w:val="2"/>
            <w:vMerge w:val="restart"/>
          </w:tcPr>
          <w:p>
            <w:pPr>
              <w:spacing w:after="0"/>
              <w:rPr>
                <w:sz w:val="20"/>
                <w:szCs w:val="20"/>
                <w:color w:val="auto"/>
              </w:rPr>
            </w:pPr>
            <w:r>
              <w:rPr>
                <w:rFonts w:ascii="Arial" w:cs="Arial" w:eastAsia="Arial" w:hAnsi="Arial"/>
                <w:sz w:val="14"/>
                <w:szCs w:val="14"/>
                <w:color w:val="auto"/>
              </w:rPr>
              <w:t>Senior Secured Loan — Term Loan</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2800" w:type="dxa"/>
            <w:vAlign w:val="bottom"/>
            <w:gridSpan w:val="3"/>
            <w:vMerge w:val="restart"/>
          </w:tcPr>
          <w:p>
            <w:pPr>
              <w:spacing w:after="0" w:line="141" w:lineRule="exact"/>
              <w:rPr>
                <w:sz w:val="20"/>
                <w:szCs w:val="20"/>
                <w:color w:val="auto"/>
              </w:rPr>
            </w:pPr>
            <w:r>
              <w:rPr>
                <w:rFonts w:ascii="Arial" w:cs="Arial" w:eastAsia="Arial" w:hAnsi="Arial"/>
                <w:sz w:val="14"/>
                <w:szCs w:val="14"/>
                <w:color w:val="auto"/>
                <w:w w:val="93"/>
              </w:rPr>
              <w:t>600 Steamboat Road, Suite 202 Greenwich, CT</w:t>
            </w:r>
          </w:p>
        </w:tc>
        <w:tc>
          <w:tcPr>
            <w:tcW w:w="1240" w:type="dxa"/>
            <w:vAlign w:val="bottom"/>
          </w:tcPr>
          <w:p>
            <w:pPr>
              <w:spacing w:after="0"/>
              <w:rPr>
                <w:sz w:val="6"/>
                <w:szCs w:val="6"/>
                <w:color w:val="auto"/>
              </w:rPr>
            </w:pPr>
          </w:p>
        </w:tc>
        <w:tc>
          <w:tcPr>
            <w:tcW w:w="240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8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2400" w:type="dxa"/>
            <w:vAlign w:val="bottom"/>
            <w:gridSpan w:val="2"/>
            <w:vMerge w:val="restart"/>
          </w:tcPr>
          <w:p>
            <w:pPr>
              <w:spacing w:after="0" w:line="141" w:lineRule="exact"/>
              <w:rPr>
                <w:sz w:val="20"/>
                <w:szCs w:val="20"/>
                <w:color w:val="auto"/>
              </w:rPr>
            </w:pPr>
            <w:r>
              <w:rPr>
                <w:rFonts w:ascii="Arial" w:cs="Arial" w:eastAsia="Arial" w:hAnsi="Arial"/>
                <w:sz w:val="14"/>
                <w:szCs w:val="14"/>
                <w:color w:val="auto"/>
              </w:rPr>
              <w:t>7.0% Cash, 3 Month Libor (1.00%) +</w:t>
            </w: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000" w:type="dxa"/>
            <w:vAlign w:val="bottom"/>
            <w:gridSpan w:val="2"/>
            <w:vMerge w:val="restart"/>
          </w:tcPr>
          <w:p>
            <w:pPr>
              <w:ind w:left="120"/>
              <w:spacing w:after="0" w:line="141" w:lineRule="exact"/>
              <w:rPr>
                <w:sz w:val="20"/>
                <w:szCs w:val="20"/>
                <w:color w:val="auto"/>
              </w:rPr>
            </w:pPr>
            <w:r>
              <w:rPr>
                <w:rFonts w:ascii="Arial" w:cs="Arial" w:eastAsia="Arial" w:hAnsi="Arial"/>
                <w:sz w:val="14"/>
                <w:szCs w:val="14"/>
                <w:color w:val="auto"/>
              </w:rPr>
              <w:t>06830</w:t>
            </w:r>
          </w:p>
        </w:tc>
        <w:tc>
          <w:tcPr>
            <w:tcW w:w="18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40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000" w:type="dxa"/>
            <w:vAlign w:val="bottom"/>
            <w:gridSpan w:val="2"/>
            <w:vMerge w:val="continue"/>
          </w:tcPr>
          <w:p>
            <w:pPr>
              <w:spacing w:after="0"/>
              <w:rPr>
                <w:sz w:val="5"/>
                <w:szCs w:val="5"/>
                <w:color w:val="auto"/>
              </w:rPr>
            </w:pPr>
          </w:p>
        </w:tc>
        <w:tc>
          <w:tcPr>
            <w:tcW w:w="18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400" w:type="dxa"/>
            <w:vAlign w:val="bottom"/>
            <w:gridSpan w:val="2"/>
            <w:vMerge w:val="restart"/>
          </w:tcPr>
          <w:p>
            <w:pPr>
              <w:spacing w:after="0"/>
              <w:rPr>
                <w:sz w:val="20"/>
                <w:szCs w:val="20"/>
                <w:color w:val="auto"/>
              </w:rPr>
            </w:pPr>
            <w:r>
              <w:rPr>
                <w:rFonts w:ascii="Arial" w:cs="Arial" w:eastAsia="Arial" w:hAnsi="Arial"/>
                <w:sz w:val="14"/>
                <w:szCs w:val="14"/>
                <w:color w:val="auto"/>
              </w:rPr>
              <w:t>6.00%; Libor Floor 1.00%, Due 8/28</w:t>
            </w: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780" w:type="dxa"/>
            <w:vAlign w:val="bottom"/>
            <w:gridSpan w:val="2"/>
            <w:vMerge w:val="restart"/>
          </w:tcPr>
          <w:p>
            <w:pPr>
              <w:ind w:left="240"/>
              <w:spacing w:after="0"/>
              <w:rPr>
                <w:sz w:val="20"/>
                <w:szCs w:val="20"/>
                <w:color w:val="auto"/>
              </w:rPr>
            </w:pPr>
            <w:r>
              <w:rPr>
                <w:rFonts w:ascii="Arial" w:cs="Arial" w:eastAsia="Arial" w:hAnsi="Arial"/>
                <w:sz w:val="14"/>
                <w:szCs w:val="14"/>
                <w:color w:val="auto"/>
                <w:w w:val="94"/>
              </w:rPr>
              <w:t>Banking, Finance, Insurance &amp; Real Estate</w:t>
            </w:r>
          </w:p>
        </w:tc>
        <w:tc>
          <w:tcPr>
            <w:tcW w:w="1240" w:type="dxa"/>
            <w:vAlign w:val="bottom"/>
          </w:tcPr>
          <w:p>
            <w:pPr>
              <w:spacing w:after="0"/>
              <w:rPr>
                <w:sz w:val="9"/>
                <w:szCs w:val="9"/>
                <w:color w:val="auto"/>
              </w:rPr>
            </w:pPr>
          </w:p>
        </w:tc>
        <w:tc>
          <w:tcPr>
            <w:tcW w:w="2400" w:type="dxa"/>
            <w:vAlign w:val="bottom"/>
            <w:gridSpan w:val="2"/>
            <w:vMerge w:val="continue"/>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8/11/2021</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5,875,625</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9"/>
              </w:rPr>
              <w:t>5,717,268</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5,714,045</w:t>
            </w: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78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7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Maxor National Pharmacy Services, LLC</w:t>
            </w:r>
          </w:p>
        </w:tc>
        <w:tc>
          <w:tcPr>
            <w:tcW w:w="124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(8)(13)(14)</w:t>
            </w:r>
          </w:p>
        </w:tc>
        <w:tc>
          <w:tcPr>
            <w:tcW w:w="24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w w:val="96"/>
              </w:rPr>
              <w:t>Senior Secured Loan — First Lien Term</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7777 N. Merrimac Avenue Niles, IL 60714</w:t>
            </w:r>
          </w:p>
        </w:tc>
        <w:tc>
          <w:tcPr>
            <w:tcW w:w="124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8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Healthcare &amp; Pharmaceuticals</w:t>
            </w:r>
          </w:p>
        </w:tc>
        <w:tc>
          <w:tcPr>
            <w:tcW w:w="124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6.5% Cash, 3 Month Libor (1.00%) +</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4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5.50%; Libor Floor 1.00%, Due 11/23</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10/28/2020</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8,098,134</w:t>
            </w: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99"/>
              </w:rPr>
              <w:t>7,328,791</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8,098,134</w:t>
            </w:r>
          </w:p>
        </w:tc>
        <w:tc>
          <w:tcPr>
            <w:tcW w:w="5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24"/>
        </w:trPr>
        <w:tc>
          <w:tcPr>
            <w:tcW w:w="2800" w:type="dxa"/>
            <w:vAlign w:val="bottom"/>
            <w:gridSpan w:val="3"/>
          </w:tcPr>
          <w:p>
            <w:pPr>
              <w:spacing w:after="0"/>
              <w:rPr>
                <w:sz w:val="20"/>
                <w:szCs w:val="20"/>
                <w:color w:val="auto"/>
              </w:rPr>
            </w:pPr>
            <w:r>
              <w:rPr>
                <w:rFonts w:ascii="Arial" w:cs="Arial" w:eastAsia="Arial" w:hAnsi="Arial"/>
                <w:sz w:val="14"/>
                <w:szCs w:val="14"/>
                <w:color w:val="auto"/>
              </w:rPr>
              <w:t>Maxor National Pharmacy Services, LLC</w:t>
            </w:r>
          </w:p>
        </w:tc>
        <w:tc>
          <w:tcPr>
            <w:tcW w:w="1240" w:type="dxa"/>
            <w:vAlign w:val="bottom"/>
          </w:tcPr>
          <w:p>
            <w:pPr>
              <w:ind w:left="100"/>
              <w:spacing w:after="0"/>
              <w:rPr>
                <w:sz w:val="20"/>
                <w:szCs w:val="20"/>
                <w:color w:val="auto"/>
              </w:rPr>
            </w:pPr>
            <w:r>
              <w:rPr>
                <w:rFonts w:ascii="Arial" w:cs="Arial" w:eastAsia="Arial" w:hAnsi="Arial"/>
                <w:sz w:val="12"/>
                <w:szCs w:val="12"/>
                <w:color w:val="auto"/>
              </w:rPr>
              <w:t>(8)(13)(14)(23)</w:t>
            </w:r>
          </w:p>
        </w:tc>
        <w:tc>
          <w:tcPr>
            <w:tcW w:w="2400" w:type="dxa"/>
            <w:vAlign w:val="bottom"/>
            <w:gridSpan w:val="2"/>
            <w:vMerge w:val="restart"/>
          </w:tcPr>
          <w:p>
            <w:pPr>
              <w:spacing w:after="0"/>
              <w:rPr>
                <w:sz w:val="20"/>
                <w:szCs w:val="20"/>
                <w:color w:val="auto"/>
              </w:rPr>
            </w:pPr>
            <w:r>
              <w:rPr>
                <w:rFonts w:ascii="Arial" w:cs="Arial" w:eastAsia="Arial" w:hAnsi="Arial"/>
                <w:sz w:val="14"/>
                <w:szCs w:val="14"/>
                <w:color w:val="auto"/>
              </w:rPr>
              <w:t>Senior Secured Loan — Revolver</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2800" w:type="dxa"/>
            <w:vAlign w:val="bottom"/>
            <w:gridSpan w:val="3"/>
            <w:vMerge w:val="restart"/>
          </w:tcPr>
          <w:p>
            <w:pPr>
              <w:spacing w:after="0" w:line="141" w:lineRule="exact"/>
              <w:rPr>
                <w:sz w:val="20"/>
                <w:szCs w:val="20"/>
                <w:color w:val="auto"/>
              </w:rPr>
            </w:pPr>
            <w:r>
              <w:rPr>
                <w:rFonts w:ascii="Arial" w:cs="Arial" w:eastAsia="Arial" w:hAnsi="Arial"/>
                <w:sz w:val="14"/>
                <w:szCs w:val="14"/>
                <w:color w:val="auto"/>
              </w:rPr>
              <w:t>7777 N. Merrimac Avenue Niles, IL 60714</w:t>
            </w:r>
          </w:p>
        </w:tc>
        <w:tc>
          <w:tcPr>
            <w:tcW w:w="1240" w:type="dxa"/>
            <w:vAlign w:val="bottom"/>
          </w:tcPr>
          <w:p>
            <w:pPr>
              <w:spacing w:after="0"/>
              <w:rPr>
                <w:sz w:val="6"/>
                <w:szCs w:val="6"/>
                <w:color w:val="auto"/>
              </w:rPr>
            </w:pPr>
          </w:p>
        </w:tc>
        <w:tc>
          <w:tcPr>
            <w:tcW w:w="240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8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2400" w:type="dxa"/>
            <w:vAlign w:val="bottom"/>
            <w:gridSpan w:val="2"/>
            <w:vMerge w:val="restart"/>
          </w:tcPr>
          <w:p>
            <w:pPr>
              <w:spacing w:after="0"/>
              <w:rPr>
                <w:sz w:val="20"/>
                <w:szCs w:val="20"/>
                <w:color w:val="auto"/>
              </w:rPr>
            </w:pPr>
            <w:r>
              <w:rPr>
                <w:rFonts w:ascii="Arial" w:cs="Arial" w:eastAsia="Arial" w:hAnsi="Arial"/>
                <w:sz w:val="14"/>
                <w:szCs w:val="14"/>
                <w:color w:val="auto"/>
              </w:rPr>
              <w:t>0.5% Cash, Due 11/22</w:t>
            </w: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780" w:type="dxa"/>
            <w:vAlign w:val="bottom"/>
            <w:gridSpan w:val="2"/>
            <w:vMerge w:val="restart"/>
          </w:tcPr>
          <w:p>
            <w:pPr>
              <w:ind w:left="240"/>
              <w:spacing w:after="0"/>
              <w:rPr>
                <w:sz w:val="20"/>
                <w:szCs w:val="20"/>
                <w:color w:val="auto"/>
              </w:rPr>
            </w:pPr>
            <w:r>
              <w:rPr>
                <w:rFonts w:ascii="Arial" w:cs="Arial" w:eastAsia="Arial" w:hAnsi="Arial"/>
                <w:sz w:val="14"/>
                <w:szCs w:val="14"/>
                <w:color w:val="auto"/>
              </w:rPr>
              <w:t>Healthcare &amp; Pharmaceuticals</w:t>
            </w:r>
          </w:p>
        </w:tc>
        <w:tc>
          <w:tcPr>
            <w:tcW w:w="1240" w:type="dxa"/>
            <w:vAlign w:val="bottom"/>
          </w:tcPr>
          <w:p>
            <w:pPr>
              <w:spacing w:after="0"/>
              <w:rPr>
                <w:sz w:val="9"/>
                <w:szCs w:val="9"/>
                <w:color w:val="auto"/>
              </w:rPr>
            </w:pPr>
          </w:p>
        </w:tc>
        <w:tc>
          <w:tcPr>
            <w:tcW w:w="2400" w:type="dxa"/>
            <w:vAlign w:val="bottom"/>
            <w:gridSpan w:val="2"/>
            <w:vMerge w:val="continue"/>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10/28/2020</w:t>
            </w:r>
          </w:p>
        </w:tc>
        <w:tc>
          <w:tcPr>
            <w:tcW w:w="86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78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840"/>
          </w:cols>
          <w:pgMar w:left="320" w:top="443" w:right="7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30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Portfolio Company /</w:t>
            </w:r>
          </w:p>
        </w:tc>
        <w:tc>
          <w:tcPr>
            <w:tcW w:w="980" w:type="dxa"/>
            <w:vAlign w:val="bottom"/>
          </w:tcPr>
          <w:p>
            <w:pPr>
              <w:spacing w:after="0"/>
              <w:rPr>
                <w:sz w:val="13"/>
                <w:szCs w:val="13"/>
                <w:color w:val="auto"/>
              </w:rPr>
            </w:pPr>
          </w:p>
        </w:tc>
        <w:tc>
          <w:tcPr>
            <w:tcW w:w="2400" w:type="dxa"/>
            <w:vAlign w:val="bottom"/>
            <w:gridSpan w:val="2"/>
            <w:vMerge w:val="restart"/>
          </w:tcPr>
          <w:p>
            <w:pPr>
              <w:ind w:left="840"/>
              <w:spacing w:after="0"/>
              <w:rPr>
                <w:sz w:val="20"/>
                <w:szCs w:val="20"/>
                <w:color w:val="auto"/>
              </w:rPr>
            </w:pPr>
            <w:r>
              <w:rPr>
                <w:rFonts w:ascii="Arial" w:cs="Arial" w:eastAsia="Arial" w:hAnsi="Arial"/>
                <w:sz w:val="13"/>
                <w:szCs w:val="13"/>
                <w:b w:val="1"/>
                <w:bCs w:val="1"/>
                <w:color w:val="auto"/>
              </w:rPr>
              <w:t>Investment</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Initial</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128"/>
        </w:trPr>
        <w:tc>
          <w:tcPr>
            <w:tcW w:w="3040" w:type="dxa"/>
            <w:vAlign w:val="bottom"/>
            <w:gridSpan w:val="3"/>
            <w:vMerge w:val="continue"/>
          </w:tcPr>
          <w:p>
            <w:pPr>
              <w:spacing w:after="0"/>
              <w:rPr>
                <w:sz w:val="11"/>
                <w:szCs w:val="11"/>
                <w:color w:val="auto"/>
              </w:rPr>
            </w:pPr>
          </w:p>
        </w:tc>
        <w:tc>
          <w:tcPr>
            <w:tcW w:w="98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860" w:type="dxa"/>
            <w:vAlign w:val="bottom"/>
            <w:gridSpan w:val="2"/>
          </w:tcPr>
          <w:p>
            <w:pPr>
              <w:jc w:val="center"/>
              <w:ind w:right="160"/>
              <w:spacing w:after="0" w:line="128" w:lineRule="exact"/>
              <w:rPr>
                <w:sz w:val="20"/>
                <w:szCs w:val="20"/>
                <w:color w:val="auto"/>
              </w:rPr>
            </w:pPr>
            <w:r>
              <w:rPr>
                <w:rFonts w:ascii="Arial" w:cs="Arial" w:eastAsia="Arial" w:hAnsi="Arial"/>
                <w:sz w:val="13"/>
                <w:szCs w:val="13"/>
                <w:b w:val="1"/>
                <w:bCs w:val="1"/>
                <w:color w:val="auto"/>
                <w:w w:val="87"/>
              </w:rPr>
              <w:t>Acquisition</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200"/>
              <w:spacing w:after="0" w:line="128" w:lineRule="exact"/>
              <w:rPr>
                <w:sz w:val="20"/>
                <w:szCs w:val="20"/>
                <w:color w:val="auto"/>
              </w:rPr>
            </w:pPr>
            <w:r>
              <w:rPr>
                <w:rFonts w:ascii="Arial" w:cs="Arial" w:eastAsia="Arial" w:hAnsi="Arial"/>
                <w:sz w:val="13"/>
                <w:szCs w:val="13"/>
                <w:b w:val="1"/>
                <w:bCs w:val="1"/>
                <w:color w:val="auto"/>
              </w:rPr>
              <w:t>Amortized</w:t>
            </w:r>
          </w:p>
        </w:tc>
        <w:tc>
          <w:tcPr>
            <w:tcW w:w="860" w:type="dxa"/>
            <w:vAlign w:val="bottom"/>
            <w:gridSpan w:val="2"/>
          </w:tcPr>
          <w:p>
            <w:pPr>
              <w:jc w:val="right"/>
              <w:ind w:right="380"/>
              <w:spacing w:after="0" w:line="128" w:lineRule="exact"/>
              <w:rPr>
                <w:sz w:val="20"/>
                <w:szCs w:val="20"/>
                <w:color w:val="auto"/>
              </w:rPr>
            </w:pPr>
            <w:r>
              <w:rPr>
                <w:rFonts w:ascii="Arial" w:cs="Arial" w:eastAsia="Arial" w:hAnsi="Arial"/>
                <w:sz w:val="13"/>
                <w:szCs w:val="13"/>
                <w:b w:val="1"/>
                <w:bCs w:val="1"/>
                <w:color w:val="auto"/>
              </w:rPr>
              <w:t>Fair</w:t>
            </w:r>
          </w:p>
        </w:tc>
        <w:tc>
          <w:tcPr>
            <w:tcW w:w="58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85"/>
              </w:rPr>
              <w:t>Net</w:t>
            </w:r>
          </w:p>
        </w:tc>
        <w:tc>
          <w:tcPr>
            <w:tcW w:w="0" w:type="dxa"/>
            <w:vAlign w:val="bottom"/>
          </w:tcPr>
          <w:p>
            <w:pPr>
              <w:spacing w:after="0"/>
              <w:rPr>
                <w:sz w:val="1"/>
                <w:szCs w:val="1"/>
                <w:color w:val="auto"/>
              </w:rPr>
            </w:pPr>
          </w:p>
        </w:tc>
      </w:tr>
      <w:tr>
        <w:trPr>
          <w:trHeight w:val="153"/>
        </w:trPr>
        <w:tc>
          <w:tcPr>
            <w:tcW w:w="304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980" w:type="dxa"/>
            <w:vAlign w:val="bottom"/>
          </w:tcPr>
          <w:p>
            <w:pPr>
              <w:spacing w:after="0"/>
              <w:rPr>
                <w:sz w:val="13"/>
                <w:szCs w:val="13"/>
                <w:color w:val="auto"/>
              </w:rPr>
            </w:pPr>
          </w:p>
        </w:tc>
        <w:tc>
          <w:tcPr>
            <w:tcW w:w="2400" w:type="dxa"/>
            <w:vAlign w:val="bottom"/>
            <w:gridSpan w:val="2"/>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Date</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Principal</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Cost</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0"/>
                <w:szCs w:val="10"/>
                <w:b w:val="1"/>
                <w:bCs w:val="1"/>
                <w:color w:val="auto"/>
              </w:rPr>
              <w:t>2</w:t>
            </w: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9"/>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302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Ministry Brands, LLC</w:t>
            </w:r>
          </w:p>
        </w:tc>
        <w:tc>
          <w:tcPr>
            <w:tcW w:w="980" w:type="dxa"/>
            <w:vAlign w:val="bottom"/>
            <w:shd w:val="clear" w:color="auto" w:fill="CCEEFF"/>
          </w:tcPr>
          <w:p>
            <w:pPr>
              <w:ind w:left="60"/>
              <w:spacing w:after="0" w:line="101" w:lineRule="exact"/>
              <w:rPr>
                <w:sz w:val="20"/>
                <w:szCs w:val="20"/>
                <w:color w:val="auto"/>
              </w:rPr>
            </w:pPr>
            <w:r>
              <w:rPr>
                <w:rFonts w:ascii="Arial" w:cs="Arial" w:eastAsia="Arial" w:hAnsi="Arial"/>
                <w:sz w:val="10"/>
                <w:szCs w:val="10"/>
                <w:color w:val="auto"/>
              </w:rPr>
              <w:t>(8)(13)(14)</w:t>
            </w:r>
          </w:p>
        </w:tc>
        <w:tc>
          <w:tcPr>
            <w:tcW w:w="230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Junior Secured Loan — April 2018</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89"/>
              </w:rPr>
              <w:t>12730 Fair Lakes Circle, Suite 600, Fairfax, VA 22033</w:t>
            </w:r>
          </w:p>
        </w:tc>
        <w:tc>
          <w:tcPr>
            <w:tcW w:w="98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Incremental Term Loan (Second Lien)</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gridSpan w:val="2"/>
            <w:shd w:val="clear" w:color="auto" w:fill="CCEEFF"/>
          </w:tcPr>
          <w:p>
            <w:pPr>
              <w:ind w:left="240"/>
              <w:spacing w:after="0" w:line="148" w:lineRule="exact"/>
              <w:rPr>
                <w:sz w:val="20"/>
                <w:szCs w:val="20"/>
                <w:color w:val="auto"/>
              </w:rPr>
            </w:pPr>
            <w:r>
              <w:rPr>
                <w:rFonts w:ascii="Arial" w:cs="Arial" w:eastAsia="Arial" w:hAnsi="Arial"/>
                <w:sz w:val="14"/>
                <w:szCs w:val="14"/>
                <w:color w:val="auto"/>
              </w:rPr>
              <w:t>Services: Business</w:t>
            </w:r>
          </w:p>
        </w:tc>
        <w:tc>
          <w:tcPr>
            <w:tcW w:w="98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9.0% Cash, 1 Month Libor (1.00%) +</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8.00%; Libor Floor 1.00%, Due 6/23</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12/18/2019</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6,000,000</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5,692,827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5,895,000</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24"/>
        </w:trPr>
        <w:tc>
          <w:tcPr>
            <w:tcW w:w="3040" w:type="dxa"/>
            <w:vAlign w:val="bottom"/>
            <w:gridSpan w:val="3"/>
          </w:tcPr>
          <w:p>
            <w:pPr>
              <w:spacing w:after="0"/>
              <w:rPr>
                <w:sz w:val="20"/>
                <w:szCs w:val="20"/>
                <w:color w:val="auto"/>
              </w:rPr>
            </w:pPr>
            <w:r>
              <w:rPr>
                <w:rFonts w:ascii="Arial" w:cs="Arial" w:eastAsia="Arial" w:hAnsi="Arial"/>
                <w:sz w:val="14"/>
                <w:szCs w:val="14"/>
                <w:color w:val="auto"/>
              </w:rPr>
              <w:t>Mother’s Market &amp; Kitchen, Inc.</w:t>
            </w:r>
          </w:p>
        </w:tc>
        <w:tc>
          <w:tcPr>
            <w:tcW w:w="980" w:type="dxa"/>
            <w:vAlign w:val="bottom"/>
          </w:tcPr>
          <w:p>
            <w:pPr>
              <w:ind w:left="60"/>
              <w:spacing w:after="0"/>
              <w:rPr>
                <w:sz w:val="20"/>
                <w:szCs w:val="20"/>
                <w:color w:val="auto"/>
              </w:rPr>
            </w:pPr>
            <w:r>
              <w:rPr>
                <w:rFonts w:ascii="Arial" w:cs="Arial" w:eastAsia="Arial" w:hAnsi="Arial"/>
                <w:sz w:val="12"/>
                <w:szCs w:val="12"/>
                <w:color w:val="auto"/>
              </w:rPr>
              <w:t>(8)(13)(14)</w:t>
            </w:r>
          </w:p>
        </w:tc>
        <w:tc>
          <w:tcPr>
            <w:tcW w:w="2400" w:type="dxa"/>
            <w:vAlign w:val="bottom"/>
            <w:gridSpan w:val="2"/>
          </w:tcPr>
          <w:p>
            <w:pPr>
              <w:spacing w:after="0"/>
              <w:rPr>
                <w:sz w:val="20"/>
                <w:szCs w:val="20"/>
                <w:color w:val="auto"/>
              </w:rPr>
            </w:pPr>
            <w:r>
              <w:rPr>
                <w:rFonts w:ascii="Arial" w:cs="Arial" w:eastAsia="Arial" w:hAnsi="Arial"/>
                <w:sz w:val="14"/>
                <w:szCs w:val="14"/>
                <w:color w:val="auto"/>
                <w:w w:val="96"/>
              </w:rPr>
              <w:t>Senior Secured Loan — First Lien Term</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040" w:type="dxa"/>
            <w:vAlign w:val="bottom"/>
            <w:gridSpan w:val="3"/>
          </w:tcPr>
          <w:p>
            <w:pPr>
              <w:spacing w:after="0" w:line="141" w:lineRule="exact"/>
              <w:rPr>
                <w:sz w:val="20"/>
                <w:szCs w:val="20"/>
                <w:color w:val="auto"/>
              </w:rPr>
            </w:pPr>
            <w:r>
              <w:rPr>
                <w:rFonts w:ascii="Arial" w:cs="Arial" w:eastAsia="Arial" w:hAnsi="Arial"/>
                <w:sz w:val="14"/>
                <w:szCs w:val="14"/>
                <w:color w:val="auto"/>
              </w:rPr>
              <w:t>320 S. Polk St., Suite 100 Amarillo, TX 79101</w:t>
            </w:r>
          </w:p>
        </w:tc>
        <w:tc>
          <w:tcPr>
            <w:tcW w:w="98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2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Healthcare &amp; Pharmaceuticals</w:t>
            </w:r>
          </w:p>
        </w:tc>
        <w:tc>
          <w:tcPr>
            <w:tcW w:w="98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6.5% Cash, 3 Month Libor (1.00%) +</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4"/>
                <w:szCs w:val="14"/>
                <w:color w:val="auto"/>
              </w:rPr>
              <w:t>5.50%; Libor Floor 1.00%, Due 7/23</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10/28/2020</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6,537,592</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5,949,051</w:t>
            </w:r>
          </w:p>
        </w:tc>
        <w:tc>
          <w:tcPr>
            <w:tcW w:w="720" w:type="dxa"/>
            <w:vAlign w:val="bottom"/>
          </w:tcPr>
          <w:p>
            <w:pPr>
              <w:jc w:val="right"/>
              <w:spacing w:after="0"/>
              <w:rPr>
                <w:sz w:val="20"/>
                <w:szCs w:val="20"/>
                <w:color w:val="auto"/>
              </w:rPr>
            </w:pPr>
            <w:r>
              <w:rPr>
                <w:rFonts w:ascii="Arial" w:cs="Arial" w:eastAsia="Arial" w:hAnsi="Arial"/>
                <w:sz w:val="14"/>
                <w:szCs w:val="14"/>
                <w:color w:val="auto"/>
              </w:rPr>
              <w:t>6,537,592</w:t>
            </w:r>
          </w:p>
        </w:tc>
        <w:tc>
          <w:tcPr>
            <w:tcW w:w="14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0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MSM Acquisitions, Inc.</w:t>
            </w:r>
          </w:p>
        </w:tc>
        <w:tc>
          <w:tcPr>
            <w:tcW w:w="98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(8)(13)(14)</w:t>
            </w:r>
          </w:p>
        </w:tc>
        <w:tc>
          <w:tcPr>
            <w:tcW w:w="24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w w:val="98"/>
              </w:rPr>
              <w:t>Senior Secured Loan — Delayed Draw</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401 City Avenue Bala Cynwyd, PA 19004</w:t>
            </w:r>
          </w:p>
        </w:tc>
        <w:tc>
          <w:tcPr>
            <w:tcW w:w="98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Term Loan (First Lien)</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2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Services: Business</w:t>
            </w:r>
          </w:p>
        </w:tc>
        <w:tc>
          <w:tcPr>
            <w:tcW w:w="98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7.0% Cash, 3 Month Libor (1.00%) +</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6.00%; Libor Floor 1.00%, Due 6/22</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12/31/2020</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2,922,750</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2,926,243</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2,920,120</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4"/>
        </w:trPr>
        <w:tc>
          <w:tcPr>
            <w:tcW w:w="3040" w:type="dxa"/>
            <w:vAlign w:val="bottom"/>
            <w:gridSpan w:val="3"/>
          </w:tcPr>
          <w:p>
            <w:pPr>
              <w:spacing w:after="0"/>
              <w:rPr>
                <w:sz w:val="20"/>
                <w:szCs w:val="20"/>
                <w:color w:val="auto"/>
              </w:rPr>
            </w:pPr>
            <w:r>
              <w:rPr>
                <w:rFonts w:ascii="Arial" w:cs="Arial" w:eastAsia="Arial" w:hAnsi="Arial"/>
                <w:sz w:val="14"/>
                <w:szCs w:val="14"/>
                <w:color w:val="auto"/>
              </w:rPr>
              <w:t>MSM Acquisitions, Inc.</w:t>
            </w:r>
          </w:p>
        </w:tc>
        <w:tc>
          <w:tcPr>
            <w:tcW w:w="980" w:type="dxa"/>
            <w:vAlign w:val="bottom"/>
          </w:tcPr>
          <w:p>
            <w:pPr>
              <w:ind w:left="60"/>
              <w:spacing w:after="0"/>
              <w:rPr>
                <w:sz w:val="20"/>
                <w:szCs w:val="20"/>
                <w:color w:val="auto"/>
              </w:rPr>
            </w:pPr>
            <w:r>
              <w:rPr>
                <w:rFonts w:ascii="Arial" w:cs="Arial" w:eastAsia="Arial" w:hAnsi="Arial"/>
                <w:sz w:val="12"/>
                <w:szCs w:val="12"/>
                <w:color w:val="auto"/>
              </w:rPr>
              <w:t>(8)(13)(14)</w:t>
            </w:r>
          </w:p>
        </w:tc>
        <w:tc>
          <w:tcPr>
            <w:tcW w:w="2400" w:type="dxa"/>
            <w:vAlign w:val="bottom"/>
            <w:gridSpan w:val="2"/>
          </w:tcPr>
          <w:p>
            <w:pPr>
              <w:spacing w:after="0"/>
              <w:rPr>
                <w:sz w:val="20"/>
                <w:szCs w:val="20"/>
                <w:color w:val="auto"/>
              </w:rPr>
            </w:pPr>
            <w:r>
              <w:rPr>
                <w:rFonts w:ascii="Arial" w:cs="Arial" w:eastAsia="Arial" w:hAnsi="Arial"/>
                <w:sz w:val="14"/>
                <w:szCs w:val="14"/>
                <w:color w:val="auto"/>
                <w:w w:val="96"/>
              </w:rPr>
              <w:t>Senior Secured Loan — First Lien Term</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040" w:type="dxa"/>
            <w:vAlign w:val="bottom"/>
            <w:gridSpan w:val="3"/>
          </w:tcPr>
          <w:p>
            <w:pPr>
              <w:spacing w:after="0" w:line="141" w:lineRule="exact"/>
              <w:rPr>
                <w:sz w:val="20"/>
                <w:szCs w:val="20"/>
                <w:color w:val="auto"/>
              </w:rPr>
            </w:pPr>
            <w:r>
              <w:rPr>
                <w:rFonts w:ascii="Arial" w:cs="Arial" w:eastAsia="Arial" w:hAnsi="Arial"/>
                <w:sz w:val="14"/>
                <w:szCs w:val="14"/>
                <w:color w:val="auto"/>
              </w:rPr>
              <w:t>401 City Avenue Bala Cynwyd, PA 19004</w:t>
            </w:r>
          </w:p>
        </w:tc>
        <w:tc>
          <w:tcPr>
            <w:tcW w:w="98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2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Services: Business</w:t>
            </w:r>
          </w:p>
        </w:tc>
        <w:tc>
          <w:tcPr>
            <w:tcW w:w="98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7.0% Cash, 3 Month Libor (1.00%) +</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4"/>
                <w:szCs w:val="14"/>
                <w:color w:val="auto"/>
              </w:rPr>
              <w:t>6.00%; Libor Floor 1.00%, Due 12/26</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12/31/2020</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7,005,971</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6,929,459</w:t>
            </w:r>
          </w:p>
        </w:tc>
        <w:tc>
          <w:tcPr>
            <w:tcW w:w="720" w:type="dxa"/>
            <w:vAlign w:val="bottom"/>
          </w:tcPr>
          <w:p>
            <w:pPr>
              <w:jc w:val="right"/>
              <w:spacing w:after="0"/>
              <w:rPr>
                <w:sz w:val="20"/>
                <w:szCs w:val="20"/>
                <w:color w:val="auto"/>
              </w:rPr>
            </w:pPr>
            <w:r>
              <w:rPr>
                <w:rFonts w:ascii="Arial" w:cs="Arial" w:eastAsia="Arial" w:hAnsi="Arial"/>
                <w:sz w:val="14"/>
                <w:szCs w:val="14"/>
                <w:color w:val="auto"/>
              </w:rPr>
              <w:t>6,999,665</w:t>
            </w:r>
          </w:p>
        </w:tc>
        <w:tc>
          <w:tcPr>
            <w:tcW w:w="14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0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Nasco Healthcare Inc.</w:t>
            </w:r>
          </w:p>
        </w:tc>
        <w:tc>
          <w:tcPr>
            <w:tcW w:w="98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(8)(13)(14)(21)</w:t>
            </w:r>
          </w:p>
        </w:tc>
        <w:tc>
          <w:tcPr>
            <w:tcW w:w="24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Senior Secured Loan — Term Loan</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16 Simulaids Drive Saugerties, NY 12477 USA</w:t>
            </w:r>
          </w:p>
        </w:tc>
        <w:tc>
          <w:tcPr>
            <w:tcW w:w="98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6.5% Cash, 3 Month Libor (1.00%) +</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Consumer goods: Non-durable</w:t>
            </w:r>
          </w:p>
        </w:tc>
        <w:tc>
          <w:tcPr>
            <w:tcW w:w="98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5.50%; Libor Floor 1.00%, Due 6/23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5/22/2020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4,276,086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3,811,036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4,198,261</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24"/>
        </w:trPr>
        <w:tc>
          <w:tcPr>
            <w:tcW w:w="3040" w:type="dxa"/>
            <w:vAlign w:val="bottom"/>
            <w:gridSpan w:val="3"/>
          </w:tcPr>
          <w:p>
            <w:pPr>
              <w:spacing w:after="0"/>
              <w:rPr>
                <w:sz w:val="20"/>
                <w:szCs w:val="20"/>
                <w:color w:val="auto"/>
              </w:rPr>
            </w:pPr>
            <w:r>
              <w:rPr>
                <w:rFonts w:ascii="Arial" w:cs="Arial" w:eastAsia="Arial" w:hAnsi="Arial"/>
                <w:sz w:val="14"/>
                <w:szCs w:val="14"/>
                <w:color w:val="auto"/>
              </w:rPr>
              <w:t>Navex Topco, Inc.</w:t>
            </w:r>
          </w:p>
        </w:tc>
        <w:tc>
          <w:tcPr>
            <w:tcW w:w="980" w:type="dxa"/>
            <w:vAlign w:val="bottom"/>
          </w:tcPr>
          <w:p>
            <w:pPr>
              <w:ind w:left="60"/>
              <w:spacing w:after="0"/>
              <w:rPr>
                <w:sz w:val="20"/>
                <w:szCs w:val="20"/>
                <w:color w:val="auto"/>
              </w:rPr>
            </w:pPr>
            <w:r>
              <w:rPr>
                <w:rFonts w:ascii="Arial" w:cs="Arial" w:eastAsia="Arial" w:hAnsi="Arial"/>
                <w:sz w:val="12"/>
                <w:szCs w:val="12"/>
                <w:color w:val="auto"/>
              </w:rPr>
              <w:t>(8)(14)(18)(21)</w:t>
            </w:r>
          </w:p>
        </w:tc>
        <w:tc>
          <w:tcPr>
            <w:tcW w:w="2400" w:type="dxa"/>
            <w:vAlign w:val="bottom"/>
            <w:gridSpan w:val="2"/>
          </w:tcPr>
          <w:p>
            <w:pPr>
              <w:spacing w:after="0"/>
              <w:rPr>
                <w:sz w:val="20"/>
                <w:szCs w:val="20"/>
                <w:color w:val="auto"/>
              </w:rPr>
            </w:pPr>
            <w:r>
              <w:rPr>
                <w:rFonts w:ascii="Arial" w:cs="Arial" w:eastAsia="Arial" w:hAnsi="Arial"/>
                <w:sz w:val="14"/>
                <w:szCs w:val="14"/>
                <w:color w:val="auto"/>
              </w:rPr>
              <w:t>Junior Secured Loan — Initial Term</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040" w:type="dxa"/>
            <w:vAlign w:val="bottom"/>
            <w:gridSpan w:val="3"/>
          </w:tcPr>
          <w:p>
            <w:pPr>
              <w:spacing w:after="0" w:line="141" w:lineRule="exact"/>
              <w:rPr>
                <w:sz w:val="20"/>
                <w:szCs w:val="20"/>
                <w:color w:val="auto"/>
              </w:rPr>
            </w:pPr>
            <w:r>
              <w:rPr>
                <w:rFonts w:ascii="Arial" w:cs="Arial" w:eastAsia="Arial" w:hAnsi="Arial"/>
                <w:sz w:val="14"/>
                <w:szCs w:val="14"/>
                <w:color w:val="auto"/>
              </w:rPr>
              <w:t>14488 Old Stage Rd, Lenoir City, TN 37772</w:t>
            </w:r>
          </w:p>
        </w:tc>
        <w:tc>
          <w:tcPr>
            <w:tcW w:w="98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Loan (Second Lien)</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2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Electronics</w:t>
            </w:r>
          </w:p>
        </w:tc>
        <w:tc>
          <w:tcPr>
            <w:tcW w:w="98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7.1% Cash, 1 Month Libor (0.09%) +</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4"/>
                <w:szCs w:val="14"/>
                <w:color w:val="auto"/>
              </w:rPr>
              <w:t>7.00%, Due 9/26</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12/4/2018</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7,700,000</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7,285,597</w:t>
            </w:r>
          </w:p>
        </w:tc>
        <w:tc>
          <w:tcPr>
            <w:tcW w:w="720" w:type="dxa"/>
            <w:vAlign w:val="bottom"/>
          </w:tcPr>
          <w:p>
            <w:pPr>
              <w:jc w:val="right"/>
              <w:spacing w:after="0"/>
              <w:rPr>
                <w:sz w:val="20"/>
                <w:szCs w:val="20"/>
                <w:color w:val="auto"/>
              </w:rPr>
            </w:pPr>
            <w:r>
              <w:rPr>
                <w:rFonts w:ascii="Arial" w:cs="Arial" w:eastAsia="Arial" w:hAnsi="Arial"/>
                <w:sz w:val="14"/>
                <w:szCs w:val="14"/>
                <w:color w:val="auto"/>
              </w:rPr>
              <w:t>7,552,430</w:t>
            </w:r>
          </w:p>
        </w:tc>
        <w:tc>
          <w:tcPr>
            <w:tcW w:w="14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0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Naviga Inc.</w:t>
            </w:r>
          </w:p>
        </w:tc>
        <w:tc>
          <w:tcPr>
            <w:tcW w:w="98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(8)(13)(14)</w:t>
            </w:r>
          </w:p>
        </w:tc>
        <w:tc>
          <w:tcPr>
            <w:tcW w:w="24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w w:val="98"/>
              </w:rPr>
              <w:t>Senior Secured Loan — Delayed Draw</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100 Kalmus Drive Costa Mesa, CA 92626</w:t>
            </w:r>
          </w:p>
        </w:tc>
        <w:tc>
          <w:tcPr>
            <w:tcW w:w="98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Term Loan</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2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Services: Business</w:t>
            </w:r>
          </w:p>
        </w:tc>
        <w:tc>
          <w:tcPr>
            <w:tcW w:w="98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8.0% Cash, 3 Month Libor (1.00%) +</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7.00%; Libor Floor 1.00%, Due 12/22</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10/28/2020</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458,407</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420,971</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450,385</w:t>
            </w:r>
          </w:p>
        </w:tc>
        <w:tc>
          <w:tcPr>
            <w:tcW w:w="5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24"/>
        </w:trPr>
        <w:tc>
          <w:tcPr>
            <w:tcW w:w="3040" w:type="dxa"/>
            <w:vAlign w:val="bottom"/>
            <w:gridSpan w:val="3"/>
          </w:tcPr>
          <w:p>
            <w:pPr>
              <w:spacing w:after="0"/>
              <w:rPr>
                <w:sz w:val="20"/>
                <w:szCs w:val="20"/>
                <w:color w:val="auto"/>
              </w:rPr>
            </w:pPr>
            <w:r>
              <w:rPr>
                <w:rFonts w:ascii="Arial" w:cs="Arial" w:eastAsia="Arial" w:hAnsi="Arial"/>
                <w:sz w:val="14"/>
                <w:szCs w:val="14"/>
                <w:color w:val="auto"/>
              </w:rPr>
              <w:t>Naviga Inc.</w:t>
            </w:r>
          </w:p>
        </w:tc>
        <w:tc>
          <w:tcPr>
            <w:tcW w:w="980" w:type="dxa"/>
            <w:vAlign w:val="bottom"/>
          </w:tcPr>
          <w:p>
            <w:pPr>
              <w:ind w:left="60"/>
              <w:spacing w:after="0"/>
              <w:rPr>
                <w:sz w:val="20"/>
                <w:szCs w:val="20"/>
                <w:color w:val="auto"/>
              </w:rPr>
            </w:pPr>
            <w:r>
              <w:rPr>
                <w:rFonts w:ascii="Arial" w:cs="Arial" w:eastAsia="Arial" w:hAnsi="Arial"/>
                <w:sz w:val="12"/>
                <w:szCs w:val="12"/>
                <w:color w:val="auto"/>
              </w:rPr>
              <w:t>(8)(13)</w:t>
            </w:r>
          </w:p>
        </w:tc>
        <w:tc>
          <w:tcPr>
            <w:tcW w:w="2400" w:type="dxa"/>
            <w:vAlign w:val="bottom"/>
            <w:gridSpan w:val="2"/>
          </w:tcPr>
          <w:p>
            <w:pPr>
              <w:spacing w:after="0"/>
              <w:rPr>
                <w:sz w:val="20"/>
                <w:szCs w:val="20"/>
                <w:color w:val="auto"/>
              </w:rPr>
            </w:pPr>
            <w:r>
              <w:rPr>
                <w:rFonts w:ascii="Arial" w:cs="Arial" w:eastAsia="Arial" w:hAnsi="Arial"/>
                <w:sz w:val="14"/>
                <w:szCs w:val="14"/>
                <w:color w:val="auto"/>
                <w:w w:val="98"/>
              </w:rPr>
              <w:t>Senior Secured Loan — Delayed Draw</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040" w:type="dxa"/>
            <w:vAlign w:val="bottom"/>
            <w:gridSpan w:val="3"/>
          </w:tcPr>
          <w:p>
            <w:pPr>
              <w:spacing w:after="0" w:line="141" w:lineRule="exact"/>
              <w:rPr>
                <w:sz w:val="20"/>
                <w:szCs w:val="20"/>
                <w:color w:val="auto"/>
              </w:rPr>
            </w:pPr>
            <w:r>
              <w:rPr>
                <w:rFonts w:ascii="Arial" w:cs="Arial" w:eastAsia="Arial" w:hAnsi="Arial"/>
                <w:sz w:val="14"/>
                <w:szCs w:val="14"/>
                <w:color w:val="auto"/>
                <w:w w:val="93"/>
              </w:rPr>
              <w:t>800 Concar Drive, Suite 100, San Mateo, CA 94402</w:t>
            </w:r>
          </w:p>
        </w:tc>
        <w:tc>
          <w:tcPr>
            <w:tcW w:w="98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Term Loan</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2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Services: Business</w:t>
            </w:r>
          </w:p>
        </w:tc>
        <w:tc>
          <w:tcPr>
            <w:tcW w:w="98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8.0% Cash, 3 Month Libor (1.00%) +</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4"/>
                <w:szCs w:val="14"/>
                <w:color w:val="auto"/>
              </w:rPr>
              <w:t>7.00%; Libor Floor 1.00%, Due 12/22</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3/1/2021</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757,552</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751,116</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744,295</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0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Naviga Inc.</w:t>
            </w:r>
          </w:p>
        </w:tc>
        <w:tc>
          <w:tcPr>
            <w:tcW w:w="98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(8)(13)(14)(23)</w:t>
            </w:r>
          </w:p>
        </w:tc>
        <w:tc>
          <w:tcPr>
            <w:tcW w:w="24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Senior Secured Loan — Revolver</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1100 Peachtree St NE #200, Atlanta, GA 30309</w:t>
            </w:r>
          </w:p>
        </w:tc>
        <w:tc>
          <w:tcPr>
            <w:tcW w:w="98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8.0% Cash, 3 Month Libor (1.00%) +</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Services: Business</w:t>
            </w:r>
          </w:p>
        </w:tc>
        <w:tc>
          <w:tcPr>
            <w:tcW w:w="98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7.00%; Libor Floor 1.00%, Due 12/22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10/28/2020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383,812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327,841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371,818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24"/>
        </w:trPr>
        <w:tc>
          <w:tcPr>
            <w:tcW w:w="3040" w:type="dxa"/>
            <w:vAlign w:val="bottom"/>
            <w:gridSpan w:val="3"/>
          </w:tcPr>
          <w:p>
            <w:pPr>
              <w:spacing w:after="0"/>
              <w:rPr>
                <w:sz w:val="20"/>
                <w:szCs w:val="20"/>
                <w:color w:val="auto"/>
              </w:rPr>
            </w:pPr>
            <w:r>
              <w:rPr>
                <w:rFonts w:ascii="Arial" w:cs="Arial" w:eastAsia="Arial" w:hAnsi="Arial"/>
                <w:sz w:val="14"/>
                <w:szCs w:val="14"/>
                <w:color w:val="auto"/>
              </w:rPr>
              <w:t>Naviga Inc.</w:t>
            </w:r>
          </w:p>
        </w:tc>
        <w:tc>
          <w:tcPr>
            <w:tcW w:w="980" w:type="dxa"/>
            <w:vAlign w:val="bottom"/>
          </w:tcPr>
          <w:p>
            <w:pPr>
              <w:ind w:left="60"/>
              <w:spacing w:after="0"/>
              <w:rPr>
                <w:sz w:val="20"/>
                <w:szCs w:val="20"/>
                <w:color w:val="auto"/>
              </w:rPr>
            </w:pPr>
            <w:r>
              <w:rPr>
                <w:rFonts w:ascii="Arial" w:cs="Arial" w:eastAsia="Arial" w:hAnsi="Arial"/>
                <w:sz w:val="12"/>
                <w:szCs w:val="12"/>
                <w:color w:val="auto"/>
              </w:rPr>
              <w:t>(8)(13)(14)</w:t>
            </w:r>
          </w:p>
        </w:tc>
        <w:tc>
          <w:tcPr>
            <w:tcW w:w="2400" w:type="dxa"/>
            <w:vAlign w:val="bottom"/>
            <w:gridSpan w:val="2"/>
          </w:tcPr>
          <w:p>
            <w:pPr>
              <w:spacing w:after="0"/>
              <w:rPr>
                <w:sz w:val="20"/>
                <w:szCs w:val="20"/>
                <w:color w:val="auto"/>
              </w:rPr>
            </w:pPr>
            <w:r>
              <w:rPr>
                <w:rFonts w:ascii="Arial" w:cs="Arial" w:eastAsia="Arial" w:hAnsi="Arial"/>
                <w:sz w:val="14"/>
                <w:szCs w:val="14"/>
                <w:color w:val="auto"/>
                <w:w w:val="96"/>
              </w:rPr>
              <w:t>Senior Secured Loan — First Lien Term</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040" w:type="dxa"/>
            <w:vAlign w:val="bottom"/>
            <w:gridSpan w:val="3"/>
          </w:tcPr>
          <w:p>
            <w:pPr>
              <w:spacing w:after="0" w:line="141" w:lineRule="exact"/>
              <w:rPr>
                <w:sz w:val="20"/>
                <w:szCs w:val="20"/>
                <w:color w:val="auto"/>
              </w:rPr>
            </w:pPr>
            <w:r>
              <w:rPr>
                <w:rFonts w:ascii="Arial" w:cs="Arial" w:eastAsia="Arial" w:hAnsi="Arial"/>
                <w:sz w:val="14"/>
                <w:szCs w:val="14"/>
                <w:color w:val="auto"/>
                <w:w w:val="93"/>
              </w:rPr>
              <w:t>800 Concar Drive, Suite 100, San Mateo, CA 94402</w:t>
            </w:r>
          </w:p>
        </w:tc>
        <w:tc>
          <w:tcPr>
            <w:tcW w:w="98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2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Services: Business</w:t>
            </w:r>
          </w:p>
        </w:tc>
        <w:tc>
          <w:tcPr>
            <w:tcW w:w="98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8.0% Cash, 3 Month Libor (1.00%) +</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4"/>
                <w:szCs w:val="14"/>
                <w:color w:val="auto"/>
              </w:rPr>
              <w:t>7.00%; Libor Floor 1.00%, Due 12/22</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10/28/2020</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5,012,532</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4,603,954</w:t>
            </w:r>
          </w:p>
        </w:tc>
        <w:tc>
          <w:tcPr>
            <w:tcW w:w="720" w:type="dxa"/>
            <w:vAlign w:val="bottom"/>
          </w:tcPr>
          <w:p>
            <w:pPr>
              <w:jc w:val="right"/>
              <w:spacing w:after="0"/>
              <w:rPr>
                <w:sz w:val="20"/>
                <w:szCs w:val="20"/>
                <w:color w:val="auto"/>
              </w:rPr>
            </w:pPr>
            <w:r>
              <w:rPr>
                <w:rFonts w:ascii="Arial" w:cs="Arial" w:eastAsia="Arial" w:hAnsi="Arial"/>
                <w:sz w:val="14"/>
                <w:szCs w:val="14"/>
                <w:color w:val="auto"/>
              </w:rPr>
              <w:t>4,924,813</w:t>
            </w:r>
          </w:p>
        </w:tc>
        <w:tc>
          <w:tcPr>
            <w:tcW w:w="14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0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Naviga Inc.</w:t>
            </w:r>
          </w:p>
        </w:tc>
        <w:tc>
          <w:tcPr>
            <w:tcW w:w="98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w:t>
            </w:r>
          </w:p>
        </w:tc>
        <w:tc>
          <w:tcPr>
            <w:tcW w:w="24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Senior Secured Loan — Term Loan</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96 Cimmings Point Road, Stamford, CT 06902</w:t>
            </w:r>
          </w:p>
        </w:tc>
        <w:tc>
          <w:tcPr>
            <w:tcW w:w="98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8.0% Cash, 3 Month Libor (1.00%) +</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Services: Business</w:t>
            </w:r>
          </w:p>
        </w:tc>
        <w:tc>
          <w:tcPr>
            <w:tcW w:w="98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7.00%; Libor Floor 1.00%, Due 12/22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3/1/2021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713,686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701,560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701,196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24"/>
        </w:trPr>
        <w:tc>
          <w:tcPr>
            <w:tcW w:w="3040" w:type="dxa"/>
            <w:vAlign w:val="bottom"/>
            <w:gridSpan w:val="3"/>
          </w:tcPr>
          <w:p>
            <w:pPr>
              <w:spacing w:after="0"/>
              <w:rPr>
                <w:sz w:val="20"/>
                <w:szCs w:val="20"/>
                <w:color w:val="auto"/>
              </w:rPr>
            </w:pPr>
            <w:r>
              <w:rPr>
                <w:rFonts w:ascii="Arial" w:cs="Arial" w:eastAsia="Arial" w:hAnsi="Arial"/>
                <w:sz w:val="14"/>
                <w:szCs w:val="14"/>
                <w:color w:val="auto"/>
              </w:rPr>
              <w:t>Northeast Metal Works LLC</w:t>
            </w:r>
          </w:p>
        </w:tc>
        <w:tc>
          <w:tcPr>
            <w:tcW w:w="980" w:type="dxa"/>
            <w:vAlign w:val="bottom"/>
          </w:tcPr>
          <w:p>
            <w:pPr>
              <w:ind w:left="60"/>
              <w:spacing w:after="0"/>
              <w:rPr>
                <w:sz w:val="20"/>
                <w:szCs w:val="20"/>
                <w:color w:val="auto"/>
              </w:rPr>
            </w:pPr>
            <w:r>
              <w:rPr>
                <w:rFonts w:ascii="Arial" w:cs="Arial" w:eastAsia="Arial" w:hAnsi="Arial"/>
                <w:sz w:val="12"/>
                <w:szCs w:val="12"/>
                <w:color w:val="auto"/>
              </w:rPr>
              <w:t>(8)(13)(18)</w:t>
            </w:r>
          </w:p>
        </w:tc>
        <w:tc>
          <w:tcPr>
            <w:tcW w:w="2400" w:type="dxa"/>
            <w:vAlign w:val="bottom"/>
            <w:gridSpan w:val="2"/>
          </w:tcPr>
          <w:p>
            <w:pPr>
              <w:spacing w:after="0"/>
              <w:rPr>
                <w:sz w:val="20"/>
                <w:szCs w:val="20"/>
                <w:color w:val="auto"/>
              </w:rPr>
            </w:pPr>
            <w:r>
              <w:rPr>
                <w:rFonts w:ascii="Arial" w:cs="Arial" w:eastAsia="Arial" w:hAnsi="Arial"/>
                <w:sz w:val="14"/>
                <w:szCs w:val="14"/>
                <w:color w:val="auto"/>
                <w:w w:val="96"/>
              </w:rPr>
              <w:t>Senior Secured Loan — First Lien Term</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040" w:type="dxa"/>
            <w:vAlign w:val="bottom"/>
            <w:gridSpan w:val="3"/>
          </w:tcPr>
          <w:p>
            <w:pPr>
              <w:spacing w:after="0" w:line="141" w:lineRule="exact"/>
              <w:rPr>
                <w:sz w:val="20"/>
                <w:szCs w:val="20"/>
                <w:color w:val="auto"/>
              </w:rPr>
            </w:pPr>
            <w:r>
              <w:rPr>
                <w:rFonts w:ascii="Arial" w:cs="Arial" w:eastAsia="Arial" w:hAnsi="Arial"/>
                <w:sz w:val="14"/>
                <w:szCs w:val="14"/>
                <w:color w:val="auto"/>
              </w:rPr>
              <w:t>410 John Downey Drive, New Britain, CT 06051</w:t>
            </w:r>
          </w:p>
        </w:tc>
        <w:tc>
          <w:tcPr>
            <w:tcW w:w="98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gridSpan w:val="2"/>
          </w:tcPr>
          <w:p>
            <w:pPr>
              <w:ind w:left="240"/>
              <w:spacing w:after="0"/>
              <w:rPr>
                <w:sz w:val="20"/>
                <w:szCs w:val="20"/>
                <w:color w:val="auto"/>
              </w:rPr>
            </w:pPr>
            <w:r>
              <w:rPr>
                <w:rFonts w:ascii="Arial" w:cs="Arial" w:eastAsia="Arial" w:hAnsi="Arial"/>
                <w:sz w:val="14"/>
                <w:szCs w:val="14"/>
                <w:color w:val="auto"/>
              </w:rPr>
              <w:t>Metals &amp; Mining</w:t>
            </w:r>
          </w:p>
        </w:tc>
        <w:tc>
          <w:tcPr>
            <w:tcW w:w="98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Arial" w:cs="Arial" w:eastAsia="Arial" w:hAnsi="Arial"/>
                <w:sz w:val="14"/>
                <w:szCs w:val="14"/>
                <w:color w:val="auto"/>
              </w:rPr>
              <w:t>8.0% Cash, 2.0% PIK, Due 12/21</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w w:val="96"/>
              </w:rPr>
              <w:t>14,002,644</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11,882,240</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12,322,327</w:t>
            </w:r>
          </w:p>
        </w:tc>
        <w:tc>
          <w:tcPr>
            <w:tcW w:w="14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0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One Stop Mailing LLC</w:t>
            </w:r>
          </w:p>
        </w:tc>
        <w:tc>
          <w:tcPr>
            <w:tcW w:w="98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(8)(13)(14)</w:t>
            </w:r>
          </w:p>
        </w:tc>
        <w:tc>
          <w:tcPr>
            <w:tcW w:w="24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w w:val="96"/>
              </w:rPr>
              <w:t>Senior Secured Loan — First Lien Term</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601 Regency Drive, Glendale Heights, IL 60139</w:t>
            </w:r>
          </w:p>
        </w:tc>
        <w:tc>
          <w:tcPr>
            <w:tcW w:w="98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2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Transportation: Consumer</w:t>
            </w:r>
          </w:p>
        </w:tc>
        <w:tc>
          <w:tcPr>
            <w:tcW w:w="98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7.3% Cash, 1 Month Libor (1.00%) +</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6.25%; Libor Floor 1.00%, Due 4/27</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5/7/2021</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7,957,143</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7,808,033</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7,848,130</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840"/>
          </w:cols>
          <w:pgMar w:left="320" w:top="443" w:right="7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32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Portfolio Company /</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128"/>
        </w:trPr>
        <w:tc>
          <w:tcPr>
            <w:tcW w:w="326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900" w:type="dxa"/>
            <w:vAlign w:val="bottom"/>
            <w:gridSpan w:val="2"/>
          </w:tcPr>
          <w:p>
            <w:pPr>
              <w:jc w:val="center"/>
              <w:ind w:right="140"/>
              <w:spacing w:after="0" w:line="128" w:lineRule="exact"/>
              <w:rPr>
                <w:sz w:val="20"/>
                <w:szCs w:val="20"/>
                <w:color w:val="auto"/>
              </w:rPr>
            </w:pPr>
            <w:r>
              <w:rPr>
                <w:rFonts w:ascii="Arial" w:cs="Arial" w:eastAsia="Arial" w:hAnsi="Arial"/>
                <w:sz w:val="13"/>
                <w:szCs w:val="13"/>
                <w:b w:val="1"/>
                <w:bCs w:val="1"/>
                <w:color w:val="auto"/>
                <w:w w:val="90"/>
              </w:rPr>
              <w:t>Acquisition</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160"/>
              <w:spacing w:after="0" w:line="128" w:lineRule="exact"/>
              <w:rPr>
                <w:sz w:val="20"/>
                <w:szCs w:val="20"/>
                <w:color w:val="auto"/>
              </w:rPr>
            </w:pPr>
            <w:r>
              <w:rPr>
                <w:rFonts w:ascii="Arial" w:cs="Arial" w:eastAsia="Arial" w:hAnsi="Arial"/>
                <w:sz w:val="13"/>
                <w:szCs w:val="13"/>
                <w:b w:val="1"/>
                <w:bCs w:val="1"/>
                <w:color w:val="auto"/>
                <w:w w:val="91"/>
              </w:rPr>
              <w:t>Amortized</w:t>
            </w:r>
          </w:p>
        </w:tc>
        <w:tc>
          <w:tcPr>
            <w:tcW w:w="820" w:type="dxa"/>
            <w:vAlign w:val="bottom"/>
            <w:gridSpan w:val="2"/>
          </w:tcPr>
          <w:p>
            <w:pPr>
              <w:jc w:val="right"/>
              <w:ind w:right="360"/>
              <w:spacing w:after="0" w:line="128" w:lineRule="exact"/>
              <w:rPr>
                <w:sz w:val="20"/>
                <w:szCs w:val="20"/>
                <w:color w:val="auto"/>
              </w:rPr>
            </w:pPr>
            <w:r>
              <w:rPr>
                <w:rFonts w:ascii="Arial" w:cs="Arial" w:eastAsia="Arial" w:hAnsi="Arial"/>
                <w:sz w:val="13"/>
                <w:szCs w:val="13"/>
                <w:b w:val="1"/>
                <w:bCs w:val="1"/>
                <w:color w:val="auto"/>
              </w:rPr>
              <w:t>Fair</w:t>
            </w:r>
          </w:p>
        </w:tc>
        <w:tc>
          <w:tcPr>
            <w:tcW w:w="62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85"/>
              </w:rPr>
              <w:t>Net</w:t>
            </w:r>
          </w:p>
        </w:tc>
        <w:tc>
          <w:tcPr>
            <w:tcW w:w="0" w:type="dxa"/>
            <w:vAlign w:val="bottom"/>
          </w:tcPr>
          <w:p>
            <w:pPr>
              <w:spacing w:after="0"/>
              <w:rPr>
                <w:sz w:val="1"/>
                <w:szCs w:val="1"/>
                <w:color w:val="auto"/>
              </w:rPr>
            </w:pPr>
          </w:p>
        </w:tc>
      </w:tr>
      <w:tr>
        <w:trPr>
          <w:trHeight w:val="153"/>
        </w:trPr>
        <w:tc>
          <w:tcPr>
            <w:tcW w:w="326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Principal</w:t>
            </w: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Cost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0"/>
                <w:szCs w:val="10"/>
                <w:b w:val="1"/>
                <w:bCs w:val="1"/>
                <w:color w:val="auto"/>
              </w:rPr>
              <w:t>2</w:t>
            </w:r>
          </w:p>
        </w:tc>
        <w:tc>
          <w:tcPr>
            <w:tcW w:w="6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9"/>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324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Orbit Purchaser LLC</w:t>
            </w:r>
          </w:p>
        </w:tc>
        <w:tc>
          <w:tcPr>
            <w:tcW w:w="680" w:type="dxa"/>
            <w:vAlign w:val="bottom"/>
            <w:shd w:val="clear" w:color="auto" w:fill="CCEEFF"/>
          </w:tcPr>
          <w:p>
            <w:pPr>
              <w:ind w:left="60"/>
              <w:spacing w:after="0" w:line="101" w:lineRule="exact"/>
              <w:rPr>
                <w:sz w:val="20"/>
                <w:szCs w:val="20"/>
                <w:color w:val="auto"/>
              </w:rPr>
            </w:pPr>
            <w:r>
              <w:rPr>
                <w:rFonts w:ascii="Arial" w:cs="Arial" w:eastAsia="Arial" w:hAnsi="Arial"/>
                <w:sz w:val="10"/>
                <w:szCs w:val="10"/>
                <w:color w:val="auto"/>
              </w:rPr>
              <w:t>(8)(13)(14)</w:t>
            </w:r>
          </w:p>
        </w:tc>
        <w:tc>
          <w:tcPr>
            <w:tcW w:w="1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Senior Secured Loan — Incremental First</w:t>
            </w: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0"/>
              </w:rPr>
              <w:t>7900 International Dr., Suite 800 Bloomington, MN 55425</w:t>
            </w:r>
          </w:p>
        </w:tc>
        <w:tc>
          <w:tcPr>
            <w:tcW w:w="6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Lien Term Loan</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shd w:val="clear" w:color="auto" w:fill="CCEEFF"/>
          </w:tcPr>
          <w:p>
            <w:pPr>
              <w:ind w:left="240"/>
              <w:spacing w:after="0" w:line="148" w:lineRule="exact"/>
              <w:rPr>
                <w:sz w:val="20"/>
                <w:szCs w:val="20"/>
                <w:color w:val="auto"/>
              </w:rPr>
            </w:pPr>
            <w:r>
              <w:rPr>
                <w:rFonts w:ascii="Arial" w:cs="Arial" w:eastAsia="Arial" w:hAnsi="Arial"/>
                <w:sz w:val="14"/>
                <w:szCs w:val="14"/>
                <w:color w:val="auto"/>
              </w:rPr>
              <w:t>Banking, Finance, Insurance &amp; Real Estate</w:t>
            </w:r>
          </w:p>
        </w:tc>
        <w:tc>
          <w:tcPr>
            <w:tcW w:w="6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8" w:lineRule="exact"/>
              <w:rPr>
                <w:sz w:val="20"/>
                <w:szCs w:val="20"/>
                <w:color w:val="auto"/>
              </w:rPr>
            </w:pPr>
            <w:r>
              <w:rPr>
                <w:rFonts w:ascii="Arial" w:cs="Arial" w:eastAsia="Arial" w:hAnsi="Arial"/>
                <w:sz w:val="14"/>
                <w:szCs w:val="14"/>
                <w:color w:val="auto"/>
              </w:rPr>
              <w:t>5.5% Cash, 3 Month Libor (1.00%) +</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50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4.50%; Libor Floor 1.00%, Due 10/24</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10/28/2020</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1,528,115</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1,368,698</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1,528,115</w:t>
            </w: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24"/>
        </w:trPr>
        <w:tc>
          <w:tcPr>
            <w:tcW w:w="3260" w:type="dxa"/>
            <w:vAlign w:val="bottom"/>
            <w:gridSpan w:val="3"/>
          </w:tcPr>
          <w:p>
            <w:pPr>
              <w:spacing w:after="0"/>
              <w:rPr>
                <w:sz w:val="20"/>
                <w:szCs w:val="20"/>
                <w:color w:val="auto"/>
              </w:rPr>
            </w:pPr>
            <w:r>
              <w:rPr>
                <w:rFonts w:ascii="Arial" w:cs="Arial" w:eastAsia="Arial" w:hAnsi="Arial"/>
                <w:sz w:val="14"/>
                <w:szCs w:val="14"/>
                <w:color w:val="auto"/>
              </w:rPr>
              <w:t>Orbit Purchaser LLC</w:t>
            </w:r>
          </w:p>
        </w:tc>
        <w:tc>
          <w:tcPr>
            <w:tcW w:w="680" w:type="dxa"/>
            <w:vAlign w:val="bottom"/>
          </w:tcPr>
          <w:p>
            <w:pPr>
              <w:ind w:left="60"/>
              <w:spacing w:after="0"/>
              <w:rPr>
                <w:sz w:val="20"/>
                <w:szCs w:val="20"/>
                <w:color w:val="auto"/>
              </w:rPr>
            </w:pPr>
            <w:r>
              <w:rPr>
                <w:rFonts w:ascii="Arial" w:cs="Arial" w:eastAsia="Arial" w:hAnsi="Arial"/>
                <w:sz w:val="12"/>
                <w:szCs w:val="12"/>
                <w:color w:val="auto"/>
              </w:rPr>
              <w:t>(8)(13)(14)</w:t>
            </w: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w w:val="95"/>
              </w:rPr>
              <w:t>Senior Secured Loan — First Lien Term</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260" w:type="dxa"/>
            <w:vAlign w:val="bottom"/>
            <w:gridSpan w:val="3"/>
          </w:tcPr>
          <w:p>
            <w:pPr>
              <w:spacing w:after="0" w:line="141" w:lineRule="exact"/>
              <w:rPr>
                <w:sz w:val="20"/>
                <w:szCs w:val="20"/>
                <w:color w:val="auto"/>
              </w:rPr>
            </w:pPr>
            <w:r>
              <w:rPr>
                <w:rFonts w:ascii="Arial" w:cs="Arial" w:eastAsia="Arial" w:hAnsi="Arial"/>
                <w:sz w:val="14"/>
                <w:szCs w:val="14"/>
                <w:color w:val="auto"/>
                <w:w w:val="91"/>
              </w:rPr>
              <w:t>7900 International Dr., Suite 800 Bloomington, MN 55425</w:t>
            </w:r>
          </w:p>
        </w:tc>
        <w:tc>
          <w:tcPr>
            <w:tcW w:w="680" w:type="dxa"/>
            <w:vAlign w:val="bottom"/>
          </w:tcPr>
          <w:p>
            <w:pPr>
              <w:spacing w:after="0"/>
              <w:rPr>
                <w:sz w:val="12"/>
                <w:szCs w:val="12"/>
                <w:color w:val="auto"/>
              </w:rPr>
            </w:pPr>
          </w:p>
        </w:tc>
        <w:tc>
          <w:tcPr>
            <w:tcW w:w="250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4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Banking, Finance, Insurance &amp; Real Estate</w:t>
            </w:r>
          </w:p>
        </w:tc>
        <w:tc>
          <w:tcPr>
            <w:tcW w:w="680" w:type="dxa"/>
            <w:vAlign w:val="bottom"/>
          </w:tcPr>
          <w:p>
            <w:pPr>
              <w:spacing w:after="0"/>
              <w:rPr>
                <w:sz w:val="12"/>
                <w:szCs w:val="12"/>
                <w:color w:val="auto"/>
              </w:rPr>
            </w:pPr>
          </w:p>
        </w:tc>
        <w:tc>
          <w:tcPr>
            <w:tcW w:w="250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5.5% Cash, 3 Month Libor (1.00%) +</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rPr>
              <w:t>4.50%; Libor Floor 1.00%, Due 10/24</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2,528,621</w:t>
            </w:r>
          </w:p>
        </w:tc>
        <w:tc>
          <w:tcPr>
            <w:tcW w:w="680" w:type="dxa"/>
            <w:vAlign w:val="bottom"/>
          </w:tcPr>
          <w:p>
            <w:pPr>
              <w:jc w:val="right"/>
              <w:spacing w:after="0"/>
              <w:rPr>
                <w:sz w:val="20"/>
                <w:szCs w:val="20"/>
                <w:color w:val="auto"/>
              </w:rPr>
            </w:pPr>
            <w:r>
              <w:rPr>
                <w:rFonts w:ascii="Arial" w:cs="Arial" w:eastAsia="Arial" w:hAnsi="Arial"/>
                <w:sz w:val="14"/>
                <w:szCs w:val="14"/>
                <w:color w:val="auto"/>
              </w:rPr>
              <w:t>2,260,683</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2,528,621</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2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Orbit Purchaser LLC</w:t>
            </w:r>
          </w:p>
        </w:tc>
        <w:tc>
          <w:tcPr>
            <w:tcW w:w="68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(8)(13)(14)</w:t>
            </w:r>
          </w:p>
        </w:tc>
        <w:tc>
          <w:tcPr>
            <w:tcW w:w="250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w w:val="97"/>
              </w:rPr>
              <w:t>Senior Secured Loan — Delayed Draw</w:t>
            </w: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0"/>
              </w:rPr>
              <w:t>7900 International Dr., Suite 800 Bloomington, MN 55425</w:t>
            </w:r>
          </w:p>
        </w:tc>
        <w:tc>
          <w:tcPr>
            <w:tcW w:w="6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Term Loan</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4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Banking, Finance, Insurance &amp; Real Estate</w:t>
            </w:r>
          </w:p>
        </w:tc>
        <w:tc>
          <w:tcPr>
            <w:tcW w:w="6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5.5% Cash, 3 Month Libor (1.00%) +</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50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4.50%; Libor Floor 1.00%, Due 10/24</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10/28/2020</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739,410</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662,273</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739,410</w:t>
            </w: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24"/>
        </w:trPr>
        <w:tc>
          <w:tcPr>
            <w:tcW w:w="3260" w:type="dxa"/>
            <w:vAlign w:val="bottom"/>
            <w:gridSpan w:val="3"/>
          </w:tcPr>
          <w:p>
            <w:pPr>
              <w:spacing w:after="0"/>
              <w:rPr>
                <w:sz w:val="20"/>
                <w:szCs w:val="20"/>
                <w:color w:val="auto"/>
              </w:rPr>
            </w:pPr>
            <w:r>
              <w:rPr>
                <w:rFonts w:ascii="Arial" w:cs="Arial" w:eastAsia="Arial" w:hAnsi="Arial"/>
                <w:sz w:val="14"/>
                <w:szCs w:val="14"/>
                <w:color w:val="auto"/>
              </w:rPr>
              <w:t>Phoenix Guarantor Inc.</w:t>
            </w:r>
          </w:p>
        </w:tc>
        <w:tc>
          <w:tcPr>
            <w:tcW w:w="680" w:type="dxa"/>
            <w:vAlign w:val="bottom"/>
          </w:tcPr>
          <w:p>
            <w:pPr>
              <w:ind w:left="60"/>
              <w:spacing w:after="0"/>
              <w:rPr>
                <w:sz w:val="20"/>
                <w:szCs w:val="20"/>
                <w:color w:val="auto"/>
              </w:rPr>
            </w:pPr>
            <w:r>
              <w:rPr>
                <w:rFonts w:ascii="Arial" w:cs="Arial" w:eastAsia="Arial" w:hAnsi="Arial"/>
                <w:sz w:val="12"/>
                <w:szCs w:val="12"/>
                <w:color w:val="auto"/>
              </w:rPr>
              <w:t>(8)(13)(14)</w:t>
            </w: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rPr>
              <w:t>Junior Secured Loan — Term Loan</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260" w:type="dxa"/>
            <w:vAlign w:val="bottom"/>
            <w:gridSpan w:val="3"/>
          </w:tcPr>
          <w:p>
            <w:pPr>
              <w:spacing w:after="0" w:line="141" w:lineRule="exact"/>
              <w:rPr>
                <w:sz w:val="20"/>
                <w:szCs w:val="20"/>
                <w:color w:val="auto"/>
              </w:rPr>
            </w:pPr>
            <w:r>
              <w:rPr>
                <w:rFonts w:ascii="Arial" w:cs="Arial" w:eastAsia="Arial" w:hAnsi="Arial"/>
                <w:sz w:val="14"/>
                <w:szCs w:val="14"/>
                <w:color w:val="auto"/>
              </w:rPr>
              <w:t>7921 Jones Branch Drive McLean, VA 22102</w:t>
            </w:r>
          </w:p>
        </w:tc>
        <w:tc>
          <w:tcPr>
            <w:tcW w:w="680" w:type="dxa"/>
            <w:vAlign w:val="bottom"/>
          </w:tcPr>
          <w:p>
            <w:pPr>
              <w:spacing w:after="0"/>
              <w:rPr>
                <w:sz w:val="12"/>
                <w:szCs w:val="12"/>
                <w:color w:val="auto"/>
              </w:rPr>
            </w:pPr>
          </w:p>
        </w:tc>
        <w:tc>
          <w:tcPr>
            <w:tcW w:w="250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Second Lien</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4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Healthcare &amp; Pharmaceuticals</w:t>
            </w:r>
          </w:p>
        </w:tc>
        <w:tc>
          <w:tcPr>
            <w:tcW w:w="680" w:type="dxa"/>
            <w:vAlign w:val="bottom"/>
          </w:tcPr>
          <w:p>
            <w:pPr>
              <w:spacing w:after="0"/>
              <w:rPr>
                <w:sz w:val="12"/>
                <w:szCs w:val="12"/>
                <w:color w:val="auto"/>
              </w:rPr>
            </w:pPr>
          </w:p>
        </w:tc>
        <w:tc>
          <w:tcPr>
            <w:tcW w:w="250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9.5% Cash, 1 Month Libor (1.00%) +</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rPr>
              <w:t>8.50%; Libor Floor 1.00%, Due 3/27</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12/18/2019</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1,200,000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1,112,322</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1,200,000</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2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Pinstripe Holdings, LLC</w:t>
            </w:r>
          </w:p>
        </w:tc>
        <w:tc>
          <w:tcPr>
            <w:tcW w:w="68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(8)(13)(14)</w:t>
            </w:r>
          </w:p>
        </w:tc>
        <w:tc>
          <w:tcPr>
            <w:tcW w:w="250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rPr>
              <w:t>Senior Secured Loan — Initial Term</w:t>
            </w: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333 Thornall Street, 7th Floor Edison, NJ 08837</w:t>
            </w:r>
          </w:p>
        </w:tc>
        <w:tc>
          <w:tcPr>
            <w:tcW w:w="6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4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Services: Business</w:t>
            </w:r>
          </w:p>
        </w:tc>
        <w:tc>
          <w:tcPr>
            <w:tcW w:w="6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6.8% Cash, 6 Month Libor (1.00%) +</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50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5.75%; Libor Floor 1.00%, Due 1/25</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1/17/2019</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4,874,889</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4,821,046</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4,838,327</w:t>
            </w: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24"/>
        </w:trPr>
        <w:tc>
          <w:tcPr>
            <w:tcW w:w="3260" w:type="dxa"/>
            <w:vAlign w:val="bottom"/>
            <w:gridSpan w:val="3"/>
          </w:tcPr>
          <w:p>
            <w:pPr>
              <w:spacing w:after="0"/>
              <w:rPr>
                <w:sz w:val="20"/>
                <w:szCs w:val="20"/>
                <w:color w:val="auto"/>
              </w:rPr>
            </w:pPr>
            <w:r>
              <w:rPr>
                <w:rFonts w:ascii="Arial" w:cs="Arial" w:eastAsia="Arial" w:hAnsi="Arial"/>
                <w:sz w:val="14"/>
                <w:szCs w:val="14"/>
                <w:color w:val="auto"/>
              </w:rPr>
              <w:t>Pomeroy Technologies, LLC</w:t>
            </w:r>
          </w:p>
        </w:tc>
        <w:tc>
          <w:tcPr>
            <w:tcW w:w="680" w:type="dxa"/>
            <w:vAlign w:val="bottom"/>
          </w:tcPr>
          <w:p>
            <w:pPr>
              <w:ind w:left="60"/>
              <w:spacing w:after="0"/>
              <w:rPr>
                <w:sz w:val="20"/>
                <w:szCs w:val="20"/>
                <w:color w:val="auto"/>
              </w:rPr>
            </w:pPr>
            <w:r>
              <w:rPr>
                <w:rFonts w:ascii="Arial" w:cs="Arial" w:eastAsia="Arial" w:hAnsi="Arial"/>
                <w:sz w:val="12"/>
                <w:szCs w:val="12"/>
                <w:color w:val="auto"/>
              </w:rPr>
              <w:t>(8)(13)</w:t>
            </w:r>
          </w:p>
        </w:tc>
        <w:tc>
          <w:tcPr>
            <w:tcW w:w="2500" w:type="dxa"/>
            <w:vAlign w:val="bottom"/>
            <w:gridSpan w:val="3"/>
            <w:vMerge w:val="restart"/>
          </w:tcPr>
          <w:p>
            <w:pPr>
              <w:ind w:left="120"/>
              <w:spacing w:after="0"/>
              <w:rPr>
                <w:sz w:val="20"/>
                <w:szCs w:val="20"/>
                <w:color w:val="auto"/>
              </w:rPr>
            </w:pPr>
            <w:r>
              <w:rPr>
                <w:rFonts w:ascii="Arial" w:cs="Arial" w:eastAsia="Arial" w:hAnsi="Arial"/>
                <w:sz w:val="14"/>
                <w:szCs w:val="14"/>
                <w:color w:val="auto"/>
              </w:rPr>
              <w:t>Senior Secured Loan — Senior Term</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3260" w:type="dxa"/>
            <w:vAlign w:val="bottom"/>
            <w:gridSpan w:val="3"/>
            <w:vMerge w:val="restart"/>
          </w:tcPr>
          <w:p>
            <w:pPr>
              <w:spacing w:after="0" w:line="141" w:lineRule="exact"/>
              <w:rPr>
                <w:sz w:val="20"/>
                <w:szCs w:val="20"/>
                <w:color w:val="auto"/>
              </w:rPr>
            </w:pPr>
            <w:r>
              <w:rPr>
                <w:rFonts w:ascii="Arial" w:cs="Arial" w:eastAsia="Arial" w:hAnsi="Arial"/>
                <w:sz w:val="14"/>
                <w:szCs w:val="14"/>
                <w:color w:val="auto"/>
              </w:rPr>
              <w:t>Jachthavenweg 109 H, Amsterdam, 1081 KM ,</w:t>
            </w:r>
          </w:p>
        </w:tc>
        <w:tc>
          <w:tcPr>
            <w:tcW w:w="680" w:type="dxa"/>
            <w:vAlign w:val="bottom"/>
          </w:tcPr>
          <w:p>
            <w:pPr>
              <w:spacing w:after="0"/>
              <w:rPr>
                <w:sz w:val="6"/>
                <w:szCs w:val="6"/>
                <w:color w:val="auto"/>
              </w:rPr>
            </w:pPr>
          </w:p>
        </w:tc>
        <w:tc>
          <w:tcPr>
            <w:tcW w:w="25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326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2500" w:type="dxa"/>
            <w:vAlign w:val="bottom"/>
            <w:gridSpan w:val="3"/>
            <w:vMerge w:val="restart"/>
          </w:tcPr>
          <w:p>
            <w:pPr>
              <w:ind w:left="120"/>
              <w:spacing w:after="0" w:line="141" w:lineRule="exact"/>
              <w:rPr>
                <w:sz w:val="20"/>
                <w:szCs w:val="20"/>
                <w:color w:val="auto"/>
              </w:rPr>
            </w:pPr>
            <w:r>
              <w:rPr>
                <w:rFonts w:ascii="Arial" w:cs="Arial" w:eastAsia="Arial" w:hAnsi="Arial"/>
                <w:sz w:val="14"/>
                <w:szCs w:val="14"/>
                <w:color w:val="auto"/>
              </w:rPr>
              <w:t>Loan A</w:t>
            </w: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40" w:type="dxa"/>
            <w:vAlign w:val="bottom"/>
            <w:gridSpan w:val="2"/>
            <w:vMerge w:val="restart"/>
          </w:tcPr>
          <w:p>
            <w:pPr>
              <w:ind w:left="100"/>
              <w:spacing w:after="0" w:line="141" w:lineRule="exact"/>
              <w:rPr>
                <w:sz w:val="20"/>
                <w:szCs w:val="20"/>
                <w:color w:val="auto"/>
              </w:rPr>
            </w:pPr>
            <w:r>
              <w:rPr>
                <w:rFonts w:ascii="Arial" w:cs="Arial" w:eastAsia="Arial" w:hAnsi="Arial"/>
                <w:sz w:val="14"/>
                <w:szCs w:val="14"/>
                <w:color w:val="auto"/>
              </w:rPr>
              <w:t>Netherlands</w:t>
            </w:r>
          </w:p>
        </w:tc>
        <w:tc>
          <w:tcPr>
            <w:tcW w:w="680" w:type="dxa"/>
            <w:vAlign w:val="bottom"/>
          </w:tcPr>
          <w:p>
            <w:pPr>
              <w:spacing w:after="0"/>
              <w:rPr>
                <w:sz w:val="6"/>
                <w:szCs w:val="6"/>
                <w:color w:val="auto"/>
              </w:rPr>
            </w:pPr>
          </w:p>
        </w:tc>
        <w:tc>
          <w:tcPr>
            <w:tcW w:w="25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24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2500" w:type="dxa"/>
            <w:vAlign w:val="bottom"/>
            <w:gridSpan w:val="3"/>
            <w:vMerge w:val="restart"/>
          </w:tcPr>
          <w:p>
            <w:pPr>
              <w:ind w:left="120"/>
              <w:spacing w:after="0"/>
              <w:rPr>
                <w:sz w:val="20"/>
                <w:szCs w:val="20"/>
                <w:color w:val="auto"/>
              </w:rPr>
            </w:pPr>
            <w:r>
              <w:rPr>
                <w:rFonts w:ascii="Arial" w:cs="Arial" w:eastAsia="Arial" w:hAnsi="Arial"/>
                <w:sz w:val="14"/>
                <w:szCs w:val="14"/>
                <w:color w:val="auto"/>
              </w:rPr>
              <w:t>5.0% PIK, Due 5/25</w:t>
            </w: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240" w:type="dxa"/>
            <w:vAlign w:val="bottom"/>
            <w:gridSpan w:val="2"/>
            <w:vMerge w:val="restart"/>
          </w:tcPr>
          <w:p>
            <w:pPr>
              <w:ind w:left="240"/>
              <w:spacing w:after="0"/>
              <w:rPr>
                <w:sz w:val="20"/>
                <w:szCs w:val="20"/>
                <w:color w:val="auto"/>
              </w:rPr>
            </w:pPr>
            <w:r>
              <w:rPr>
                <w:rFonts w:ascii="Arial" w:cs="Arial" w:eastAsia="Arial" w:hAnsi="Arial"/>
                <w:sz w:val="14"/>
                <w:szCs w:val="14"/>
                <w:color w:val="auto"/>
              </w:rPr>
              <w:t>High Tech Industries</w:t>
            </w:r>
          </w:p>
        </w:tc>
        <w:tc>
          <w:tcPr>
            <w:tcW w:w="68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5/29/2020</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1,523,855</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1,197,731</w:t>
            </w: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1,165,749</w:t>
            </w: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4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2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Pomeroy Technologies, LLC</w:t>
            </w:r>
          </w:p>
        </w:tc>
        <w:tc>
          <w:tcPr>
            <w:tcW w:w="68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(5)(8)(13)</w:t>
            </w:r>
          </w:p>
        </w:tc>
        <w:tc>
          <w:tcPr>
            <w:tcW w:w="250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Senior Secured Loan — Senior Term</w:t>
            </w: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40" w:type="dxa"/>
            <w:vAlign w:val="bottom"/>
            <w:gridSpan w:val="2"/>
            <w:vMerge w:val="restart"/>
            <w:shd w:val="clear" w:color="auto" w:fill="CCEEFF"/>
          </w:tcPr>
          <w:p>
            <w:pPr>
              <w:spacing w:after="0" w:line="141" w:lineRule="exact"/>
              <w:rPr>
                <w:sz w:val="20"/>
                <w:szCs w:val="20"/>
                <w:color w:val="auto"/>
              </w:rPr>
            </w:pPr>
            <w:r>
              <w:rPr>
                <w:rFonts w:ascii="Arial" w:cs="Arial" w:eastAsia="Arial" w:hAnsi="Arial"/>
                <w:sz w:val="14"/>
                <w:szCs w:val="14"/>
                <w:color w:val="auto"/>
              </w:rPr>
              <w:t>Jachthavenweg 109 H, Amsterdam, 1081 KM ,</w:t>
            </w:r>
          </w:p>
        </w:tc>
        <w:tc>
          <w:tcPr>
            <w:tcW w:w="680" w:type="dxa"/>
            <w:vAlign w:val="bottom"/>
            <w:shd w:val="clear" w:color="auto" w:fill="CCEEFF"/>
          </w:tcPr>
          <w:p>
            <w:pPr>
              <w:spacing w:after="0"/>
              <w:rPr>
                <w:sz w:val="6"/>
                <w:szCs w:val="6"/>
                <w:color w:val="auto"/>
              </w:rPr>
            </w:pPr>
          </w:p>
        </w:tc>
        <w:tc>
          <w:tcPr>
            <w:tcW w:w="2500" w:type="dxa"/>
            <w:vAlign w:val="bottom"/>
            <w:gridSpan w:val="3"/>
            <w:vMerge w:val="continue"/>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240" w:type="dxa"/>
            <w:vAlign w:val="bottom"/>
            <w:gridSpan w:val="2"/>
            <w:vMerge w:val="continue"/>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500" w:type="dxa"/>
            <w:vAlign w:val="bottom"/>
            <w:gridSpan w:val="3"/>
            <w:vMerge w:val="restart"/>
            <w:shd w:val="clear" w:color="auto" w:fill="CCEEFF"/>
          </w:tcPr>
          <w:p>
            <w:pPr>
              <w:ind w:left="120"/>
              <w:spacing w:after="0" w:line="141" w:lineRule="exact"/>
              <w:rPr>
                <w:sz w:val="20"/>
                <w:szCs w:val="20"/>
                <w:color w:val="auto"/>
              </w:rPr>
            </w:pPr>
            <w:r>
              <w:rPr>
                <w:rFonts w:ascii="Arial" w:cs="Arial" w:eastAsia="Arial" w:hAnsi="Arial"/>
                <w:sz w:val="14"/>
                <w:szCs w:val="14"/>
                <w:color w:val="auto"/>
              </w:rPr>
              <w:t>Loan B</w:t>
            </w:r>
          </w:p>
        </w:tc>
        <w:tc>
          <w:tcPr>
            <w:tcW w:w="7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40" w:type="dxa"/>
            <w:vAlign w:val="bottom"/>
            <w:gridSpan w:val="2"/>
            <w:vMerge w:val="restart"/>
            <w:shd w:val="clear" w:color="auto" w:fill="CCEEFF"/>
          </w:tcPr>
          <w:p>
            <w:pPr>
              <w:ind w:left="100"/>
              <w:spacing w:after="0" w:line="141" w:lineRule="exact"/>
              <w:rPr>
                <w:sz w:val="20"/>
                <w:szCs w:val="20"/>
                <w:color w:val="auto"/>
              </w:rPr>
            </w:pPr>
            <w:r>
              <w:rPr>
                <w:rFonts w:ascii="Arial" w:cs="Arial" w:eastAsia="Arial" w:hAnsi="Arial"/>
                <w:sz w:val="14"/>
                <w:szCs w:val="14"/>
                <w:color w:val="auto"/>
              </w:rPr>
              <w:t>Netherlands</w:t>
            </w:r>
          </w:p>
        </w:tc>
        <w:tc>
          <w:tcPr>
            <w:tcW w:w="680" w:type="dxa"/>
            <w:vAlign w:val="bottom"/>
            <w:shd w:val="clear" w:color="auto" w:fill="CCEEFF"/>
          </w:tcPr>
          <w:p>
            <w:pPr>
              <w:spacing w:after="0"/>
              <w:rPr>
                <w:sz w:val="6"/>
                <w:szCs w:val="6"/>
                <w:color w:val="auto"/>
              </w:rPr>
            </w:pPr>
          </w:p>
        </w:tc>
        <w:tc>
          <w:tcPr>
            <w:tcW w:w="2500" w:type="dxa"/>
            <w:vAlign w:val="bottom"/>
            <w:gridSpan w:val="3"/>
            <w:vMerge w:val="continue"/>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240" w:type="dxa"/>
            <w:vAlign w:val="bottom"/>
            <w:gridSpan w:val="2"/>
            <w:vMerge w:val="continue"/>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50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7.0% PIK, Due 5/25</w:t>
            </w:r>
          </w:p>
        </w:tc>
        <w:tc>
          <w:tcPr>
            <w:tcW w:w="7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24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High Tech Industries</w:t>
            </w:r>
          </w:p>
        </w:tc>
        <w:tc>
          <w:tcPr>
            <w:tcW w:w="680" w:type="dxa"/>
            <w:vAlign w:val="bottom"/>
            <w:shd w:val="clear" w:color="auto" w:fill="CCEEFF"/>
          </w:tcPr>
          <w:p>
            <w:pPr>
              <w:spacing w:after="0"/>
              <w:rPr>
                <w:sz w:val="9"/>
                <w:szCs w:val="9"/>
                <w:color w:val="auto"/>
              </w:rPr>
            </w:pPr>
          </w:p>
        </w:tc>
        <w:tc>
          <w:tcPr>
            <w:tcW w:w="2500" w:type="dxa"/>
            <w:vAlign w:val="bottom"/>
            <w:gridSpan w:val="3"/>
            <w:vMerge w:val="continue"/>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5/29/2020</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1,565,210</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1,239,086</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422,607</w:t>
            </w: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240" w:type="dxa"/>
            <w:vAlign w:val="bottom"/>
            <w:gridSpan w:val="2"/>
            <w:vMerge w:val="continue"/>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260" w:type="dxa"/>
            <w:vAlign w:val="bottom"/>
            <w:gridSpan w:val="3"/>
          </w:tcPr>
          <w:p>
            <w:pPr>
              <w:spacing w:after="0"/>
              <w:rPr>
                <w:sz w:val="20"/>
                <w:szCs w:val="20"/>
                <w:color w:val="auto"/>
              </w:rPr>
            </w:pPr>
            <w:r>
              <w:rPr>
                <w:rFonts w:ascii="Arial" w:cs="Arial" w:eastAsia="Arial" w:hAnsi="Arial"/>
                <w:sz w:val="14"/>
                <w:szCs w:val="14"/>
                <w:color w:val="auto"/>
              </w:rPr>
              <w:t>Pomeroy Technologies, LLC</w:t>
            </w:r>
          </w:p>
        </w:tc>
        <w:tc>
          <w:tcPr>
            <w:tcW w:w="680" w:type="dxa"/>
            <w:vAlign w:val="bottom"/>
          </w:tcPr>
          <w:p>
            <w:pPr>
              <w:ind w:left="60"/>
              <w:spacing w:after="0"/>
              <w:rPr>
                <w:sz w:val="20"/>
                <w:szCs w:val="20"/>
                <w:color w:val="auto"/>
              </w:rPr>
            </w:pPr>
            <w:r>
              <w:rPr>
                <w:rFonts w:ascii="Arial" w:cs="Arial" w:eastAsia="Arial" w:hAnsi="Arial"/>
                <w:sz w:val="12"/>
                <w:szCs w:val="12"/>
                <w:color w:val="auto"/>
              </w:rPr>
              <w:t>(8)(13)</w:t>
            </w: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rPr>
              <w:t>Senior Secured Loan — Super Senior</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260" w:type="dxa"/>
            <w:vAlign w:val="bottom"/>
            <w:gridSpan w:val="3"/>
          </w:tcPr>
          <w:p>
            <w:pPr>
              <w:spacing w:after="0" w:line="141" w:lineRule="exact"/>
              <w:rPr>
                <w:sz w:val="20"/>
                <w:szCs w:val="20"/>
                <w:color w:val="auto"/>
              </w:rPr>
            </w:pPr>
            <w:r>
              <w:rPr>
                <w:rFonts w:ascii="Arial" w:cs="Arial" w:eastAsia="Arial" w:hAnsi="Arial"/>
                <w:sz w:val="14"/>
                <w:szCs w:val="14"/>
                <w:color w:val="auto"/>
              </w:rPr>
              <w:t>37 Executive Drive Danbury, CT 06810</w:t>
            </w:r>
          </w:p>
        </w:tc>
        <w:tc>
          <w:tcPr>
            <w:tcW w:w="680" w:type="dxa"/>
            <w:vAlign w:val="bottom"/>
          </w:tcPr>
          <w:p>
            <w:pPr>
              <w:spacing w:after="0"/>
              <w:rPr>
                <w:sz w:val="12"/>
                <w:szCs w:val="12"/>
                <w:color w:val="auto"/>
              </w:rPr>
            </w:pPr>
          </w:p>
        </w:tc>
        <w:tc>
          <w:tcPr>
            <w:tcW w:w="250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Term Loan B</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40" w:type="dxa"/>
            <w:vAlign w:val="bottom"/>
            <w:gridSpan w:val="2"/>
          </w:tcPr>
          <w:p>
            <w:pPr>
              <w:ind w:left="240"/>
              <w:spacing w:after="0"/>
              <w:rPr>
                <w:sz w:val="20"/>
                <w:szCs w:val="20"/>
                <w:color w:val="auto"/>
              </w:rPr>
            </w:pPr>
            <w:r>
              <w:rPr>
                <w:rFonts w:ascii="Arial" w:cs="Arial" w:eastAsia="Arial" w:hAnsi="Arial"/>
                <w:sz w:val="14"/>
                <w:szCs w:val="14"/>
                <w:color w:val="auto"/>
              </w:rPr>
              <w:t>High Tech Industries</w:t>
            </w:r>
          </w:p>
        </w:tc>
        <w:tc>
          <w:tcPr>
            <w:tcW w:w="680" w:type="dxa"/>
            <w:vAlign w:val="bottom"/>
          </w:tcPr>
          <w:p>
            <w:pPr>
              <w:spacing w:after="0"/>
              <w:rPr>
                <w:sz w:val="16"/>
                <w:szCs w:val="16"/>
                <w:color w:val="auto"/>
              </w:rPr>
            </w:pP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rPr>
              <w:t>2.0% Cash, 7.0% PIK, Due 5/25</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5/29/2020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1,029,908</w:t>
            </w:r>
          </w:p>
        </w:tc>
        <w:tc>
          <w:tcPr>
            <w:tcW w:w="680" w:type="dxa"/>
            <w:vAlign w:val="bottom"/>
          </w:tcPr>
          <w:p>
            <w:pPr>
              <w:jc w:val="right"/>
              <w:spacing w:after="0"/>
              <w:rPr>
                <w:sz w:val="20"/>
                <w:szCs w:val="20"/>
                <w:color w:val="auto"/>
              </w:rPr>
            </w:pPr>
            <w:r>
              <w:rPr>
                <w:rFonts w:ascii="Arial" w:cs="Arial" w:eastAsia="Arial" w:hAnsi="Arial"/>
                <w:sz w:val="14"/>
                <w:szCs w:val="14"/>
                <w:color w:val="auto"/>
              </w:rPr>
              <w:t>1,016,445</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988,711</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2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Pomeroy Technologies, LLC</w:t>
            </w:r>
          </w:p>
        </w:tc>
        <w:tc>
          <w:tcPr>
            <w:tcW w:w="68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w:t>
            </w:r>
          </w:p>
        </w:tc>
        <w:tc>
          <w:tcPr>
            <w:tcW w:w="250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40" w:type="dxa"/>
            <w:vAlign w:val="bottom"/>
            <w:gridSpan w:val="2"/>
            <w:vMerge w:val="restart"/>
            <w:shd w:val="clear" w:color="auto" w:fill="CCEEFF"/>
          </w:tcPr>
          <w:p>
            <w:pPr>
              <w:spacing w:after="0" w:line="141" w:lineRule="exact"/>
              <w:rPr>
                <w:sz w:val="20"/>
                <w:szCs w:val="20"/>
                <w:color w:val="auto"/>
              </w:rPr>
            </w:pPr>
            <w:r>
              <w:rPr>
                <w:rFonts w:ascii="Arial" w:cs="Arial" w:eastAsia="Arial" w:hAnsi="Arial"/>
                <w:sz w:val="14"/>
                <w:szCs w:val="14"/>
                <w:color w:val="auto"/>
              </w:rPr>
              <w:t>1020 Petersburg Rd, Hebron, KY 41048</w:t>
            </w:r>
          </w:p>
        </w:tc>
        <w:tc>
          <w:tcPr>
            <w:tcW w:w="680" w:type="dxa"/>
            <w:vAlign w:val="bottom"/>
            <w:shd w:val="clear" w:color="auto" w:fill="CCEEFF"/>
          </w:tcPr>
          <w:p>
            <w:pPr>
              <w:spacing w:after="0"/>
              <w:rPr>
                <w:sz w:val="6"/>
                <w:szCs w:val="6"/>
                <w:color w:val="auto"/>
              </w:rPr>
            </w:pPr>
          </w:p>
        </w:tc>
        <w:tc>
          <w:tcPr>
            <w:tcW w:w="2500" w:type="dxa"/>
            <w:vAlign w:val="bottom"/>
            <w:gridSpan w:val="3"/>
            <w:vMerge w:val="continue"/>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240" w:type="dxa"/>
            <w:vAlign w:val="bottom"/>
            <w:gridSpan w:val="2"/>
            <w:vMerge w:val="continue"/>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50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2.0% Cash, 8.0% PIK, Due 5/25</w:t>
            </w:r>
          </w:p>
        </w:tc>
        <w:tc>
          <w:tcPr>
            <w:tcW w:w="7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24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High Tech Industries</w:t>
            </w:r>
          </w:p>
        </w:tc>
        <w:tc>
          <w:tcPr>
            <w:tcW w:w="680" w:type="dxa"/>
            <w:vAlign w:val="bottom"/>
            <w:shd w:val="clear" w:color="auto" w:fill="CCEEFF"/>
          </w:tcPr>
          <w:p>
            <w:pPr>
              <w:spacing w:after="0"/>
              <w:rPr>
                <w:sz w:val="9"/>
                <w:szCs w:val="9"/>
                <w:color w:val="auto"/>
              </w:rPr>
            </w:pPr>
          </w:p>
        </w:tc>
        <w:tc>
          <w:tcPr>
            <w:tcW w:w="2500" w:type="dxa"/>
            <w:vAlign w:val="bottom"/>
            <w:gridSpan w:val="3"/>
            <w:vMerge w:val="continue"/>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9/10/2021</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48,172</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47,693</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47,692</w:t>
            </w: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240" w:type="dxa"/>
            <w:vAlign w:val="bottom"/>
            <w:gridSpan w:val="2"/>
            <w:vMerge w:val="continue"/>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260" w:type="dxa"/>
            <w:vAlign w:val="bottom"/>
            <w:gridSpan w:val="3"/>
          </w:tcPr>
          <w:p>
            <w:pPr>
              <w:spacing w:after="0"/>
              <w:rPr>
                <w:sz w:val="20"/>
                <w:szCs w:val="20"/>
                <w:color w:val="auto"/>
              </w:rPr>
            </w:pPr>
            <w:r>
              <w:rPr>
                <w:rFonts w:ascii="Arial" w:cs="Arial" w:eastAsia="Arial" w:hAnsi="Arial"/>
                <w:sz w:val="14"/>
                <w:szCs w:val="14"/>
                <w:color w:val="auto"/>
              </w:rPr>
              <w:t>Priority Holdings, LLC</w:t>
            </w:r>
          </w:p>
        </w:tc>
        <w:tc>
          <w:tcPr>
            <w:tcW w:w="680" w:type="dxa"/>
            <w:vAlign w:val="bottom"/>
          </w:tcPr>
          <w:p>
            <w:pPr>
              <w:ind w:left="60"/>
              <w:spacing w:after="0"/>
              <w:rPr>
                <w:sz w:val="20"/>
                <w:szCs w:val="20"/>
                <w:color w:val="auto"/>
              </w:rPr>
            </w:pPr>
            <w:r>
              <w:rPr>
                <w:rFonts w:ascii="Arial" w:cs="Arial" w:eastAsia="Arial" w:hAnsi="Arial"/>
                <w:sz w:val="12"/>
                <w:szCs w:val="12"/>
                <w:color w:val="auto"/>
              </w:rPr>
              <w:t>(8)(13)(14)</w:t>
            </w: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w w:val="95"/>
              </w:rPr>
              <w:t>Senior Secured Loan — First Lien Term</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260" w:type="dxa"/>
            <w:vAlign w:val="bottom"/>
            <w:gridSpan w:val="3"/>
          </w:tcPr>
          <w:p>
            <w:pPr>
              <w:spacing w:after="0" w:line="141" w:lineRule="exact"/>
              <w:rPr>
                <w:sz w:val="20"/>
                <w:szCs w:val="20"/>
                <w:color w:val="auto"/>
              </w:rPr>
            </w:pPr>
            <w:r>
              <w:rPr>
                <w:rFonts w:ascii="Arial" w:cs="Arial" w:eastAsia="Arial" w:hAnsi="Arial"/>
                <w:sz w:val="14"/>
                <w:szCs w:val="14"/>
                <w:color w:val="auto"/>
                <w:w w:val="91"/>
              </w:rPr>
              <w:t>2001 Westside Parkway, Suite 155 Alpharetta, GA 30004</w:t>
            </w:r>
          </w:p>
        </w:tc>
        <w:tc>
          <w:tcPr>
            <w:tcW w:w="680" w:type="dxa"/>
            <w:vAlign w:val="bottom"/>
          </w:tcPr>
          <w:p>
            <w:pPr>
              <w:spacing w:after="0"/>
              <w:rPr>
                <w:sz w:val="12"/>
                <w:szCs w:val="12"/>
                <w:color w:val="auto"/>
              </w:rPr>
            </w:pPr>
          </w:p>
        </w:tc>
        <w:tc>
          <w:tcPr>
            <w:tcW w:w="250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4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High Tech Industries</w:t>
            </w:r>
          </w:p>
        </w:tc>
        <w:tc>
          <w:tcPr>
            <w:tcW w:w="680" w:type="dxa"/>
            <w:vAlign w:val="bottom"/>
          </w:tcPr>
          <w:p>
            <w:pPr>
              <w:spacing w:after="0"/>
              <w:rPr>
                <w:sz w:val="12"/>
                <w:szCs w:val="12"/>
                <w:color w:val="auto"/>
              </w:rPr>
            </w:pPr>
          </w:p>
        </w:tc>
        <w:tc>
          <w:tcPr>
            <w:tcW w:w="250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6.8% Cash, 6 Month Libor (1.00%) +</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rPr>
              <w:t>5.75%; Libor Floor 1.00%, Due 4/27</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4/21/2021</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7,761,339</w:t>
            </w:r>
          </w:p>
        </w:tc>
        <w:tc>
          <w:tcPr>
            <w:tcW w:w="680" w:type="dxa"/>
            <w:vAlign w:val="bottom"/>
          </w:tcPr>
          <w:p>
            <w:pPr>
              <w:jc w:val="right"/>
              <w:spacing w:after="0"/>
              <w:rPr>
                <w:sz w:val="20"/>
                <w:szCs w:val="20"/>
                <w:color w:val="auto"/>
              </w:rPr>
            </w:pPr>
            <w:r>
              <w:rPr>
                <w:rFonts w:ascii="Arial" w:cs="Arial" w:eastAsia="Arial" w:hAnsi="Arial"/>
                <w:sz w:val="14"/>
                <w:szCs w:val="14"/>
                <w:color w:val="auto"/>
              </w:rPr>
              <w:t>7,686,688</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7,714,771</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2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ProAir Holdings Corporation</w:t>
            </w:r>
          </w:p>
        </w:tc>
        <w:tc>
          <w:tcPr>
            <w:tcW w:w="68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(5)(8)(13)</w:t>
            </w:r>
          </w:p>
        </w:tc>
        <w:tc>
          <w:tcPr>
            <w:tcW w:w="250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rPr>
              <w:t>Junior Secured Loan — Term Loan</w:t>
            </w: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1"/>
              </w:rPr>
              <w:t>3260 Eagle Park Dr., NE, #100, Grand Rapids, MI 49525</w:t>
            </w:r>
          </w:p>
        </w:tc>
        <w:tc>
          <w:tcPr>
            <w:tcW w:w="6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(Second Lien)</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Capital Equipment</w:t>
            </w:r>
          </w:p>
        </w:tc>
        <w:tc>
          <w:tcPr>
            <w:tcW w:w="680" w:type="dxa"/>
            <w:vAlign w:val="bottom"/>
            <w:shd w:val="clear" w:color="auto" w:fill="CCEEFF"/>
          </w:tcPr>
          <w:p>
            <w:pPr>
              <w:spacing w:after="0"/>
              <w:rPr>
                <w:sz w:val="14"/>
                <w:szCs w:val="14"/>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13.5% Cash, 2.0% PIK, Due 12/22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6/9/2021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7,816,516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3,662,041</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3,107,065</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4"/>
        </w:trPr>
        <w:tc>
          <w:tcPr>
            <w:tcW w:w="3260" w:type="dxa"/>
            <w:vAlign w:val="bottom"/>
            <w:gridSpan w:val="3"/>
          </w:tcPr>
          <w:p>
            <w:pPr>
              <w:spacing w:after="0"/>
              <w:rPr>
                <w:sz w:val="20"/>
                <w:szCs w:val="20"/>
                <w:color w:val="auto"/>
              </w:rPr>
            </w:pPr>
            <w:r>
              <w:rPr>
                <w:rFonts w:ascii="Arial" w:cs="Arial" w:eastAsia="Arial" w:hAnsi="Arial"/>
                <w:sz w:val="14"/>
                <w:szCs w:val="14"/>
                <w:color w:val="auto"/>
              </w:rPr>
              <w:t>PSC Industrial Holdings Corp.</w:t>
            </w:r>
          </w:p>
        </w:tc>
        <w:tc>
          <w:tcPr>
            <w:tcW w:w="680" w:type="dxa"/>
            <w:vAlign w:val="bottom"/>
          </w:tcPr>
          <w:p>
            <w:pPr>
              <w:ind w:left="60"/>
              <w:spacing w:after="0"/>
              <w:rPr>
                <w:sz w:val="20"/>
                <w:szCs w:val="20"/>
                <w:color w:val="auto"/>
              </w:rPr>
            </w:pPr>
            <w:r>
              <w:rPr>
                <w:rFonts w:ascii="Arial" w:cs="Arial" w:eastAsia="Arial" w:hAnsi="Arial"/>
                <w:sz w:val="12"/>
                <w:szCs w:val="12"/>
                <w:color w:val="auto"/>
              </w:rPr>
              <w:t>(8)(14)</w:t>
            </w: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rPr>
              <w:t>Junior Secured Loan — Initial Term</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260" w:type="dxa"/>
            <w:vAlign w:val="bottom"/>
            <w:gridSpan w:val="3"/>
          </w:tcPr>
          <w:p>
            <w:pPr>
              <w:spacing w:after="0" w:line="141" w:lineRule="exact"/>
              <w:rPr>
                <w:sz w:val="20"/>
                <w:szCs w:val="20"/>
                <w:color w:val="auto"/>
              </w:rPr>
            </w:pPr>
            <w:r>
              <w:rPr>
                <w:rFonts w:ascii="Arial" w:cs="Arial" w:eastAsia="Arial" w:hAnsi="Arial"/>
                <w:sz w:val="14"/>
                <w:szCs w:val="14"/>
                <w:color w:val="auto"/>
                <w:w w:val="94"/>
              </w:rPr>
              <w:t>200 S Executive Drive, Suite 400, Brookfield, WI 53005</w:t>
            </w:r>
          </w:p>
        </w:tc>
        <w:tc>
          <w:tcPr>
            <w:tcW w:w="680" w:type="dxa"/>
            <w:vAlign w:val="bottom"/>
          </w:tcPr>
          <w:p>
            <w:pPr>
              <w:spacing w:after="0"/>
              <w:rPr>
                <w:sz w:val="12"/>
                <w:szCs w:val="12"/>
                <w:color w:val="auto"/>
              </w:rPr>
            </w:pPr>
          </w:p>
        </w:tc>
        <w:tc>
          <w:tcPr>
            <w:tcW w:w="250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 (Second Lien)</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4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Environmental Industries</w:t>
            </w:r>
          </w:p>
        </w:tc>
        <w:tc>
          <w:tcPr>
            <w:tcW w:w="680" w:type="dxa"/>
            <w:vAlign w:val="bottom"/>
          </w:tcPr>
          <w:p>
            <w:pPr>
              <w:spacing w:after="0"/>
              <w:rPr>
                <w:sz w:val="12"/>
                <w:szCs w:val="12"/>
                <w:color w:val="auto"/>
              </w:rPr>
            </w:pPr>
          </w:p>
        </w:tc>
        <w:tc>
          <w:tcPr>
            <w:tcW w:w="250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9.5% Cash, 1 Month Libor (1.00%) +</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00" w:type="dxa"/>
            <w:vAlign w:val="bottom"/>
            <w:gridSpan w:val="3"/>
          </w:tcPr>
          <w:p>
            <w:pPr>
              <w:ind w:left="120"/>
              <w:spacing w:after="0"/>
              <w:rPr>
                <w:sz w:val="20"/>
                <w:szCs w:val="20"/>
                <w:color w:val="auto"/>
              </w:rPr>
            </w:pPr>
            <w:r>
              <w:rPr>
                <w:rFonts w:ascii="Arial" w:cs="Arial" w:eastAsia="Arial" w:hAnsi="Arial"/>
                <w:sz w:val="14"/>
                <w:szCs w:val="14"/>
                <w:color w:val="auto"/>
              </w:rPr>
              <w:t>8.50%; Libor Floor 1.00%, Due 10/25</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10/5/2017</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3,000,000</w:t>
            </w:r>
          </w:p>
        </w:tc>
        <w:tc>
          <w:tcPr>
            <w:tcW w:w="680" w:type="dxa"/>
            <w:vAlign w:val="bottom"/>
          </w:tcPr>
          <w:p>
            <w:pPr>
              <w:jc w:val="right"/>
              <w:spacing w:after="0"/>
              <w:rPr>
                <w:sz w:val="20"/>
                <w:szCs w:val="20"/>
                <w:color w:val="auto"/>
              </w:rPr>
            </w:pPr>
            <w:r>
              <w:rPr>
                <w:rFonts w:ascii="Arial" w:cs="Arial" w:eastAsia="Arial" w:hAnsi="Arial"/>
                <w:sz w:val="14"/>
                <w:szCs w:val="14"/>
                <w:color w:val="auto"/>
              </w:rPr>
              <w:t>2,968,707</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3,002,505</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2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PVHC Holding Corp</w:t>
            </w:r>
          </w:p>
        </w:tc>
        <w:tc>
          <w:tcPr>
            <w:tcW w:w="68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(8)(13)(14)</w:t>
            </w:r>
          </w:p>
        </w:tc>
        <w:tc>
          <w:tcPr>
            <w:tcW w:w="250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rPr>
              <w:t>Senior Secured Loan — Initial Term</w:t>
            </w: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41 Spring Street New Providence, NJ 07974</w:t>
            </w:r>
          </w:p>
        </w:tc>
        <w:tc>
          <w:tcPr>
            <w:tcW w:w="6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4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Containers, Packaging and Glass</w:t>
            </w:r>
          </w:p>
        </w:tc>
        <w:tc>
          <w:tcPr>
            <w:tcW w:w="6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5.8% Cash, 3 Month Libor (1.00%) +</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50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4.75%; Libor Floor 1.00%, Due 8/24</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8/10/2018</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2,793,600</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2,786,954</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2,591,064</w:t>
            </w: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840"/>
          </w:cols>
          <w:pgMar w:left="320" w:top="443" w:right="7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30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Portfolio Company /</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Investment</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Initial</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28"/>
        </w:trPr>
        <w:tc>
          <w:tcPr>
            <w:tcW w:w="302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900" w:type="dxa"/>
            <w:vAlign w:val="bottom"/>
            <w:gridSpan w:val="2"/>
          </w:tcPr>
          <w:p>
            <w:pPr>
              <w:jc w:val="center"/>
              <w:ind w:right="160"/>
              <w:spacing w:after="0" w:line="128" w:lineRule="exact"/>
              <w:rPr>
                <w:sz w:val="20"/>
                <w:szCs w:val="20"/>
                <w:color w:val="auto"/>
              </w:rPr>
            </w:pPr>
            <w:r>
              <w:rPr>
                <w:rFonts w:ascii="Arial" w:cs="Arial" w:eastAsia="Arial" w:hAnsi="Arial"/>
                <w:sz w:val="13"/>
                <w:szCs w:val="13"/>
                <w:b w:val="1"/>
                <w:bCs w:val="1"/>
                <w:color w:val="auto"/>
                <w:w w:val="87"/>
              </w:rPr>
              <w:t>Acquisition</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28" w:lineRule="exact"/>
              <w:rPr>
                <w:sz w:val="20"/>
                <w:szCs w:val="20"/>
                <w:color w:val="auto"/>
              </w:rPr>
            </w:pPr>
            <w:r>
              <w:rPr>
                <w:rFonts w:ascii="Arial" w:cs="Arial" w:eastAsia="Arial" w:hAnsi="Arial"/>
                <w:sz w:val="13"/>
                <w:szCs w:val="13"/>
                <w:b w:val="1"/>
                <w:bCs w:val="1"/>
                <w:color w:val="auto"/>
                <w:w w:val="97"/>
              </w:rPr>
              <w:t>Amortized</w:t>
            </w:r>
          </w:p>
        </w:tc>
        <w:tc>
          <w:tcPr>
            <w:tcW w:w="840" w:type="dxa"/>
            <w:vAlign w:val="bottom"/>
            <w:gridSpan w:val="2"/>
          </w:tcPr>
          <w:p>
            <w:pPr>
              <w:jc w:val="center"/>
              <w:ind w:right="140"/>
              <w:spacing w:after="0" w:line="128" w:lineRule="exact"/>
              <w:rPr>
                <w:sz w:val="20"/>
                <w:szCs w:val="20"/>
                <w:color w:val="auto"/>
              </w:rPr>
            </w:pPr>
            <w:r>
              <w:rPr>
                <w:rFonts w:ascii="Arial" w:cs="Arial" w:eastAsia="Arial" w:hAnsi="Arial"/>
                <w:sz w:val="13"/>
                <w:szCs w:val="13"/>
                <w:b w:val="1"/>
                <w:bCs w:val="1"/>
                <w:color w:val="auto"/>
                <w:w w:val="92"/>
              </w:rPr>
              <w:t>Fair</w:t>
            </w:r>
          </w:p>
        </w:tc>
        <w:tc>
          <w:tcPr>
            <w:tcW w:w="60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53"/>
        </w:trPr>
        <w:tc>
          <w:tcPr>
            <w:tcW w:w="302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Interest Rate¹ / Maturity</w:t>
            </w:r>
            <w:r>
              <w:rPr>
                <w:rFonts w:ascii="Arial" w:cs="Arial" w:eastAsia="Arial" w:hAnsi="Arial"/>
                <w:sz w:val="10"/>
                <w:szCs w:val="10"/>
                <w:b w:val="1"/>
                <w:bCs w:val="1"/>
                <w:color w:val="auto"/>
                <w:w w:val="93"/>
              </w:rPr>
              <w:t>15</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Principal</w:t>
            </w:r>
          </w:p>
        </w:tc>
        <w:tc>
          <w:tcPr>
            <w:tcW w:w="8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Cost</w:t>
            </w: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Value</w:t>
            </w:r>
            <w:r>
              <w:rPr>
                <w:rFonts w:ascii="Arial" w:cs="Arial" w:eastAsia="Arial" w:hAnsi="Arial"/>
                <w:sz w:val="10"/>
                <w:szCs w:val="10"/>
                <w:b w:val="1"/>
                <w:bCs w:val="1"/>
                <w:color w:val="auto"/>
                <w:w w:val="94"/>
              </w:rPr>
              <w:t>2</w:t>
            </w:r>
          </w:p>
        </w:tc>
        <w:tc>
          <w:tcPr>
            <w:tcW w:w="6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9"/>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30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Q Holding Company (fka Lex Precision Corp)</w:t>
            </w:r>
          </w:p>
        </w:tc>
        <w:tc>
          <w:tcPr>
            <w:tcW w:w="920" w:type="dxa"/>
            <w:vAlign w:val="bottom"/>
            <w:shd w:val="clear" w:color="auto" w:fill="CCEEFF"/>
          </w:tcPr>
          <w:p>
            <w:pPr>
              <w:ind w:left="80"/>
              <w:spacing w:after="0" w:line="101" w:lineRule="exact"/>
              <w:rPr>
                <w:sz w:val="20"/>
                <w:szCs w:val="20"/>
                <w:color w:val="auto"/>
              </w:rPr>
            </w:pPr>
            <w:r>
              <w:rPr>
                <w:rFonts w:ascii="Arial" w:cs="Arial" w:eastAsia="Arial" w:hAnsi="Arial"/>
                <w:sz w:val="10"/>
                <w:szCs w:val="10"/>
                <w:color w:val="auto"/>
              </w:rPr>
              <w:t>(8)(13)(14)</w:t>
            </w:r>
          </w:p>
        </w:tc>
        <w:tc>
          <w:tcPr>
            <w:tcW w:w="1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Senior Secured Loan — First Lien Term</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41 Spring Street New Providence, NJ 07974</w:t>
            </w:r>
          </w:p>
        </w:tc>
        <w:tc>
          <w:tcPr>
            <w:tcW w:w="92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0" w:type="dxa"/>
            <w:vAlign w:val="bottom"/>
            <w:gridSpan w:val="2"/>
            <w:shd w:val="clear" w:color="auto" w:fill="CCEEFF"/>
          </w:tcPr>
          <w:p>
            <w:pPr>
              <w:ind w:left="240"/>
              <w:spacing w:after="0" w:line="148" w:lineRule="exact"/>
              <w:rPr>
                <w:sz w:val="20"/>
                <w:szCs w:val="20"/>
                <w:color w:val="auto"/>
              </w:rPr>
            </w:pPr>
            <w:r>
              <w:rPr>
                <w:rFonts w:ascii="Arial" w:cs="Arial" w:eastAsia="Arial" w:hAnsi="Arial"/>
                <w:sz w:val="14"/>
                <w:szCs w:val="14"/>
                <w:color w:val="auto"/>
              </w:rPr>
              <w:t>Chemicals, Plastics &amp; Rubber</w:t>
            </w:r>
          </w:p>
        </w:tc>
        <w:tc>
          <w:tcPr>
            <w:tcW w:w="92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8" w:lineRule="exact"/>
              <w:rPr>
                <w:sz w:val="20"/>
                <w:szCs w:val="20"/>
                <w:color w:val="auto"/>
              </w:rPr>
            </w:pPr>
            <w:r>
              <w:rPr>
                <w:rFonts w:ascii="Arial" w:cs="Arial" w:eastAsia="Arial" w:hAnsi="Arial"/>
                <w:sz w:val="14"/>
                <w:szCs w:val="14"/>
                <w:color w:val="auto"/>
              </w:rPr>
              <w:t>6.0% Cash, 3 Month Libor (1.00%) +</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5.00%; Libor Floor 1.00%, Due 12/23</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10/28/2020</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2,360,936</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2,017,093</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2,308,760</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24"/>
        </w:trPr>
        <w:tc>
          <w:tcPr>
            <w:tcW w:w="3020" w:type="dxa"/>
            <w:vAlign w:val="bottom"/>
            <w:gridSpan w:val="3"/>
          </w:tcPr>
          <w:p>
            <w:pPr>
              <w:spacing w:after="0"/>
              <w:rPr>
                <w:sz w:val="20"/>
                <w:szCs w:val="20"/>
                <w:color w:val="auto"/>
              </w:rPr>
            </w:pPr>
            <w:r>
              <w:rPr>
                <w:rFonts w:ascii="Arial" w:cs="Arial" w:eastAsia="Arial" w:hAnsi="Arial"/>
                <w:sz w:val="14"/>
                <w:szCs w:val="14"/>
                <w:color w:val="auto"/>
              </w:rPr>
              <w:t>Qualtek USA, LLC</w:t>
            </w:r>
          </w:p>
        </w:tc>
        <w:tc>
          <w:tcPr>
            <w:tcW w:w="920" w:type="dxa"/>
            <w:vAlign w:val="bottom"/>
          </w:tcPr>
          <w:p>
            <w:pPr>
              <w:ind w:left="80"/>
              <w:spacing w:after="0"/>
              <w:rPr>
                <w:sz w:val="20"/>
                <w:szCs w:val="20"/>
                <w:color w:val="auto"/>
              </w:rPr>
            </w:pPr>
            <w:r>
              <w:rPr>
                <w:rFonts w:ascii="Arial" w:cs="Arial" w:eastAsia="Arial" w:hAnsi="Arial"/>
                <w:sz w:val="12"/>
                <w:szCs w:val="12"/>
                <w:color w:val="auto"/>
              </w:rPr>
              <w:t>(8)(14)</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w w:val="96"/>
              </w:rPr>
              <w:t>Senior Secured Loan — First Lien Term</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020" w:type="dxa"/>
            <w:vAlign w:val="bottom"/>
            <w:gridSpan w:val="3"/>
          </w:tcPr>
          <w:p>
            <w:pPr>
              <w:spacing w:after="0" w:line="141" w:lineRule="exact"/>
              <w:rPr>
                <w:sz w:val="20"/>
                <w:szCs w:val="20"/>
                <w:color w:val="auto"/>
              </w:rPr>
            </w:pPr>
            <w:r>
              <w:rPr>
                <w:rFonts w:ascii="Arial" w:cs="Arial" w:eastAsia="Arial" w:hAnsi="Arial"/>
                <w:sz w:val="14"/>
                <w:szCs w:val="14"/>
                <w:color w:val="auto"/>
              </w:rPr>
              <w:t>41 Spring Street New Providence, NJ 07974</w:t>
            </w:r>
          </w:p>
        </w:tc>
        <w:tc>
          <w:tcPr>
            <w:tcW w:w="92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0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High Tech Industries</w:t>
            </w:r>
          </w:p>
        </w:tc>
        <w:tc>
          <w:tcPr>
            <w:tcW w:w="92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7.3% Cash, 3 Month Libor (1.00%) +</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6.25%; Libor Floor 1.00%, Due 7/25</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660" w:type="dxa"/>
            <w:vAlign w:val="bottom"/>
          </w:tcPr>
          <w:p>
            <w:pPr>
              <w:jc w:val="right"/>
              <w:spacing w:after="0"/>
              <w:rPr>
                <w:sz w:val="20"/>
                <w:szCs w:val="20"/>
                <w:color w:val="auto"/>
              </w:rPr>
            </w:pPr>
            <w:r>
              <w:rPr>
                <w:rFonts w:ascii="Arial" w:cs="Arial" w:eastAsia="Arial" w:hAnsi="Arial"/>
                <w:sz w:val="14"/>
                <w:szCs w:val="14"/>
                <w:color w:val="auto"/>
              </w:rPr>
              <w:t>5,547,901</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4,604,277</w:t>
            </w:r>
          </w:p>
        </w:tc>
        <w:tc>
          <w:tcPr>
            <w:tcW w:w="700" w:type="dxa"/>
            <w:vAlign w:val="bottom"/>
          </w:tcPr>
          <w:p>
            <w:pPr>
              <w:jc w:val="right"/>
              <w:spacing w:after="0"/>
              <w:rPr>
                <w:sz w:val="20"/>
                <w:szCs w:val="20"/>
                <w:color w:val="auto"/>
              </w:rPr>
            </w:pPr>
            <w:r>
              <w:rPr>
                <w:rFonts w:ascii="Arial" w:cs="Arial" w:eastAsia="Arial" w:hAnsi="Arial"/>
                <w:sz w:val="14"/>
                <w:szCs w:val="14"/>
                <w:color w:val="auto"/>
              </w:rPr>
              <w:t>5,497,054</w:t>
            </w:r>
          </w:p>
        </w:tc>
        <w:tc>
          <w:tcPr>
            <w:tcW w:w="14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0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Radiology Partners, Inc</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2"/>
                <w:szCs w:val="12"/>
                <w:color w:val="auto"/>
              </w:rPr>
              <w:t>(8)(14)(21)</w:t>
            </w:r>
          </w:p>
        </w:tc>
        <w:tc>
          <w:tcPr>
            <w:tcW w:w="252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rPr>
              <w:t>Senior Secured Loan — Term B Loan</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7"/>
              </w:rPr>
              <w:t>5711 Old Buncombe Road, Greenville, SC 29609</w:t>
            </w:r>
          </w:p>
        </w:tc>
        <w:tc>
          <w:tcPr>
            <w:tcW w:w="92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(First Lien)</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0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Healthcare &amp; Pharmaceuticals</w:t>
            </w:r>
          </w:p>
        </w:tc>
        <w:tc>
          <w:tcPr>
            <w:tcW w:w="92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4.3% Cash, 1 Month Libor (0.08%) +</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4.25%, Due 7/25</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3/24/2020</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7,000,000</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6,023,245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7,003,395</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24"/>
        </w:trPr>
        <w:tc>
          <w:tcPr>
            <w:tcW w:w="3020" w:type="dxa"/>
            <w:vAlign w:val="bottom"/>
            <w:gridSpan w:val="3"/>
          </w:tcPr>
          <w:p>
            <w:pPr>
              <w:spacing w:after="0"/>
              <w:rPr>
                <w:sz w:val="20"/>
                <w:szCs w:val="20"/>
                <w:color w:val="auto"/>
              </w:rPr>
            </w:pPr>
            <w:r>
              <w:rPr>
                <w:rFonts w:ascii="Arial" w:cs="Arial" w:eastAsia="Arial" w:hAnsi="Arial"/>
                <w:sz w:val="14"/>
                <w:szCs w:val="14"/>
                <w:color w:val="auto"/>
              </w:rPr>
              <w:t>Radius Aerospace, Inc.</w:t>
            </w:r>
          </w:p>
        </w:tc>
        <w:tc>
          <w:tcPr>
            <w:tcW w:w="920" w:type="dxa"/>
            <w:vAlign w:val="bottom"/>
          </w:tcPr>
          <w:p>
            <w:pPr>
              <w:ind w:left="80"/>
              <w:spacing w:after="0"/>
              <w:rPr>
                <w:sz w:val="20"/>
                <w:szCs w:val="20"/>
                <w:color w:val="auto"/>
              </w:rPr>
            </w:pPr>
            <w:r>
              <w:rPr>
                <w:rFonts w:ascii="Arial" w:cs="Arial" w:eastAsia="Arial" w:hAnsi="Arial"/>
                <w:sz w:val="12"/>
                <w:szCs w:val="12"/>
                <w:color w:val="auto"/>
              </w:rPr>
              <w:t>(8)(13)(14)</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Senior Secured Loan — Initial Term</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020" w:type="dxa"/>
            <w:vAlign w:val="bottom"/>
            <w:gridSpan w:val="3"/>
          </w:tcPr>
          <w:p>
            <w:pPr>
              <w:spacing w:after="0" w:line="141" w:lineRule="exact"/>
              <w:rPr>
                <w:sz w:val="20"/>
                <w:szCs w:val="20"/>
                <w:color w:val="auto"/>
              </w:rPr>
            </w:pPr>
            <w:r>
              <w:rPr>
                <w:rFonts w:ascii="Arial" w:cs="Arial" w:eastAsia="Arial" w:hAnsi="Arial"/>
                <w:sz w:val="14"/>
                <w:szCs w:val="14"/>
                <w:color w:val="auto"/>
              </w:rPr>
              <w:t>32125 Solon Road, Suite 100 Solon, OH 44139</w:t>
            </w:r>
          </w:p>
        </w:tc>
        <w:tc>
          <w:tcPr>
            <w:tcW w:w="92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0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Aerospace and Defense</w:t>
            </w:r>
          </w:p>
        </w:tc>
        <w:tc>
          <w:tcPr>
            <w:tcW w:w="92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6.8% Cash, 3 Month Libor (1.00%) +</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5.75%; Libor Floor 1.00%, Due 3/25</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6/27/2019</w:t>
            </w:r>
          </w:p>
        </w:tc>
        <w:tc>
          <w:tcPr>
            <w:tcW w:w="660" w:type="dxa"/>
            <w:vAlign w:val="bottom"/>
          </w:tcPr>
          <w:p>
            <w:pPr>
              <w:jc w:val="right"/>
              <w:spacing w:after="0"/>
              <w:rPr>
                <w:sz w:val="20"/>
                <w:szCs w:val="20"/>
                <w:color w:val="auto"/>
              </w:rPr>
            </w:pPr>
            <w:r>
              <w:rPr>
                <w:rFonts w:ascii="Arial" w:cs="Arial" w:eastAsia="Arial" w:hAnsi="Arial"/>
                <w:sz w:val="14"/>
                <w:szCs w:val="14"/>
                <w:color w:val="auto"/>
              </w:rPr>
              <w:t>6,576,000</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6,516,056</w:t>
            </w:r>
          </w:p>
        </w:tc>
        <w:tc>
          <w:tcPr>
            <w:tcW w:w="700" w:type="dxa"/>
            <w:vAlign w:val="bottom"/>
          </w:tcPr>
          <w:p>
            <w:pPr>
              <w:jc w:val="right"/>
              <w:spacing w:after="0"/>
              <w:rPr>
                <w:sz w:val="20"/>
                <w:szCs w:val="20"/>
                <w:color w:val="auto"/>
              </w:rPr>
            </w:pPr>
            <w:r>
              <w:rPr>
                <w:rFonts w:ascii="Arial" w:cs="Arial" w:eastAsia="Arial" w:hAnsi="Arial"/>
                <w:sz w:val="14"/>
                <w:szCs w:val="14"/>
                <w:color w:val="auto"/>
              </w:rPr>
              <w:t>6,241,281</w:t>
            </w:r>
          </w:p>
        </w:tc>
        <w:tc>
          <w:tcPr>
            <w:tcW w:w="14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0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Redstone Holdco 2, LP</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2"/>
                <w:szCs w:val="12"/>
                <w:color w:val="auto"/>
              </w:rPr>
              <w:t>(8)(14)</w:t>
            </w:r>
          </w:p>
        </w:tc>
        <w:tc>
          <w:tcPr>
            <w:tcW w:w="252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rPr>
              <w:t>Junior Secured Loan — Term Loan</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176 Middlesex Turnpike, Bedford, MA 01730</w:t>
            </w:r>
          </w:p>
        </w:tc>
        <w:tc>
          <w:tcPr>
            <w:tcW w:w="92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(Second Lien)</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0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High Tech Industries</w:t>
            </w:r>
          </w:p>
        </w:tc>
        <w:tc>
          <w:tcPr>
            <w:tcW w:w="92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8.5% Cash, 3 Month Libor (0.75%) +</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7.75%; Libor Floor 0.75%, Due 4/29</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4/16/2021</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4,565,747</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4,489,801</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4,463,018</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24"/>
        </w:trPr>
        <w:tc>
          <w:tcPr>
            <w:tcW w:w="3020" w:type="dxa"/>
            <w:vAlign w:val="bottom"/>
            <w:gridSpan w:val="3"/>
          </w:tcPr>
          <w:p>
            <w:pPr>
              <w:spacing w:after="0"/>
              <w:rPr>
                <w:sz w:val="20"/>
                <w:szCs w:val="20"/>
                <w:color w:val="auto"/>
              </w:rPr>
            </w:pPr>
            <w:r>
              <w:rPr>
                <w:rFonts w:ascii="Arial" w:cs="Arial" w:eastAsia="Arial" w:hAnsi="Arial"/>
                <w:sz w:val="14"/>
                <w:szCs w:val="14"/>
                <w:color w:val="auto"/>
              </w:rPr>
              <w:t>Ritedose Holdings I, Inc.</w:t>
            </w:r>
          </w:p>
        </w:tc>
        <w:tc>
          <w:tcPr>
            <w:tcW w:w="920" w:type="dxa"/>
            <w:vAlign w:val="bottom"/>
          </w:tcPr>
          <w:p>
            <w:pPr>
              <w:ind w:left="80"/>
              <w:spacing w:after="0"/>
              <w:rPr>
                <w:sz w:val="20"/>
                <w:szCs w:val="20"/>
                <w:color w:val="auto"/>
              </w:rPr>
            </w:pPr>
            <w:r>
              <w:rPr>
                <w:rFonts w:ascii="Arial" w:cs="Arial" w:eastAsia="Arial" w:hAnsi="Arial"/>
                <w:sz w:val="12"/>
                <w:szCs w:val="12"/>
                <w:color w:val="auto"/>
              </w:rPr>
              <w:t>(8)(13)(14)(23)</w:t>
            </w:r>
          </w:p>
        </w:tc>
        <w:tc>
          <w:tcPr>
            <w:tcW w:w="2520" w:type="dxa"/>
            <w:vAlign w:val="bottom"/>
            <w:gridSpan w:val="3"/>
            <w:vMerge w:val="restart"/>
          </w:tcPr>
          <w:p>
            <w:pPr>
              <w:ind w:left="120"/>
              <w:spacing w:after="0"/>
              <w:rPr>
                <w:sz w:val="20"/>
                <w:szCs w:val="20"/>
                <w:color w:val="auto"/>
              </w:rPr>
            </w:pPr>
            <w:r>
              <w:rPr>
                <w:rFonts w:ascii="Arial" w:cs="Arial" w:eastAsia="Arial" w:hAnsi="Arial"/>
                <w:sz w:val="14"/>
                <w:szCs w:val="14"/>
                <w:color w:val="auto"/>
              </w:rPr>
              <w:t>Senior Secured Loan — Revolver</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3020" w:type="dxa"/>
            <w:vAlign w:val="bottom"/>
            <w:gridSpan w:val="3"/>
            <w:vMerge w:val="restart"/>
          </w:tcPr>
          <w:p>
            <w:pPr>
              <w:spacing w:after="0" w:line="141" w:lineRule="exact"/>
              <w:rPr>
                <w:sz w:val="20"/>
                <w:szCs w:val="20"/>
                <w:color w:val="auto"/>
              </w:rPr>
            </w:pPr>
            <w:r>
              <w:rPr>
                <w:rFonts w:ascii="Arial" w:cs="Arial" w:eastAsia="Arial" w:hAnsi="Arial"/>
                <w:sz w:val="14"/>
                <w:szCs w:val="14"/>
                <w:color w:val="auto"/>
                <w:w w:val="97"/>
              </w:rPr>
              <w:t>717 N. Harwood St., Suite 2300 Dallas, TX 75201</w:t>
            </w:r>
          </w:p>
        </w:tc>
        <w:tc>
          <w:tcPr>
            <w:tcW w:w="920" w:type="dxa"/>
            <w:vAlign w:val="bottom"/>
          </w:tcPr>
          <w:p>
            <w:pPr>
              <w:spacing w:after="0"/>
              <w:rPr>
                <w:sz w:val="6"/>
                <w:szCs w:val="6"/>
                <w:color w:val="auto"/>
              </w:rPr>
            </w:pPr>
          </w:p>
        </w:tc>
        <w:tc>
          <w:tcPr>
            <w:tcW w:w="252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302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2520" w:type="dxa"/>
            <w:vAlign w:val="bottom"/>
            <w:gridSpan w:val="3"/>
            <w:vMerge w:val="restart"/>
          </w:tcPr>
          <w:p>
            <w:pPr>
              <w:ind w:left="120"/>
              <w:spacing w:after="0"/>
              <w:rPr>
                <w:sz w:val="20"/>
                <w:szCs w:val="20"/>
                <w:color w:val="auto"/>
              </w:rPr>
            </w:pPr>
            <w:r>
              <w:rPr>
                <w:rFonts w:ascii="Arial" w:cs="Arial" w:eastAsia="Arial" w:hAnsi="Arial"/>
                <w:sz w:val="14"/>
                <w:szCs w:val="14"/>
                <w:color w:val="auto"/>
              </w:rPr>
              <w:t>0.5% Cash, Due 9/23</w:t>
            </w: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gridSpan w:val="2"/>
            <w:vMerge w:val="restart"/>
          </w:tcPr>
          <w:p>
            <w:pPr>
              <w:ind w:left="240"/>
              <w:spacing w:after="0"/>
              <w:rPr>
                <w:sz w:val="20"/>
                <w:szCs w:val="20"/>
                <w:color w:val="auto"/>
              </w:rPr>
            </w:pPr>
            <w:r>
              <w:rPr>
                <w:rFonts w:ascii="Arial" w:cs="Arial" w:eastAsia="Arial" w:hAnsi="Arial"/>
                <w:sz w:val="14"/>
                <w:szCs w:val="14"/>
                <w:color w:val="auto"/>
              </w:rPr>
              <w:t>Healthcare &amp; Pharmaceuticals</w:t>
            </w:r>
          </w:p>
        </w:tc>
        <w:tc>
          <w:tcPr>
            <w:tcW w:w="92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10/28/2020</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0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0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Ritedose Holdings I, Inc.</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2"/>
                <w:szCs w:val="12"/>
                <w:color w:val="auto"/>
              </w:rPr>
              <w:t>(8)(13)(14)</w:t>
            </w:r>
          </w:p>
        </w:tc>
        <w:tc>
          <w:tcPr>
            <w:tcW w:w="252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w w:val="96"/>
              </w:rPr>
              <w:t>Senior Secured Loan — First Lien Term</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1"/>
              </w:rPr>
              <w:t>2101 El Segundo Boulevard, Suite 401, El Segundo,</w:t>
            </w:r>
          </w:p>
        </w:tc>
        <w:tc>
          <w:tcPr>
            <w:tcW w:w="92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0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CA 90245</w:t>
            </w:r>
          </w:p>
        </w:tc>
        <w:tc>
          <w:tcPr>
            <w:tcW w:w="92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7.5% Cash, 3 Month Libor (1.00%) +</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Healthcare &amp; Pharmaceuticals</w:t>
            </w:r>
          </w:p>
        </w:tc>
        <w:tc>
          <w:tcPr>
            <w:tcW w:w="92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6.50%; Libor Floor 1.00%, Due 9/23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10/28/2020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6,782,729</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6,157,593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6,782,729</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4"/>
        </w:trPr>
        <w:tc>
          <w:tcPr>
            <w:tcW w:w="3020" w:type="dxa"/>
            <w:vAlign w:val="bottom"/>
            <w:gridSpan w:val="3"/>
          </w:tcPr>
          <w:p>
            <w:pPr>
              <w:spacing w:after="0"/>
              <w:rPr>
                <w:sz w:val="20"/>
                <w:szCs w:val="20"/>
                <w:color w:val="auto"/>
              </w:rPr>
            </w:pPr>
            <w:r>
              <w:rPr>
                <w:rFonts w:ascii="Arial" w:cs="Arial" w:eastAsia="Arial" w:hAnsi="Arial"/>
                <w:sz w:val="14"/>
                <w:szCs w:val="14"/>
                <w:color w:val="auto"/>
              </w:rPr>
              <w:t>Robertshaw US Holding Corp.</w:t>
            </w:r>
          </w:p>
        </w:tc>
        <w:tc>
          <w:tcPr>
            <w:tcW w:w="920" w:type="dxa"/>
            <w:vAlign w:val="bottom"/>
          </w:tcPr>
          <w:p>
            <w:pPr>
              <w:ind w:left="80"/>
              <w:spacing w:after="0"/>
              <w:rPr>
                <w:sz w:val="20"/>
                <w:szCs w:val="20"/>
                <w:color w:val="auto"/>
              </w:rPr>
            </w:pPr>
            <w:r>
              <w:rPr>
                <w:rFonts w:ascii="Arial" w:cs="Arial" w:eastAsia="Arial" w:hAnsi="Arial"/>
                <w:sz w:val="12"/>
                <w:szCs w:val="12"/>
                <w:color w:val="auto"/>
              </w:rPr>
              <w:t>(8)(13)</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Junior Secured Loan — Initial Term</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00" w:type="dxa"/>
            <w:vAlign w:val="bottom"/>
            <w:gridSpan w:val="2"/>
          </w:tcPr>
          <w:p>
            <w:pPr>
              <w:ind w:left="100"/>
              <w:spacing w:after="0" w:line="141" w:lineRule="exact"/>
              <w:rPr>
                <w:sz w:val="20"/>
                <w:szCs w:val="20"/>
                <w:color w:val="auto"/>
              </w:rPr>
            </w:pPr>
            <w:r>
              <w:rPr>
                <w:rFonts w:ascii="Arial" w:cs="Arial" w:eastAsia="Arial" w:hAnsi="Arial"/>
                <w:sz w:val="14"/>
                <w:szCs w:val="14"/>
                <w:color w:val="auto"/>
                <w:w w:val="92"/>
              </w:rPr>
              <w:t>5425 Wisconsin Avenue, Suite 200, Chevy Chase,</w:t>
            </w:r>
          </w:p>
        </w:tc>
        <w:tc>
          <w:tcPr>
            <w:tcW w:w="92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 (Second Lien)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0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MD 20815</w:t>
            </w:r>
          </w:p>
        </w:tc>
        <w:tc>
          <w:tcPr>
            <w:tcW w:w="92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9.0% Cash, 1 Month Libor (1.00%) +</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gridSpan w:val="2"/>
          </w:tcPr>
          <w:p>
            <w:pPr>
              <w:ind w:left="240"/>
              <w:spacing w:after="0"/>
              <w:rPr>
                <w:sz w:val="20"/>
                <w:szCs w:val="20"/>
                <w:color w:val="auto"/>
              </w:rPr>
            </w:pPr>
            <w:r>
              <w:rPr>
                <w:rFonts w:ascii="Arial" w:cs="Arial" w:eastAsia="Arial" w:hAnsi="Arial"/>
                <w:sz w:val="14"/>
                <w:szCs w:val="14"/>
                <w:color w:val="auto"/>
              </w:rPr>
              <w:t>Capital Equipment</w:t>
            </w:r>
          </w:p>
        </w:tc>
        <w:tc>
          <w:tcPr>
            <w:tcW w:w="920" w:type="dxa"/>
            <w:vAlign w:val="bottom"/>
          </w:tcPr>
          <w:p>
            <w:pPr>
              <w:spacing w:after="0"/>
              <w:rPr>
                <w:sz w:val="16"/>
                <w:szCs w:val="16"/>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8.00%; Libor Floor 1.00%, Due 2/26</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2/15/2018</w:t>
            </w:r>
          </w:p>
        </w:tc>
        <w:tc>
          <w:tcPr>
            <w:tcW w:w="660" w:type="dxa"/>
            <w:vAlign w:val="bottom"/>
          </w:tcPr>
          <w:p>
            <w:pPr>
              <w:jc w:val="right"/>
              <w:spacing w:after="0"/>
              <w:rPr>
                <w:sz w:val="20"/>
                <w:szCs w:val="20"/>
                <w:color w:val="auto"/>
              </w:rPr>
            </w:pPr>
            <w:r>
              <w:rPr>
                <w:rFonts w:ascii="Arial" w:cs="Arial" w:eastAsia="Arial" w:hAnsi="Arial"/>
                <w:sz w:val="14"/>
                <w:szCs w:val="14"/>
                <w:color w:val="auto"/>
              </w:rPr>
              <w:t>3,000,000</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2,983,427</w:t>
            </w:r>
          </w:p>
        </w:tc>
        <w:tc>
          <w:tcPr>
            <w:tcW w:w="700" w:type="dxa"/>
            <w:vAlign w:val="bottom"/>
          </w:tcPr>
          <w:p>
            <w:pPr>
              <w:jc w:val="right"/>
              <w:spacing w:after="0"/>
              <w:rPr>
                <w:sz w:val="20"/>
                <w:szCs w:val="20"/>
                <w:color w:val="auto"/>
              </w:rPr>
            </w:pPr>
            <w:r>
              <w:rPr>
                <w:rFonts w:ascii="Arial" w:cs="Arial" w:eastAsia="Arial" w:hAnsi="Arial"/>
                <w:sz w:val="14"/>
                <w:szCs w:val="14"/>
                <w:color w:val="auto"/>
              </w:rPr>
              <w:t>2,617,200</w:t>
            </w:r>
          </w:p>
        </w:tc>
        <w:tc>
          <w:tcPr>
            <w:tcW w:w="14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0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Roscoe Medical, Inc.</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2"/>
                <w:szCs w:val="12"/>
                <w:color w:val="auto"/>
              </w:rPr>
              <w:t>(8)(13)</w:t>
            </w:r>
          </w:p>
        </w:tc>
        <w:tc>
          <w:tcPr>
            <w:tcW w:w="25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Junior Secured Loan — Term Loan</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000" w:type="dxa"/>
            <w:vAlign w:val="bottom"/>
            <w:gridSpan w:val="2"/>
            <w:vMerge w:val="restart"/>
            <w:shd w:val="clear" w:color="auto" w:fill="CCEEFF"/>
          </w:tcPr>
          <w:p>
            <w:pPr>
              <w:spacing w:after="0" w:line="141" w:lineRule="exact"/>
              <w:rPr>
                <w:sz w:val="20"/>
                <w:szCs w:val="20"/>
                <w:color w:val="auto"/>
              </w:rPr>
            </w:pPr>
            <w:r>
              <w:rPr>
                <w:rFonts w:ascii="Arial" w:cs="Arial" w:eastAsia="Arial" w:hAnsi="Arial"/>
                <w:sz w:val="14"/>
                <w:szCs w:val="14"/>
                <w:color w:val="auto"/>
                <w:w w:val="92"/>
              </w:rPr>
              <w:t>4700 Old International Airport Road, Anchorage, AK</w:t>
            </w:r>
          </w:p>
        </w:tc>
        <w:tc>
          <w:tcPr>
            <w:tcW w:w="920" w:type="dxa"/>
            <w:vAlign w:val="bottom"/>
            <w:shd w:val="clear" w:color="auto" w:fill="CCEEFF"/>
          </w:tcPr>
          <w:p>
            <w:pPr>
              <w:spacing w:after="0"/>
              <w:rPr>
                <w:sz w:val="6"/>
                <w:szCs w:val="6"/>
                <w:color w:val="auto"/>
              </w:rPr>
            </w:pPr>
          </w:p>
        </w:tc>
        <w:tc>
          <w:tcPr>
            <w:tcW w:w="2520" w:type="dxa"/>
            <w:vAlign w:val="bottom"/>
            <w:gridSpan w:val="3"/>
            <w:vMerge w:val="continue"/>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000" w:type="dxa"/>
            <w:vAlign w:val="bottom"/>
            <w:gridSpan w:val="2"/>
            <w:vMerge w:val="continue"/>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2520" w:type="dxa"/>
            <w:vAlign w:val="bottom"/>
            <w:gridSpan w:val="3"/>
            <w:vMerge w:val="restart"/>
            <w:shd w:val="clear" w:color="auto" w:fill="CCEEFF"/>
          </w:tcPr>
          <w:p>
            <w:pPr>
              <w:ind w:left="120"/>
              <w:spacing w:after="0" w:line="141" w:lineRule="exact"/>
              <w:rPr>
                <w:sz w:val="20"/>
                <w:szCs w:val="20"/>
                <w:color w:val="auto"/>
              </w:rPr>
            </w:pPr>
            <w:r>
              <w:rPr>
                <w:rFonts w:ascii="Arial" w:cs="Arial" w:eastAsia="Arial" w:hAnsi="Arial"/>
                <w:sz w:val="14"/>
                <w:szCs w:val="14"/>
                <w:color w:val="auto"/>
              </w:rPr>
              <w:t>(Second Lien)</w:t>
            </w:r>
          </w:p>
        </w:tc>
        <w:tc>
          <w:tcPr>
            <w:tcW w:w="7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80" w:type="dxa"/>
            <w:vAlign w:val="bottom"/>
            <w:vMerge w:val="restart"/>
            <w:shd w:val="clear" w:color="auto" w:fill="CCEEFF"/>
          </w:tcPr>
          <w:p>
            <w:pPr>
              <w:ind w:left="100"/>
              <w:spacing w:after="0" w:line="141" w:lineRule="exact"/>
              <w:rPr>
                <w:sz w:val="20"/>
                <w:szCs w:val="20"/>
                <w:color w:val="auto"/>
              </w:rPr>
            </w:pPr>
            <w:r>
              <w:rPr>
                <w:rFonts w:ascii="Arial" w:cs="Arial" w:eastAsia="Arial" w:hAnsi="Arial"/>
                <w:sz w:val="14"/>
                <w:szCs w:val="14"/>
                <w:color w:val="auto"/>
              </w:rPr>
              <w:t>99502</w:t>
            </w:r>
          </w:p>
        </w:tc>
        <w:tc>
          <w:tcPr>
            <w:tcW w:w="20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520" w:type="dxa"/>
            <w:vAlign w:val="bottom"/>
            <w:gridSpan w:val="3"/>
            <w:vMerge w:val="continue"/>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20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25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11.3% Cash, Due 3/22</w:t>
            </w:r>
          </w:p>
        </w:tc>
        <w:tc>
          <w:tcPr>
            <w:tcW w:w="7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Healthcare &amp; Pharmaceuticals</w:t>
            </w:r>
          </w:p>
        </w:tc>
        <w:tc>
          <w:tcPr>
            <w:tcW w:w="920" w:type="dxa"/>
            <w:vAlign w:val="bottom"/>
            <w:shd w:val="clear" w:color="auto" w:fill="CCEEFF"/>
          </w:tcPr>
          <w:p>
            <w:pPr>
              <w:spacing w:after="0"/>
              <w:rPr>
                <w:sz w:val="9"/>
                <w:szCs w:val="9"/>
                <w:color w:val="auto"/>
              </w:rPr>
            </w:pPr>
          </w:p>
        </w:tc>
        <w:tc>
          <w:tcPr>
            <w:tcW w:w="2520" w:type="dxa"/>
            <w:vAlign w:val="bottom"/>
            <w:gridSpan w:val="3"/>
            <w:vMerge w:val="continue"/>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3/26/2014</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8,201,777</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8,199,020</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7,955,724</w:t>
            </w:r>
          </w:p>
        </w:tc>
        <w:tc>
          <w:tcPr>
            <w:tcW w:w="14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000" w:type="dxa"/>
            <w:vAlign w:val="bottom"/>
            <w:gridSpan w:val="2"/>
            <w:vMerge w:val="continue"/>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020" w:type="dxa"/>
            <w:vAlign w:val="bottom"/>
            <w:gridSpan w:val="3"/>
          </w:tcPr>
          <w:p>
            <w:pPr>
              <w:spacing w:after="0"/>
              <w:rPr>
                <w:sz w:val="20"/>
                <w:szCs w:val="20"/>
                <w:color w:val="auto"/>
              </w:rPr>
            </w:pPr>
            <w:r>
              <w:rPr>
                <w:rFonts w:ascii="Arial" w:cs="Arial" w:eastAsia="Arial" w:hAnsi="Arial"/>
                <w:sz w:val="14"/>
                <w:szCs w:val="14"/>
                <w:color w:val="auto"/>
              </w:rPr>
              <w:t>Safe Fleet Holdings LLC</w:t>
            </w:r>
          </w:p>
        </w:tc>
        <w:tc>
          <w:tcPr>
            <w:tcW w:w="920" w:type="dxa"/>
            <w:vAlign w:val="bottom"/>
          </w:tcPr>
          <w:p>
            <w:pPr>
              <w:ind w:left="80"/>
              <w:spacing w:after="0"/>
              <w:rPr>
                <w:sz w:val="20"/>
                <w:szCs w:val="20"/>
                <w:color w:val="auto"/>
              </w:rPr>
            </w:pPr>
            <w:r>
              <w:rPr>
                <w:rFonts w:ascii="Arial" w:cs="Arial" w:eastAsia="Arial" w:hAnsi="Arial"/>
                <w:sz w:val="12"/>
                <w:szCs w:val="12"/>
                <w:color w:val="auto"/>
              </w:rPr>
              <w:t>(8)(14)</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Junior Secured Loan — Initial Term</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020" w:type="dxa"/>
            <w:vAlign w:val="bottom"/>
            <w:gridSpan w:val="3"/>
          </w:tcPr>
          <w:p>
            <w:pPr>
              <w:spacing w:after="0" w:line="141" w:lineRule="exact"/>
              <w:rPr>
                <w:sz w:val="20"/>
                <w:szCs w:val="20"/>
                <w:color w:val="auto"/>
              </w:rPr>
            </w:pPr>
            <w:r>
              <w:rPr>
                <w:rFonts w:ascii="Arial" w:cs="Arial" w:eastAsia="Arial" w:hAnsi="Arial"/>
                <w:sz w:val="14"/>
                <w:szCs w:val="14"/>
                <w:color w:val="auto"/>
              </w:rPr>
              <w:t>One Technology Circle Columbia, SC 29203</w:t>
            </w:r>
          </w:p>
        </w:tc>
        <w:tc>
          <w:tcPr>
            <w:tcW w:w="92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 (Second Lien)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0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Automotive</w:t>
            </w:r>
          </w:p>
        </w:tc>
        <w:tc>
          <w:tcPr>
            <w:tcW w:w="92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7.8% Cash, 3 Month Libor (1.00%) +</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6.75%; Libor Floor 1.00%, Due 2/26</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12/18/2019</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700,000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635,218</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692,419</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0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San Vicente Capital LLC</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2"/>
                <w:szCs w:val="12"/>
                <w:color w:val="auto"/>
              </w:rPr>
              <w:t>(8)(13)(14)(21)</w:t>
            </w:r>
          </w:p>
        </w:tc>
        <w:tc>
          <w:tcPr>
            <w:tcW w:w="252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rPr>
              <w:t>Senior Secured Loan — Term Loan</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One Technology Circle Columbia, SC 29203</w:t>
            </w:r>
          </w:p>
        </w:tc>
        <w:tc>
          <w:tcPr>
            <w:tcW w:w="92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9.5% Cash, 3 Month Libor (1.50%) +</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Telecommunications</w:t>
            </w:r>
          </w:p>
        </w:tc>
        <w:tc>
          <w:tcPr>
            <w:tcW w:w="92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8.00%; Libor Floor 1.50%, Due 6/25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6/10/2020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2,955,000</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2,922,277</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2,955,000</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4"/>
        </w:trPr>
        <w:tc>
          <w:tcPr>
            <w:tcW w:w="3020" w:type="dxa"/>
            <w:vAlign w:val="bottom"/>
            <w:gridSpan w:val="3"/>
          </w:tcPr>
          <w:p>
            <w:pPr>
              <w:spacing w:after="0"/>
              <w:rPr>
                <w:sz w:val="20"/>
                <w:szCs w:val="20"/>
                <w:color w:val="auto"/>
              </w:rPr>
            </w:pPr>
            <w:r>
              <w:rPr>
                <w:rFonts w:ascii="Arial" w:cs="Arial" w:eastAsia="Arial" w:hAnsi="Arial"/>
                <w:sz w:val="14"/>
                <w:szCs w:val="14"/>
                <w:color w:val="auto"/>
              </w:rPr>
              <w:t>Shipston Group, U.S., Inc.</w:t>
            </w:r>
          </w:p>
        </w:tc>
        <w:tc>
          <w:tcPr>
            <w:tcW w:w="920" w:type="dxa"/>
            <w:vAlign w:val="bottom"/>
          </w:tcPr>
          <w:p>
            <w:pPr>
              <w:ind w:left="80"/>
              <w:spacing w:after="0"/>
              <w:rPr>
                <w:sz w:val="20"/>
                <w:szCs w:val="20"/>
                <w:color w:val="auto"/>
              </w:rPr>
            </w:pPr>
            <w:r>
              <w:rPr>
                <w:rFonts w:ascii="Arial" w:cs="Arial" w:eastAsia="Arial" w:hAnsi="Arial"/>
                <w:sz w:val="12"/>
                <w:szCs w:val="12"/>
                <w:color w:val="auto"/>
              </w:rPr>
              <w:t>(8)(13)(14)(20)</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w w:val="96"/>
              </w:rPr>
              <w:t>Senior Secured Loan — First Lien Term</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020" w:type="dxa"/>
            <w:vAlign w:val="bottom"/>
            <w:gridSpan w:val="3"/>
          </w:tcPr>
          <w:p>
            <w:pPr>
              <w:spacing w:after="0" w:line="141" w:lineRule="exact"/>
              <w:rPr>
                <w:sz w:val="20"/>
                <w:szCs w:val="20"/>
                <w:color w:val="auto"/>
              </w:rPr>
            </w:pPr>
            <w:r>
              <w:rPr>
                <w:rFonts w:ascii="Arial" w:cs="Arial" w:eastAsia="Arial" w:hAnsi="Arial"/>
                <w:sz w:val="14"/>
                <w:szCs w:val="14"/>
                <w:color w:val="auto"/>
              </w:rPr>
              <w:t>1222 Hamilton Parkway Itasca, IL 60143</w:t>
            </w:r>
          </w:p>
        </w:tc>
        <w:tc>
          <w:tcPr>
            <w:tcW w:w="92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0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Automotive</w:t>
            </w:r>
          </w:p>
        </w:tc>
        <w:tc>
          <w:tcPr>
            <w:tcW w:w="92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7.0% Cash, 2.0% PIK, 3 Month Libor</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(1.25%) + 5.75%; Libor Floor 1.25%,</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Due 9/23</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660" w:type="dxa"/>
            <w:vAlign w:val="bottom"/>
          </w:tcPr>
          <w:p>
            <w:pPr>
              <w:jc w:val="right"/>
              <w:spacing w:after="0"/>
              <w:rPr>
                <w:sz w:val="20"/>
                <w:szCs w:val="20"/>
                <w:color w:val="auto"/>
              </w:rPr>
            </w:pPr>
            <w:r>
              <w:rPr>
                <w:rFonts w:ascii="Arial" w:cs="Arial" w:eastAsia="Arial" w:hAnsi="Arial"/>
                <w:sz w:val="14"/>
                <w:szCs w:val="14"/>
                <w:color w:val="auto"/>
              </w:rPr>
              <w:t>5,946,880</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5,080,315</w:t>
            </w:r>
          </w:p>
        </w:tc>
        <w:tc>
          <w:tcPr>
            <w:tcW w:w="700" w:type="dxa"/>
            <w:vAlign w:val="bottom"/>
          </w:tcPr>
          <w:p>
            <w:pPr>
              <w:jc w:val="right"/>
              <w:spacing w:after="0"/>
              <w:rPr>
                <w:sz w:val="20"/>
                <w:szCs w:val="20"/>
                <w:color w:val="auto"/>
              </w:rPr>
            </w:pPr>
            <w:r>
              <w:rPr>
                <w:rFonts w:ascii="Arial" w:cs="Arial" w:eastAsia="Arial" w:hAnsi="Arial"/>
                <w:sz w:val="14"/>
                <w:szCs w:val="14"/>
                <w:color w:val="auto"/>
              </w:rPr>
              <w:t>5,569,253</w:t>
            </w:r>
          </w:p>
        </w:tc>
        <w:tc>
          <w:tcPr>
            <w:tcW w:w="14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0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Shipston Group, U.S., Inc.</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2"/>
                <w:szCs w:val="12"/>
                <w:color w:val="auto"/>
              </w:rPr>
              <w:t>(8)(13)(14)(20)</w:t>
            </w:r>
          </w:p>
        </w:tc>
        <w:tc>
          <w:tcPr>
            <w:tcW w:w="252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w w:val="96"/>
              </w:rPr>
              <w:t>Senior Secured Loan — First Lien Term</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1222 Hamilton Parkway Itasca, IL 60143</w:t>
            </w:r>
          </w:p>
        </w:tc>
        <w:tc>
          <w:tcPr>
            <w:tcW w:w="92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0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Automotive</w:t>
            </w:r>
          </w:p>
        </w:tc>
        <w:tc>
          <w:tcPr>
            <w:tcW w:w="92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7.0% Cash, 2.0% PIK, 3 Month Libor</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(1.25%) + 5.75%; Libor Floor 1.25%,</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Due 9/23</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10/28/2020</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398,211</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340,137</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372,924</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840"/>
          </w:cols>
          <w:pgMar w:left="320" w:top="443" w:right="7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29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Portfolio Company /</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Investment</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28"/>
        </w:trPr>
        <w:tc>
          <w:tcPr>
            <w:tcW w:w="290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880" w:type="dxa"/>
            <w:vAlign w:val="bottom"/>
            <w:gridSpan w:val="2"/>
          </w:tcPr>
          <w:p>
            <w:pPr>
              <w:jc w:val="center"/>
              <w:ind w:right="140"/>
              <w:spacing w:after="0" w:line="128" w:lineRule="exact"/>
              <w:rPr>
                <w:sz w:val="20"/>
                <w:szCs w:val="20"/>
                <w:color w:val="auto"/>
              </w:rPr>
            </w:pPr>
            <w:r>
              <w:rPr>
                <w:rFonts w:ascii="Arial" w:cs="Arial" w:eastAsia="Arial" w:hAnsi="Arial"/>
                <w:sz w:val="13"/>
                <w:szCs w:val="13"/>
                <w:b w:val="1"/>
                <w:bCs w:val="1"/>
                <w:color w:val="auto"/>
                <w:w w:val="87"/>
              </w:rPr>
              <w:t>Acquisition</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260"/>
              <w:spacing w:after="0" w:line="128" w:lineRule="exact"/>
              <w:rPr>
                <w:sz w:val="20"/>
                <w:szCs w:val="20"/>
                <w:color w:val="auto"/>
              </w:rPr>
            </w:pPr>
            <w:r>
              <w:rPr>
                <w:rFonts w:ascii="Arial" w:cs="Arial" w:eastAsia="Arial" w:hAnsi="Arial"/>
                <w:sz w:val="13"/>
                <w:szCs w:val="13"/>
                <w:b w:val="1"/>
                <w:bCs w:val="1"/>
                <w:color w:val="auto"/>
                <w:w w:val="94"/>
              </w:rPr>
              <w:t>Amortized</w:t>
            </w:r>
          </w:p>
        </w:tc>
        <w:tc>
          <w:tcPr>
            <w:tcW w:w="880" w:type="dxa"/>
            <w:vAlign w:val="bottom"/>
            <w:gridSpan w:val="2"/>
          </w:tcPr>
          <w:p>
            <w:pPr>
              <w:jc w:val="right"/>
              <w:ind w:right="420"/>
              <w:spacing w:after="0" w:line="128" w:lineRule="exact"/>
              <w:rPr>
                <w:sz w:val="20"/>
                <w:szCs w:val="20"/>
                <w:color w:val="auto"/>
              </w:rPr>
            </w:pPr>
            <w:r>
              <w:rPr>
                <w:rFonts w:ascii="Arial" w:cs="Arial" w:eastAsia="Arial" w:hAnsi="Arial"/>
                <w:sz w:val="13"/>
                <w:szCs w:val="13"/>
                <w:b w:val="1"/>
                <w:bCs w:val="1"/>
                <w:color w:val="auto"/>
              </w:rPr>
              <w:t>Fair</w:t>
            </w:r>
          </w:p>
        </w:tc>
        <w:tc>
          <w:tcPr>
            <w:tcW w:w="60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53"/>
        </w:trPr>
        <w:tc>
          <w:tcPr>
            <w:tcW w:w="290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Interest Rate¹ / Maturity</w:t>
            </w:r>
            <w:r>
              <w:rPr>
                <w:rFonts w:ascii="Arial" w:cs="Arial" w:eastAsia="Arial" w:hAnsi="Arial"/>
                <w:sz w:val="10"/>
                <w:szCs w:val="10"/>
                <w:b w:val="1"/>
                <w:bCs w:val="1"/>
                <w:color w:val="auto"/>
                <w:w w:val="93"/>
              </w:rPr>
              <w:t>15</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Principal</w:t>
            </w:r>
          </w:p>
        </w:tc>
        <w:tc>
          <w:tcPr>
            <w:tcW w:w="8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Cost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0"/>
                <w:szCs w:val="10"/>
                <w:b w:val="1"/>
                <w:bCs w:val="1"/>
                <w:color w:val="auto"/>
              </w:rPr>
              <w:t>2</w:t>
            </w:r>
          </w:p>
        </w:tc>
        <w:tc>
          <w:tcPr>
            <w:tcW w:w="6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9"/>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288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South Street Securities Holdings, Inc</w:t>
            </w:r>
          </w:p>
        </w:tc>
        <w:tc>
          <w:tcPr>
            <w:tcW w:w="940" w:type="dxa"/>
            <w:vAlign w:val="bottom"/>
            <w:shd w:val="clear" w:color="auto" w:fill="CCEEFF"/>
          </w:tcPr>
          <w:p>
            <w:pPr>
              <w:ind w:left="100"/>
              <w:spacing w:after="0" w:line="101" w:lineRule="exact"/>
              <w:rPr>
                <w:sz w:val="20"/>
                <w:szCs w:val="20"/>
                <w:color w:val="auto"/>
              </w:rPr>
            </w:pPr>
            <w:r>
              <w:rPr>
                <w:rFonts w:ascii="Arial" w:cs="Arial" w:eastAsia="Arial" w:hAnsi="Arial"/>
                <w:sz w:val="10"/>
                <w:szCs w:val="10"/>
                <w:color w:val="auto"/>
              </w:rPr>
              <w:t>(8)(13)(14)</w:t>
            </w:r>
          </w:p>
        </w:tc>
        <w:tc>
          <w:tcPr>
            <w:tcW w:w="1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Senior Secured Loan — Initial Term</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6800 East 163rd Street, Belton, MO 64012</w:t>
            </w:r>
          </w:p>
        </w:tc>
        <w:tc>
          <w:tcPr>
            <w:tcW w:w="94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ind w:left="240"/>
              <w:spacing w:after="0" w:line="148" w:lineRule="exact"/>
              <w:rPr>
                <w:sz w:val="20"/>
                <w:szCs w:val="20"/>
                <w:color w:val="auto"/>
              </w:rPr>
            </w:pPr>
            <w:r>
              <w:rPr>
                <w:rFonts w:ascii="Arial" w:cs="Arial" w:eastAsia="Arial" w:hAnsi="Arial"/>
                <w:sz w:val="14"/>
                <w:szCs w:val="14"/>
                <w:color w:val="auto"/>
                <w:w w:val="98"/>
              </w:rPr>
              <w:t>Banking, Finance, Insurance &amp; Real Estate</w:t>
            </w:r>
          </w:p>
        </w:tc>
        <w:tc>
          <w:tcPr>
            <w:tcW w:w="94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8" w:lineRule="exact"/>
              <w:rPr>
                <w:sz w:val="20"/>
                <w:szCs w:val="20"/>
                <w:color w:val="auto"/>
              </w:rPr>
            </w:pPr>
            <w:r>
              <w:rPr>
                <w:rFonts w:ascii="Arial" w:cs="Arial" w:eastAsia="Arial" w:hAnsi="Arial"/>
                <w:sz w:val="14"/>
                <w:szCs w:val="14"/>
                <w:color w:val="auto"/>
              </w:rPr>
              <w:t>9.0% Cash, 3 Month Libor (1.00%) +</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8.00%; Libor Floor 1.00%, Due 3/26</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3/24/2021</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7,000,000</w:t>
            </w: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6,843,305</w:t>
            </w: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6,851,600</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4"/>
        </w:trPr>
        <w:tc>
          <w:tcPr>
            <w:tcW w:w="2900" w:type="dxa"/>
            <w:vAlign w:val="bottom"/>
            <w:gridSpan w:val="3"/>
          </w:tcPr>
          <w:p>
            <w:pPr>
              <w:spacing w:after="0"/>
              <w:rPr>
                <w:sz w:val="20"/>
                <w:szCs w:val="20"/>
                <w:color w:val="auto"/>
              </w:rPr>
            </w:pPr>
            <w:r>
              <w:rPr>
                <w:rFonts w:ascii="Arial" w:cs="Arial" w:eastAsia="Arial" w:hAnsi="Arial"/>
                <w:sz w:val="14"/>
                <w:szCs w:val="14"/>
                <w:color w:val="auto"/>
              </w:rPr>
              <w:t>Sundance Holdings Group, LLC</w:t>
            </w:r>
          </w:p>
        </w:tc>
        <w:tc>
          <w:tcPr>
            <w:tcW w:w="940" w:type="dxa"/>
            <w:vAlign w:val="bottom"/>
          </w:tcPr>
          <w:p>
            <w:pPr>
              <w:ind w:left="100"/>
              <w:spacing w:after="0"/>
              <w:rPr>
                <w:sz w:val="20"/>
                <w:szCs w:val="20"/>
                <w:color w:val="auto"/>
              </w:rPr>
            </w:pPr>
            <w:r>
              <w:rPr>
                <w:rFonts w:ascii="Arial" w:cs="Arial" w:eastAsia="Arial" w:hAnsi="Arial"/>
                <w:sz w:val="12"/>
                <w:szCs w:val="12"/>
                <w:color w:val="auto"/>
              </w:rPr>
              <w:t>(8)(13)(14)(20)</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w w:val="96"/>
              </w:rPr>
              <w:t>Senior Secured Loan — First Lien Term</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00" w:type="dxa"/>
            <w:vAlign w:val="bottom"/>
            <w:gridSpan w:val="3"/>
          </w:tcPr>
          <w:p>
            <w:pPr>
              <w:spacing w:after="0" w:line="141" w:lineRule="exact"/>
              <w:rPr>
                <w:sz w:val="20"/>
                <w:szCs w:val="20"/>
                <w:color w:val="auto"/>
              </w:rPr>
            </w:pPr>
            <w:r>
              <w:rPr>
                <w:rFonts w:ascii="Arial" w:cs="Arial" w:eastAsia="Arial" w:hAnsi="Arial"/>
                <w:sz w:val="14"/>
                <w:szCs w:val="14"/>
                <w:color w:val="auto"/>
                <w:w w:val="94"/>
              </w:rPr>
              <w:t>11726 San Vicente Blvd., Suite 300 Los Angeles,</w:t>
            </w:r>
          </w:p>
        </w:tc>
        <w:tc>
          <w:tcPr>
            <w:tcW w:w="94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8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CA 90049</w:t>
            </w:r>
          </w:p>
        </w:tc>
        <w:tc>
          <w:tcPr>
            <w:tcW w:w="94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7.0% Cash, 3 Month Libor (1.00%) +</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gridSpan w:val="2"/>
          </w:tcPr>
          <w:p>
            <w:pPr>
              <w:ind w:left="240"/>
              <w:spacing w:after="0"/>
              <w:rPr>
                <w:sz w:val="20"/>
                <w:szCs w:val="20"/>
                <w:color w:val="auto"/>
              </w:rPr>
            </w:pPr>
            <w:r>
              <w:rPr>
                <w:rFonts w:ascii="Arial" w:cs="Arial" w:eastAsia="Arial" w:hAnsi="Arial"/>
                <w:sz w:val="14"/>
                <w:szCs w:val="14"/>
                <w:color w:val="auto"/>
              </w:rPr>
              <w:t>Retail</w:t>
            </w:r>
          </w:p>
        </w:tc>
        <w:tc>
          <w:tcPr>
            <w:tcW w:w="940" w:type="dxa"/>
            <w:vAlign w:val="bottom"/>
          </w:tcPr>
          <w:p>
            <w:pPr>
              <w:spacing w:after="0"/>
              <w:rPr>
                <w:sz w:val="16"/>
                <w:szCs w:val="16"/>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6.00%; Libor Floor 1.00%, Due 5/24</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6,792,219</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5,975,549</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6,773,201</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Surge Busy Bee Holdings LLC</w:t>
            </w:r>
          </w:p>
        </w:tc>
        <w:tc>
          <w:tcPr>
            <w:tcW w:w="94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(8)(13)(23)</w:t>
            </w:r>
          </w:p>
        </w:tc>
        <w:tc>
          <w:tcPr>
            <w:tcW w:w="25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Senior Secured Loan — Revolver</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880" w:type="dxa"/>
            <w:vAlign w:val="bottom"/>
            <w:gridSpan w:val="2"/>
            <w:vMerge w:val="restart"/>
            <w:shd w:val="clear" w:color="auto" w:fill="CCEEFF"/>
          </w:tcPr>
          <w:p>
            <w:pPr>
              <w:spacing w:after="0" w:line="141" w:lineRule="exact"/>
              <w:rPr>
                <w:sz w:val="20"/>
                <w:szCs w:val="20"/>
                <w:color w:val="auto"/>
              </w:rPr>
            </w:pPr>
            <w:r>
              <w:rPr>
                <w:rFonts w:ascii="Arial" w:cs="Arial" w:eastAsia="Arial" w:hAnsi="Arial"/>
                <w:sz w:val="14"/>
                <w:szCs w:val="14"/>
                <w:color w:val="auto"/>
                <w:w w:val="91"/>
              </w:rPr>
              <w:t>100 Crescent CT Suite 7061, Dallas, Texas 75201</w:t>
            </w:r>
          </w:p>
        </w:tc>
        <w:tc>
          <w:tcPr>
            <w:tcW w:w="940" w:type="dxa"/>
            <w:vAlign w:val="bottom"/>
            <w:shd w:val="clear" w:color="auto" w:fill="CCEEFF"/>
          </w:tcPr>
          <w:p>
            <w:pPr>
              <w:spacing w:after="0"/>
              <w:rPr>
                <w:sz w:val="6"/>
                <w:szCs w:val="6"/>
                <w:color w:val="auto"/>
              </w:rPr>
            </w:pPr>
          </w:p>
        </w:tc>
        <w:tc>
          <w:tcPr>
            <w:tcW w:w="2520" w:type="dxa"/>
            <w:vAlign w:val="bottom"/>
            <w:gridSpan w:val="3"/>
            <w:vMerge w:val="continue"/>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880" w:type="dxa"/>
            <w:vAlign w:val="bottom"/>
            <w:gridSpan w:val="2"/>
            <w:vMerge w:val="continue"/>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5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0.8% Cash, Due 11/21</w:t>
            </w:r>
          </w:p>
        </w:tc>
        <w:tc>
          <w:tcPr>
            <w:tcW w:w="7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88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Services: Business</w:t>
            </w:r>
          </w:p>
        </w:tc>
        <w:tc>
          <w:tcPr>
            <w:tcW w:w="940" w:type="dxa"/>
            <w:vAlign w:val="bottom"/>
            <w:shd w:val="clear" w:color="auto" w:fill="CCEEFF"/>
          </w:tcPr>
          <w:p>
            <w:pPr>
              <w:spacing w:after="0"/>
              <w:rPr>
                <w:sz w:val="9"/>
                <w:szCs w:val="9"/>
                <w:color w:val="auto"/>
              </w:rPr>
            </w:pPr>
          </w:p>
        </w:tc>
        <w:tc>
          <w:tcPr>
            <w:tcW w:w="2520" w:type="dxa"/>
            <w:vAlign w:val="bottom"/>
            <w:gridSpan w:val="3"/>
            <w:vMerge w:val="continue"/>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6/9/2021</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80" w:type="dxa"/>
            <w:vAlign w:val="bottom"/>
            <w:gridSpan w:val="2"/>
            <w:vMerge w:val="continue"/>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6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900" w:type="dxa"/>
            <w:vAlign w:val="bottom"/>
            <w:gridSpan w:val="3"/>
          </w:tcPr>
          <w:p>
            <w:pPr>
              <w:spacing w:after="0"/>
              <w:rPr>
                <w:sz w:val="20"/>
                <w:szCs w:val="20"/>
                <w:color w:val="auto"/>
              </w:rPr>
            </w:pPr>
            <w:r>
              <w:rPr>
                <w:rFonts w:ascii="Arial" w:cs="Arial" w:eastAsia="Arial" w:hAnsi="Arial"/>
                <w:sz w:val="14"/>
                <w:szCs w:val="14"/>
                <w:color w:val="auto"/>
              </w:rPr>
              <w:t>Surge Busy Bee Holdings LLC</w:t>
            </w:r>
          </w:p>
        </w:tc>
        <w:tc>
          <w:tcPr>
            <w:tcW w:w="940" w:type="dxa"/>
            <w:vAlign w:val="bottom"/>
          </w:tcPr>
          <w:p>
            <w:pPr>
              <w:ind w:left="100"/>
              <w:spacing w:after="0"/>
              <w:rPr>
                <w:sz w:val="20"/>
                <w:szCs w:val="20"/>
                <w:color w:val="auto"/>
              </w:rPr>
            </w:pPr>
            <w:r>
              <w:rPr>
                <w:rFonts w:ascii="Arial" w:cs="Arial" w:eastAsia="Arial" w:hAnsi="Arial"/>
                <w:sz w:val="12"/>
                <w:szCs w:val="12"/>
                <w:color w:val="auto"/>
              </w:rPr>
              <w:t>(8)(13)(24)</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w w:val="96"/>
              </w:rPr>
              <w:t>Senior Secured Loan — First Lien Term</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00" w:type="dxa"/>
            <w:vAlign w:val="bottom"/>
            <w:gridSpan w:val="3"/>
          </w:tcPr>
          <w:p>
            <w:pPr>
              <w:spacing w:after="0" w:line="141" w:lineRule="exact"/>
              <w:rPr>
                <w:sz w:val="20"/>
                <w:szCs w:val="20"/>
                <w:color w:val="auto"/>
              </w:rPr>
            </w:pPr>
            <w:r>
              <w:rPr>
                <w:rFonts w:ascii="Arial" w:cs="Arial" w:eastAsia="Arial" w:hAnsi="Arial"/>
                <w:sz w:val="14"/>
                <w:szCs w:val="14"/>
                <w:color w:val="auto"/>
                <w:w w:val="92"/>
              </w:rPr>
              <w:t>100 Crescent CT Suite 7061, Dallas, Texas 75201</w:t>
            </w:r>
          </w:p>
        </w:tc>
        <w:tc>
          <w:tcPr>
            <w:tcW w:w="94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 A</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8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Services: Business</w:t>
            </w:r>
          </w:p>
        </w:tc>
        <w:tc>
          <w:tcPr>
            <w:tcW w:w="94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10.1% Cash, 1 Month Libor (0.09%) +</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10.00%, Due 11/22</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3,425,000</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3,181,122</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3,342,800</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Surge Busy Bee Holdings LLC</w:t>
            </w:r>
          </w:p>
        </w:tc>
        <w:tc>
          <w:tcPr>
            <w:tcW w:w="94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(8)(13)(24)</w:t>
            </w:r>
          </w:p>
        </w:tc>
        <w:tc>
          <w:tcPr>
            <w:tcW w:w="252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w w:val="96"/>
              </w:rPr>
              <w:t>Senior Secured Loan — First Lien Term</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1"/>
              </w:rPr>
              <w:t>100 Crescent CT Suite 7061, Dallas, Texas 75201</w:t>
            </w:r>
          </w:p>
        </w:tc>
        <w:tc>
          <w:tcPr>
            <w:tcW w:w="94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Loan B</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Services: Business</w:t>
            </w:r>
          </w:p>
        </w:tc>
        <w:tc>
          <w:tcPr>
            <w:tcW w:w="94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12.0% Cash, 2.0% PIK, Due 11/22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6/9/2021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3,540,127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3,201,816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3,357,810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24"/>
        </w:trPr>
        <w:tc>
          <w:tcPr>
            <w:tcW w:w="2900" w:type="dxa"/>
            <w:vAlign w:val="bottom"/>
            <w:gridSpan w:val="3"/>
          </w:tcPr>
          <w:p>
            <w:pPr>
              <w:spacing w:after="0"/>
              <w:rPr>
                <w:sz w:val="20"/>
                <w:szCs w:val="20"/>
                <w:color w:val="auto"/>
              </w:rPr>
            </w:pPr>
            <w:r>
              <w:rPr>
                <w:rFonts w:ascii="Arial" w:cs="Arial" w:eastAsia="Arial" w:hAnsi="Arial"/>
                <w:sz w:val="14"/>
                <w:szCs w:val="14"/>
                <w:color w:val="auto"/>
              </w:rPr>
              <w:t>Surge Hippodrome Holdings LLC</w:t>
            </w:r>
          </w:p>
        </w:tc>
        <w:tc>
          <w:tcPr>
            <w:tcW w:w="940" w:type="dxa"/>
            <w:vAlign w:val="bottom"/>
          </w:tcPr>
          <w:p>
            <w:pPr>
              <w:ind w:left="100"/>
              <w:spacing w:after="0"/>
              <w:rPr>
                <w:sz w:val="20"/>
                <w:szCs w:val="20"/>
                <w:color w:val="auto"/>
              </w:rPr>
            </w:pPr>
            <w:r>
              <w:rPr>
                <w:rFonts w:ascii="Arial" w:cs="Arial" w:eastAsia="Arial" w:hAnsi="Arial"/>
                <w:sz w:val="12"/>
                <w:szCs w:val="12"/>
                <w:color w:val="auto"/>
              </w:rPr>
              <w:t>(8)(13)(18)</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w w:val="98"/>
              </w:rPr>
              <w:t>Senior Secured Loan — Last Out Term</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00" w:type="dxa"/>
            <w:vAlign w:val="bottom"/>
            <w:gridSpan w:val="3"/>
          </w:tcPr>
          <w:p>
            <w:pPr>
              <w:spacing w:after="0" w:line="141" w:lineRule="exact"/>
              <w:rPr>
                <w:sz w:val="20"/>
                <w:szCs w:val="20"/>
                <w:color w:val="auto"/>
              </w:rPr>
            </w:pPr>
            <w:r>
              <w:rPr>
                <w:rFonts w:ascii="Arial" w:cs="Arial" w:eastAsia="Arial" w:hAnsi="Arial"/>
                <w:sz w:val="14"/>
                <w:szCs w:val="14"/>
                <w:color w:val="auto"/>
                <w:w w:val="91"/>
              </w:rPr>
              <w:t>1919 McKinney Avenue, Suite 2001, Dallas, Texas</w:t>
            </w:r>
          </w:p>
        </w:tc>
        <w:tc>
          <w:tcPr>
            <w:tcW w:w="94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0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75201</w:t>
            </w:r>
          </w:p>
        </w:tc>
        <w:tc>
          <w:tcPr>
            <w:tcW w:w="1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13.5% Cash, 3 Month Libor (2.00%) +</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gridSpan w:val="2"/>
          </w:tcPr>
          <w:p>
            <w:pPr>
              <w:ind w:left="240"/>
              <w:spacing w:after="0"/>
              <w:rPr>
                <w:sz w:val="20"/>
                <w:szCs w:val="20"/>
                <w:color w:val="auto"/>
              </w:rPr>
            </w:pPr>
            <w:r>
              <w:rPr>
                <w:rFonts w:ascii="Arial" w:cs="Arial" w:eastAsia="Arial" w:hAnsi="Arial"/>
                <w:sz w:val="14"/>
                <w:szCs w:val="14"/>
                <w:color w:val="auto"/>
              </w:rPr>
              <w:t>Services: Business</w:t>
            </w:r>
          </w:p>
        </w:tc>
        <w:tc>
          <w:tcPr>
            <w:tcW w:w="940" w:type="dxa"/>
            <w:vAlign w:val="bottom"/>
          </w:tcPr>
          <w:p>
            <w:pPr>
              <w:spacing w:after="0"/>
              <w:rPr>
                <w:sz w:val="16"/>
                <w:szCs w:val="16"/>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11.50%; Libor Floor 2.00%, Due 8/24</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5,460,000</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4,873,332</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5,174,988</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Syncsort Incorporated</w:t>
            </w:r>
          </w:p>
        </w:tc>
        <w:tc>
          <w:tcPr>
            <w:tcW w:w="94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(8)(14)</w:t>
            </w:r>
          </w:p>
        </w:tc>
        <w:tc>
          <w:tcPr>
            <w:tcW w:w="252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w w:val="96"/>
              </w:rPr>
              <w:t>Senior Secured Loan — First Lien Term</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1"/>
              </w:rPr>
              <w:t>1 American Center, 3100 West End Avenue, Suite</w:t>
            </w:r>
          </w:p>
        </w:tc>
        <w:tc>
          <w:tcPr>
            <w:tcW w:w="94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8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150 Nashville, TN 37203</w:t>
            </w:r>
          </w:p>
        </w:tc>
        <w:tc>
          <w:tcPr>
            <w:tcW w:w="94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5.0% Cash, 3 Month Libor (0.75%) +</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Services: Business</w:t>
            </w:r>
          </w:p>
        </w:tc>
        <w:tc>
          <w:tcPr>
            <w:tcW w:w="94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4.25%; Libor Floor 0.75%, Due 3/28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3/19/2021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2,440,763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2,429,283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2,440,372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24"/>
        </w:trPr>
        <w:tc>
          <w:tcPr>
            <w:tcW w:w="2900" w:type="dxa"/>
            <w:vAlign w:val="bottom"/>
            <w:gridSpan w:val="3"/>
          </w:tcPr>
          <w:p>
            <w:pPr>
              <w:spacing w:after="0"/>
              <w:rPr>
                <w:sz w:val="20"/>
                <w:szCs w:val="20"/>
                <w:color w:val="auto"/>
              </w:rPr>
            </w:pPr>
            <w:r>
              <w:rPr>
                <w:rFonts w:ascii="Arial" w:cs="Arial" w:eastAsia="Arial" w:hAnsi="Arial"/>
                <w:sz w:val="14"/>
                <w:szCs w:val="14"/>
                <w:color w:val="auto"/>
              </w:rPr>
              <w:t>TA/Weg Holdings, LLC</w:t>
            </w:r>
          </w:p>
        </w:tc>
        <w:tc>
          <w:tcPr>
            <w:tcW w:w="940" w:type="dxa"/>
            <w:vAlign w:val="bottom"/>
          </w:tcPr>
          <w:p>
            <w:pPr>
              <w:ind w:left="100"/>
              <w:spacing w:after="0"/>
              <w:rPr>
                <w:sz w:val="20"/>
                <w:szCs w:val="20"/>
                <w:color w:val="auto"/>
              </w:rPr>
            </w:pPr>
            <w:r>
              <w:rPr>
                <w:rFonts w:ascii="Arial" w:cs="Arial" w:eastAsia="Arial" w:hAnsi="Arial"/>
                <w:sz w:val="12"/>
                <w:szCs w:val="12"/>
                <w:color w:val="auto"/>
              </w:rPr>
              <w:t>(8)(13)(23)</w:t>
            </w:r>
          </w:p>
        </w:tc>
        <w:tc>
          <w:tcPr>
            <w:tcW w:w="2520" w:type="dxa"/>
            <w:vAlign w:val="bottom"/>
            <w:gridSpan w:val="3"/>
            <w:vMerge w:val="restart"/>
          </w:tcPr>
          <w:p>
            <w:pPr>
              <w:ind w:left="120"/>
              <w:spacing w:after="0"/>
              <w:rPr>
                <w:sz w:val="20"/>
                <w:szCs w:val="20"/>
                <w:color w:val="auto"/>
              </w:rPr>
            </w:pPr>
            <w:r>
              <w:rPr>
                <w:rFonts w:ascii="Arial" w:cs="Arial" w:eastAsia="Arial" w:hAnsi="Arial"/>
                <w:sz w:val="14"/>
                <w:szCs w:val="14"/>
                <w:color w:val="auto"/>
                <w:w w:val="98"/>
              </w:rPr>
              <w:t>Senior Secured Loan — Delayed Draw</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2900" w:type="dxa"/>
            <w:vAlign w:val="bottom"/>
            <w:gridSpan w:val="3"/>
            <w:vMerge w:val="restart"/>
          </w:tcPr>
          <w:p>
            <w:pPr>
              <w:spacing w:after="0" w:line="141" w:lineRule="exact"/>
              <w:rPr>
                <w:sz w:val="20"/>
                <w:szCs w:val="20"/>
                <w:color w:val="auto"/>
              </w:rPr>
            </w:pPr>
            <w:r>
              <w:rPr>
                <w:rFonts w:ascii="Arial" w:cs="Arial" w:eastAsia="Arial" w:hAnsi="Arial"/>
                <w:sz w:val="14"/>
                <w:szCs w:val="14"/>
                <w:color w:val="auto"/>
                <w:w w:val="99"/>
              </w:rPr>
              <w:t>505 N. Highway 169, Suite 900, Plymouth, MN</w:t>
            </w:r>
          </w:p>
        </w:tc>
        <w:tc>
          <w:tcPr>
            <w:tcW w:w="940" w:type="dxa"/>
            <w:vAlign w:val="bottom"/>
          </w:tcPr>
          <w:p>
            <w:pPr>
              <w:spacing w:after="0"/>
              <w:rPr>
                <w:sz w:val="6"/>
                <w:szCs w:val="6"/>
                <w:color w:val="auto"/>
              </w:rPr>
            </w:pPr>
          </w:p>
        </w:tc>
        <w:tc>
          <w:tcPr>
            <w:tcW w:w="252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9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2520" w:type="dxa"/>
            <w:vAlign w:val="bottom"/>
            <w:gridSpan w:val="3"/>
            <w:vMerge w:val="restart"/>
          </w:tcPr>
          <w:p>
            <w:pPr>
              <w:ind w:left="120"/>
              <w:spacing w:after="0" w:line="141" w:lineRule="exact"/>
              <w:rPr>
                <w:sz w:val="20"/>
                <w:szCs w:val="20"/>
                <w:color w:val="auto"/>
              </w:rPr>
            </w:pPr>
            <w:r>
              <w:rPr>
                <w:rFonts w:ascii="Arial" w:cs="Arial" w:eastAsia="Arial" w:hAnsi="Arial"/>
                <w:sz w:val="14"/>
                <w:szCs w:val="14"/>
                <w:color w:val="auto"/>
              </w:rPr>
              <w:t>Term Loan</w:t>
            </w: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000" w:type="dxa"/>
            <w:vAlign w:val="bottom"/>
            <w:gridSpan w:val="2"/>
            <w:vMerge w:val="restart"/>
          </w:tcPr>
          <w:p>
            <w:pPr>
              <w:ind w:left="120"/>
              <w:spacing w:after="0" w:line="141" w:lineRule="exact"/>
              <w:rPr>
                <w:sz w:val="20"/>
                <w:szCs w:val="20"/>
                <w:color w:val="auto"/>
              </w:rPr>
            </w:pPr>
            <w:r>
              <w:rPr>
                <w:rFonts w:ascii="Arial" w:cs="Arial" w:eastAsia="Arial" w:hAnsi="Arial"/>
                <w:sz w:val="14"/>
                <w:szCs w:val="14"/>
                <w:color w:val="auto"/>
              </w:rPr>
              <w:t>55441</w:t>
            </w:r>
          </w:p>
        </w:tc>
        <w:tc>
          <w:tcPr>
            <w:tcW w:w="1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52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000" w:type="dxa"/>
            <w:vAlign w:val="bottom"/>
            <w:gridSpan w:val="2"/>
            <w:vMerge w:val="continue"/>
          </w:tcPr>
          <w:p>
            <w:pPr>
              <w:spacing w:after="0"/>
              <w:rPr>
                <w:sz w:val="5"/>
                <w:szCs w:val="5"/>
                <w:color w:val="auto"/>
              </w:rPr>
            </w:pPr>
          </w:p>
        </w:tc>
        <w:tc>
          <w:tcPr>
            <w:tcW w:w="1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520" w:type="dxa"/>
            <w:vAlign w:val="bottom"/>
            <w:gridSpan w:val="3"/>
            <w:vMerge w:val="restart"/>
          </w:tcPr>
          <w:p>
            <w:pPr>
              <w:ind w:left="120"/>
              <w:spacing w:after="0"/>
              <w:rPr>
                <w:sz w:val="20"/>
                <w:szCs w:val="20"/>
                <w:color w:val="auto"/>
              </w:rPr>
            </w:pPr>
            <w:r>
              <w:rPr>
                <w:rFonts w:ascii="Arial" w:cs="Arial" w:eastAsia="Arial" w:hAnsi="Arial"/>
                <w:sz w:val="14"/>
                <w:szCs w:val="14"/>
                <w:color w:val="auto"/>
              </w:rPr>
              <w:t>0.5% Cash, Due 12/25</w:t>
            </w: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880" w:type="dxa"/>
            <w:vAlign w:val="bottom"/>
            <w:gridSpan w:val="2"/>
            <w:vMerge w:val="restart"/>
          </w:tcPr>
          <w:p>
            <w:pPr>
              <w:ind w:left="240"/>
              <w:spacing w:after="0"/>
              <w:rPr>
                <w:sz w:val="20"/>
                <w:szCs w:val="20"/>
                <w:color w:val="auto"/>
              </w:rPr>
            </w:pPr>
            <w:r>
              <w:rPr>
                <w:rFonts w:ascii="Arial" w:cs="Arial" w:eastAsia="Arial" w:hAnsi="Arial"/>
                <w:sz w:val="14"/>
                <w:szCs w:val="14"/>
                <w:color w:val="auto"/>
                <w:w w:val="98"/>
              </w:rPr>
              <w:t>Banking, Finance, Insurance &amp; Real Estate</w:t>
            </w:r>
          </w:p>
        </w:tc>
        <w:tc>
          <w:tcPr>
            <w:tcW w:w="94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6/3/2021</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(36,236)</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(42,982)</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8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TA/Weg Holdings, LLC</w:t>
            </w:r>
          </w:p>
        </w:tc>
        <w:tc>
          <w:tcPr>
            <w:tcW w:w="94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(8)(13)(23)</w:t>
            </w:r>
          </w:p>
        </w:tc>
        <w:tc>
          <w:tcPr>
            <w:tcW w:w="25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w w:val="98"/>
              </w:rPr>
              <w:t>Senior Secured Loan — Delayed Draw</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880" w:type="dxa"/>
            <w:vAlign w:val="bottom"/>
            <w:gridSpan w:val="2"/>
            <w:vMerge w:val="restart"/>
            <w:shd w:val="clear" w:color="auto" w:fill="CCEEFF"/>
          </w:tcPr>
          <w:p>
            <w:pPr>
              <w:spacing w:after="0" w:line="141" w:lineRule="exact"/>
              <w:rPr>
                <w:sz w:val="20"/>
                <w:szCs w:val="20"/>
                <w:color w:val="auto"/>
              </w:rPr>
            </w:pPr>
            <w:r>
              <w:rPr>
                <w:rFonts w:ascii="Arial" w:cs="Arial" w:eastAsia="Arial" w:hAnsi="Arial"/>
                <w:sz w:val="14"/>
                <w:szCs w:val="14"/>
                <w:color w:val="auto"/>
                <w:w w:val="99"/>
              </w:rPr>
              <w:t>505 N. Highway 169, Suite 900, Plymouth, MN</w:t>
            </w:r>
          </w:p>
        </w:tc>
        <w:tc>
          <w:tcPr>
            <w:tcW w:w="940" w:type="dxa"/>
            <w:vAlign w:val="bottom"/>
            <w:shd w:val="clear" w:color="auto" w:fill="CCEEFF"/>
          </w:tcPr>
          <w:p>
            <w:pPr>
              <w:spacing w:after="0"/>
              <w:rPr>
                <w:sz w:val="6"/>
                <w:szCs w:val="6"/>
                <w:color w:val="auto"/>
              </w:rPr>
            </w:pPr>
          </w:p>
        </w:tc>
        <w:tc>
          <w:tcPr>
            <w:tcW w:w="2520" w:type="dxa"/>
            <w:vAlign w:val="bottom"/>
            <w:gridSpan w:val="3"/>
            <w:vMerge w:val="continue"/>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880" w:type="dxa"/>
            <w:vAlign w:val="bottom"/>
            <w:gridSpan w:val="2"/>
            <w:vMerge w:val="continue"/>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520" w:type="dxa"/>
            <w:vAlign w:val="bottom"/>
            <w:gridSpan w:val="3"/>
            <w:vMerge w:val="restart"/>
            <w:shd w:val="clear" w:color="auto" w:fill="CCEEFF"/>
          </w:tcPr>
          <w:p>
            <w:pPr>
              <w:ind w:left="120"/>
              <w:spacing w:after="0" w:line="141" w:lineRule="exact"/>
              <w:rPr>
                <w:sz w:val="20"/>
                <w:szCs w:val="20"/>
                <w:color w:val="auto"/>
              </w:rPr>
            </w:pPr>
            <w:r>
              <w:rPr>
                <w:rFonts w:ascii="Arial" w:cs="Arial" w:eastAsia="Arial" w:hAnsi="Arial"/>
                <w:sz w:val="14"/>
                <w:szCs w:val="14"/>
                <w:color w:val="auto"/>
              </w:rPr>
              <w:t>Term Loan</w:t>
            </w:r>
          </w:p>
        </w:tc>
        <w:tc>
          <w:tcPr>
            <w:tcW w:w="7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80" w:type="dxa"/>
            <w:vAlign w:val="bottom"/>
            <w:vMerge w:val="restart"/>
            <w:shd w:val="clear" w:color="auto" w:fill="CCEEFF"/>
          </w:tcPr>
          <w:p>
            <w:pPr>
              <w:ind w:left="100"/>
              <w:spacing w:after="0" w:line="141" w:lineRule="exact"/>
              <w:rPr>
                <w:sz w:val="20"/>
                <w:szCs w:val="20"/>
                <w:color w:val="auto"/>
              </w:rPr>
            </w:pPr>
            <w:r>
              <w:rPr>
                <w:rFonts w:ascii="Arial" w:cs="Arial" w:eastAsia="Arial" w:hAnsi="Arial"/>
                <w:sz w:val="14"/>
                <w:szCs w:val="14"/>
                <w:color w:val="auto"/>
              </w:rPr>
              <w:t>55441</w:t>
            </w:r>
          </w:p>
        </w:tc>
        <w:tc>
          <w:tcPr>
            <w:tcW w:w="19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520" w:type="dxa"/>
            <w:vAlign w:val="bottom"/>
            <w:gridSpan w:val="3"/>
            <w:vMerge w:val="continue"/>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5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0.5% Cash, Due 12/25</w:t>
            </w:r>
          </w:p>
        </w:tc>
        <w:tc>
          <w:tcPr>
            <w:tcW w:w="7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88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w w:val="98"/>
              </w:rPr>
              <w:t>Banking, Finance, Insurance &amp; Real Estate</w:t>
            </w:r>
          </w:p>
        </w:tc>
        <w:tc>
          <w:tcPr>
            <w:tcW w:w="940" w:type="dxa"/>
            <w:vAlign w:val="bottom"/>
            <w:shd w:val="clear" w:color="auto" w:fill="CCEEFF"/>
          </w:tcPr>
          <w:p>
            <w:pPr>
              <w:spacing w:after="0"/>
              <w:rPr>
                <w:sz w:val="9"/>
                <w:szCs w:val="9"/>
                <w:color w:val="auto"/>
              </w:rPr>
            </w:pPr>
          </w:p>
        </w:tc>
        <w:tc>
          <w:tcPr>
            <w:tcW w:w="2520" w:type="dxa"/>
            <w:vAlign w:val="bottom"/>
            <w:gridSpan w:val="3"/>
            <w:vMerge w:val="continue"/>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8/13/2021</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(19,380)</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(44,000)</w:t>
            </w: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80" w:type="dxa"/>
            <w:vAlign w:val="bottom"/>
            <w:gridSpan w:val="2"/>
            <w:vMerge w:val="continue"/>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6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900" w:type="dxa"/>
            <w:vAlign w:val="bottom"/>
            <w:gridSpan w:val="3"/>
          </w:tcPr>
          <w:p>
            <w:pPr>
              <w:spacing w:after="0"/>
              <w:rPr>
                <w:sz w:val="20"/>
                <w:szCs w:val="20"/>
                <w:color w:val="auto"/>
              </w:rPr>
            </w:pPr>
            <w:r>
              <w:rPr>
                <w:rFonts w:ascii="Arial" w:cs="Arial" w:eastAsia="Arial" w:hAnsi="Arial"/>
                <w:sz w:val="14"/>
                <w:szCs w:val="14"/>
                <w:color w:val="auto"/>
              </w:rPr>
              <w:t>TA/Weg Holdings, LLC</w:t>
            </w:r>
          </w:p>
        </w:tc>
        <w:tc>
          <w:tcPr>
            <w:tcW w:w="940" w:type="dxa"/>
            <w:vAlign w:val="bottom"/>
          </w:tcPr>
          <w:p>
            <w:pPr>
              <w:ind w:left="100"/>
              <w:spacing w:after="0"/>
              <w:rPr>
                <w:sz w:val="20"/>
                <w:szCs w:val="20"/>
                <w:color w:val="auto"/>
              </w:rPr>
            </w:pPr>
            <w:r>
              <w:rPr>
                <w:rFonts w:ascii="Arial" w:cs="Arial" w:eastAsia="Arial" w:hAnsi="Arial"/>
                <w:sz w:val="12"/>
                <w:szCs w:val="12"/>
                <w:color w:val="auto"/>
              </w:rPr>
              <w:t>(8)(13)</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w w:val="98"/>
              </w:rPr>
              <w:t>Senior Secured Loan — Delayed Draw</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00" w:type="dxa"/>
            <w:vAlign w:val="bottom"/>
            <w:gridSpan w:val="3"/>
          </w:tcPr>
          <w:p>
            <w:pPr>
              <w:spacing w:after="0" w:line="141" w:lineRule="exact"/>
              <w:rPr>
                <w:sz w:val="20"/>
                <w:szCs w:val="20"/>
                <w:color w:val="auto"/>
              </w:rPr>
            </w:pPr>
            <w:r>
              <w:rPr>
                <w:rFonts w:ascii="Arial" w:cs="Arial" w:eastAsia="Arial" w:hAnsi="Arial"/>
                <w:sz w:val="14"/>
                <w:szCs w:val="14"/>
                <w:color w:val="auto"/>
                <w:w w:val="99"/>
              </w:rPr>
              <w:t>505 N. Highway 169, Suite 900, Plymouth, MN</w:t>
            </w:r>
          </w:p>
        </w:tc>
        <w:tc>
          <w:tcPr>
            <w:tcW w:w="94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Term Loan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0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55441</w:t>
            </w:r>
          </w:p>
        </w:tc>
        <w:tc>
          <w:tcPr>
            <w:tcW w:w="1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6.8% Cash, 3 Month Libor (1.00%) +</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gridSpan w:val="2"/>
          </w:tcPr>
          <w:p>
            <w:pPr>
              <w:ind w:left="240"/>
              <w:spacing w:after="0"/>
              <w:rPr>
                <w:sz w:val="20"/>
                <w:szCs w:val="20"/>
                <w:color w:val="auto"/>
              </w:rPr>
            </w:pPr>
            <w:r>
              <w:rPr>
                <w:rFonts w:ascii="Arial" w:cs="Arial" w:eastAsia="Arial" w:hAnsi="Arial"/>
                <w:sz w:val="14"/>
                <w:szCs w:val="14"/>
                <w:color w:val="auto"/>
                <w:w w:val="98"/>
              </w:rPr>
              <w:t>Banking, Finance, Insurance &amp; Real Estate</w:t>
            </w:r>
          </w:p>
        </w:tc>
        <w:tc>
          <w:tcPr>
            <w:tcW w:w="940" w:type="dxa"/>
            <w:vAlign w:val="bottom"/>
          </w:tcPr>
          <w:p>
            <w:pPr>
              <w:spacing w:after="0"/>
              <w:rPr>
                <w:sz w:val="16"/>
                <w:szCs w:val="16"/>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5.75%; Libor Floor 1.00%, Due 12/25</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7/29/2021</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2,185,143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2,174,370</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2,173,125</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TA/Weg Holdings, LLC</w:t>
            </w:r>
          </w:p>
        </w:tc>
        <w:tc>
          <w:tcPr>
            <w:tcW w:w="94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(8)(13)(23)</w:t>
            </w:r>
          </w:p>
        </w:tc>
        <w:tc>
          <w:tcPr>
            <w:tcW w:w="25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Senior Secured Loan — Revolver</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880" w:type="dxa"/>
            <w:vAlign w:val="bottom"/>
            <w:gridSpan w:val="2"/>
            <w:vMerge w:val="restart"/>
            <w:shd w:val="clear" w:color="auto" w:fill="CCEEFF"/>
          </w:tcPr>
          <w:p>
            <w:pPr>
              <w:spacing w:after="0" w:line="141" w:lineRule="exact"/>
              <w:rPr>
                <w:sz w:val="20"/>
                <w:szCs w:val="20"/>
                <w:color w:val="auto"/>
              </w:rPr>
            </w:pPr>
            <w:r>
              <w:rPr>
                <w:rFonts w:ascii="Arial" w:cs="Arial" w:eastAsia="Arial" w:hAnsi="Arial"/>
                <w:sz w:val="14"/>
                <w:szCs w:val="14"/>
                <w:color w:val="auto"/>
                <w:w w:val="99"/>
              </w:rPr>
              <w:t>505 N. Highway 169, Suite 900, Plymouth, MN</w:t>
            </w:r>
          </w:p>
        </w:tc>
        <w:tc>
          <w:tcPr>
            <w:tcW w:w="940" w:type="dxa"/>
            <w:vAlign w:val="bottom"/>
            <w:shd w:val="clear" w:color="auto" w:fill="CCEEFF"/>
          </w:tcPr>
          <w:p>
            <w:pPr>
              <w:spacing w:after="0"/>
              <w:rPr>
                <w:sz w:val="6"/>
                <w:szCs w:val="6"/>
                <w:color w:val="auto"/>
              </w:rPr>
            </w:pPr>
          </w:p>
        </w:tc>
        <w:tc>
          <w:tcPr>
            <w:tcW w:w="2520" w:type="dxa"/>
            <w:vAlign w:val="bottom"/>
            <w:gridSpan w:val="3"/>
            <w:vMerge w:val="continue"/>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880" w:type="dxa"/>
            <w:vAlign w:val="bottom"/>
            <w:gridSpan w:val="2"/>
            <w:vMerge w:val="continue"/>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520" w:type="dxa"/>
            <w:vAlign w:val="bottom"/>
            <w:gridSpan w:val="3"/>
            <w:vMerge w:val="restart"/>
            <w:shd w:val="clear" w:color="auto" w:fill="CCEEFF"/>
          </w:tcPr>
          <w:p>
            <w:pPr>
              <w:ind w:left="120"/>
              <w:spacing w:after="0" w:line="141" w:lineRule="exact"/>
              <w:rPr>
                <w:sz w:val="20"/>
                <w:szCs w:val="20"/>
                <w:color w:val="auto"/>
              </w:rPr>
            </w:pPr>
            <w:r>
              <w:rPr>
                <w:rFonts w:ascii="Arial" w:cs="Arial" w:eastAsia="Arial" w:hAnsi="Arial"/>
                <w:sz w:val="14"/>
                <w:szCs w:val="14"/>
                <w:color w:val="auto"/>
              </w:rPr>
              <w:t>6.8% Cash, 3 Month Libor (1.00%) +</w:t>
            </w:r>
          </w:p>
        </w:tc>
        <w:tc>
          <w:tcPr>
            <w:tcW w:w="7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80" w:type="dxa"/>
            <w:vAlign w:val="bottom"/>
            <w:vMerge w:val="restart"/>
            <w:shd w:val="clear" w:color="auto" w:fill="CCEEFF"/>
          </w:tcPr>
          <w:p>
            <w:pPr>
              <w:ind w:left="100"/>
              <w:spacing w:after="0" w:line="141" w:lineRule="exact"/>
              <w:rPr>
                <w:sz w:val="20"/>
                <w:szCs w:val="20"/>
                <w:color w:val="auto"/>
              </w:rPr>
            </w:pPr>
            <w:r>
              <w:rPr>
                <w:rFonts w:ascii="Arial" w:cs="Arial" w:eastAsia="Arial" w:hAnsi="Arial"/>
                <w:sz w:val="14"/>
                <w:szCs w:val="14"/>
                <w:color w:val="auto"/>
              </w:rPr>
              <w:t>55441</w:t>
            </w:r>
          </w:p>
        </w:tc>
        <w:tc>
          <w:tcPr>
            <w:tcW w:w="19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520" w:type="dxa"/>
            <w:vAlign w:val="bottom"/>
            <w:gridSpan w:val="3"/>
            <w:vMerge w:val="continue"/>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5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5.75%; Libor Floor 1.00%, Due 12/25</w:t>
            </w:r>
          </w:p>
        </w:tc>
        <w:tc>
          <w:tcPr>
            <w:tcW w:w="7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88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w w:val="98"/>
              </w:rPr>
              <w:t>Banking, Finance, Insurance &amp; Real Estate</w:t>
            </w:r>
          </w:p>
        </w:tc>
        <w:tc>
          <w:tcPr>
            <w:tcW w:w="940" w:type="dxa"/>
            <w:vAlign w:val="bottom"/>
            <w:shd w:val="clear" w:color="auto" w:fill="CCEEFF"/>
          </w:tcPr>
          <w:p>
            <w:pPr>
              <w:spacing w:after="0"/>
              <w:rPr>
                <w:sz w:val="9"/>
                <w:szCs w:val="9"/>
                <w:color w:val="auto"/>
              </w:rPr>
            </w:pPr>
          </w:p>
        </w:tc>
        <w:tc>
          <w:tcPr>
            <w:tcW w:w="2520" w:type="dxa"/>
            <w:vAlign w:val="bottom"/>
            <w:gridSpan w:val="3"/>
            <w:vMerge w:val="continue"/>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8/13/2021</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375,000</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372,577</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372,250</w:t>
            </w: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80" w:type="dxa"/>
            <w:vAlign w:val="bottom"/>
            <w:gridSpan w:val="2"/>
            <w:vMerge w:val="continue"/>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6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900" w:type="dxa"/>
            <w:vAlign w:val="bottom"/>
            <w:gridSpan w:val="3"/>
          </w:tcPr>
          <w:p>
            <w:pPr>
              <w:spacing w:after="0"/>
              <w:rPr>
                <w:sz w:val="20"/>
                <w:szCs w:val="20"/>
                <w:color w:val="auto"/>
              </w:rPr>
            </w:pPr>
            <w:r>
              <w:rPr>
                <w:rFonts w:ascii="Arial" w:cs="Arial" w:eastAsia="Arial" w:hAnsi="Arial"/>
                <w:sz w:val="14"/>
                <w:szCs w:val="14"/>
                <w:color w:val="auto"/>
              </w:rPr>
              <w:t>Tailwind Randys, LLC</w:t>
            </w:r>
          </w:p>
        </w:tc>
        <w:tc>
          <w:tcPr>
            <w:tcW w:w="940" w:type="dxa"/>
            <w:vAlign w:val="bottom"/>
          </w:tcPr>
          <w:p>
            <w:pPr>
              <w:ind w:left="100"/>
              <w:spacing w:after="0"/>
              <w:rPr>
                <w:sz w:val="20"/>
                <w:szCs w:val="20"/>
                <w:color w:val="auto"/>
              </w:rPr>
            </w:pPr>
            <w:r>
              <w:rPr>
                <w:rFonts w:ascii="Arial" w:cs="Arial" w:eastAsia="Arial" w:hAnsi="Arial"/>
                <w:sz w:val="12"/>
                <w:szCs w:val="12"/>
                <w:color w:val="auto"/>
              </w:rPr>
              <w:t>(8)(13)(14)</w:t>
            </w: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Senior Secured Loan — Initial Term</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00" w:type="dxa"/>
            <w:vAlign w:val="bottom"/>
            <w:gridSpan w:val="3"/>
          </w:tcPr>
          <w:p>
            <w:pPr>
              <w:spacing w:after="0" w:line="141" w:lineRule="exact"/>
              <w:rPr>
                <w:sz w:val="20"/>
                <w:szCs w:val="20"/>
                <w:color w:val="auto"/>
              </w:rPr>
            </w:pPr>
            <w:r>
              <w:rPr>
                <w:rFonts w:ascii="Arial" w:cs="Arial" w:eastAsia="Arial" w:hAnsi="Arial"/>
                <w:sz w:val="14"/>
                <w:szCs w:val="14"/>
                <w:color w:val="auto"/>
                <w:w w:val="97"/>
              </w:rPr>
              <w:t>23540 Cottonwood Pkwy, California, MD 20619</w:t>
            </w:r>
          </w:p>
        </w:tc>
        <w:tc>
          <w:tcPr>
            <w:tcW w:w="94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Loan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8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Automotive</w:t>
            </w:r>
          </w:p>
        </w:tc>
        <w:tc>
          <w:tcPr>
            <w:tcW w:w="940" w:type="dxa"/>
            <w:vAlign w:val="bottom"/>
          </w:tcPr>
          <w:p>
            <w:pPr>
              <w:spacing w:after="0"/>
              <w:rPr>
                <w:sz w:val="12"/>
                <w:szCs w:val="12"/>
                <w:color w:val="auto"/>
              </w:rPr>
            </w:pPr>
          </w:p>
        </w:tc>
        <w:tc>
          <w:tcPr>
            <w:tcW w:w="252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6.5% Cash, 3 Month Libor (1.00%) +</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color w:val="auto"/>
              </w:rPr>
              <w:t>5.50%; Libor Floor 1.00%, Due 5/25</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6/27/2019</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4,887,500</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4,834,773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4,846,934</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Tank Partners Equipment Holdings LLC</w:t>
            </w:r>
          </w:p>
        </w:tc>
        <w:tc>
          <w:tcPr>
            <w:tcW w:w="940" w:type="dxa"/>
            <w:vAlign w:val="bottom"/>
            <w:shd w:val="clear" w:color="auto" w:fill="CCEEFF"/>
          </w:tcPr>
          <w:p>
            <w:pPr>
              <w:ind w:left="100"/>
              <w:spacing w:after="0" w:line="122" w:lineRule="exact"/>
              <w:rPr>
                <w:sz w:val="20"/>
                <w:szCs w:val="20"/>
                <w:color w:val="auto"/>
              </w:rPr>
            </w:pPr>
            <w:r>
              <w:rPr>
                <w:rFonts w:ascii="Arial" w:cs="Arial" w:eastAsia="Arial" w:hAnsi="Arial"/>
                <w:sz w:val="12"/>
                <w:szCs w:val="12"/>
                <w:color w:val="auto"/>
              </w:rPr>
              <w:t>(5)(8)(13)</w:t>
            </w:r>
          </w:p>
        </w:tc>
        <w:tc>
          <w:tcPr>
            <w:tcW w:w="2520" w:type="dxa"/>
            <w:vAlign w:val="bottom"/>
            <w:gridSpan w:val="3"/>
            <w:shd w:val="clear" w:color="auto" w:fill="CCEEFF"/>
          </w:tcPr>
          <w:p>
            <w:pPr>
              <w:ind w:left="120"/>
              <w:spacing w:after="0" w:line="123" w:lineRule="exact"/>
              <w:rPr>
                <w:sz w:val="20"/>
                <w:szCs w:val="20"/>
                <w:color w:val="auto"/>
              </w:rPr>
            </w:pPr>
            <w:r>
              <w:rPr>
                <w:rFonts w:ascii="Arial" w:cs="Arial" w:eastAsia="Arial" w:hAnsi="Arial"/>
                <w:sz w:val="14"/>
                <w:szCs w:val="14"/>
                <w:color w:val="auto"/>
              </w:rPr>
              <w:t>Senior Unsecured Bond — 10.00%—</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3"/>
              </w:rPr>
              <w:t>3865 W 2400 S West Valley City, UT 84120-7212</w:t>
            </w:r>
          </w:p>
        </w:tc>
        <w:tc>
          <w:tcPr>
            <w:tcW w:w="94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4"/>
                <w:szCs w:val="14"/>
                <w:color w:val="auto"/>
              </w:rPr>
              <w:t>02/2022—TankConvert</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Energy: Oil &amp; Gas</w:t>
            </w:r>
          </w:p>
        </w:tc>
        <w:tc>
          <w:tcPr>
            <w:tcW w:w="94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10.0% PIK, Due 2/22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2/15/2019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511,269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416,170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43,202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840"/>
          </w:cols>
          <w:pgMar w:left="320" w:top="443" w:right="7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29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Portfolio Company /</w:t>
            </w:r>
          </w:p>
        </w:tc>
        <w:tc>
          <w:tcPr>
            <w:tcW w:w="1180" w:type="dxa"/>
            <w:vAlign w:val="bottom"/>
          </w:tcPr>
          <w:p>
            <w:pPr>
              <w:spacing w:after="0"/>
              <w:rPr>
                <w:sz w:val="13"/>
                <w:szCs w:val="13"/>
                <w:color w:val="auto"/>
              </w:rPr>
            </w:pPr>
          </w:p>
        </w:tc>
        <w:tc>
          <w:tcPr>
            <w:tcW w:w="2380" w:type="dxa"/>
            <w:vAlign w:val="bottom"/>
            <w:gridSpan w:val="2"/>
            <w:vMerge w:val="restart"/>
          </w:tcPr>
          <w:p>
            <w:pPr>
              <w:ind w:left="840"/>
              <w:spacing w:after="0"/>
              <w:rPr>
                <w:sz w:val="20"/>
                <w:szCs w:val="20"/>
                <w:color w:val="auto"/>
              </w:rPr>
            </w:pPr>
            <w:r>
              <w:rPr>
                <w:rFonts w:ascii="Arial" w:cs="Arial" w:eastAsia="Arial" w:hAnsi="Arial"/>
                <w:sz w:val="13"/>
                <w:szCs w:val="13"/>
                <w:b w:val="1"/>
                <w:bCs w:val="1"/>
                <w:color w:val="auto"/>
              </w:rPr>
              <w:t>Investment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128"/>
        </w:trPr>
        <w:tc>
          <w:tcPr>
            <w:tcW w:w="2940" w:type="dxa"/>
            <w:vAlign w:val="bottom"/>
            <w:gridSpan w:val="3"/>
            <w:vMerge w:val="continue"/>
          </w:tcPr>
          <w:p>
            <w:pPr>
              <w:spacing w:after="0"/>
              <w:rPr>
                <w:sz w:val="11"/>
                <w:szCs w:val="11"/>
                <w:color w:val="auto"/>
              </w:rPr>
            </w:pPr>
          </w:p>
        </w:tc>
        <w:tc>
          <w:tcPr>
            <w:tcW w:w="1180" w:type="dxa"/>
            <w:vAlign w:val="bottom"/>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860" w:type="dxa"/>
            <w:vAlign w:val="bottom"/>
            <w:gridSpan w:val="2"/>
          </w:tcPr>
          <w:p>
            <w:pPr>
              <w:jc w:val="center"/>
              <w:ind w:right="140"/>
              <w:spacing w:after="0" w:line="128" w:lineRule="exact"/>
              <w:rPr>
                <w:sz w:val="20"/>
                <w:szCs w:val="20"/>
                <w:color w:val="auto"/>
              </w:rPr>
            </w:pPr>
            <w:r>
              <w:rPr>
                <w:rFonts w:ascii="Arial" w:cs="Arial" w:eastAsia="Arial" w:hAnsi="Arial"/>
                <w:sz w:val="13"/>
                <w:szCs w:val="13"/>
                <w:b w:val="1"/>
                <w:bCs w:val="1"/>
                <w:color w:val="auto"/>
                <w:w w:val="90"/>
              </w:rPr>
              <w:t>Acquisition</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00"/>
              <w:spacing w:after="0" w:line="128" w:lineRule="exact"/>
              <w:rPr>
                <w:sz w:val="20"/>
                <w:szCs w:val="20"/>
                <w:color w:val="auto"/>
              </w:rPr>
            </w:pPr>
            <w:r>
              <w:rPr>
                <w:rFonts w:ascii="Arial" w:cs="Arial" w:eastAsia="Arial" w:hAnsi="Arial"/>
                <w:sz w:val="13"/>
                <w:szCs w:val="13"/>
                <w:b w:val="1"/>
                <w:bCs w:val="1"/>
                <w:color w:val="auto"/>
                <w:w w:val="97"/>
              </w:rPr>
              <w:t>Amortized</w:t>
            </w:r>
          </w:p>
        </w:tc>
        <w:tc>
          <w:tcPr>
            <w:tcW w:w="840" w:type="dxa"/>
            <w:vAlign w:val="bottom"/>
            <w:gridSpan w:val="2"/>
          </w:tcPr>
          <w:p>
            <w:pPr>
              <w:jc w:val="right"/>
              <w:ind w:right="360"/>
              <w:spacing w:after="0" w:line="128" w:lineRule="exact"/>
              <w:rPr>
                <w:sz w:val="20"/>
                <w:szCs w:val="20"/>
                <w:color w:val="auto"/>
              </w:rPr>
            </w:pPr>
            <w:r>
              <w:rPr>
                <w:rFonts w:ascii="Arial" w:cs="Arial" w:eastAsia="Arial" w:hAnsi="Arial"/>
                <w:sz w:val="13"/>
                <w:szCs w:val="13"/>
                <w:b w:val="1"/>
                <w:bCs w:val="1"/>
                <w:color w:val="auto"/>
              </w:rPr>
              <w:t>Fair</w:t>
            </w:r>
          </w:p>
        </w:tc>
        <w:tc>
          <w:tcPr>
            <w:tcW w:w="560" w:type="dxa"/>
            <w:vAlign w:val="bottom"/>
            <w:gridSpan w:val="2"/>
          </w:tcPr>
          <w:p>
            <w:pPr>
              <w:jc w:val="center"/>
              <w:ind w:right="180"/>
              <w:spacing w:after="0" w:line="128" w:lineRule="exact"/>
              <w:rPr>
                <w:sz w:val="20"/>
                <w:szCs w:val="20"/>
                <w:color w:val="auto"/>
              </w:rPr>
            </w:pPr>
            <w:r>
              <w:rPr>
                <w:rFonts w:ascii="Arial" w:cs="Arial" w:eastAsia="Arial" w:hAnsi="Arial"/>
                <w:sz w:val="13"/>
                <w:szCs w:val="13"/>
                <w:b w:val="1"/>
                <w:bCs w:val="1"/>
                <w:color w:val="auto"/>
                <w:w w:val="85"/>
              </w:rPr>
              <w:t>Net</w:t>
            </w:r>
          </w:p>
        </w:tc>
        <w:tc>
          <w:tcPr>
            <w:tcW w:w="0" w:type="dxa"/>
            <w:vAlign w:val="bottom"/>
          </w:tcPr>
          <w:p>
            <w:pPr>
              <w:spacing w:after="0"/>
              <w:rPr>
                <w:sz w:val="1"/>
                <w:szCs w:val="1"/>
                <w:color w:val="auto"/>
              </w:rPr>
            </w:pPr>
          </w:p>
        </w:tc>
      </w:tr>
      <w:tr>
        <w:trPr>
          <w:trHeight w:val="153"/>
        </w:trPr>
        <w:tc>
          <w:tcPr>
            <w:tcW w:w="294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1180" w:type="dxa"/>
            <w:vAlign w:val="bottom"/>
          </w:tcPr>
          <w:p>
            <w:pPr>
              <w:spacing w:after="0"/>
              <w:rPr>
                <w:sz w:val="13"/>
                <w:szCs w:val="13"/>
                <w:color w:val="auto"/>
              </w:rPr>
            </w:pPr>
          </w:p>
        </w:tc>
        <w:tc>
          <w:tcPr>
            <w:tcW w:w="2380" w:type="dxa"/>
            <w:vAlign w:val="bottom"/>
            <w:gridSpan w:val="2"/>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Principal</w:t>
            </w: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Cost</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0"/>
                <w:szCs w:val="10"/>
                <w:b w:val="1"/>
                <w:bCs w:val="1"/>
                <w:color w:val="auto"/>
              </w:rPr>
              <w:t>2</w:t>
            </w:r>
          </w:p>
        </w:tc>
        <w:tc>
          <w:tcPr>
            <w:tcW w:w="5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9"/>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292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Tex-Tech Industries, Inc.</w:t>
            </w:r>
          </w:p>
        </w:tc>
        <w:tc>
          <w:tcPr>
            <w:tcW w:w="1180" w:type="dxa"/>
            <w:vAlign w:val="bottom"/>
            <w:shd w:val="clear" w:color="auto" w:fill="CCEEFF"/>
          </w:tcPr>
          <w:p>
            <w:pPr>
              <w:ind w:left="60"/>
              <w:spacing w:after="0" w:line="101" w:lineRule="exact"/>
              <w:rPr>
                <w:sz w:val="20"/>
                <w:szCs w:val="20"/>
                <w:color w:val="auto"/>
              </w:rPr>
            </w:pPr>
            <w:r>
              <w:rPr>
                <w:rFonts w:ascii="Arial" w:cs="Arial" w:eastAsia="Arial" w:hAnsi="Arial"/>
                <w:sz w:val="10"/>
                <w:szCs w:val="10"/>
                <w:color w:val="auto"/>
              </w:rPr>
              <w:t>(8)(13)(14)</w:t>
            </w:r>
          </w:p>
        </w:tc>
        <w:tc>
          <w:tcPr>
            <w:tcW w:w="228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Junior Secured Loan — Term Loan</w:t>
            </w: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0"/>
              </w:rPr>
              <w:t>247 Station Drive, Suite NE1 Westwood, MA 02090</w:t>
            </w:r>
          </w:p>
        </w:tc>
        <w:tc>
          <w:tcPr>
            <w:tcW w:w="118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(Second Lien)</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gridSpan w:val="2"/>
            <w:shd w:val="clear" w:color="auto" w:fill="CCEEFF"/>
          </w:tcPr>
          <w:p>
            <w:pPr>
              <w:ind w:left="240"/>
              <w:spacing w:after="0" w:line="148" w:lineRule="exact"/>
              <w:rPr>
                <w:sz w:val="20"/>
                <w:szCs w:val="20"/>
                <w:color w:val="auto"/>
              </w:rPr>
            </w:pPr>
            <w:r>
              <w:rPr>
                <w:rFonts w:ascii="Arial" w:cs="Arial" w:eastAsia="Arial" w:hAnsi="Arial"/>
                <w:sz w:val="14"/>
                <w:szCs w:val="14"/>
                <w:color w:val="auto"/>
              </w:rPr>
              <w:t>Textiles and Leather</w:t>
            </w:r>
          </w:p>
        </w:tc>
        <w:tc>
          <w:tcPr>
            <w:tcW w:w="118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11.0% Cash, 0.5% PIK, 1 Month Libor</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(1.00%) + 10.00%; Libor Floor 1.00%,</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Due 8/24</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8/24/2017</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12,537,550</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6"/>
              </w:rPr>
              <w:t>12,418,665</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6"/>
              </w:rPr>
              <w:t>11,118,299</w:t>
            </w:r>
          </w:p>
        </w:tc>
        <w:tc>
          <w:tcPr>
            <w:tcW w:w="5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24"/>
        </w:trPr>
        <w:tc>
          <w:tcPr>
            <w:tcW w:w="2940" w:type="dxa"/>
            <w:vAlign w:val="bottom"/>
            <w:gridSpan w:val="3"/>
          </w:tcPr>
          <w:p>
            <w:pPr>
              <w:spacing w:after="0"/>
              <w:rPr>
                <w:sz w:val="20"/>
                <w:szCs w:val="20"/>
                <w:color w:val="auto"/>
              </w:rPr>
            </w:pPr>
            <w:r>
              <w:rPr>
                <w:rFonts w:ascii="Arial" w:cs="Arial" w:eastAsia="Arial" w:hAnsi="Arial"/>
                <w:sz w:val="14"/>
                <w:szCs w:val="14"/>
                <w:color w:val="auto"/>
              </w:rPr>
              <w:t>The Edelman Financial Center, LLC</w:t>
            </w:r>
          </w:p>
        </w:tc>
        <w:tc>
          <w:tcPr>
            <w:tcW w:w="1180" w:type="dxa"/>
            <w:vAlign w:val="bottom"/>
          </w:tcPr>
          <w:p>
            <w:pPr>
              <w:ind w:left="60"/>
              <w:spacing w:after="0"/>
              <w:rPr>
                <w:sz w:val="20"/>
                <w:szCs w:val="20"/>
                <w:color w:val="auto"/>
              </w:rPr>
            </w:pPr>
            <w:r>
              <w:rPr>
                <w:rFonts w:ascii="Arial" w:cs="Arial" w:eastAsia="Arial" w:hAnsi="Arial"/>
                <w:sz w:val="12"/>
                <w:szCs w:val="12"/>
                <w:color w:val="auto"/>
              </w:rPr>
              <w:t>(8)(14)</w:t>
            </w:r>
          </w:p>
        </w:tc>
        <w:tc>
          <w:tcPr>
            <w:tcW w:w="2380" w:type="dxa"/>
            <w:vAlign w:val="bottom"/>
            <w:gridSpan w:val="2"/>
          </w:tcPr>
          <w:p>
            <w:pPr>
              <w:spacing w:after="0"/>
              <w:rPr>
                <w:sz w:val="20"/>
                <w:szCs w:val="20"/>
                <w:color w:val="auto"/>
              </w:rPr>
            </w:pPr>
            <w:r>
              <w:rPr>
                <w:rFonts w:ascii="Arial" w:cs="Arial" w:eastAsia="Arial" w:hAnsi="Arial"/>
                <w:sz w:val="14"/>
                <w:szCs w:val="14"/>
                <w:color w:val="auto"/>
              </w:rPr>
              <w:t>Junior Secured Loan — Initial Term</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40" w:type="dxa"/>
            <w:vAlign w:val="bottom"/>
            <w:gridSpan w:val="3"/>
          </w:tcPr>
          <w:p>
            <w:pPr>
              <w:spacing w:after="0" w:line="141" w:lineRule="exact"/>
              <w:rPr>
                <w:sz w:val="20"/>
                <w:szCs w:val="20"/>
                <w:color w:val="auto"/>
              </w:rPr>
            </w:pPr>
            <w:r>
              <w:rPr>
                <w:rFonts w:ascii="Arial" w:cs="Arial" w:eastAsia="Arial" w:hAnsi="Arial"/>
                <w:sz w:val="14"/>
                <w:szCs w:val="14"/>
                <w:color w:val="auto"/>
                <w:w w:val="94"/>
              </w:rPr>
              <w:t>575 Fifth Avenue 14th Floor, New York NY 10017</w:t>
            </w:r>
          </w:p>
        </w:tc>
        <w:tc>
          <w:tcPr>
            <w:tcW w:w="1180" w:type="dxa"/>
            <w:vAlign w:val="bottom"/>
          </w:tcPr>
          <w:p>
            <w:pPr>
              <w:spacing w:after="0"/>
              <w:rPr>
                <w:sz w:val="12"/>
                <w:szCs w:val="12"/>
                <w:color w:val="auto"/>
              </w:rPr>
            </w:pPr>
          </w:p>
        </w:tc>
        <w:tc>
          <w:tcPr>
            <w:tcW w:w="2380" w:type="dxa"/>
            <w:vAlign w:val="bottom"/>
            <w:gridSpan w:val="2"/>
          </w:tcPr>
          <w:p>
            <w:pPr>
              <w:spacing w:after="0" w:line="141" w:lineRule="exact"/>
              <w:rPr>
                <w:sz w:val="20"/>
                <w:szCs w:val="20"/>
                <w:color w:val="auto"/>
              </w:rPr>
            </w:pPr>
            <w:r>
              <w:rPr>
                <w:rFonts w:ascii="Arial" w:cs="Arial" w:eastAsia="Arial" w:hAnsi="Arial"/>
                <w:sz w:val="14"/>
                <w:szCs w:val="14"/>
                <w:color w:val="auto"/>
              </w:rPr>
              <w:t>Loan (Second Lien)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tcPr>
          <w:p>
            <w:pPr>
              <w:ind w:left="240"/>
              <w:spacing w:after="0" w:line="141" w:lineRule="exact"/>
              <w:rPr>
                <w:sz w:val="20"/>
                <w:szCs w:val="20"/>
                <w:color w:val="auto"/>
              </w:rPr>
            </w:pPr>
            <w:r>
              <w:rPr>
                <w:rFonts w:ascii="Arial" w:cs="Arial" w:eastAsia="Arial" w:hAnsi="Arial"/>
                <w:sz w:val="14"/>
                <w:szCs w:val="14"/>
                <w:color w:val="auto"/>
                <w:w w:val="99"/>
              </w:rPr>
              <w:t>Banking, Finance, Insurance &amp; Real Estate</w:t>
            </w:r>
          </w:p>
        </w:tc>
        <w:tc>
          <w:tcPr>
            <w:tcW w:w="1180" w:type="dxa"/>
            <w:vAlign w:val="bottom"/>
          </w:tcPr>
          <w:p>
            <w:pPr>
              <w:spacing w:after="0"/>
              <w:rPr>
                <w:sz w:val="12"/>
                <w:szCs w:val="12"/>
                <w:color w:val="auto"/>
              </w:rPr>
            </w:pPr>
          </w:p>
        </w:tc>
        <w:tc>
          <w:tcPr>
            <w:tcW w:w="2380" w:type="dxa"/>
            <w:vAlign w:val="bottom"/>
            <w:gridSpan w:val="2"/>
          </w:tcPr>
          <w:p>
            <w:pPr>
              <w:spacing w:after="0" w:line="141" w:lineRule="exact"/>
              <w:rPr>
                <w:sz w:val="20"/>
                <w:szCs w:val="20"/>
                <w:color w:val="auto"/>
              </w:rPr>
            </w:pPr>
            <w:r>
              <w:rPr>
                <w:rFonts w:ascii="Arial" w:cs="Arial" w:eastAsia="Arial" w:hAnsi="Arial"/>
                <w:sz w:val="14"/>
                <w:szCs w:val="14"/>
                <w:color w:val="auto"/>
              </w:rPr>
              <w:t>6.8% Cash, 1 Month Libor (0.08%) +</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6.75%, Due 7/26</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12/18/2019</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300,000</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276,325</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302,718</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Theragenics Corp</w:t>
            </w:r>
          </w:p>
        </w:tc>
        <w:tc>
          <w:tcPr>
            <w:tcW w:w="118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(8)(14)</w:t>
            </w:r>
          </w:p>
        </w:tc>
        <w:tc>
          <w:tcPr>
            <w:tcW w:w="23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w w:val="95"/>
              </w:rPr>
              <w:t>Senior Secured Loan — First Lien Term</w:t>
            </w: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5"/>
              </w:rPr>
              <w:t>One City Center, 11th Floor, Portland, ME 04101</w:t>
            </w:r>
          </w:p>
        </w:tc>
        <w:tc>
          <w:tcPr>
            <w:tcW w:w="118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Healthcare &amp; Pharmaceuticals</w:t>
            </w:r>
          </w:p>
        </w:tc>
        <w:tc>
          <w:tcPr>
            <w:tcW w:w="118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9.0% Cash, 1 Month Libor (1.00%) +</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8.00%; Libor Floor 1.00%, Due 5/24</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10/28/2020</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7,531,435</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6,674,115</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7,531,435</w:t>
            </w:r>
          </w:p>
        </w:tc>
        <w:tc>
          <w:tcPr>
            <w:tcW w:w="5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24"/>
        </w:trPr>
        <w:tc>
          <w:tcPr>
            <w:tcW w:w="2940" w:type="dxa"/>
            <w:vAlign w:val="bottom"/>
            <w:gridSpan w:val="3"/>
          </w:tcPr>
          <w:p>
            <w:pPr>
              <w:spacing w:after="0"/>
              <w:rPr>
                <w:sz w:val="20"/>
                <w:szCs w:val="20"/>
                <w:color w:val="auto"/>
              </w:rPr>
            </w:pPr>
            <w:r>
              <w:rPr>
                <w:rFonts w:ascii="Arial" w:cs="Arial" w:eastAsia="Arial" w:hAnsi="Arial"/>
                <w:sz w:val="14"/>
                <w:szCs w:val="14"/>
                <w:color w:val="auto"/>
              </w:rPr>
              <w:t>TLE Holdings, LLC</w:t>
            </w:r>
          </w:p>
        </w:tc>
        <w:tc>
          <w:tcPr>
            <w:tcW w:w="1180" w:type="dxa"/>
            <w:vAlign w:val="bottom"/>
          </w:tcPr>
          <w:p>
            <w:pPr>
              <w:ind w:left="60"/>
              <w:spacing w:after="0"/>
              <w:rPr>
                <w:sz w:val="20"/>
                <w:szCs w:val="20"/>
                <w:color w:val="auto"/>
              </w:rPr>
            </w:pPr>
            <w:r>
              <w:rPr>
                <w:rFonts w:ascii="Arial" w:cs="Arial" w:eastAsia="Arial" w:hAnsi="Arial"/>
                <w:sz w:val="12"/>
                <w:szCs w:val="12"/>
                <w:color w:val="auto"/>
              </w:rPr>
              <w:t>(8)(13)(14)(21)(23)</w:t>
            </w:r>
          </w:p>
        </w:tc>
        <w:tc>
          <w:tcPr>
            <w:tcW w:w="2380" w:type="dxa"/>
            <w:vAlign w:val="bottom"/>
            <w:gridSpan w:val="2"/>
          </w:tcPr>
          <w:p>
            <w:pPr>
              <w:spacing w:after="0"/>
              <w:rPr>
                <w:sz w:val="20"/>
                <w:szCs w:val="20"/>
                <w:color w:val="auto"/>
              </w:rPr>
            </w:pPr>
            <w:r>
              <w:rPr>
                <w:rFonts w:ascii="Arial" w:cs="Arial" w:eastAsia="Arial" w:hAnsi="Arial"/>
                <w:sz w:val="14"/>
                <w:szCs w:val="14"/>
                <w:color w:val="auto"/>
                <w:w w:val="97"/>
              </w:rPr>
              <w:t>Senior Secured Loan — Delayed Draw</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40" w:type="dxa"/>
            <w:vAlign w:val="bottom"/>
            <w:gridSpan w:val="3"/>
          </w:tcPr>
          <w:p>
            <w:pPr>
              <w:spacing w:after="0" w:line="141" w:lineRule="exact"/>
              <w:rPr>
                <w:sz w:val="20"/>
                <w:szCs w:val="20"/>
                <w:color w:val="auto"/>
              </w:rPr>
            </w:pPr>
            <w:r>
              <w:rPr>
                <w:rFonts w:ascii="Arial" w:cs="Arial" w:eastAsia="Arial" w:hAnsi="Arial"/>
                <w:sz w:val="14"/>
                <w:szCs w:val="14"/>
                <w:color w:val="auto"/>
                <w:w w:val="99"/>
              </w:rPr>
              <w:t>4000 Legato Road, 9th Floor Fairfax, VA 22033</w:t>
            </w:r>
          </w:p>
        </w:tc>
        <w:tc>
          <w:tcPr>
            <w:tcW w:w="1180" w:type="dxa"/>
            <w:vAlign w:val="bottom"/>
          </w:tcPr>
          <w:p>
            <w:pPr>
              <w:spacing w:after="0"/>
              <w:rPr>
                <w:sz w:val="12"/>
                <w:szCs w:val="12"/>
                <w:color w:val="auto"/>
              </w:rPr>
            </w:pPr>
          </w:p>
        </w:tc>
        <w:tc>
          <w:tcPr>
            <w:tcW w:w="2380" w:type="dxa"/>
            <w:vAlign w:val="bottom"/>
            <w:gridSpan w:val="2"/>
          </w:tcPr>
          <w:p>
            <w:pPr>
              <w:spacing w:after="0" w:line="141" w:lineRule="exact"/>
              <w:rPr>
                <w:sz w:val="20"/>
                <w:szCs w:val="20"/>
                <w:color w:val="auto"/>
              </w:rPr>
            </w:pPr>
            <w:r>
              <w:rPr>
                <w:rFonts w:ascii="Arial" w:cs="Arial" w:eastAsia="Arial" w:hAnsi="Arial"/>
                <w:sz w:val="14"/>
                <w:szCs w:val="14"/>
                <w:color w:val="auto"/>
              </w:rPr>
              <w:t>Term Loan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Healthcare, Education and Childcare</w:t>
            </w:r>
          </w:p>
        </w:tc>
        <w:tc>
          <w:tcPr>
            <w:tcW w:w="1180" w:type="dxa"/>
            <w:vAlign w:val="bottom"/>
          </w:tcPr>
          <w:p>
            <w:pPr>
              <w:spacing w:after="0"/>
              <w:rPr>
                <w:sz w:val="12"/>
                <w:szCs w:val="12"/>
                <w:color w:val="auto"/>
              </w:rPr>
            </w:pPr>
          </w:p>
        </w:tc>
        <w:tc>
          <w:tcPr>
            <w:tcW w:w="2380" w:type="dxa"/>
            <w:vAlign w:val="bottom"/>
            <w:gridSpan w:val="2"/>
          </w:tcPr>
          <w:p>
            <w:pPr>
              <w:spacing w:after="0" w:line="141" w:lineRule="exact"/>
              <w:rPr>
                <w:sz w:val="20"/>
                <w:szCs w:val="20"/>
                <w:color w:val="auto"/>
              </w:rPr>
            </w:pPr>
            <w:r>
              <w:rPr>
                <w:rFonts w:ascii="Arial" w:cs="Arial" w:eastAsia="Arial" w:hAnsi="Arial"/>
                <w:sz w:val="14"/>
                <w:szCs w:val="14"/>
                <w:color w:val="auto"/>
              </w:rPr>
              <w:t>6.5% Cash, 3 Month Libor (1.00%) +</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5.50%; Libor Floor 1.00%, Due 6/24</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6/27/2019</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737,224</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736,283</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731,976</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TLE Holdings, LLC</w:t>
            </w:r>
          </w:p>
        </w:tc>
        <w:tc>
          <w:tcPr>
            <w:tcW w:w="118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(8)(13)(14)(21)</w:t>
            </w:r>
          </w:p>
        </w:tc>
        <w:tc>
          <w:tcPr>
            <w:tcW w:w="23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Senior Secured Loan — Initial Term</w:t>
            </w: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6"/>
              </w:rPr>
              <w:t>3916 Westpoint Blvd. Winston-Salem, NC 27103</w:t>
            </w:r>
          </w:p>
        </w:tc>
        <w:tc>
          <w:tcPr>
            <w:tcW w:w="118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Healthcare, Education and Childcare</w:t>
            </w:r>
          </w:p>
        </w:tc>
        <w:tc>
          <w:tcPr>
            <w:tcW w:w="118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6.5% Cash, 3 Month Libor (1.00%) +</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5.50%; Libor Floor 1.00%, Due 6/24</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6/27/2019</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5,587,840</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5,573,521</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5,548,167</w:t>
            </w:r>
          </w:p>
        </w:tc>
        <w:tc>
          <w:tcPr>
            <w:tcW w:w="5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4"/>
        </w:trPr>
        <w:tc>
          <w:tcPr>
            <w:tcW w:w="2940" w:type="dxa"/>
            <w:vAlign w:val="bottom"/>
            <w:gridSpan w:val="3"/>
          </w:tcPr>
          <w:p>
            <w:pPr>
              <w:spacing w:after="0"/>
              <w:rPr>
                <w:sz w:val="20"/>
                <w:szCs w:val="20"/>
                <w:color w:val="auto"/>
              </w:rPr>
            </w:pPr>
            <w:r>
              <w:rPr>
                <w:rFonts w:ascii="Arial" w:cs="Arial" w:eastAsia="Arial" w:hAnsi="Arial"/>
                <w:sz w:val="14"/>
                <w:szCs w:val="14"/>
                <w:color w:val="auto"/>
              </w:rPr>
              <w:t>Travelport Finance (Luxembourg) S.A R.L.</w:t>
            </w:r>
          </w:p>
        </w:tc>
        <w:tc>
          <w:tcPr>
            <w:tcW w:w="1180" w:type="dxa"/>
            <w:vAlign w:val="bottom"/>
          </w:tcPr>
          <w:p>
            <w:pPr>
              <w:ind w:left="60"/>
              <w:spacing w:after="0"/>
              <w:rPr>
                <w:sz w:val="20"/>
                <w:szCs w:val="20"/>
                <w:color w:val="auto"/>
              </w:rPr>
            </w:pPr>
            <w:r>
              <w:rPr>
                <w:rFonts w:ascii="Arial" w:cs="Arial" w:eastAsia="Arial" w:hAnsi="Arial"/>
                <w:sz w:val="12"/>
                <w:szCs w:val="12"/>
                <w:color w:val="auto"/>
              </w:rPr>
              <w:t>(3)(13)(14)</w:t>
            </w:r>
          </w:p>
        </w:tc>
        <w:tc>
          <w:tcPr>
            <w:tcW w:w="238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40" w:type="dxa"/>
            <w:vAlign w:val="bottom"/>
            <w:gridSpan w:val="3"/>
          </w:tcPr>
          <w:p>
            <w:pPr>
              <w:spacing w:after="0" w:line="141" w:lineRule="exact"/>
              <w:rPr>
                <w:sz w:val="20"/>
                <w:szCs w:val="20"/>
                <w:color w:val="auto"/>
              </w:rPr>
            </w:pPr>
            <w:r>
              <w:rPr>
                <w:rFonts w:ascii="Arial" w:cs="Arial" w:eastAsia="Arial" w:hAnsi="Arial"/>
                <w:sz w:val="14"/>
                <w:szCs w:val="14"/>
                <w:color w:val="auto"/>
              </w:rPr>
              <w:t>5203 Bristol Industrial Way Buford, GA 30518</w:t>
            </w:r>
          </w:p>
        </w:tc>
        <w:tc>
          <w:tcPr>
            <w:tcW w:w="1180" w:type="dxa"/>
            <w:vAlign w:val="bottom"/>
          </w:tcPr>
          <w:p>
            <w:pPr>
              <w:spacing w:after="0"/>
              <w:rPr>
                <w:sz w:val="12"/>
                <w:szCs w:val="12"/>
                <w:color w:val="auto"/>
              </w:rPr>
            </w:pPr>
          </w:p>
        </w:tc>
        <w:tc>
          <w:tcPr>
            <w:tcW w:w="2380" w:type="dxa"/>
            <w:vAlign w:val="bottom"/>
            <w:gridSpan w:val="2"/>
          </w:tcPr>
          <w:p>
            <w:pPr>
              <w:spacing w:after="0" w:line="141" w:lineRule="exact"/>
              <w:rPr>
                <w:sz w:val="20"/>
                <w:szCs w:val="20"/>
                <w:color w:val="auto"/>
              </w:rPr>
            </w:pPr>
            <w:r>
              <w:rPr>
                <w:rFonts w:ascii="Arial" w:cs="Arial" w:eastAsia="Arial" w:hAnsi="Arial"/>
                <w:sz w:val="14"/>
                <w:szCs w:val="14"/>
                <w:color w:val="auto"/>
              </w:rPr>
              <w:t>5.1% Cash, 3 Month Libor (0.13%) +</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20" w:type="dxa"/>
            <w:vAlign w:val="bottom"/>
            <w:gridSpan w:val="2"/>
          </w:tcPr>
          <w:p>
            <w:pPr>
              <w:ind w:left="240"/>
              <w:spacing w:after="0"/>
              <w:rPr>
                <w:sz w:val="20"/>
                <w:szCs w:val="20"/>
                <w:color w:val="auto"/>
              </w:rPr>
            </w:pPr>
            <w:r>
              <w:rPr>
                <w:rFonts w:ascii="Arial" w:cs="Arial" w:eastAsia="Arial" w:hAnsi="Arial"/>
                <w:sz w:val="14"/>
                <w:szCs w:val="14"/>
                <w:color w:val="auto"/>
              </w:rPr>
              <w:t>Services: Business</w:t>
            </w:r>
          </w:p>
        </w:tc>
        <w:tc>
          <w:tcPr>
            <w:tcW w:w="118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5.00%, Due 5/26</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10/28/2020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138,440</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Triangle Home Fashions LLC</w:t>
            </w:r>
          </w:p>
        </w:tc>
        <w:tc>
          <w:tcPr>
            <w:tcW w:w="118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(8)(13)(14)(20)</w:t>
            </w:r>
          </w:p>
        </w:tc>
        <w:tc>
          <w:tcPr>
            <w:tcW w:w="23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w w:val="95"/>
              </w:rPr>
              <w:t>Senior Secured Loan — First Lien Term</w:t>
            </w: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4"/>
              </w:rPr>
              <w:t>210 Hillsboro Technology Drive, Deerfield Beach,</w:t>
            </w:r>
          </w:p>
        </w:tc>
        <w:tc>
          <w:tcPr>
            <w:tcW w:w="118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FL 33441</w:t>
            </w:r>
          </w:p>
        </w:tc>
        <w:tc>
          <w:tcPr>
            <w:tcW w:w="118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6.8% Cash, 1 Month Libor (1.00%) +</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Consumer goods: Durable</w:t>
            </w:r>
          </w:p>
        </w:tc>
        <w:tc>
          <w:tcPr>
            <w:tcW w:w="118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5.75%; Libor Floor 1.00%, Due 3/23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10/28/2020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10,500,000</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9,660,307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6"/>
              </w:rPr>
              <w:t>10,500,000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24"/>
        </w:trPr>
        <w:tc>
          <w:tcPr>
            <w:tcW w:w="2940" w:type="dxa"/>
            <w:vAlign w:val="bottom"/>
            <w:gridSpan w:val="3"/>
          </w:tcPr>
          <w:p>
            <w:pPr>
              <w:spacing w:after="0"/>
              <w:rPr>
                <w:sz w:val="20"/>
                <w:szCs w:val="20"/>
                <w:color w:val="auto"/>
              </w:rPr>
            </w:pPr>
            <w:r>
              <w:rPr>
                <w:rFonts w:ascii="Arial" w:cs="Arial" w:eastAsia="Arial" w:hAnsi="Arial"/>
                <w:sz w:val="14"/>
                <w:szCs w:val="14"/>
                <w:color w:val="auto"/>
              </w:rPr>
              <w:t>Trident Technologies, LLC</w:t>
            </w:r>
          </w:p>
        </w:tc>
        <w:tc>
          <w:tcPr>
            <w:tcW w:w="1180" w:type="dxa"/>
            <w:vAlign w:val="bottom"/>
          </w:tcPr>
          <w:p>
            <w:pPr>
              <w:ind w:left="60"/>
              <w:spacing w:after="0"/>
              <w:rPr>
                <w:sz w:val="20"/>
                <w:szCs w:val="20"/>
                <w:color w:val="auto"/>
              </w:rPr>
            </w:pPr>
            <w:r>
              <w:rPr>
                <w:rFonts w:ascii="Arial" w:cs="Arial" w:eastAsia="Arial" w:hAnsi="Arial"/>
                <w:sz w:val="12"/>
                <w:szCs w:val="12"/>
                <w:color w:val="auto"/>
              </w:rPr>
              <w:t>(8)(13)(14)</w:t>
            </w:r>
          </w:p>
        </w:tc>
        <w:tc>
          <w:tcPr>
            <w:tcW w:w="2380" w:type="dxa"/>
            <w:vAlign w:val="bottom"/>
            <w:gridSpan w:val="2"/>
          </w:tcPr>
          <w:p>
            <w:pPr>
              <w:spacing w:after="0"/>
              <w:rPr>
                <w:sz w:val="20"/>
                <w:szCs w:val="20"/>
                <w:color w:val="auto"/>
              </w:rPr>
            </w:pPr>
            <w:r>
              <w:rPr>
                <w:rFonts w:ascii="Arial" w:cs="Arial" w:eastAsia="Arial" w:hAnsi="Arial"/>
                <w:sz w:val="14"/>
                <w:szCs w:val="14"/>
                <w:color w:val="auto"/>
                <w:w w:val="95"/>
              </w:rPr>
              <w:t>Senior Secured Loan — First Lien Term</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40" w:type="dxa"/>
            <w:vAlign w:val="bottom"/>
            <w:gridSpan w:val="3"/>
          </w:tcPr>
          <w:p>
            <w:pPr>
              <w:spacing w:after="0" w:line="141" w:lineRule="exact"/>
              <w:rPr>
                <w:sz w:val="20"/>
                <w:szCs w:val="20"/>
                <w:color w:val="auto"/>
              </w:rPr>
            </w:pPr>
            <w:r>
              <w:rPr>
                <w:rFonts w:ascii="Arial" w:cs="Arial" w:eastAsia="Arial" w:hAnsi="Arial"/>
                <w:sz w:val="14"/>
                <w:szCs w:val="14"/>
                <w:color w:val="auto"/>
                <w:w w:val="91"/>
              </w:rPr>
              <w:t>21973 Commerce Parkway, Strongsville, OH 44149</w:t>
            </w:r>
          </w:p>
        </w:tc>
        <w:tc>
          <w:tcPr>
            <w:tcW w:w="1180" w:type="dxa"/>
            <w:vAlign w:val="bottom"/>
          </w:tcPr>
          <w:p>
            <w:pPr>
              <w:spacing w:after="0"/>
              <w:rPr>
                <w:sz w:val="12"/>
                <w:szCs w:val="12"/>
                <w:color w:val="auto"/>
              </w:rPr>
            </w:pPr>
          </w:p>
        </w:tc>
        <w:tc>
          <w:tcPr>
            <w:tcW w:w="2380" w:type="dxa"/>
            <w:vAlign w:val="bottom"/>
            <w:gridSpan w:val="2"/>
          </w:tcPr>
          <w:p>
            <w:pPr>
              <w:spacing w:after="0" w:line="141" w:lineRule="exact"/>
              <w:rPr>
                <w:sz w:val="20"/>
                <w:szCs w:val="20"/>
                <w:color w:val="auto"/>
              </w:rPr>
            </w:pPr>
            <w:r>
              <w:rPr>
                <w:rFonts w:ascii="Arial" w:cs="Arial" w:eastAsia="Arial" w:hAnsi="Arial"/>
                <w:sz w:val="14"/>
                <w:szCs w:val="14"/>
                <w:color w:val="auto"/>
              </w:rPr>
              <w:t>Loan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Services: Business</w:t>
            </w:r>
          </w:p>
        </w:tc>
        <w:tc>
          <w:tcPr>
            <w:tcW w:w="1180" w:type="dxa"/>
            <w:vAlign w:val="bottom"/>
          </w:tcPr>
          <w:p>
            <w:pPr>
              <w:spacing w:after="0"/>
              <w:rPr>
                <w:sz w:val="12"/>
                <w:szCs w:val="12"/>
                <w:color w:val="auto"/>
              </w:rPr>
            </w:pPr>
          </w:p>
        </w:tc>
        <w:tc>
          <w:tcPr>
            <w:tcW w:w="2380" w:type="dxa"/>
            <w:vAlign w:val="bottom"/>
            <w:gridSpan w:val="2"/>
          </w:tcPr>
          <w:p>
            <w:pPr>
              <w:spacing w:after="0" w:line="141" w:lineRule="exact"/>
              <w:rPr>
                <w:sz w:val="20"/>
                <w:szCs w:val="20"/>
                <w:color w:val="auto"/>
              </w:rPr>
            </w:pPr>
            <w:r>
              <w:rPr>
                <w:rFonts w:ascii="Arial" w:cs="Arial" w:eastAsia="Arial" w:hAnsi="Arial"/>
                <w:sz w:val="14"/>
                <w:szCs w:val="14"/>
                <w:color w:val="auto"/>
              </w:rPr>
              <w:t>7.5% Cash, 3 Month Libor (1.50%) +</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6.00%; Libor Floor 1.50%, Due 12/25</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5/10/2021</w:t>
            </w:r>
          </w:p>
        </w:tc>
        <w:tc>
          <w:tcPr>
            <w:tcW w:w="680" w:type="dxa"/>
            <w:vAlign w:val="bottom"/>
          </w:tcPr>
          <w:p>
            <w:pPr>
              <w:jc w:val="right"/>
              <w:spacing w:after="0"/>
              <w:rPr>
                <w:sz w:val="20"/>
                <w:szCs w:val="20"/>
                <w:color w:val="auto"/>
              </w:rPr>
            </w:pPr>
            <w:r>
              <w:rPr>
                <w:rFonts w:ascii="Arial" w:cs="Arial" w:eastAsia="Arial" w:hAnsi="Arial"/>
                <w:sz w:val="14"/>
                <w:szCs w:val="14"/>
                <w:color w:val="auto"/>
              </w:rPr>
              <w:t>1,425,000</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1,415,179</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1,416,165</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Trident Technologies, LLC</w:t>
            </w:r>
          </w:p>
        </w:tc>
        <w:tc>
          <w:tcPr>
            <w:tcW w:w="118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(8)(13)(14)(21)</w:t>
            </w:r>
          </w:p>
        </w:tc>
        <w:tc>
          <w:tcPr>
            <w:tcW w:w="23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Senior Secured Loan — Initial Term</w:t>
            </w: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0"/>
              </w:rPr>
              <w:t>21973 Commerce Parkway, Strongsville, OH 44149</w:t>
            </w:r>
          </w:p>
        </w:tc>
        <w:tc>
          <w:tcPr>
            <w:tcW w:w="118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Services: Business</w:t>
            </w:r>
          </w:p>
        </w:tc>
        <w:tc>
          <w:tcPr>
            <w:tcW w:w="118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7.5% Cash, 3 Month Libor (1.50%) +</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6.00%; Libor Floor 1.50%, Due 12/25</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5/1/2020</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8,478,157</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8,297,126</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8,425,593</w:t>
            </w:r>
          </w:p>
        </w:tc>
        <w:tc>
          <w:tcPr>
            <w:tcW w:w="5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24"/>
        </w:trPr>
        <w:tc>
          <w:tcPr>
            <w:tcW w:w="2940" w:type="dxa"/>
            <w:vAlign w:val="bottom"/>
            <w:gridSpan w:val="3"/>
          </w:tcPr>
          <w:p>
            <w:pPr>
              <w:spacing w:after="0"/>
              <w:rPr>
                <w:sz w:val="20"/>
                <w:szCs w:val="20"/>
                <w:color w:val="auto"/>
              </w:rPr>
            </w:pPr>
            <w:r>
              <w:rPr>
                <w:rFonts w:ascii="Arial" w:cs="Arial" w:eastAsia="Arial" w:hAnsi="Arial"/>
                <w:sz w:val="14"/>
                <w:szCs w:val="14"/>
                <w:color w:val="auto"/>
              </w:rPr>
              <w:t>TronAir Parent Inc.</w:t>
            </w:r>
          </w:p>
        </w:tc>
        <w:tc>
          <w:tcPr>
            <w:tcW w:w="1180" w:type="dxa"/>
            <w:vAlign w:val="bottom"/>
          </w:tcPr>
          <w:p>
            <w:pPr>
              <w:ind w:left="60"/>
              <w:spacing w:after="0"/>
              <w:rPr>
                <w:sz w:val="20"/>
                <w:szCs w:val="20"/>
                <w:color w:val="auto"/>
              </w:rPr>
            </w:pPr>
            <w:r>
              <w:rPr>
                <w:rFonts w:ascii="Arial" w:cs="Arial" w:eastAsia="Arial" w:hAnsi="Arial"/>
                <w:sz w:val="12"/>
                <w:szCs w:val="12"/>
                <w:color w:val="auto"/>
              </w:rPr>
              <w:t>(8)(13)(14)</w:t>
            </w:r>
          </w:p>
        </w:tc>
        <w:tc>
          <w:tcPr>
            <w:tcW w:w="2380" w:type="dxa"/>
            <w:vAlign w:val="bottom"/>
            <w:gridSpan w:val="2"/>
          </w:tcPr>
          <w:p>
            <w:pPr>
              <w:spacing w:after="0"/>
              <w:rPr>
                <w:sz w:val="20"/>
                <w:szCs w:val="20"/>
                <w:color w:val="auto"/>
              </w:rPr>
            </w:pPr>
            <w:r>
              <w:rPr>
                <w:rFonts w:ascii="Arial" w:cs="Arial" w:eastAsia="Arial" w:hAnsi="Arial"/>
                <w:sz w:val="14"/>
                <w:szCs w:val="14"/>
                <w:color w:val="auto"/>
              </w:rPr>
              <w:t>Senior Secured Loan — Initial Term</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40" w:type="dxa"/>
            <w:vAlign w:val="bottom"/>
            <w:gridSpan w:val="3"/>
          </w:tcPr>
          <w:p>
            <w:pPr>
              <w:spacing w:after="0" w:line="141" w:lineRule="exact"/>
              <w:rPr>
                <w:sz w:val="20"/>
                <w:szCs w:val="20"/>
                <w:color w:val="auto"/>
              </w:rPr>
            </w:pPr>
            <w:r>
              <w:rPr>
                <w:rFonts w:ascii="Arial" w:cs="Arial" w:eastAsia="Arial" w:hAnsi="Arial"/>
                <w:sz w:val="14"/>
                <w:szCs w:val="14"/>
                <w:color w:val="auto"/>
                <w:w w:val="95"/>
              </w:rPr>
              <w:t>210 Hillsboro Technology Drive, Deerfield Beach,</w:t>
            </w:r>
          </w:p>
        </w:tc>
        <w:tc>
          <w:tcPr>
            <w:tcW w:w="1180" w:type="dxa"/>
            <w:vAlign w:val="bottom"/>
          </w:tcPr>
          <w:p>
            <w:pPr>
              <w:spacing w:after="0"/>
              <w:rPr>
                <w:sz w:val="12"/>
                <w:szCs w:val="12"/>
                <w:color w:val="auto"/>
              </w:rPr>
            </w:pPr>
          </w:p>
        </w:tc>
        <w:tc>
          <w:tcPr>
            <w:tcW w:w="2380" w:type="dxa"/>
            <w:vAlign w:val="bottom"/>
            <w:gridSpan w:val="2"/>
          </w:tcPr>
          <w:p>
            <w:pPr>
              <w:spacing w:after="0" w:line="141" w:lineRule="exact"/>
              <w:rPr>
                <w:sz w:val="20"/>
                <w:szCs w:val="20"/>
                <w:color w:val="auto"/>
              </w:rPr>
            </w:pPr>
            <w:r>
              <w:rPr>
                <w:rFonts w:ascii="Arial" w:cs="Arial" w:eastAsia="Arial" w:hAnsi="Arial"/>
                <w:sz w:val="14"/>
                <w:szCs w:val="14"/>
                <w:color w:val="auto"/>
              </w:rPr>
              <w:t>Loan (First Lien)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FL 33441</w:t>
            </w:r>
          </w:p>
        </w:tc>
        <w:tc>
          <w:tcPr>
            <w:tcW w:w="1180" w:type="dxa"/>
            <w:vAlign w:val="bottom"/>
          </w:tcPr>
          <w:p>
            <w:pPr>
              <w:spacing w:after="0"/>
              <w:rPr>
                <w:sz w:val="12"/>
                <w:szCs w:val="12"/>
                <w:color w:val="auto"/>
              </w:rPr>
            </w:pPr>
          </w:p>
        </w:tc>
        <w:tc>
          <w:tcPr>
            <w:tcW w:w="2380" w:type="dxa"/>
            <w:vAlign w:val="bottom"/>
            <w:gridSpan w:val="2"/>
          </w:tcPr>
          <w:p>
            <w:pPr>
              <w:spacing w:after="0" w:line="141" w:lineRule="exact"/>
              <w:rPr>
                <w:sz w:val="20"/>
                <w:szCs w:val="20"/>
                <w:color w:val="auto"/>
              </w:rPr>
            </w:pPr>
            <w:r>
              <w:rPr>
                <w:rFonts w:ascii="Arial" w:cs="Arial" w:eastAsia="Arial" w:hAnsi="Arial"/>
                <w:sz w:val="14"/>
                <w:szCs w:val="14"/>
                <w:color w:val="auto"/>
              </w:rPr>
              <w:t>6.8% Cash, 3 Month Libor (1.00%) +</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20" w:type="dxa"/>
            <w:vAlign w:val="bottom"/>
            <w:gridSpan w:val="2"/>
          </w:tcPr>
          <w:p>
            <w:pPr>
              <w:ind w:left="240"/>
              <w:spacing w:after="0"/>
              <w:rPr>
                <w:sz w:val="20"/>
                <w:szCs w:val="20"/>
                <w:color w:val="auto"/>
              </w:rPr>
            </w:pPr>
            <w:r>
              <w:rPr>
                <w:rFonts w:ascii="Arial" w:cs="Arial" w:eastAsia="Arial" w:hAnsi="Arial"/>
                <w:sz w:val="14"/>
                <w:szCs w:val="14"/>
                <w:color w:val="auto"/>
              </w:rPr>
              <w:t>Aerospace and Defense</w:t>
            </w:r>
          </w:p>
        </w:tc>
        <w:tc>
          <w:tcPr>
            <w:tcW w:w="118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5.75%; Libor Floor 1.00%, Due 9/23</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9/30/2016</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919,736</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918,294</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845,329</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TRSO II, Inc.</w:t>
            </w:r>
          </w:p>
        </w:tc>
        <w:tc>
          <w:tcPr>
            <w:tcW w:w="118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(5)(8)(13)</w:t>
            </w:r>
          </w:p>
        </w:tc>
        <w:tc>
          <w:tcPr>
            <w:tcW w:w="2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87"/>
              </w:rPr>
              <w:t>One Embarcadero Center, 39th Floor, San Francisco,</w:t>
            </w:r>
          </w:p>
        </w:tc>
        <w:tc>
          <w:tcPr>
            <w:tcW w:w="118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2"/>
              </w:rPr>
              <w:t>Junior Secured Loan — Promissory Note</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CA 94111</w:t>
            </w:r>
          </w:p>
        </w:tc>
        <w:tc>
          <w:tcPr>
            <w:tcW w:w="118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1.7% PIK, Due 1/25</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Energy: Oil &amp; Gas</w:t>
            </w:r>
          </w:p>
        </w:tc>
        <w:tc>
          <w:tcPr>
            <w:tcW w:w="11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1/24/2020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72,552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72,552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24"/>
        </w:trPr>
        <w:tc>
          <w:tcPr>
            <w:tcW w:w="2940" w:type="dxa"/>
            <w:vAlign w:val="bottom"/>
            <w:gridSpan w:val="3"/>
          </w:tcPr>
          <w:p>
            <w:pPr>
              <w:spacing w:after="0"/>
              <w:rPr>
                <w:sz w:val="20"/>
                <w:szCs w:val="20"/>
                <w:color w:val="auto"/>
              </w:rPr>
            </w:pPr>
            <w:r>
              <w:rPr>
                <w:rFonts w:ascii="Arial" w:cs="Arial" w:eastAsia="Arial" w:hAnsi="Arial"/>
                <w:sz w:val="14"/>
                <w:szCs w:val="14"/>
                <w:color w:val="auto"/>
              </w:rPr>
              <w:t>Vectra Co.</w:t>
            </w:r>
          </w:p>
        </w:tc>
        <w:tc>
          <w:tcPr>
            <w:tcW w:w="1180" w:type="dxa"/>
            <w:vAlign w:val="bottom"/>
          </w:tcPr>
          <w:p>
            <w:pPr>
              <w:ind w:left="60"/>
              <w:spacing w:after="0"/>
              <w:rPr>
                <w:sz w:val="20"/>
                <w:szCs w:val="20"/>
                <w:color w:val="auto"/>
              </w:rPr>
            </w:pPr>
            <w:r>
              <w:rPr>
                <w:rFonts w:ascii="Arial" w:cs="Arial" w:eastAsia="Arial" w:hAnsi="Arial"/>
                <w:sz w:val="12"/>
                <w:szCs w:val="12"/>
                <w:color w:val="auto"/>
              </w:rPr>
              <w:t>(8)(14)</w:t>
            </w:r>
          </w:p>
        </w:tc>
        <w:tc>
          <w:tcPr>
            <w:tcW w:w="2380" w:type="dxa"/>
            <w:vAlign w:val="bottom"/>
            <w:gridSpan w:val="2"/>
          </w:tcPr>
          <w:p>
            <w:pPr>
              <w:spacing w:after="0"/>
              <w:rPr>
                <w:sz w:val="20"/>
                <w:szCs w:val="20"/>
                <w:color w:val="auto"/>
              </w:rPr>
            </w:pPr>
            <w:r>
              <w:rPr>
                <w:rFonts w:ascii="Arial" w:cs="Arial" w:eastAsia="Arial" w:hAnsi="Arial"/>
                <w:sz w:val="14"/>
                <w:szCs w:val="14"/>
                <w:color w:val="auto"/>
              </w:rPr>
              <w:t>Junior Secured Loan — Initial Loan</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40" w:type="dxa"/>
            <w:vAlign w:val="bottom"/>
            <w:gridSpan w:val="3"/>
          </w:tcPr>
          <w:p>
            <w:pPr>
              <w:spacing w:after="0" w:line="141" w:lineRule="exact"/>
              <w:rPr>
                <w:sz w:val="20"/>
                <w:szCs w:val="20"/>
                <w:color w:val="auto"/>
              </w:rPr>
            </w:pPr>
            <w:r>
              <w:rPr>
                <w:rFonts w:ascii="Arial" w:cs="Arial" w:eastAsia="Arial" w:hAnsi="Arial"/>
                <w:sz w:val="14"/>
                <w:szCs w:val="14"/>
                <w:color w:val="auto"/>
                <w:w w:val="95"/>
              </w:rPr>
              <w:t>2700 E. Interstate 20 P.O. Box 2488, Odessa, TX</w:t>
            </w:r>
          </w:p>
        </w:tc>
        <w:tc>
          <w:tcPr>
            <w:tcW w:w="1180" w:type="dxa"/>
            <w:vAlign w:val="bottom"/>
          </w:tcPr>
          <w:p>
            <w:pPr>
              <w:spacing w:after="0"/>
              <w:rPr>
                <w:sz w:val="12"/>
                <w:szCs w:val="12"/>
                <w:color w:val="auto"/>
              </w:rPr>
            </w:pPr>
          </w:p>
        </w:tc>
        <w:tc>
          <w:tcPr>
            <w:tcW w:w="2380" w:type="dxa"/>
            <w:vAlign w:val="bottom"/>
            <w:gridSpan w:val="2"/>
          </w:tcPr>
          <w:p>
            <w:pPr>
              <w:spacing w:after="0" w:line="141" w:lineRule="exact"/>
              <w:rPr>
                <w:sz w:val="20"/>
                <w:szCs w:val="20"/>
                <w:color w:val="auto"/>
              </w:rPr>
            </w:pPr>
            <w:r>
              <w:rPr>
                <w:rFonts w:ascii="Arial" w:cs="Arial" w:eastAsia="Arial" w:hAnsi="Arial"/>
                <w:sz w:val="14"/>
                <w:szCs w:val="14"/>
                <w:color w:val="auto"/>
              </w:rPr>
              <w:t>(Second Lien)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0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79760</w:t>
            </w:r>
          </w:p>
        </w:tc>
        <w:tc>
          <w:tcPr>
            <w:tcW w:w="1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380" w:type="dxa"/>
            <w:vAlign w:val="bottom"/>
            <w:gridSpan w:val="2"/>
          </w:tcPr>
          <w:p>
            <w:pPr>
              <w:spacing w:after="0" w:line="141" w:lineRule="exact"/>
              <w:rPr>
                <w:sz w:val="20"/>
                <w:szCs w:val="20"/>
                <w:color w:val="auto"/>
              </w:rPr>
            </w:pPr>
            <w:r>
              <w:rPr>
                <w:rFonts w:ascii="Arial" w:cs="Arial" w:eastAsia="Arial" w:hAnsi="Arial"/>
                <w:sz w:val="14"/>
                <w:szCs w:val="14"/>
                <w:color w:val="auto"/>
              </w:rPr>
              <w:t>7.3% Cash, 1 Month Libor (0.08%) +</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20" w:type="dxa"/>
            <w:vAlign w:val="bottom"/>
            <w:gridSpan w:val="2"/>
          </w:tcPr>
          <w:p>
            <w:pPr>
              <w:ind w:left="240"/>
              <w:spacing w:after="0"/>
              <w:rPr>
                <w:sz w:val="20"/>
                <w:szCs w:val="20"/>
                <w:color w:val="auto"/>
              </w:rPr>
            </w:pPr>
            <w:r>
              <w:rPr>
                <w:rFonts w:ascii="Arial" w:cs="Arial" w:eastAsia="Arial" w:hAnsi="Arial"/>
                <w:sz w:val="14"/>
                <w:szCs w:val="14"/>
                <w:color w:val="auto"/>
              </w:rPr>
              <w:t>Chemicals, Plastics &amp; Rubber</w:t>
            </w:r>
          </w:p>
        </w:tc>
        <w:tc>
          <w:tcPr>
            <w:tcW w:w="118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7.25%, Due 3/26</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12/18/2019</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400,000</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361,162</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392,668</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VTK Acquisition, Inc.</w:t>
            </w:r>
          </w:p>
        </w:tc>
        <w:tc>
          <w:tcPr>
            <w:tcW w:w="118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(8)(13)(18)</w:t>
            </w:r>
          </w:p>
        </w:tc>
        <w:tc>
          <w:tcPr>
            <w:tcW w:w="23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Senior Secured Loan — Revolver</w:t>
            </w: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751 Summit Avenue, Mankato, MN 56001</w:t>
            </w:r>
          </w:p>
        </w:tc>
        <w:tc>
          <w:tcPr>
            <w:tcW w:w="118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6.6% Cash, 3 Month Libor (0.13%) +</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Capital Equipment</w:t>
            </w:r>
          </w:p>
        </w:tc>
        <w:tc>
          <w:tcPr>
            <w:tcW w:w="118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6.50%, Due 12/21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6/9/2021</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1,536,097</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1,488,536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1,533,793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840"/>
          </w:cols>
          <w:pgMar w:left="320" w:top="443" w:right="7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29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Portfolio Company /</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128"/>
        </w:trPr>
        <w:tc>
          <w:tcPr>
            <w:tcW w:w="298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820" w:type="dxa"/>
            <w:vAlign w:val="bottom"/>
            <w:gridSpan w:val="2"/>
          </w:tcPr>
          <w:p>
            <w:pPr>
              <w:jc w:val="center"/>
              <w:ind w:right="120"/>
              <w:spacing w:after="0" w:line="128" w:lineRule="exact"/>
              <w:rPr>
                <w:sz w:val="20"/>
                <w:szCs w:val="20"/>
                <w:color w:val="auto"/>
              </w:rPr>
            </w:pPr>
            <w:r>
              <w:rPr>
                <w:rFonts w:ascii="Arial" w:cs="Arial" w:eastAsia="Arial" w:hAnsi="Arial"/>
                <w:sz w:val="13"/>
                <w:szCs w:val="13"/>
                <w:b w:val="1"/>
                <w:bCs w:val="1"/>
                <w:color w:val="auto"/>
                <w:w w:val="87"/>
              </w:rPr>
              <w:t>Acquisition</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28" w:lineRule="exact"/>
              <w:rPr>
                <w:sz w:val="20"/>
                <w:szCs w:val="20"/>
                <w:color w:val="auto"/>
              </w:rPr>
            </w:pPr>
            <w:r>
              <w:rPr>
                <w:rFonts w:ascii="Arial" w:cs="Arial" w:eastAsia="Arial" w:hAnsi="Arial"/>
                <w:sz w:val="13"/>
                <w:szCs w:val="13"/>
                <w:b w:val="1"/>
                <w:bCs w:val="1"/>
                <w:color w:val="auto"/>
                <w:w w:val="91"/>
              </w:rPr>
              <w:t>Amortized</w:t>
            </w:r>
          </w:p>
        </w:tc>
        <w:tc>
          <w:tcPr>
            <w:tcW w:w="860" w:type="dxa"/>
            <w:vAlign w:val="bottom"/>
            <w:gridSpan w:val="2"/>
          </w:tcPr>
          <w:p>
            <w:pPr>
              <w:jc w:val="right"/>
              <w:ind w:right="380"/>
              <w:spacing w:after="0" w:line="128" w:lineRule="exact"/>
              <w:rPr>
                <w:sz w:val="20"/>
                <w:szCs w:val="20"/>
                <w:color w:val="auto"/>
              </w:rPr>
            </w:pPr>
            <w:r>
              <w:rPr>
                <w:rFonts w:ascii="Arial" w:cs="Arial" w:eastAsia="Arial" w:hAnsi="Arial"/>
                <w:sz w:val="13"/>
                <w:szCs w:val="13"/>
                <w:b w:val="1"/>
                <w:bCs w:val="1"/>
                <w:color w:val="auto"/>
              </w:rPr>
              <w:t>Fair</w:t>
            </w:r>
          </w:p>
        </w:tc>
        <w:tc>
          <w:tcPr>
            <w:tcW w:w="560" w:type="dxa"/>
            <w:vAlign w:val="bottom"/>
            <w:gridSpan w:val="2"/>
          </w:tcPr>
          <w:p>
            <w:pPr>
              <w:jc w:val="center"/>
              <w:ind w:right="180"/>
              <w:spacing w:after="0" w:line="128" w:lineRule="exact"/>
              <w:rPr>
                <w:sz w:val="20"/>
                <w:szCs w:val="20"/>
                <w:color w:val="auto"/>
              </w:rPr>
            </w:pPr>
            <w:r>
              <w:rPr>
                <w:rFonts w:ascii="Arial" w:cs="Arial" w:eastAsia="Arial" w:hAnsi="Arial"/>
                <w:sz w:val="13"/>
                <w:szCs w:val="13"/>
                <w:b w:val="1"/>
                <w:bCs w:val="1"/>
                <w:color w:val="auto"/>
                <w:w w:val="85"/>
              </w:rPr>
              <w:t>Net</w:t>
            </w:r>
          </w:p>
        </w:tc>
        <w:tc>
          <w:tcPr>
            <w:tcW w:w="0" w:type="dxa"/>
            <w:vAlign w:val="bottom"/>
          </w:tcPr>
          <w:p>
            <w:pPr>
              <w:spacing w:after="0"/>
              <w:rPr>
                <w:sz w:val="1"/>
                <w:szCs w:val="1"/>
                <w:color w:val="auto"/>
              </w:rPr>
            </w:pPr>
          </w:p>
        </w:tc>
      </w:tr>
      <w:tr>
        <w:trPr>
          <w:trHeight w:val="153"/>
        </w:trPr>
        <w:tc>
          <w:tcPr>
            <w:tcW w:w="298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780" w:type="dxa"/>
            <w:vAlign w:val="bottom"/>
          </w:tcPr>
          <w:p>
            <w:pPr>
              <w:jc w:val="right"/>
              <w:ind w:right="73"/>
              <w:spacing w:after="0"/>
              <w:rPr>
                <w:sz w:val="20"/>
                <w:szCs w:val="20"/>
                <w:color w:val="auto"/>
              </w:rPr>
            </w:pPr>
            <w:r>
              <w:rPr>
                <w:rFonts w:ascii="Arial" w:cs="Arial" w:eastAsia="Arial" w:hAnsi="Arial"/>
                <w:sz w:val="13"/>
                <w:szCs w:val="13"/>
                <w:b w:val="1"/>
                <w:bCs w:val="1"/>
                <w:color w:val="auto"/>
              </w:rPr>
              <w:t>Principal</w:t>
            </w:r>
          </w:p>
        </w:tc>
        <w:tc>
          <w:tcPr>
            <w:tcW w:w="14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Cost</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0"/>
                <w:szCs w:val="10"/>
                <w:b w:val="1"/>
                <w:bCs w:val="1"/>
                <w:color w:val="auto"/>
              </w:rPr>
              <w:t>2</w:t>
            </w:r>
          </w:p>
        </w:tc>
        <w:tc>
          <w:tcPr>
            <w:tcW w:w="5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9"/>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296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VTK Acquisition, Inc.</w:t>
            </w:r>
          </w:p>
        </w:tc>
        <w:tc>
          <w:tcPr>
            <w:tcW w:w="920" w:type="dxa"/>
            <w:vAlign w:val="bottom"/>
            <w:shd w:val="clear" w:color="auto" w:fill="CCEEFF"/>
          </w:tcPr>
          <w:p>
            <w:pPr>
              <w:ind w:left="120"/>
              <w:spacing w:after="0" w:line="101" w:lineRule="exact"/>
              <w:rPr>
                <w:sz w:val="20"/>
                <w:szCs w:val="20"/>
                <w:color w:val="auto"/>
              </w:rPr>
            </w:pPr>
            <w:r>
              <w:rPr>
                <w:rFonts w:ascii="Arial" w:cs="Arial" w:eastAsia="Arial" w:hAnsi="Arial"/>
                <w:sz w:val="10"/>
                <w:szCs w:val="10"/>
                <w:color w:val="auto"/>
              </w:rPr>
              <w:t>(8)(13)(18)</w:t>
            </w:r>
          </w:p>
        </w:tc>
        <w:tc>
          <w:tcPr>
            <w:tcW w:w="80" w:type="dxa"/>
            <w:vAlign w:val="bottom"/>
            <w:shd w:val="clear" w:color="auto" w:fill="CCEEFF"/>
          </w:tcPr>
          <w:p>
            <w:pPr>
              <w:spacing w:after="0"/>
              <w:rPr>
                <w:sz w:val="8"/>
                <w:szCs w:val="8"/>
                <w:color w:val="auto"/>
              </w:rPr>
            </w:pPr>
          </w:p>
        </w:tc>
        <w:tc>
          <w:tcPr>
            <w:tcW w:w="228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Senior Secured Loan — First Lien Term</w:t>
            </w: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751 Summit Avenue, Mankato, MN 56001</w:t>
            </w:r>
          </w:p>
        </w:tc>
        <w:tc>
          <w:tcPr>
            <w:tcW w:w="92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ind w:left="80"/>
              <w:spacing w:after="0" w:line="141"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60" w:type="dxa"/>
            <w:vAlign w:val="bottom"/>
            <w:gridSpan w:val="2"/>
            <w:shd w:val="clear" w:color="auto" w:fill="CCEEFF"/>
          </w:tcPr>
          <w:p>
            <w:pPr>
              <w:ind w:left="240"/>
              <w:spacing w:after="0" w:line="148" w:lineRule="exact"/>
              <w:rPr>
                <w:sz w:val="20"/>
                <w:szCs w:val="20"/>
                <w:color w:val="auto"/>
              </w:rPr>
            </w:pPr>
            <w:r>
              <w:rPr>
                <w:rFonts w:ascii="Arial" w:cs="Arial" w:eastAsia="Arial" w:hAnsi="Arial"/>
                <w:sz w:val="14"/>
                <w:szCs w:val="14"/>
                <w:color w:val="auto"/>
              </w:rPr>
              <w:t>Capital Equipment</w:t>
            </w:r>
          </w:p>
        </w:tc>
        <w:tc>
          <w:tcPr>
            <w:tcW w:w="92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ind w:left="80"/>
              <w:spacing w:after="0" w:line="148" w:lineRule="exact"/>
              <w:rPr>
                <w:sz w:val="20"/>
                <w:szCs w:val="20"/>
                <w:color w:val="auto"/>
              </w:rPr>
            </w:pPr>
            <w:r>
              <w:rPr>
                <w:rFonts w:ascii="Arial" w:cs="Arial" w:eastAsia="Arial" w:hAnsi="Arial"/>
                <w:sz w:val="14"/>
                <w:szCs w:val="14"/>
                <w:color w:val="auto"/>
              </w:rPr>
              <w:t>8.1% Cash, 3 Month Libor (0.13%) +</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60" w:type="dxa"/>
            <w:vAlign w:val="bottom"/>
            <w:gridSpan w:val="3"/>
            <w:shd w:val="clear" w:color="auto" w:fill="CCEEFF"/>
          </w:tcPr>
          <w:p>
            <w:pPr>
              <w:ind w:left="80"/>
              <w:spacing w:after="0" w:line="159" w:lineRule="exact"/>
              <w:rPr>
                <w:sz w:val="20"/>
                <w:szCs w:val="20"/>
                <w:color w:val="auto"/>
              </w:rPr>
            </w:pPr>
            <w:r>
              <w:rPr>
                <w:rFonts w:ascii="Arial" w:cs="Arial" w:eastAsia="Arial" w:hAnsi="Arial"/>
                <w:sz w:val="14"/>
                <w:szCs w:val="14"/>
                <w:color w:val="auto"/>
              </w:rPr>
              <w:t>8.00%, Due 3/22</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6/9/2021</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2,712,500</w:t>
            </w:r>
          </w:p>
        </w:tc>
        <w:tc>
          <w:tcPr>
            <w:tcW w:w="10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2,489,208</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2,538,357</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24"/>
        </w:trPr>
        <w:tc>
          <w:tcPr>
            <w:tcW w:w="2980" w:type="dxa"/>
            <w:vAlign w:val="bottom"/>
            <w:gridSpan w:val="3"/>
          </w:tcPr>
          <w:p>
            <w:pPr>
              <w:spacing w:after="0"/>
              <w:rPr>
                <w:sz w:val="20"/>
                <w:szCs w:val="20"/>
                <w:color w:val="auto"/>
              </w:rPr>
            </w:pPr>
            <w:r>
              <w:rPr>
                <w:rFonts w:ascii="Arial" w:cs="Arial" w:eastAsia="Arial" w:hAnsi="Arial"/>
                <w:sz w:val="14"/>
                <w:szCs w:val="14"/>
                <w:color w:val="auto"/>
              </w:rPr>
              <w:t>WireCo WorldGroup Inc.</w:t>
            </w:r>
          </w:p>
        </w:tc>
        <w:tc>
          <w:tcPr>
            <w:tcW w:w="920" w:type="dxa"/>
            <w:vAlign w:val="bottom"/>
          </w:tcPr>
          <w:p>
            <w:pPr>
              <w:ind w:left="120"/>
              <w:spacing w:after="0"/>
              <w:rPr>
                <w:sz w:val="20"/>
                <w:szCs w:val="20"/>
                <w:color w:val="auto"/>
              </w:rPr>
            </w:pPr>
            <w:r>
              <w:rPr>
                <w:rFonts w:ascii="Arial" w:cs="Arial" w:eastAsia="Arial" w:hAnsi="Arial"/>
                <w:sz w:val="12"/>
                <w:szCs w:val="12"/>
                <w:color w:val="auto"/>
              </w:rPr>
              <w:t>(8)(14)</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Junior Secured Loan — Initial Term</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80" w:type="dxa"/>
            <w:vAlign w:val="bottom"/>
            <w:gridSpan w:val="3"/>
          </w:tcPr>
          <w:p>
            <w:pPr>
              <w:spacing w:after="0" w:line="141" w:lineRule="exact"/>
              <w:rPr>
                <w:sz w:val="20"/>
                <w:szCs w:val="20"/>
                <w:color w:val="auto"/>
              </w:rPr>
            </w:pPr>
            <w:r>
              <w:rPr>
                <w:rFonts w:ascii="Arial" w:cs="Arial" w:eastAsia="Arial" w:hAnsi="Arial"/>
                <w:sz w:val="14"/>
                <w:szCs w:val="14"/>
                <w:color w:val="auto"/>
                <w:w w:val="97"/>
              </w:rPr>
              <w:t>120 South Central Ave., Suite 200, St. Louis, MO</w:t>
            </w:r>
          </w:p>
        </w:tc>
        <w:tc>
          <w:tcPr>
            <w:tcW w:w="920" w:type="dxa"/>
            <w:vAlign w:val="bottom"/>
          </w:tcPr>
          <w:p>
            <w:pPr>
              <w:spacing w:after="0"/>
              <w:rPr>
                <w:sz w:val="12"/>
                <w:szCs w:val="12"/>
                <w:color w:val="auto"/>
              </w:rPr>
            </w:pPr>
          </w:p>
        </w:tc>
        <w:tc>
          <w:tcPr>
            <w:tcW w:w="2460" w:type="dxa"/>
            <w:vAlign w:val="bottom"/>
            <w:gridSpan w:val="3"/>
          </w:tcPr>
          <w:p>
            <w:pPr>
              <w:ind w:left="80"/>
              <w:spacing w:after="0" w:line="141" w:lineRule="exact"/>
              <w:rPr>
                <w:sz w:val="20"/>
                <w:szCs w:val="20"/>
                <w:color w:val="auto"/>
              </w:rPr>
            </w:pPr>
            <w:r>
              <w:rPr>
                <w:rFonts w:ascii="Arial" w:cs="Arial" w:eastAsia="Arial" w:hAnsi="Arial"/>
                <w:sz w:val="14"/>
                <w:szCs w:val="14"/>
                <w:color w:val="auto"/>
              </w:rPr>
              <w:t>Loan (Second Lien)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0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63105</w:t>
            </w:r>
          </w:p>
        </w:tc>
        <w:tc>
          <w:tcPr>
            <w:tcW w:w="1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gridSpan w:val="3"/>
          </w:tcPr>
          <w:p>
            <w:pPr>
              <w:ind w:left="80"/>
              <w:spacing w:after="0" w:line="141" w:lineRule="exact"/>
              <w:rPr>
                <w:sz w:val="20"/>
                <w:szCs w:val="20"/>
                <w:color w:val="auto"/>
              </w:rPr>
            </w:pPr>
            <w:r>
              <w:rPr>
                <w:rFonts w:ascii="Arial" w:cs="Arial" w:eastAsia="Arial" w:hAnsi="Arial"/>
                <w:sz w:val="14"/>
                <w:szCs w:val="14"/>
                <w:color w:val="auto"/>
              </w:rPr>
              <w:t>10.0% Cash, 6 Month Libor (1.00%) +</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60" w:type="dxa"/>
            <w:vAlign w:val="bottom"/>
            <w:gridSpan w:val="2"/>
          </w:tcPr>
          <w:p>
            <w:pPr>
              <w:ind w:left="240"/>
              <w:spacing w:after="0"/>
              <w:rPr>
                <w:sz w:val="20"/>
                <w:szCs w:val="20"/>
                <w:color w:val="auto"/>
              </w:rPr>
            </w:pPr>
            <w:r>
              <w:rPr>
                <w:rFonts w:ascii="Arial" w:cs="Arial" w:eastAsia="Arial" w:hAnsi="Arial"/>
                <w:sz w:val="14"/>
                <w:szCs w:val="14"/>
                <w:color w:val="auto"/>
              </w:rPr>
              <w:t>Capital Equipment</w:t>
            </w:r>
          </w:p>
        </w:tc>
        <w:tc>
          <w:tcPr>
            <w:tcW w:w="920" w:type="dxa"/>
            <w:vAlign w:val="bottom"/>
          </w:tcPr>
          <w:p>
            <w:pPr>
              <w:spacing w:after="0"/>
              <w:rPr>
                <w:sz w:val="16"/>
                <w:szCs w:val="16"/>
                <w:color w:val="auto"/>
              </w:rPr>
            </w:pP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9.00%; Libor Floor 1.00%, Due 9/24</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8/9/2016</w:t>
            </w:r>
          </w:p>
        </w:tc>
        <w:tc>
          <w:tcPr>
            <w:tcW w:w="780" w:type="dxa"/>
            <w:vAlign w:val="bottom"/>
          </w:tcPr>
          <w:p>
            <w:pPr>
              <w:jc w:val="right"/>
              <w:spacing w:after="0"/>
              <w:rPr>
                <w:sz w:val="20"/>
                <w:szCs w:val="20"/>
                <w:color w:val="auto"/>
              </w:rPr>
            </w:pPr>
            <w:r>
              <w:rPr>
                <w:rFonts w:ascii="Arial" w:cs="Arial" w:eastAsia="Arial" w:hAnsi="Arial"/>
                <w:sz w:val="14"/>
                <w:szCs w:val="14"/>
                <w:color w:val="auto"/>
              </w:rPr>
              <w:t>2,555,556</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2,541,175</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2,540,657</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6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Wonder Love, Inc.</w:t>
            </w:r>
          </w:p>
        </w:tc>
        <w:tc>
          <w:tcPr>
            <w:tcW w:w="920" w:type="dxa"/>
            <w:vAlign w:val="bottom"/>
            <w:shd w:val="clear" w:color="auto" w:fill="CCEEFF"/>
          </w:tcPr>
          <w:p>
            <w:pPr>
              <w:ind w:left="120"/>
              <w:spacing w:after="0" w:line="122" w:lineRule="exact"/>
              <w:rPr>
                <w:sz w:val="20"/>
                <w:szCs w:val="20"/>
                <w:color w:val="auto"/>
              </w:rPr>
            </w:pPr>
            <w:r>
              <w:rPr>
                <w:rFonts w:ascii="Arial" w:cs="Arial" w:eastAsia="Arial" w:hAnsi="Arial"/>
                <w:sz w:val="12"/>
                <w:szCs w:val="12"/>
                <w:color w:val="auto"/>
                <w:w w:val="99"/>
              </w:rPr>
              <w:t>(8)(13)(14)(21)</w:t>
            </w:r>
          </w:p>
        </w:tc>
        <w:tc>
          <w:tcPr>
            <w:tcW w:w="2460" w:type="dxa"/>
            <w:vAlign w:val="bottom"/>
            <w:gridSpan w:val="3"/>
            <w:shd w:val="clear" w:color="auto" w:fill="CCEEFF"/>
          </w:tcPr>
          <w:p>
            <w:pPr>
              <w:ind w:left="80"/>
              <w:spacing w:after="0" w:line="123" w:lineRule="exact"/>
              <w:rPr>
                <w:sz w:val="20"/>
                <w:szCs w:val="20"/>
                <w:color w:val="auto"/>
              </w:rPr>
            </w:pPr>
            <w:r>
              <w:rPr>
                <w:rFonts w:ascii="Arial" w:cs="Arial" w:eastAsia="Arial" w:hAnsi="Arial"/>
                <w:sz w:val="14"/>
                <w:szCs w:val="14"/>
                <w:color w:val="auto"/>
              </w:rPr>
              <w:t>Senior Secured Loan — Term Loan</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50 Tice Blvd Woodcliff Lake, NJ 07677</w:t>
            </w:r>
          </w:p>
        </w:tc>
        <w:tc>
          <w:tcPr>
            <w:tcW w:w="92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ind w:left="80"/>
              <w:spacing w:after="0" w:line="141" w:lineRule="exact"/>
              <w:rPr>
                <w:sz w:val="20"/>
                <w:szCs w:val="20"/>
                <w:color w:val="auto"/>
              </w:rPr>
            </w:pPr>
            <w:r>
              <w:rPr>
                <w:rFonts w:ascii="Arial" w:cs="Arial" w:eastAsia="Arial" w:hAnsi="Arial"/>
                <w:sz w:val="14"/>
                <w:szCs w:val="14"/>
                <w:color w:val="auto"/>
              </w:rPr>
              <w:t>6.0% Cash, 3 Month Libor (1.00%) +</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Media: Diversified &amp; Production</w:t>
            </w:r>
          </w:p>
        </w:tc>
        <w:tc>
          <w:tcPr>
            <w:tcW w:w="92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5.00%; Libor Floor 1.00%, Due 11/24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4"/>
              </w:rPr>
              <w:t>11/18/2019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2,475,000</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2,444,023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2,475,000</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24"/>
        </w:trPr>
        <w:tc>
          <w:tcPr>
            <w:tcW w:w="2980" w:type="dxa"/>
            <w:vAlign w:val="bottom"/>
            <w:gridSpan w:val="3"/>
          </w:tcPr>
          <w:p>
            <w:pPr>
              <w:spacing w:after="0"/>
              <w:rPr>
                <w:sz w:val="20"/>
                <w:szCs w:val="20"/>
                <w:color w:val="auto"/>
              </w:rPr>
            </w:pPr>
            <w:r>
              <w:rPr>
                <w:rFonts w:ascii="Arial" w:cs="Arial" w:eastAsia="Arial" w:hAnsi="Arial"/>
                <w:sz w:val="14"/>
                <w:szCs w:val="14"/>
                <w:color w:val="auto"/>
              </w:rPr>
              <w:t>Zest Acquisition Corp.</w:t>
            </w:r>
          </w:p>
        </w:tc>
        <w:tc>
          <w:tcPr>
            <w:tcW w:w="920" w:type="dxa"/>
            <w:vAlign w:val="bottom"/>
          </w:tcPr>
          <w:p>
            <w:pPr>
              <w:ind w:left="120"/>
              <w:spacing w:after="0"/>
              <w:rPr>
                <w:sz w:val="20"/>
                <w:szCs w:val="20"/>
                <w:color w:val="auto"/>
              </w:rPr>
            </w:pPr>
            <w:r>
              <w:rPr>
                <w:rFonts w:ascii="Arial" w:cs="Arial" w:eastAsia="Arial" w:hAnsi="Arial"/>
                <w:sz w:val="12"/>
                <w:szCs w:val="12"/>
                <w:color w:val="auto"/>
                <w:w w:val="99"/>
              </w:rPr>
              <w:t>(8)(13)(14)(18)</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Junior Secured Loan — Initial Term</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980" w:type="dxa"/>
            <w:vAlign w:val="bottom"/>
            <w:gridSpan w:val="3"/>
          </w:tcPr>
          <w:p>
            <w:pPr>
              <w:spacing w:after="0" w:line="141" w:lineRule="exact"/>
              <w:rPr>
                <w:sz w:val="20"/>
                <w:szCs w:val="20"/>
                <w:color w:val="auto"/>
              </w:rPr>
            </w:pPr>
            <w:r>
              <w:rPr>
                <w:rFonts w:ascii="Arial" w:cs="Arial" w:eastAsia="Arial" w:hAnsi="Arial"/>
                <w:sz w:val="14"/>
                <w:szCs w:val="14"/>
                <w:color w:val="auto"/>
                <w:w w:val="90"/>
              </w:rPr>
              <w:t>100 N. Spulveda Boulevard, 12th Floor, El Segundo,</w:t>
            </w:r>
          </w:p>
        </w:tc>
        <w:tc>
          <w:tcPr>
            <w:tcW w:w="920" w:type="dxa"/>
            <w:vAlign w:val="bottom"/>
          </w:tcPr>
          <w:p>
            <w:pPr>
              <w:spacing w:after="0"/>
              <w:rPr>
                <w:sz w:val="12"/>
                <w:szCs w:val="12"/>
                <w:color w:val="auto"/>
              </w:rPr>
            </w:pPr>
          </w:p>
        </w:tc>
        <w:tc>
          <w:tcPr>
            <w:tcW w:w="2460" w:type="dxa"/>
            <w:vAlign w:val="bottom"/>
            <w:gridSpan w:val="3"/>
          </w:tcPr>
          <w:p>
            <w:pPr>
              <w:ind w:left="80"/>
              <w:spacing w:after="0" w:line="141" w:lineRule="exact"/>
              <w:rPr>
                <w:sz w:val="20"/>
                <w:szCs w:val="20"/>
                <w:color w:val="auto"/>
              </w:rPr>
            </w:pPr>
            <w:r>
              <w:rPr>
                <w:rFonts w:ascii="Arial" w:cs="Arial" w:eastAsia="Arial" w:hAnsi="Arial"/>
                <w:sz w:val="14"/>
                <w:szCs w:val="14"/>
                <w:color w:val="auto"/>
              </w:rPr>
              <w:t>Loan (Second Lien)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6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CA 90245</w:t>
            </w:r>
          </w:p>
        </w:tc>
        <w:tc>
          <w:tcPr>
            <w:tcW w:w="920" w:type="dxa"/>
            <w:vAlign w:val="bottom"/>
          </w:tcPr>
          <w:p>
            <w:pPr>
              <w:spacing w:after="0"/>
              <w:rPr>
                <w:sz w:val="12"/>
                <w:szCs w:val="12"/>
                <w:color w:val="auto"/>
              </w:rPr>
            </w:pPr>
          </w:p>
        </w:tc>
        <w:tc>
          <w:tcPr>
            <w:tcW w:w="2460" w:type="dxa"/>
            <w:vAlign w:val="bottom"/>
            <w:gridSpan w:val="3"/>
          </w:tcPr>
          <w:p>
            <w:pPr>
              <w:ind w:left="80"/>
              <w:spacing w:after="0" w:line="141" w:lineRule="exact"/>
              <w:rPr>
                <w:sz w:val="20"/>
                <w:szCs w:val="20"/>
                <w:color w:val="auto"/>
              </w:rPr>
            </w:pPr>
            <w:r>
              <w:rPr>
                <w:rFonts w:ascii="Arial" w:cs="Arial" w:eastAsia="Arial" w:hAnsi="Arial"/>
                <w:sz w:val="14"/>
                <w:szCs w:val="14"/>
                <w:color w:val="auto"/>
              </w:rPr>
              <w:t>8.0% Cash, 1 Month Libor (1.00%) +</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60" w:type="dxa"/>
            <w:vAlign w:val="bottom"/>
            <w:gridSpan w:val="2"/>
          </w:tcPr>
          <w:p>
            <w:pPr>
              <w:ind w:left="240"/>
              <w:spacing w:after="0"/>
              <w:rPr>
                <w:sz w:val="20"/>
                <w:szCs w:val="20"/>
                <w:color w:val="auto"/>
              </w:rPr>
            </w:pPr>
            <w:r>
              <w:rPr>
                <w:rFonts w:ascii="Arial" w:cs="Arial" w:eastAsia="Arial" w:hAnsi="Arial"/>
                <w:sz w:val="14"/>
                <w:szCs w:val="14"/>
                <w:color w:val="auto"/>
              </w:rPr>
              <w:t>Healthcare, Education and Childcare</w:t>
            </w:r>
          </w:p>
        </w:tc>
        <w:tc>
          <w:tcPr>
            <w:tcW w:w="920" w:type="dxa"/>
            <w:vAlign w:val="bottom"/>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7.00%; Libor Floor 1.00%, Due 3/26</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3/8/2018</w:t>
            </w:r>
          </w:p>
        </w:tc>
        <w:tc>
          <w:tcPr>
            <w:tcW w:w="780" w:type="dxa"/>
            <w:vAlign w:val="bottom"/>
          </w:tcPr>
          <w:p>
            <w:pPr>
              <w:jc w:val="right"/>
              <w:spacing w:after="0"/>
              <w:rPr>
                <w:sz w:val="20"/>
                <w:szCs w:val="20"/>
                <w:color w:val="auto"/>
              </w:rPr>
            </w:pPr>
            <w:r>
              <w:rPr>
                <w:rFonts w:ascii="Arial" w:cs="Arial" w:eastAsia="Arial" w:hAnsi="Arial"/>
                <w:sz w:val="14"/>
                <w:szCs w:val="14"/>
                <w:color w:val="auto"/>
              </w:rPr>
              <w:t>3,500,000</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3,487,489</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3,485,300</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296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Total Investment in Debt Securities</w:t>
            </w: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(167.7% of net asset value at fair value)</w:t>
            </w: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u w:val="single" w:color="auto"/>
                <w:color w:val="auto"/>
                <w:w w:val="90"/>
              </w:rPr>
              <w:t>$</w:t>
            </w:r>
            <w:r>
              <w:rPr>
                <w:rFonts w:ascii="Arial" w:cs="Arial" w:eastAsia="Arial" w:hAnsi="Arial"/>
                <w:sz w:val="13"/>
                <w:szCs w:val="13"/>
                <w:b w:val="1"/>
                <w:bCs w:val="1"/>
                <w:color w:val="auto"/>
                <w:w w:val="90"/>
              </w:rPr>
              <w:t>485,086,064</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$ 450,601,744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w w:val="84"/>
              </w:rPr>
              <w:t>$ 455,079,876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840"/>
          </w:cols>
          <w:pgMar w:left="320" w:top="443" w:right="7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Equity Securities Portfolio</w:t>
      </w:r>
    </w:p>
    <w:p>
      <w:pPr>
        <w:spacing w:after="0" w:line="356"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Portfolio Company /</w:t>
      </w:r>
    </w:p>
    <w:p>
      <w:pPr>
        <w:ind w:left="420"/>
        <w:spacing w:after="0" w:line="228" w:lineRule="auto"/>
        <w:rPr>
          <w:sz w:val="20"/>
          <w:szCs w:val="20"/>
          <w:color w:val="auto"/>
        </w:rPr>
      </w:pPr>
      <w:r>
        <w:rPr>
          <w:rFonts w:ascii="Arial" w:cs="Arial" w:eastAsia="Arial" w:hAnsi="Arial"/>
          <w:sz w:val="14"/>
          <w:szCs w:val="14"/>
          <w:b w:val="1"/>
          <w:bCs w:val="1"/>
          <w:u w:val="single" w:color="auto"/>
          <w:color w:val="auto"/>
        </w:rPr>
        <w:t>Principal Business</w:t>
      </w:r>
    </w:p>
    <w:p>
      <w:pPr>
        <w:ind w:left="420"/>
        <w:spacing w:after="0" w:line="210" w:lineRule="auto"/>
        <w:rPr>
          <w:sz w:val="20"/>
          <w:szCs w:val="20"/>
          <w:color w:val="auto"/>
        </w:rPr>
      </w:pPr>
      <w:r>
        <w:rPr>
          <w:rFonts w:ascii="Arial" w:cs="Arial" w:eastAsia="Arial" w:hAnsi="Arial"/>
          <w:sz w:val="14"/>
          <w:szCs w:val="14"/>
          <w:color w:val="auto"/>
        </w:rPr>
        <w:t>4L Ultimate Topco Corporation</w:t>
      </w:r>
    </w:p>
    <w:p>
      <w:pPr>
        <w:ind w:left="420"/>
        <w:spacing w:after="0"/>
        <w:rPr>
          <w:sz w:val="20"/>
          <w:szCs w:val="20"/>
          <w:color w:val="auto"/>
        </w:rPr>
      </w:pPr>
      <w:r>
        <w:rPr>
          <w:rFonts w:ascii="Arial" w:cs="Arial" w:eastAsia="Arial" w:hAnsi="Arial"/>
          <w:sz w:val="12"/>
          <w:szCs w:val="12"/>
          <w:color w:val="auto"/>
        </w:rPr>
        <w:t>4200 Columbus Street Ottawa, IL 61350</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Services: Business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AAPC Holdings, LLC</w:t>
      </w:r>
    </w:p>
    <w:p>
      <w:pPr>
        <w:ind w:left="420"/>
        <w:spacing w:after="0"/>
        <w:rPr>
          <w:sz w:val="20"/>
          <w:szCs w:val="20"/>
          <w:color w:val="auto"/>
        </w:rPr>
      </w:pPr>
      <w:r>
        <w:rPr>
          <w:rFonts w:ascii="Arial" w:cs="Arial" w:eastAsia="Arial" w:hAnsi="Arial"/>
          <w:sz w:val="12"/>
          <w:szCs w:val="12"/>
          <w:color w:val="auto"/>
        </w:rPr>
        <w:t>2222 Sedwick Drive Durham, NC 27713</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Healthcare &amp; Pharmaceuticals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Advantage Capital Holdings LLC</w:t>
      </w:r>
    </w:p>
    <w:p>
      <w:pPr>
        <w:ind w:left="420"/>
        <w:spacing w:after="0" w:line="209" w:lineRule="auto"/>
        <w:rPr>
          <w:sz w:val="20"/>
          <w:szCs w:val="20"/>
          <w:color w:val="auto"/>
        </w:rPr>
      </w:pPr>
      <w:r>
        <w:rPr>
          <w:rFonts w:ascii="Arial" w:cs="Arial" w:eastAsia="Arial" w:hAnsi="Arial"/>
          <w:sz w:val="14"/>
          <w:szCs w:val="14"/>
          <w:color w:val="auto"/>
        </w:rPr>
        <w:t>415 Bedford Road — Suite 102,</w:t>
      </w:r>
    </w:p>
    <w:p>
      <w:pPr>
        <w:ind w:left="540"/>
        <w:spacing w:after="0" w:line="210" w:lineRule="auto"/>
        <w:rPr>
          <w:sz w:val="20"/>
          <w:szCs w:val="20"/>
          <w:color w:val="auto"/>
        </w:rPr>
      </w:pPr>
      <w:r>
        <w:rPr>
          <w:rFonts w:ascii="Arial" w:cs="Arial" w:eastAsia="Arial" w:hAnsi="Arial"/>
          <w:sz w:val="14"/>
          <w:szCs w:val="14"/>
          <w:color w:val="auto"/>
        </w:rPr>
        <w:t>Pleasantville, NY, 10570</w:t>
      </w:r>
    </w:p>
    <w:p>
      <w:pPr>
        <w:ind w:left="680"/>
        <w:spacing w:after="0"/>
        <w:rPr>
          <w:sz w:val="20"/>
          <w:szCs w:val="20"/>
          <w:color w:val="auto"/>
        </w:rPr>
      </w:pPr>
      <w:r>
        <w:rPr>
          <w:rFonts w:ascii="Arial" w:cs="Arial" w:eastAsia="Arial" w:hAnsi="Arial"/>
          <w:sz w:val="12"/>
          <w:szCs w:val="12"/>
          <w:color w:val="auto"/>
        </w:rPr>
        <w:t>Banking, Finance, Insurance &amp; Real</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14"/>
          <w:szCs w:val="14"/>
          <w:color w:val="auto"/>
        </w:rPr>
        <w:t>Estate</w:t>
      </w:r>
    </w:p>
    <w:p>
      <w:pPr>
        <w:spacing w:after="0" w:line="83" w:lineRule="exact"/>
        <w:rPr>
          <w:sz w:val="20"/>
          <w:szCs w:val="20"/>
          <w:color w:val="auto"/>
        </w:rPr>
      </w:pPr>
    </w:p>
    <w:p>
      <w:pPr>
        <w:ind w:left="420" w:right="260"/>
        <w:spacing w:after="0" w:line="254" w:lineRule="auto"/>
        <w:rPr>
          <w:sz w:val="20"/>
          <w:szCs w:val="20"/>
          <w:color w:val="auto"/>
        </w:rPr>
      </w:pPr>
      <w:r>
        <w:rPr>
          <w:rFonts w:ascii="Arial" w:cs="Arial" w:eastAsia="Arial" w:hAnsi="Arial"/>
          <w:sz w:val="12"/>
          <w:szCs w:val="12"/>
          <w:color w:val="auto"/>
        </w:rPr>
        <w:t>Anthem Sports &amp; Entertainment Inc. 8269 E. 23rd Ave Denver, CO 80238</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Media: Broadcasting &amp; Subscription</w:t>
      </w:r>
    </w:p>
    <w:p>
      <w:pPr>
        <w:spacing w:after="0" w:line="106" w:lineRule="exact"/>
        <w:rPr>
          <w:sz w:val="20"/>
          <w:szCs w:val="20"/>
          <w:color w:val="auto"/>
        </w:rPr>
      </w:pPr>
    </w:p>
    <w:p>
      <w:pPr>
        <w:ind w:left="420" w:right="260"/>
        <w:spacing w:after="0" w:line="254" w:lineRule="auto"/>
        <w:rPr>
          <w:sz w:val="20"/>
          <w:szCs w:val="20"/>
          <w:color w:val="auto"/>
        </w:rPr>
      </w:pPr>
      <w:r>
        <w:rPr>
          <w:rFonts w:ascii="Arial" w:cs="Arial" w:eastAsia="Arial" w:hAnsi="Arial"/>
          <w:sz w:val="12"/>
          <w:szCs w:val="12"/>
          <w:color w:val="auto"/>
        </w:rPr>
        <w:t>Anthem Sports &amp; Entertainment Inc. 8269 E. 23rd Ave Denver, CO 80238</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Media: Broadcasting &amp; Subscription</w:t>
      </w:r>
    </w:p>
    <w:p>
      <w:pPr>
        <w:spacing w:after="0" w:line="106" w:lineRule="exact"/>
        <w:rPr>
          <w:sz w:val="20"/>
          <w:szCs w:val="20"/>
          <w:color w:val="auto"/>
        </w:rPr>
      </w:pPr>
    </w:p>
    <w:p>
      <w:pPr>
        <w:ind w:left="420" w:right="260"/>
        <w:spacing w:after="0" w:line="254" w:lineRule="auto"/>
        <w:rPr>
          <w:sz w:val="20"/>
          <w:szCs w:val="20"/>
          <w:color w:val="auto"/>
        </w:rPr>
      </w:pPr>
      <w:r>
        <w:rPr>
          <w:rFonts w:ascii="Arial" w:cs="Arial" w:eastAsia="Arial" w:hAnsi="Arial"/>
          <w:sz w:val="12"/>
          <w:szCs w:val="12"/>
          <w:color w:val="auto"/>
        </w:rPr>
        <w:t>Anthem Sports &amp; Entertainment Inc. 8270 E. 23rd Ave Denver, CO 80238</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Media: Broadcasting &amp; Subscription</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ATP Oil &amp; Gas Corporation</w:t>
      </w:r>
    </w:p>
    <w:p>
      <w:pPr>
        <w:jc w:val="right"/>
        <w:spacing w:after="0" w:line="209" w:lineRule="auto"/>
        <w:rPr>
          <w:sz w:val="20"/>
          <w:szCs w:val="20"/>
          <w:color w:val="auto"/>
        </w:rPr>
      </w:pPr>
      <w:r>
        <w:rPr>
          <w:rFonts w:ascii="Arial" w:cs="Arial" w:eastAsia="Arial" w:hAnsi="Arial"/>
          <w:sz w:val="14"/>
          <w:szCs w:val="14"/>
          <w:color w:val="auto"/>
        </w:rPr>
        <w:t>4600 Post Oak Place, Suite 100, Houston,</w:t>
      </w:r>
    </w:p>
    <w:p>
      <w:pPr>
        <w:ind w:left="540"/>
        <w:spacing w:after="0" w:line="210" w:lineRule="auto"/>
        <w:rPr>
          <w:sz w:val="20"/>
          <w:szCs w:val="20"/>
          <w:color w:val="auto"/>
        </w:rPr>
      </w:pPr>
      <w:r>
        <w:rPr>
          <w:rFonts w:ascii="Arial" w:cs="Arial" w:eastAsia="Arial" w:hAnsi="Arial"/>
          <w:sz w:val="14"/>
          <w:szCs w:val="14"/>
          <w:color w:val="auto"/>
        </w:rPr>
        <w:t>TX, 77027</w:t>
      </w:r>
    </w:p>
    <w:p>
      <w:pPr>
        <w:ind w:left="680"/>
        <w:spacing w:after="0"/>
        <w:rPr>
          <w:sz w:val="20"/>
          <w:szCs w:val="20"/>
          <w:color w:val="auto"/>
        </w:rPr>
      </w:pPr>
      <w:r>
        <w:rPr>
          <w:rFonts w:ascii="Arial" w:cs="Arial" w:eastAsia="Arial" w:hAnsi="Arial"/>
          <w:sz w:val="14"/>
          <w:szCs w:val="14"/>
          <w:color w:val="auto"/>
        </w:rPr>
        <w:t>Energy: Oil &amp; Gas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BMP Slappey Holdco, LLC</w:t>
      </w:r>
    </w:p>
    <w:p>
      <w:pPr>
        <w:ind w:left="420"/>
        <w:spacing w:after="0"/>
        <w:rPr>
          <w:sz w:val="20"/>
          <w:szCs w:val="20"/>
          <w:color w:val="auto"/>
        </w:rPr>
      </w:pPr>
      <w:r>
        <w:rPr>
          <w:rFonts w:ascii="Arial" w:cs="Arial" w:eastAsia="Arial" w:hAnsi="Arial"/>
          <w:sz w:val="12"/>
          <w:szCs w:val="12"/>
          <w:color w:val="auto"/>
        </w:rPr>
        <w:t>4260 Cahaba Heights Court, Suite 100,</w:t>
      </w:r>
    </w:p>
    <w:p>
      <w:pPr>
        <w:ind w:left="540"/>
        <w:spacing w:after="0" w:line="213" w:lineRule="auto"/>
        <w:rPr>
          <w:sz w:val="20"/>
          <w:szCs w:val="20"/>
          <w:color w:val="auto"/>
        </w:rPr>
      </w:pPr>
      <w:r>
        <w:rPr>
          <w:rFonts w:ascii="Arial" w:cs="Arial" w:eastAsia="Arial" w:hAnsi="Arial"/>
          <w:sz w:val="14"/>
          <w:szCs w:val="14"/>
          <w:color w:val="auto"/>
        </w:rPr>
        <w:t>Birmingham, AL 35243</w:t>
      </w:r>
    </w:p>
    <w:p>
      <w:pPr>
        <w:ind w:left="680"/>
        <w:spacing w:after="0"/>
        <w:rPr>
          <w:sz w:val="20"/>
          <w:szCs w:val="20"/>
          <w:color w:val="auto"/>
        </w:rPr>
      </w:pPr>
      <w:r>
        <w:rPr>
          <w:rFonts w:ascii="Arial" w:cs="Arial" w:eastAsia="Arial" w:hAnsi="Arial"/>
          <w:sz w:val="14"/>
          <w:szCs w:val="14"/>
          <w:color w:val="auto"/>
        </w:rPr>
        <w:t>Telecommunications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BMP Slappey Investment II</w:t>
      </w:r>
    </w:p>
    <w:p>
      <w:pPr>
        <w:ind w:left="420"/>
        <w:spacing w:after="0"/>
        <w:rPr>
          <w:sz w:val="20"/>
          <w:szCs w:val="20"/>
          <w:color w:val="auto"/>
        </w:rPr>
      </w:pPr>
      <w:r>
        <w:rPr>
          <w:rFonts w:ascii="Arial" w:cs="Arial" w:eastAsia="Arial" w:hAnsi="Arial"/>
          <w:sz w:val="12"/>
          <w:szCs w:val="12"/>
          <w:color w:val="auto"/>
        </w:rPr>
        <w:t>4260 Cahaba Heights Court, Suite 100,</w:t>
      </w:r>
    </w:p>
    <w:p>
      <w:pPr>
        <w:ind w:left="540"/>
        <w:spacing w:after="0" w:line="213" w:lineRule="auto"/>
        <w:rPr>
          <w:sz w:val="20"/>
          <w:szCs w:val="20"/>
          <w:color w:val="auto"/>
        </w:rPr>
      </w:pPr>
      <w:r>
        <w:rPr>
          <w:rFonts w:ascii="Arial" w:cs="Arial" w:eastAsia="Arial" w:hAnsi="Arial"/>
          <w:sz w:val="14"/>
          <w:szCs w:val="14"/>
          <w:color w:val="auto"/>
        </w:rPr>
        <w:t>Birmingham, AL 35243</w:t>
      </w:r>
    </w:p>
    <w:p>
      <w:pPr>
        <w:ind w:left="680"/>
        <w:spacing w:after="0"/>
        <w:rPr>
          <w:sz w:val="20"/>
          <w:szCs w:val="20"/>
          <w:color w:val="auto"/>
        </w:rPr>
      </w:pPr>
      <w:r>
        <w:rPr>
          <w:rFonts w:ascii="Arial" w:cs="Arial" w:eastAsia="Arial" w:hAnsi="Arial"/>
          <w:sz w:val="14"/>
          <w:szCs w:val="14"/>
          <w:color w:val="auto"/>
        </w:rPr>
        <w:t>Telecommunications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Brite Media LLC</w:t>
      </w:r>
    </w:p>
    <w:p>
      <w:pPr>
        <w:ind w:left="420"/>
        <w:spacing w:after="0"/>
        <w:rPr>
          <w:sz w:val="20"/>
          <w:szCs w:val="20"/>
          <w:color w:val="auto"/>
        </w:rPr>
      </w:pPr>
      <w:r>
        <w:rPr>
          <w:rFonts w:ascii="Arial" w:cs="Arial" w:eastAsia="Arial" w:hAnsi="Arial"/>
          <w:sz w:val="12"/>
          <w:szCs w:val="12"/>
          <w:color w:val="auto"/>
        </w:rPr>
        <w:t>475 14th Street, Suite 200, Oakland, CA</w:t>
      </w:r>
    </w:p>
    <w:p>
      <w:pPr>
        <w:ind w:left="540"/>
        <w:spacing w:after="0" w:line="213" w:lineRule="auto"/>
        <w:rPr>
          <w:sz w:val="20"/>
          <w:szCs w:val="20"/>
          <w:color w:val="auto"/>
        </w:rPr>
      </w:pPr>
      <w:r>
        <w:rPr>
          <w:rFonts w:ascii="Arial" w:cs="Arial" w:eastAsia="Arial" w:hAnsi="Arial"/>
          <w:sz w:val="14"/>
          <w:szCs w:val="14"/>
          <w:color w:val="auto"/>
        </w:rPr>
        <w:t>94612</w:t>
      </w:r>
    </w:p>
    <w:p>
      <w:pPr>
        <w:ind w:left="680"/>
        <w:spacing w:after="0" w:line="209" w:lineRule="auto"/>
        <w:rPr>
          <w:sz w:val="20"/>
          <w:szCs w:val="20"/>
          <w:color w:val="auto"/>
        </w:rPr>
      </w:pPr>
      <w:r>
        <w:rPr>
          <w:rFonts w:ascii="Arial" w:cs="Arial" w:eastAsia="Arial" w:hAnsi="Arial"/>
          <w:sz w:val="14"/>
          <w:szCs w:val="14"/>
          <w:color w:val="auto"/>
        </w:rPr>
        <w:t>Media: Advertising, Printing &amp;</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Publishing</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Carestream Health, Inc.</w:t>
      </w:r>
    </w:p>
    <w:p>
      <w:pPr>
        <w:ind w:left="420"/>
        <w:spacing w:after="0"/>
        <w:rPr>
          <w:sz w:val="20"/>
          <w:szCs w:val="20"/>
          <w:color w:val="auto"/>
        </w:rPr>
      </w:pPr>
      <w:r>
        <w:rPr>
          <w:rFonts w:ascii="Arial" w:cs="Arial" w:eastAsia="Arial" w:hAnsi="Arial"/>
          <w:sz w:val="12"/>
          <w:szCs w:val="12"/>
          <w:color w:val="auto"/>
        </w:rPr>
        <w:t>150 Verona Street Rochester, New York</w:t>
      </w:r>
    </w:p>
    <w:p>
      <w:pPr>
        <w:ind w:left="540"/>
        <w:spacing w:after="0" w:line="213" w:lineRule="auto"/>
        <w:rPr>
          <w:sz w:val="20"/>
          <w:szCs w:val="20"/>
          <w:color w:val="auto"/>
        </w:rPr>
      </w:pPr>
      <w:r>
        <w:rPr>
          <w:rFonts w:ascii="Arial" w:cs="Arial" w:eastAsia="Arial" w:hAnsi="Arial"/>
          <w:sz w:val="14"/>
          <w:szCs w:val="14"/>
          <w:color w:val="auto"/>
        </w:rPr>
        <w:t>14608</w:t>
      </w:r>
    </w:p>
    <w:p>
      <w:pPr>
        <w:ind w:left="680"/>
        <w:spacing w:after="0"/>
        <w:rPr>
          <w:sz w:val="20"/>
          <w:szCs w:val="20"/>
          <w:color w:val="auto"/>
        </w:rPr>
      </w:pPr>
      <w:r>
        <w:rPr>
          <w:rFonts w:ascii="Arial" w:cs="Arial" w:eastAsia="Arial" w:hAnsi="Arial"/>
          <w:sz w:val="14"/>
          <w:szCs w:val="14"/>
          <w:color w:val="auto"/>
        </w:rPr>
        <w:t>Healthcare &amp; Pharmaceuticals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80"/>
        <w:spacing w:after="0"/>
        <w:rPr>
          <w:sz w:val="20"/>
          <w:szCs w:val="20"/>
          <w:color w:val="auto"/>
        </w:rPr>
      </w:pPr>
      <w:r>
        <w:rPr>
          <w:rFonts w:ascii="Arial" w:cs="Arial" w:eastAsia="Arial" w:hAnsi="Arial"/>
          <w:sz w:val="10"/>
          <w:szCs w:val="10"/>
          <w:color w:val="auto"/>
        </w:rPr>
        <w:t>(8)(13)(19)</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0"/>
          <w:szCs w:val="10"/>
          <w:color w:val="auto"/>
        </w:rPr>
        <w:t>(8)(13)(21)(22)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0"/>
          <w:szCs w:val="10"/>
          <w:color w:val="auto"/>
        </w:rPr>
        <w:t>(8)(13)(19)(22)</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0"/>
          <w:szCs w:val="10"/>
          <w:color w:val="auto"/>
        </w:rPr>
        <w:t>(8)(13)(19)(21)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0"/>
          <w:szCs w:val="10"/>
          <w:color w:val="auto"/>
        </w:rPr>
        <w:t>(8)(13)(19)(21)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0"/>
          <w:szCs w:val="10"/>
          <w:color w:val="auto"/>
        </w:rPr>
        <w:t>(8)(13)(19)(21)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(8)(11)(13)</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0"/>
          <w:szCs w:val="10"/>
          <w:color w:val="auto"/>
        </w:rPr>
        <w:t>(8)(13)(18)(19)</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(25)</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0"/>
          <w:szCs w:val="10"/>
          <w:color w:val="auto"/>
        </w:rPr>
        <w:t>(8)(13)(18)(19)</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(25)</w:t>
      </w:r>
    </w:p>
    <w:p>
      <w:pPr>
        <w:spacing w:after="0" w:line="200" w:lineRule="exact"/>
        <w:rPr>
          <w:sz w:val="20"/>
          <w:szCs w:val="20"/>
          <w:color w:val="auto"/>
        </w:rPr>
      </w:pPr>
    </w:p>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0"/>
          <w:szCs w:val="10"/>
          <w:color w:val="auto"/>
        </w:rPr>
        <w:t>(8)(13)(19)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80"/>
        <w:spacing w:after="0"/>
        <w:rPr>
          <w:sz w:val="20"/>
          <w:szCs w:val="20"/>
          <w:color w:val="auto"/>
        </w:rPr>
      </w:pPr>
      <w:r>
        <w:rPr>
          <w:rFonts w:ascii="Arial" w:cs="Arial" w:eastAsia="Arial" w:hAnsi="Arial"/>
          <w:sz w:val="10"/>
          <w:szCs w:val="10"/>
          <w:color w:val="auto"/>
        </w:rPr>
        <w:t>(8)(13)(19)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Initial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1"/>
        </w:trPr>
        <w:tc>
          <w:tcPr>
            <w:tcW w:w="19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11"/>
                <w:szCs w:val="11"/>
                <w:b w:val="1"/>
                <w:bCs w:val="1"/>
                <w:color w:val="auto"/>
              </w:rPr>
              <w:t>15</w:t>
            </w:r>
          </w:p>
        </w:tc>
        <w:tc>
          <w:tcPr>
            <w:tcW w:w="160" w:type="dxa"/>
            <w:vAlign w:val="bottom"/>
            <w:vMerge w:val="restart"/>
          </w:tcPr>
          <w:p>
            <w:pPr>
              <w:spacing w:after="0"/>
              <w:rPr>
                <w:sz w:val="12"/>
                <w:szCs w:val="12"/>
                <w:color w:val="auto"/>
              </w:rPr>
            </w:pPr>
          </w:p>
        </w:tc>
        <w:tc>
          <w:tcPr>
            <w:tcW w:w="76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6"/>
              </w:rPr>
              <w:t>Acquisition</w:t>
            </w:r>
          </w:p>
        </w:tc>
        <w:tc>
          <w:tcPr>
            <w:tcW w:w="100" w:type="dxa"/>
            <w:vAlign w:val="bottom"/>
          </w:tcPr>
          <w:p>
            <w:pPr>
              <w:spacing w:after="0"/>
              <w:rPr>
                <w:sz w:val="12"/>
                <w:szCs w:val="12"/>
                <w:color w:val="auto"/>
              </w:rPr>
            </w:pPr>
          </w:p>
        </w:tc>
        <w:tc>
          <w:tcPr>
            <w:tcW w:w="840" w:type="dxa"/>
            <w:vAlign w:val="bottom"/>
            <w:gridSpan w:val="3"/>
          </w:tcPr>
          <w:p>
            <w:pPr>
              <w:ind w:left="40"/>
              <w:spacing w:after="0" w:line="141" w:lineRule="exact"/>
              <w:rPr>
                <w:sz w:val="20"/>
                <w:szCs w:val="20"/>
                <w:color w:val="auto"/>
              </w:rPr>
            </w:pPr>
            <w:r>
              <w:rPr>
                <w:rFonts w:ascii="Arial" w:cs="Arial" w:eastAsia="Arial" w:hAnsi="Arial"/>
                <w:sz w:val="14"/>
                <w:szCs w:val="14"/>
                <w:b w:val="1"/>
                <w:bCs w:val="1"/>
                <w:color w:val="auto"/>
              </w:rPr>
              <w:t>Quantity/</w:t>
            </w:r>
          </w:p>
        </w:tc>
        <w:tc>
          <w:tcPr>
            <w:tcW w:w="84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Percent of</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380"/>
              <w:spacing w:after="0" w:line="141" w:lineRule="exact"/>
              <w:rPr>
                <w:sz w:val="20"/>
                <w:szCs w:val="20"/>
                <w:color w:val="auto"/>
              </w:rPr>
            </w:pPr>
            <w:r>
              <w:rPr>
                <w:rFonts w:ascii="Arial" w:cs="Arial" w:eastAsia="Arial" w:hAnsi="Arial"/>
                <w:sz w:val="14"/>
                <w:szCs w:val="14"/>
                <w:b w:val="1"/>
                <w:bCs w:val="1"/>
                <w:color w:val="auto"/>
              </w:rPr>
              <w:t>Fair</w:t>
            </w:r>
          </w:p>
        </w:tc>
        <w:tc>
          <w:tcPr>
            <w:tcW w:w="48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196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Par/Shares</w:t>
            </w:r>
          </w:p>
        </w:tc>
        <w:tc>
          <w:tcPr>
            <w:tcW w:w="180" w:type="dxa"/>
            <w:vAlign w:val="bottom"/>
          </w:tcPr>
          <w:p>
            <w:pPr>
              <w:spacing w:after="0"/>
              <w:rPr>
                <w:sz w:val="13"/>
                <w:szCs w:val="13"/>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Class Held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3"/>
                <w:szCs w:val="13"/>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1"/>
                <w:szCs w:val="11"/>
                <w:b w:val="1"/>
                <w:bCs w:val="1"/>
                <w:color w:val="auto"/>
              </w:rPr>
              <w:t>2</w:t>
            </w:r>
          </w:p>
        </w:tc>
        <w:tc>
          <w:tcPr>
            <w:tcW w:w="200" w:type="dxa"/>
            <w:vAlign w:val="bottom"/>
          </w:tcPr>
          <w:p>
            <w:pPr>
              <w:spacing w:after="0"/>
              <w:rPr>
                <w:sz w:val="13"/>
                <w:szCs w:val="13"/>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Assets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120" w:type="dxa"/>
            <w:vAlign w:val="bottom"/>
            <w:gridSpan w:val="2"/>
          </w:tcPr>
          <w:p>
            <w:pPr>
              <w:spacing w:after="0"/>
              <w:rPr>
                <w:sz w:val="20"/>
                <w:szCs w:val="20"/>
                <w:color w:val="auto"/>
              </w:rPr>
            </w:pPr>
            <w:r>
              <w:rPr>
                <w:rFonts w:ascii="Arial" w:cs="Arial" w:eastAsia="Arial" w:hAnsi="Arial"/>
                <w:sz w:val="14"/>
                <w:szCs w:val="14"/>
                <w:color w:val="auto"/>
              </w:rPr>
              <w:t>Common</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5/29/2020</w:t>
            </w: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auto"/>
                <w:w w:val="76"/>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321</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0.3%</w:t>
            </w: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   29,275</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6"/>
              </w:rPr>
              <w:t>$   29,276</w:t>
            </w: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1"/>
        </w:trPr>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2120" w:type="dxa"/>
            <w:vAlign w:val="bottom"/>
            <w:gridSpan w:val="2"/>
          </w:tcPr>
          <w:p>
            <w:pPr>
              <w:spacing w:after="0"/>
              <w:rPr>
                <w:sz w:val="20"/>
                <w:szCs w:val="20"/>
                <w:color w:val="auto"/>
              </w:rPr>
            </w:pPr>
            <w:r>
              <w:rPr>
                <w:rFonts w:ascii="Arial" w:cs="Arial" w:eastAsia="Arial" w:hAnsi="Arial"/>
                <w:sz w:val="14"/>
                <w:szCs w:val="14"/>
                <w:color w:val="auto"/>
              </w:rPr>
              <w:t>Class A Preferred Units</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6/27/2019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89"/>
              </w:rPr>
              <w:t>5,500,000</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3.0%</w:t>
            </w: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5,500,000</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6"/>
              </w:rPr>
              <w:t>5,528,050</w:t>
            </w:r>
          </w:p>
        </w:tc>
        <w:tc>
          <w:tcPr>
            <w:tcW w:w="200" w:type="dxa"/>
            <w:vAlign w:val="bottom"/>
          </w:tcPr>
          <w:p>
            <w:pPr>
              <w:spacing w:after="0"/>
              <w:rPr>
                <w:sz w:val="24"/>
                <w:szCs w:val="24"/>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4"/>
        </w:trPr>
        <w:tc>
          <w:tcPr>
            <w:tcW w:w="2120" w:type="dxa"/>
            <w:vAlign w:val="bottom"/>
            <w:gridSpan w:val="2"/>
          </w:tcPr>
          <w:p>
            <w:pPr>
              <w:spacing w:after="0"/>
              <w:rPr>
                <w:sz w:val="20"/>
                <w:szCs w:val="20"/>
                <w:color w:val="auto"/>
              </w:rPr>
            </w:pPr>
            <w:r>
              <w:rPr>
                <w:rFonts w:ascii="Arial" w:cs="Arial" w:eastAsia="Arial" w:hAnsi="Arial"/>
                <w:sz w:val="14"/>
                <w:szCs w:val="14"/>
                <w:color w:val="auto"/>
              </w:rPr>
              <w:t>Class A Membership Units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2/14/2020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628</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204,420</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383"/>
        </w:trPr>
        <w:tc>
          <w:tcPr>
            <w:tcW w:w="2120" w:type="dxa"/>
            <w:vAlign w:val="bottom"/>
            <w:gridSpan w:val="2"/>
          </w:tcPr>
          <w:p>
            <w:pPr>
              <w:spacing w:after="0"/>
              <w:rPr>
                <w:sz w:val="20"/>
                <w:szCs w:val="20"/>
                <w:color w:val="auto"/>
              </w:rPr>
            </w:pPr>
            <w:r>
              <w:rPr>
                <w:rFonts w:ascii="Arial" w:cs="Arial" w:eastAsia="Arial" w:hAnsi="Arial"/>
                <w:sz w:val="14"/>
                <w:szCs w:val="14"/>
                <w:color w:val="auto"/>
              </w:rPr>
              <w:t>Warrant Class A</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9/9/2019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263</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0.6%</w:t>
            </w: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46,371</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30,717</w:t>
            </w: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2120" w:type="dxa"/>
            <w:vAlign w:val="bottom"/>
            <w:gridSpan w:val="2"/>
          </w:tcPr>
          <w:p>
            <w:pPr>
              <w:spacing w:after="0"/>
              <w:rPr>
                <w:sz w:val="20"/>
                <w:szCs w:val="20"/>
                <w:color w:val="auto"/>
              </w:rPr>
            </w:pPr>
            <w:r>
              <w:rPr>
                <w:rFonts w:ascii="Arial" w:cs="Arial" w:eastAsia="Arial" w:hAnsi="Arial"/>
                <w:sz w:val="14"/>
                <w:szCs w:val="14"/>
                <w:color w:val="auto"/>
              </w:rPr>
              <w:t>Warrant Class B</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9/9/2019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46</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4"/>
                <w:szCs w:val="24"/>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2120" w:type="dxa"/>
            <w:vAlign w:val="bottom"/>
            <w:gridSpan w:val="2"/>
          </w:tcPr>
          <w:p>
            <w:pPr>
              <w:spacing w:after="0"/>
              <w:rPr>
                <w:sz w:val="20"/>
                <w:szCs w:val="20"/>
                <w:color w:val="auto"/>
              </w:rPr>
            </w:pPr>
            <w:r>
              <w:rPr>
                <w:rFonts w:ascii="Arial" w:cs="Arial" w:eastAsia="Arial" w:hAnsi="Arial"/>
                <w:sz w:val="14"/>
                <w:szCs w:val="14"/>
                <w:color w:val="auto"/>
              </w:rPr>
              <w:t>Warrant Common Stock</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9/9/2019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859</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4"/>
                <w:szCs w:val="24"/>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0"/>
        </w:trPr>
        <w:tc>
          <w:tcPr>
            <w:tcW w:w="2120" w:type="dxa"/>
            <w:vAlign w:val="bottom"/>
            <w:gridSpan w:val="2"/>
          </w:tcPr>
          <w:p>
            <w:pPr>
              <w:spacing w:after="0"/>
              <w:rPr>
                <w:sz w:val="20"/>
                <w:szCs w:val="20"/>
                <w:color w:val="auto"/>
              </w:rPr>
            </w:pPr>
            <w:r>
              <w:rPr>
                <w:rFonts w:ascii="Arial" w:cs="Arial" w:eastAsia="Arial" w:hAnsi="Arial"/>
                <w:sz w:val="14"/>
                <w:szCs w:val="14"/>
                <w:color w:val="auto"/>
              </w:rPr>
              <w:t>Limited Term Royalty Interest</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12/18/2019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864,798</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5.0%</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864,798</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2,127,100</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460"/>
        </w:trPr>
        <w:tc>
          <w:tcPr>
            <w:tcW w:w="2120" w:type="dxa"/>
            <w:vAlign w:val="bottom"/>
            <w:gridSpan w:val="2"/>
          </w:tcPr>
          <w:p>
            <w:pPr>
              <w:spacing w:after="0"/>
              <w:rPr>
                <w:sz w:val="20"/>
                <w:szCs w:val="20"/>
                <w:color w:val="auto"/>
              </w:rPr>
            </w:pPr>
            <w:r>
              <w:rPr>
                <w:rFonts w:ascii="Arial" w:cs="Arial" w:eastAsia="Arial" w:hAnsi="Arial"/>
                <w:sz w:val="14"/>
                <w:szCs w:val="14"/>
                <w:color w:val="auto"/>
              </w:rPr>
              <w:t>Preferred Stock</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6/9/2021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200,000</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4.9%</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466,949</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441,605</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460"/>
        </w:trPr>
        <w:tc>
          <w:tcPr>
            <w:tcW w:w="2120" w:type="dxa"/>
            <w:vAlign w:val="bottom"/>
            <w:gridSpan w:val="2"/>
          </w:tcPr>
          <w:p>
            <w:pPr>
              <w:spacing w:after="0"/>
              <w:rPr>
                <w:sz w:val="20"/>
                <w:szCs w:val="20"/>
                <w:color w:val="auto"/>
              </w:rPr>
            </w:pPr>
            <w:r>
              <w:rPr>
                <w:rFonts w:ascii="Arial" w:cs="Arial" w:eastAsia="Arial" w:hAnsi="Arial"/>
                <w:sz w:val="14"/>
                <w:szCs w:val="14"/>
                <w:color w:val="auto"/>
              </w:rPr>
              <w:t>Preferred Stock</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6/9/2021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88,946</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2.2%</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207,666</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196,395</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524"/>
        </w:trPr>
        <w:tc>
          <w:tcPr>
            <w:tcW w:w="212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6/9/2021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139</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0.9%</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150,026</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245,565</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460"/>
        </w:trPr>
        <w:tc>
          <w:tcPr>
            <w:tcW w:w="2120" w:type="dxa"/>
            <w:vAlign w:val="bottom"/>
            <w:gridSpan w:val="2"/>
          </w:tcPr>
          <w:p>
            <w:pPr>
              <w:spacing w:after="0"/>
              <w:rPr>
                <w:sz w:val="20"/>
                <w:szCs w:val="20"/>
                <w:color w:val="auto"/>
              </w:rPr>
            </w:pPr>
            <w:r>
              <w:rPr>
                <w:rFonts w:ascii="Arial" w:cs="Arial" w:eastAsia="Arial" w:hAnsi="Arial"/>
                <w:sz w:val="14"/>
                <w:szCs w:val="14"/>
                <w:color w:val="auto"/>
              </w:rPr>
              <w:t>Warrant</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5/8/2020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33</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-5460365</wp:posOffset>
            </wp:positionV>
            <wp:extent cx="71812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1215" cy="36830"/>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-4405630</wp:posOffset>
            </wp:positionV>
            <wp:extent cx="6620510" cy="275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20510" cy="275590"/>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-3724275</wp:posOffset>
            </wp:positionV>
            <wp:extent cx="6620510" cy="4546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20510" cy="454660"/>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-2864485</wp:posOffset>
            </wp:positionV>
            <wp:extent cx="6620510" cy="275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20510" cy="275590"/>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-2183130</wp:posOffset>
            </wp:positionV>
            <wp:extent cx="6620510" cy="365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20510" cy="36512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-1322705</wp:posOffset>
            </wp:positionV>
            <wp:extent cx="6620510" cy="365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20510" cy="36512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-373380</wp:posOffset>
            </wp:positionV>
            <wp:extent cx="6620510" cy="365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20510" cy="365125"/>
                    </a:xfrm>
                    <a:prstGeom prst="rect">
                      <a:avLst/>
                    </a:prstGeom>
                    <a:noFill/>
                  </pic:spPr>
                </pic:pic>
              </a:graphicData>
            </a:graphic>
          </wp:anchor>
        </w:drawing>
      </w:r>
    </w:p>
    <w:p>
      <w:pPr>
        <w:spacing w:after="0" w:line="9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24</w:t>
      </w:r>
    </w:p>
    <w:p>
      <w:pPr>
        <w:sectPr>
          <w:pgSz w:w="11900" w:h="16838" w:orient="portrait"/>
          <w:cols w:equalWidth="0" w:num="3">
            <w:col w:w="2700" w:space="340"/>
            <w:col w:w="700" w:space="180"/>
            <w:col w:w="6880"/>
          </w:cols>
          <w:pgMar w:left="320" w:top="443" w:right="77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93"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w:t>
            </w:r>
          </w:p>
        </w:tc>
        <w:tc>
          <w:tcPr>
            <w:tcW w:w="10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080" w:type="dxa"/>
            <w:vAlign w:val="bottom"/>
            <w:vMerge w:val="restart"/>
          </w:tcPr>
          <w:p>
            <w:pPr>
              <w:ind w:left="80"/>
              <w:spacing w:after="0"/>
              <w:rPr>
                <w:sz w:val="20"/>
                <w:szCs w:val="20"/>
                <w:color w:val="auto"/>
              </w:rPr>
            </w:pPr>
            <w:r>
              <w:rPr>
                <w:rFonts w:ascii="Arial" w:cs="Arial" w:eastAsia="Arial" w:hAnsi="Arial"/>
                <w:sz w:val="12"/>
                <w:szCs w:val="12"/>
                <w:color w:val="auto"/>
              </w:rPr>
              <w:t>(8)(13)(14)(19)</w:t>
            </w:r>
          </w:p>
        </w:tc>
        <w:tc>
          <w:tcPr>
            <w:tcW w:w="2020" w:type="dxa"/>
            <w:vAlign w:val="bottom"/>
          </w:tcPr>
          <w:p>
            <w:pPr>
              <w:ind w:left="64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11"/>
                <w:szCs w:val="11"/>
                <w:b w:val="1"/>
                <w:bCs w:val="1"/>
                <w:color w:val="auto"/>
              </w:rPr>
              <w:t>15</w:t>
            </w:r>
          </w:p>
        </w:tc>
        <w:tc>
          <w:tcPr>
            <w:tcW w:w="0" w:type="dxa"/>
            <w:vAlign w:val="bottom"/>
          </w:tcPr>
          <w:p>
            <w:pPr>
              <w:spacing w:after="0"/>
              <w:rPr>
                <w:sz w:val="1"/>
                <w:szCs w:val="1"/>
                <w:color w:val="auto"/>
              </w:rPr>
            </w:pPr>
          </w:p>
        </w:tc>
      </w:tr>
      <w:tr>
        <w:trPr>
          <w:trHeight w:val="95"/>
        </w:trPr>
        <w:tc>
          <w:tcPr>
            <w:tcW w:w="1060" w:type="dxa"/>
            <w:vAlign w:val="bottom"/>
            <w:tcBorders>
              <w:top w:val="single" w:sz="8" w:color="auto"/>
            </w:tcBorders>
          </w:tcPr>
          <w:p>
            <w:pPr>
              <w:spacing w:after="0" w:line="95" w:lineRule="exact"/>
              <w:rPr>
                <w:sz w:val="20"/>
                <w:szCs w:val="20"/>
                <w:color w:val="auto"/>
              </w:rPr>
            </w:pPr>
            <w:r>
              <w:rPr>
                <w:rFonts w:ascii="Arial" w:cs="Arial" w:eastAsia="Arial" w:hAnsi="Arial"/>
                <w:sz w:val="11"/>
                <w:szCs w:val="11"/>
                <w:color w:val="auto"/>
              </w:rPr>
              <w:t>Centric Brands Inc.</w:t>
            </w:r>
          </w:p>
        </w:tc>
        <w:tc>
          <w:tcPr>
            <w:tcW w:w="16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0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740" w:type="dxa"/>
            <w:vAlign w:val="bottom"/>
            <w:gridSpan w:val="2"/>
          </w:tcPr>
          <w:p>
            <w:pPr>
              <w:spacing w:after="0" w:line="141" w:lineRule="exact"/>
              <w:rPr>
                <w:sz w:val="20"/>
                <w:szCs w:val="20"/>
                <w:color w:val="auto"/>
              </w:rPr>
            </w:pPr>
            <w:r>
              <w:rPr>
                <w:rFonts w:ascii="Arial" w:cs="Arial" w:eastAsia="Arial" w:hAnsi="Arial"/>
                <w:sz w:val="14"/>
                <w:szCs w:val="14"/>
                <w:color w:val="auto"/>
                <w:w w:val="94"/>
              </w:rPr>
              <w:t>350 Fifth Ave, Empire State Building, 6th Floor</w:t>
            </w:r>
          </w:p>
        </w:tc>
        <w:tc>
          <w:tcPr>
            <w:tcW w:w="1080" w:type="dxa"/>
            <w:vAlign w:val="bottom"/>
          </w:tcPr>
          <w:p>
            <w:pPr>
              <w:spacing w:after="0"/>
              <w:rPr>
                <w:sz w:val="12"/>
                <w:szCs w:val="12"/>
                <w:color w:val="auto"/>
              </w:rPr>
            </w:pPr>
          </w:p>
        </w:tc>
        <w:tc>
          <w:tcPr>
            <w:tcW w:w="2020" w:type="dxa"/>
            <w:vAlign w:val="bottom"/>
            <w:vMerge w:val="restart"/>
          </w:tcPr>
          <w:p>
            <w:pPr>
              <w:spacing w:after="0"/>
              <w:rPr>
                <w:sz w:val="20"/>
                <w:szCs w:val="20"/>
                <w:color w:val="auto"/>
              </w:rPr>
            </w:pPr>
            <w:r>
              <w:rPr>
                <w:rFonts w:ascii="Arial" w:cs="Arial" w:eastAsia="Arial" w:hAnsi="Arial"/>
                <w:sz w:val="14"/>
                <w:szCs w:val="14"/>
                <w:color w:val="auto"/>
              </w:rPr>
              <w:t>Common</w:t>
            </w:r>
          </w:p>
        </w:tc>
        <w:tc>
          <w:tcPr>
            <w:tcW w:w="0" w:type="dxa"/>
            <w:vAlign w:val="bottom"/>
          </w:tcPr>
          <w:p>
            <w:pPr>
              <w:spacing w:after="0"/>
              <w:rPr>
                <w:sz w:val="1"/>
                <w:szCs w:val="1"/>
                <w:color w:val="auto"/>
              </w:rPr>
            </w:pPr>
          </w:p>
        </w:tc>
      </w:tr>
      <w:tr>
        <w:trPr>
          <w:trHeight w:val="109"/>
        </w:trPr>
        <w:tc>
          <w:tcPr>
            <w:tcW w:w="2740" w:type="dxa"/>
            <w:vAlign w:val="bottom"/>
            <w:gridSpan w:val="2"/>
            <w:vMerge w:val="restart"/>
          </w:tcPr>
          <w:p>
            <w:pPr>
              <w:ind w:left="120"/>
              <w:spacing w:after="0" w:line="141" w:lineRule="exact"/>
              <w:rPr>
                <w:sz w:val="20"/>
                <w:szCs w:val="20"/>
                <w:color w:val="auto"/>
              </w:rPr>
            </w:pPr>
            <w:r>
              <w:rPr>
                <w:rFonts w:ascii="Arial" w:cs="Arial" w:eastAsia="Arial" w:hAnsi="Arial"/>
                <w:sz w:val="14"/>
                <w:szCs w:val="14"/>
                <w:color w:val="auto"/>
              </w:rPr>
              <w:t>New York, NY 10118</w:t>
            </w:r>
          </w:p>
        </w:tc>
        <w:tc>
          <w:tcPr>
            <w:tcW w:w="108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740" w:type="dxa"/>
            <w:vAlign w:val="bottom"/>
            <w:gridSpan w:val="2"/>
            <w:vMerge w:val="continue"/>
          </w:tcPr>
          <w:p>
            <w:pPr>
              <w:spacing w:after="0"/>
              <w:rPr>
                <w:sz w:val="2"/>
                <w:szCs w:val="2"/>
                <w:color w:val="auto"/>
              </w:rPr>
            </w:pPr>
          </w:p>
        </w:tc>
        <w:tc>
          <w:tcPr>
            <w:tcW w:w="1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740" w:type="dxa"/>
            <w:vAlign w:val="bottom"/>
            <w:gridSpan w:val="2"/>
          </w:tcPr>
          <w:p>
            <w:pPr>
              <w:ind w:left="260"/>
              <w:spacing w:after="0"/>
              <w:rPr>
                <w:sz w:val="20"/>
                <w:szCs w:val="20"/>
                <w:color w:val="auto"/>
              </w:rPr>
            </w:pPr>
            <w:r>
              <w:rPr>
                <w:rFonts w:ascii="Arial" w:cs="Arial" w:eastAsia="Arial" w:hAnsi="Arial"/>
                <w:sz w:val="14"/>
                <w:szCs w:val="14"/>
                <w:color w:val="auto"/>
              </w:rPr>
              <w:t>Machinery (Non-Agrclt/Constr/Electr)</w:t>
            </w:r>
          </w:p>
        </w:tc>
        <w:tc>
          <w:tcPr>
            <w:tcW w:w="10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gridSpan w:val="2"/>
          </w:tcPr>
          <w:p>
            <w:pPr>
              <w:spacing w:after="0"/>
              <w:rPr>
                <w:sz w:val="20"/>
                <w:szCs w:val="20"/>
                <w:color w:val="auto"/>
              </w:rPr>
            </w:pPr>
            <w:r>
              <w:rPr>
                <w:rFonts w:ascii="Arial" w:cs="Arial" w:eastAsia="Arial" w:hAnsi="Arial"/>
                <w:sz w:val="14"/>
                <w:szCs w:val="14"/>
                <w:color w:val="auto"/>
              </w:rPr>
              <w:t>Coastal Screen and Rail, LLC</w:t>
            </w:r>
          </w:p>
        </w:tc>
        <w:tc>
          <w:tcPr>
            <w:tcW w:w="1080" w:type="dxa"/>
            <w:vAlign w:val="bottom"/>
          </w:tcPr>
          <w:p>
            <w:pPr>
              <w:ind w:left="80"/>
              <w:spacing w:after="0"/>
              <w:rPr>
                <w:sz w:val="20"/>
                <w:szCs w:val="20"/>
                <w:color w:val="auto"/>
              </w:rPr>
            </w:pPr>
            <w:r>
              <w:rPr>
                <w:rFonts w:ascii="Arial" w:cs="Arial" w:eastAsia="Arial" w:hAnsi="Arial"/>
                <w:sz w:val="12"/>
                <w:szCs w:val="12"/>
                <w:color w:val="auto"/>
              </w:rPr>
              <w:t>(8)(13)(19)(25)</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740" w:type="dxa"/>
            <w:vAlign w:val="bottom"/>
            <w:gridSpan w:val="2"/>
          </w:tcPr>
          <w:p>
            <w:pPr>
              <w:spacing w:after="0" w:line="141" w:lineRule="exact"/>
              <w:rPr>
                <w:sz w:val="20"/>
                <w:szCs w:val="20"/>
                <w:color w:val="auto"/>
              </w:rPr>
            </w:pPr>
            <w:r>
              <w:rPr>
                <w:rFonts w:ascii="Arial" w:cs="Arial" w:eastAsia="Arial" w:hAnsi="Arial"/>
                <w:sz w:val="14"/>
                <w:szCs w:val="14"/>
                <w:color w:val="auto"/>
                <w:w w:val="97"/>
              </w:rPr>
              <w:t>1127 Poinsettia Dr., Delray Beach, FL 33444</w:t>
            </w:r>
          </w:p>
        </w:tc>
        <w:tc>
          <w:tcPr>
            <w:tcW w:w="1080" w:type="dxa"/>
            <w:vAlign w:val="bottom"/>
          </w:tcPr>
          <w:p>
            <w:pPr>
              <w:spacing w:after="0"/>
              <w:rPr>
                <w:sz w:val="12"/>
                <w:szCs w:val="12"/>
                <w:color w:val="auto"/>
              </w:rPr>
            </w:pPr>
          </w:p>
        </w:tc>
        <w:tc>
          <w:tcPr>
            <w:tcW w:w="2020" w:type="dxa"/>
            <w:vAlign w:val="bottom"/>
          </w:tcPr>
          <w:p>
            <w:pPr>
              <w:spacing w:after="0" w:line="141" w:lineRule="exact"/>
              <w:rPr>
                <w:sz w:val="20"/>
                <w:szCs w:val="20"/>
                <w:color w:val="auto"/>
              </w:rPr>
            </w:pPr>
            <w:r>
              <w:rPr>
                <w:rFonts w:ascii="Arial" w:cs="Arial" w:eastAsia="Arial" w:hAnsi="Arial"/>
                <w:sz w:val="14"/>
                <w:szCs w:val="14"/>
                <w:color w:val="auto"/>
              </w:rPr>
              <w:t>Preferred Stock</w:t>
            </w:r>
          </w:p>
        </w:tc>
        <w:tc>
          <w:tcPr>
            <w:tcW w:w="0" w:type="dxa"/>
            <w:vAlign w:val="bottom"/>
          </w:tcPr>
          <w:p>
            <w:pPr>
              <w:spacing w:after="0"/>
              <w:rPr>
                <w:sz w:val="1"/>
                <w:szCs w:val="1"/>
                <w:color w:val="auto"/>
              </w:rPr>
            </w:pPr>
          </w:p>
        </w:tc>
      </w:tr>
      <w:tr>
        <w:trPr>
          <w:trHeight w:val="173"/>
        </w:trPr>
        <w:tc>
          <w:tcPr>
            <w:tcW w:w="2740" w:type="dxa"/>
            <w:vAlign w:val="bottom"/>
            <w:gridSpan w:val="2"/>
          </w:tcPr>
          <w:p>
            <w:pPr>
              <w:ind w:left="260"/>
              <w:spacing w:after="0"/>
              <w:rPr>
                <w:sz w:val="20"/>
                <w:szCs w:val="20"/>
                <w:color w:val="auto"/>
              </w:rPr>
            </w:pPr>
            <w:r>
              <w:rPr>
                <w:rFonts w:ascii="Arial" w:cs="Arial" w:eastAsia="Arial" w:hAnsi="Arial"/>
                <w:sz w:val="14"/>
                <w:szCs w:val="14"/>
                <w:color w:val="auto"/>
              </w:rPr>
              <w:t>Construction &amp; Building</w:t>
            </w:r>
          </w:p>
        </w:tc>
        <w:tc>
          <w:tcPr>
            <w:tcW w:w="10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gridSpan w:val="2"/>
          </w:tcPr>
          <w:p>
            <w:pPr>
              <w:spacing w:after="0"/>
              <w:rPr>
                <w:sz w:val="20"/>
                <w:szCs w:val="20"/>
                <w:color w:val="auto"/>
              </w:rPr>
            </w:pPr>
            <w:r>
              <w:rPr>
                <w:rFonts w:ascii="Arial" w:cs="Arial" w:eastAsia="Arial" w:hAnsi="Arial"/>
                <w:sz w:val="14"/>
                <w:szCs w:val="14"/>
                <w:color w:val="auto"/>
              </w:rPr>
              <w:t>EJF Investments Ltd.</w:t>
            </w:r>
          </w:p>
        </w:tc>
        <w:tc>
          <w:tcPr>
            <w:tcW w:w="1080" w:type="dxa"/>
            <w:vAlign w:val="bottom"/>
          </w:tcPr>
          <w:p>
            <w:pPr>
              <w:ind w:left="80"/>
              <w:spacing w:after="0"/>
              <w:rPr>
                <w:sz w:val="20"/>
                <w:szCs w:val="20"/>
                <w:color w:val="auto"/>
              </w:rPr>
            </w:pPr>
            <w:r>
              <w:rPr>
                <w:rFonts w:ascii="Arial" w:cs="Arial" w:eastAsia="Arial" w:hAnsi="Arial"/>
                <w:sz w:val="12"/>
                <w:szCs w:val="12"/>
                <w:color w:val="auto"/>
              </w:rPr>
              <w:t>(3)(19)</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740" w:type="dxa"/>
            <w:vAlign w:val="bottom"/>
            <w:gridSpan w:val="2"/>
          </w:tcPr>
          <w:p>
            <w:pPr>
              <w:spacing w:after="0" w:line="141" w:lineRule="exact"/>
              <w:rPr>
                <w:sz w:val="20"/>
                <w:szCs w:val="20"/>
                <w:color w:val="auto"/>
              </w:rPr>
            </w:pPr>
            <w:r>
              <w:rPr>
                <w:rFonts w:ascii="Arial" w:cs="Arial" w:eastAsia="Arial" w:hAnsi="Arial"/>
                <w:sz w:val="14"/>
                <w:szCs w:val="14"/>
                <w:color w:val="auto"/>
              </w:rPr>
              <w:t>399 Park Ave, New York, NY 10043</w:t>
            </w:r>
          </w:p>
        </w:tc>
        <w:tc>
          <w:tcPr>
            <w:tcW w:w="1080" w:type="dxa"/>
            <w:vAlign w:val="bottom"/>
          </w:tcPr>
          <w:p>
            <w:pPr>
              <w:spacing w:after="0"/>
              <w:rPr>
                <w:sz w:val="12"/>
                <w:szCs w:val="12"/>
                <w:color w:val="auto"/>
              </w:rPr>
            </w:pPr>
          </w:p>
        </w:tc>
        <w:tc>
          <w:tcPr>
            <w:tcW w:w="2020" w:type="dxa"/>
            <w:vAlign w:val="bottom"/>
          </w:tcPr>
          <w:p>
            <w:pPr>
              <w:spacing w:after="0" w:line="141" w:lineRule="exact"/>
              <w:rPr>
                <w:sz w:val="20"/>
                <w:szCs w:val="20"/>
                <w:color w:val="auto"/>
              </w:rPr>
            </w:pPr>
            <w:r>
              <w:rPr>
                <w:rFonts w:ascii="Arial" w:cs="Arial" w:eastAsia="Arial" w:hAnsi="Arial"/>
                <w:sz w:val="14"/>
                <w:szCs w:val="14"/>
                <w:color w:val="auto"/>
              </w:rPr>
              <w:t>Preferred Equity</w:t>
            </w:r>
          </w:p>
        </w:tc>
        <w:tc>
          <w:tcPr>
            <w:tcW w:w="0" w:type="dxa"/>
            <w:vAlign w:val="bottom"/>
          </w:tcPr>
          <w:p>
            <w:pPr>
              <w:spacing w:after="0"/>
              <w:rPr>
                <w:sz w:val="1"/>
                <w:szCs w:val="1"/>
                <w:color w:val="auto"/>
              </w:rPr>
            </w:pPr>
          </w:p>
        </w:tc>
      </w:tr>
      <w:tr>
        <w:trPr>
          <w:trHeight w:val="173"/>
        </w:trPr>
        <w:tc>
          <w:tcPr>
            <w:tcW w:w="2740" w:type="dxa"/>
            <w:vAlign w:val="bottom"/>
            <w:gridSpan w:val="2"/>
          </w:tcPr>
          <w:p>
            <w:pPr>
              <w:ind w:left="260"/>
              <w:spacing w:after="0"/>
              <w:rPr>
                <w:sz w:val="20"/>
                <w:szCs w:val="20"/>
                <w:color w:val="auto"/>
              </w:rPr>
            </w:pPr>
            <w:r>
              <w:rPr>
                <w:rFonts w:ascii="Arial" w:cs="Arial" w:eastAsia="Arial" w:hAnsi="Arial"/>
                <w:sz w:val="14"/>
                <w:szCs w:val="14"/>
                <w:color w:val="auto"/>
                <w:w w:val="92"/>
              </w:rPr>
              <w:t>Banking, Finance, Insurance &amp; Real Estate</w:t>
            </w:r>
          </w:p>
        </w:tc>
        <w:tc>
          <w:tcPr>
            <w:tcW w:w="10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gridSpan w:val="2"/>
          </w:tcPr>
          <w:p>
            <w:pPr>
              <w:spacing w:after="0"/>
              <w:rPr>
                <w:sz w:val="20"/>
                <w:szCs w:val="20"/>
                <w:color w:val="auto"/>
              </w:rPr>
            </w:pPr>
            <w:r>
              <w:rPr>
                <w:rFonts w:ascii="Arial" w:cs="Arial" w:eastAsia="Arial" w:hAnsi="Arial"/>
                <w:sz w:val="14"/>
                <w:szCs w:val="14"/>
                <w:color w:val="auto"/>
              </w:rPr>
              <w:t>Everyware Global, Inc.</w:t>
            </w:r>
          </w:p>
        </w:tc>
        <w:tc>
          <w:tcPr>
            <w:tcW w:w="1080" w:type="dxa"/>
            <w:vAlign w:val="bottom"/>
          </w:tcPr>
          <w:p>
            <w:pPr>
              <w:ind w:left="80"/>
              <w:spacing w:after="0"/>
              <w:rPr>
                <w:sz w:val="20"/>
                <w:szCs w:val="20"/>
                <w:color w:val="auto"/>
              </w:rPr>
            </w:pPr>
            <w:r>
              <w:rPr>
                <w:rFonts w:ascii="Arial" w:cs="Arial" w:eastAsia="Arial" w:hAnsi="Arial"/>
                <w:sz w:val="12"/>
                <w:szCs w:val="12"/>
                <w:color w:val="auto"/>
              </w:rPr>
              <w:t>(8)(13)(19)</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740" w:type="dxa"/>
            <w:vAlign w:val="bottom"/>
            <w:gridSpan w:val="2"/>
          </w:tcPr>
          <w:p>
            <w:pPr>
              <w:spacing w:after="0" w:line="141" w:lineRule="exact"/>
              <w:rPr>
                <w:sz w:val="20"/>
                <w:szCs w:val="20"/>
                <w:color w:val="auto"/>
              </w:rPr>
            </w:pPr>
            <w:r>
              <w:rPr>
                <w:rFonts w:ascii="Arial" w:cs="Arial" w:eastAsia="Arial" w:hAnsi="Arial"/>
                <w:sz w:val="14"/>
                <w:szCs w:val="14"/>
                <w:color w:val="auto"/>
                <w:w w:val="99"/>
              </w:rPr>
              <w:t>519 N. Pierce Avenue Lancaster, OH 43130</w:t>
            </w:r>
          </w:p>
        </w:tc>
        <w:tc>
          <w:tcPr>
            <w:tcW w:w="1080" w:type="dxa"/>
            <w:vAlign w:val="bottom"/>
          </w:tcPr>
          <w:p>
            <w:pPr>
              <w:spacing w:after="0"/>
              <w:rPr>
                <w:sz w:val="12"/>
                <w:szCs w:val="12"/>
                <w:color w:val="auto"/>
              </w:rPr>
            </w:pPr>
          </w:p>
        </w:tc>
        <w:tc>
          <w:tcPr>
            <w:tcW w:w="2020" w:type="dxa"/>
            <w:vAlign w:val="bottom"/>
          </w:tcPr>
          <w:p>
            <w:pPr>
              <w:spacing w:after="0" w:line="141" w:lineRule="exact"/>
              <w:rPr>
                <w:sz w:val="20"/>
                <w:szCs w:val="20"/>
                <w:color w:val="auto"/>
              </w:rPr>
            </w:pPr>
            <w:r>
              <w:rPr>
                <w:rFonts w:ascii="Arial" w:cs="Arial" w:eastAsia="Arial" w:hAnsi="Arial"/>
                <w:sz w:val="14"/>
                <w:szCs w:val="14"/>
                <w:color w:val="auto"/>
              </w:rPr>
              <w:t>Common</w:t>
            </w:r>
          </w:p>
        </w:tc>
        <w:tc>
          <w:tcPr>
            <w:tcW w:w="0" w:type="dxa"/>
            <w:vAlign w:val="bottom"/>
          </w:tcPr>
          <w:p>
            <w:pPr>
              <w:spacing w:after="0"/>
              <w:rPr>
                <w:sz w:val="1"/>
                <w:szCs w:val="1"/>
                <w:color w:val="auto"/>
              </w:rPr>
            </w:pPr>
          </w:p>
        </w:tc>
      </w:tr>
      <w:tr>
        <w:trPr>
          <w:trHeight w:val="173"/>
        </w:trPr>
        <w:tc>
          <w:tcPr>
            <w:tcW w:w="2740" w:type="dxa"/>
            <w:vAlign w:val="bottom"/>
            <w:gridSpan w:val="2"/>
          </w:tcPr>
          <w:p>
            <w:pPr>
              <w:ind w:left="260"/>
              <w:spacing w:after="0"/>
              <w:rPr>
                <w:sz w:val="20"/>
                <w:szCs w:val="20"/>
                <w:color w:val="auto"/>
              </w:rPr>
            </w:pPr>
            <w:r>
              <w:rPr>
                <w:rFonts w:ascii="Arial" w:cs="Arial" w:eastAsia="Arial" w:hAnsi="Arial"/>
                <w:sz w:val="14"/>
                <w:szCs w:val="14"/>
                <w:color w:val="auto"/>
              </w:rPr>
              <w:t>Consumer goods: Durable</w:t>
            </w:r>
          </w:p>
        </w:tc>
        <w:tc>
          <w:tcPr>
            <w:tcW w:w="10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gridSpan w:val="2"/>
          </w:tcPr>
          <w:p>
            <w:pPr>
              <w:spacing w:after="0"/>
              <w:rPr>
                <w:sz w:val="20"/>
                <w:szCs w:val="20"/>
                <w:color w:val="auto"/>
              </w:rPr>
            </w:pPr>
            <w:r>
              <w:rPr>
                <w:rFonts w:ascii="Arial" w:cs="Arial" w:eastAsia="Arial" w:hAnsi="Arial"/>
                <w:sz w:val="14"/>
                <w:szCs w:val="14"/>
                <w:color w:val="auto"/>
              </w:rPr>
              <w:t>Flight Lease VII</w:t>
            </w:r>
          </w:p>
        </w:tc>
        <w:tc>
          <w:tcPr>
            <w:tcW w:w="1080" w:type="dxa"/>
            <w:vAlign w:val="bottom"/>
          </w:tcPr>
          <w:p>
            <w:pPr>
              <w:ind w:left="80"/>
              <w:spacing w:after="0"/>
              <w:rPr>
                <w:sz w:val="20"/>
                <w:szCs w:val="20"/>
                <w:color w:val="auto"/>
              </w:rPr>
            </w:pPr>
            <w:r>
              <w:rPr>
                <w:rFonts w:ascii="Arial" w:cs="Arial" w:eastAsia="Arial" w:hAnsi="Arial"/>
                <w:sz w:val="12"/>
                <w:szCs w:val="12"/>
                <w:color w:val="auto"/>
                <w:w w:val="97"/>
              </w:rPr>
              <w:t>(8)(13)(16)(19)(26)</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740" w:type="dxa"/>
            <w:vAlign w:val="bottom"/>
            <w:gridSpan w:val="2"/>
          </w:tcPr>
          <w:p>
            <w:pPr>
              <w:spacing w:after="0" w:line="141" w:lineRule="exact"/>
              <w:rPr>
                <w:sz w:val="20"/>
                <w:szCs w:val="20"/>
                <w:color w:val="auto"/>
              </w:rPr>
            </w:pPr>
            <w:r>
              <w:rPr>
                <w:rFonts w:ascii="Arial" w:cs="Arial" w:eastAsia="Arial" w:hAnsi="Arial"/>
                <w:sz w:val="14"/>
                <w:szCs w:val="14"/>
                <w:color w:val="auto"/>
                <w:w w:val="90"/>
              </w:rPr>
              <w:t>324 Datura Street, Suite 252, West Palm Beach,</w:t>
            </w:r>
          </w:p>
        </w:tc>
        <w:tc>
          <w:tcPr>
            <w:tcW w:w="1080" w:type="dxa"/>
            <w:vAlign w:val="bottom"/>
          </w:tcPr>
          <w:p>
            <w:pPr>
              <w:spacing w:after="0"/>
              <w:rPr>
                <w:sz w:val="12"/>
                <w:szCs w:val="12"/>
                <w:color w:val="auto"/>
              </w:rPr>
            </w:pPr>
          </w:p>
        </w:tc>
        <w:tc>
          <w:tcPr>
            <w:tcW w:w="2020" w:type="dxa"/>
            <w:vAlign w:val="bottom"/>
            <w:vMerge w:val="restart"/>
          </w:tcPr>
          <w:p>
            <w:pPr>
              <w:spacing w:after="0"/>
              <w:rPr>
                <w:sz w:val="20"/>
                <w:szCs w:val="20"/>
                <w:color w:val="auto"/>
              </w:rPr>
            </w:pPr>
            <w:r>
              <w:rPr>
                <w:rFonts w:ascii="Arial" w:cs="Arial" w:eastAsia="Arial" w:hAnsi="Arial"/>
                <w:sz w:val="14"/>
                <w:szCs w:val="14"/>
                <w:color w:val="auto"/>
              </w:rPr>
              <w:t>Common Stock</w:t>
            </w:r>
          </w:p>
        </w:tc>
        <w:tc>
          <w:tcPr>
            <w:tcW w:w="0" w:type="dxa"/>
            <w:vAlign w:val="bottom"/>
          </w:tcPr>
          <w:p>
            <w:pPr>
              <w:spacing w:after="0"/>
              <w:rPr>
                <w:sz w:val="1"/>
                <w:szCs w:val="1"/>
                <w:color w:val="auto"/>
              </w:rPr>
            </w:pPr>
          </w:p>
        </w:tc>
      </w:tr>
      <w:tr>
        <w:trPr>
          <w:trHeight w:val="109"/>
        </w:trPr>
        <w:tc>
          <w:tcPr>
            <w:tcW w:w="2740" w:type="dxa"/>
            <w:vAlign w:val="bottom"/>
            <w:gridSpan w:val="2"/>
            <w:vMerge w:val="restart"/>
          </w:tcPr>
          <w:p>
            <w:pPr>
              <w:ind w:left="120"/>
              <w:spacing w:after="0" w:line="141" w:lineRule="exact"/>
              <w:rPr>
                <w:sz w:val="20"/>
                <w:szCs w:val="20"/>
                <w:color w:val="auto"/>
              </w:rPr>
            </w:pPr>
            <w:r>
              <w:rPr>
                <w:rFonts w:ascii="Arial" w:cs="Arial" w:eastAsia="Arial" w:hAnsi="Arial"/>
                <w:sz w:val="14"/>
                <w:szCs w:val="14"/>
                <w:color w:val="auto"/>
              </w:rPr>
              <w:t>FL 33401</w:t>
            </w:r>
          </w:p>
        </w:tc>
        <w:tc>
          <w:tcPr>
            <w:tcW w:w="108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740" w:type="dxa"/>
            <w:vAlign w:val="bottom"/>
            <w:gridSpan w:val="2"/>
            <w:vMerge w:val="continue"/>
          </w:tcPr>
          <w:p>
            <w:pPr>
              <w:spacing w:after="0"/>
              <w:rPr>
                <w:sz w:val="2"/>
                <w:szCs w:val="2"/>
                <w:color w:val="auto"/>
              </w:rPr>
            </w:pPr>
          </w:p>
        </w:tc>
        <w:tc>
          <w:tcPr>
            <w:tcW w:w="1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740" w:type="dxa"/>
            <w:vAlign w:val="bottom"/>
            <w:gridSpan w:val="2"/>
          </w:tcPr>
          <w:p>
            <w:pPr>
              <w:ind w:left="260"/>
              <w:spacing w:after="0"/>
              <w:rPr>
                <w:sz w:val="20"/>
                <w:szCs w:val="20"/>
                <w:color w:val="auto"/>
              </w:rPr>
            </w:pPr>
            <w:r>
              <w:rPr>
                <w:rFonts w:ascii="Arial" w:cs="Arial" w:eastAsia="Arial" w:hAnsi="Arial"/>
                <w:sz w:val="14"/>
                <w:szCs w:val="14"/>
                <w:color w:val="auto"/>
              </w:rPr>
              <w:t>Aerospace and Defense</w:t>
            </w:r>
          </w:p>
        </w:tc>
        <w:tc>
          <w:tcPr>
            <w:tcW w:w="10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gridSpan w:val="2"/>
          </w:tcPr>
          <w:p>
            <w:pPr>
              <w:spacing w:after="0"/>
              <w:rPr>
                <w:sz w:val="20"/>
                <w:szCs w:val="20"/>
                <w:color w:val="auto"/>
              </w:rPr>
            </w:pPr>
            <w:r>
              <w:rPr>
                <w:rFonts w:ascii="Arial" w:cs="Arial" w:eastAsia="Arial" w:hAnsi="Arial"/>
                <w:sz w:val="14"/>
                <w:szCs w:val="14"/>
                <w:color w:val="auto"/>
              </w:rPr>
              <w:t>Flight Lease XII</w:t>
            </w:r>
          </w:p>
        </w:tc>
        <w:tc>
          <w:tcPr>
            <w:tcW w:w="1080" w:type="dxa"/>
            <w:vAlign w:val="bottom"/>
          </w:tcPr>
          <w:p>
            <w:pPr>
              <w:ind w:left="80"/>
              <w:spacing w:after="0"/>
              <w:rPr>
                <w:sz w:val="20"/>
                <w:szCs w:val="20"/>
                <w:color w:val="auto"/>
              </w:rPr>
            </w:pPr>
            <w:r>
              <w:rPr>
                <w:rFonts w:ascii="Arial" w:cs="Arial" w:eastAsia="Arial" w:hAnsi="Arial"/>
                <w:sz w:val="12"/>
                <w:szCs w:val="12"/>
                <w:color w:val="auto"/>
                <w:w w:val="97"/>
              </w:rPr>
              <w:t>(8)(13)(18)(19)(25)</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740" w:type="dxa"/>
            <w:vAlign w:val="bottom"/>
            <w:gridSpan w:val="2"/>
          </w:tcPr>
          <w:p>
            <w:pPr>
              <w:spacing w:after="0" w:line="141" w:lineRule="exact"/>
              <w:rPr>
                <w:sz w:val="20"/>
                <w:szCs w:val="20"/>
                <w:color w:val="auto"/>
              </w:rPr>
            </w:pPr>
            <w:r>
              <w:rPr>
                <w:rFonts w:ascii="Arial" w:cs="Arial" w:eastAsia="Arial" w:hAnsi="Arial"/>
                <w:sz w:val="14"/>
                <w:szCs w:val="14"/>
                <w:color w:val="auto"/>
                <w:w w:val="90"/>
              </w:rPr>
              <w:t>324 Datura Street, Suite 252, West Palm Beach,</w:t>
            </w:r>
          </w:p>
        </w:tc>
        <w:tc>
          <w:tcPr>
            <w:tcW w:w="1080" w:type="dxa"/>
            <w:vAlign w:val="bottom"/>
          </w:tcPr>
          <w:p>
            <w:pPr>
              <w:spacing w:after="0"/>
              <w:rPr>
                <w:sz w:val="12"/>
                <w:szCs w:val="12"/>
                <w:color w:val="auto"/>
              </w:rPr>
            </w:pPr>
          </w:p>
        </w:tc>
        <w:tc>
          <w:tcPr>
            <w:tcW w:w="2020" w:type="dxa"/>
            <w:vAlign w:val="bottom"/>
            <w:vMerge w:val="restart"/>
          </w:tcPr>
          <w:p>
            <w:pPr>
              <w:spacing w:after="0"/>
              <w:rPr>
                <w:sz w:val="20"/>
                <w:szCs w:val="20"/>
                <w:color w:val="auto"/>
              </w:rPr>
            </w:pPr>
            <w:r>
              <w:rPr>
                <w:rFonts w:ascii="Arial" w:cs="Arial" w:eastAsia="Arial" w:hAnsi="Arial"/>
                <w:sz w:val="14"/>
                <w:szCs w:val="14"/>
                <w:color w:val="auto"/>
              </w:rPr>
              <w:t>Common Stock</w:t>
            </w:r>
          </w:p>
        </w:tc>
        <w:tc>
          <w:tcPr>
            <w:tcW w:w="0" w:type="dxa"/>
            <w:vAlign w:val="bottom"/>
          </w:tcPr>
          <w:p>
            <w:pPr>
              <w:spacing w:after="0"/>
              <w:rPr>
                <w:sz w:val="1"/>
                <w:szCs w:val="1"/>
                <w:color w:val="auto"/>
              </w:rPr>
            </w:pPr>
          </w:p>
        </w:tc>
      </w:tr>
      <w:tr>
        <w:trPr>
          <w:trHeight w:val="109"/>
        </w:trPr>
        <w:tc>
          <w:tcPr>
            <w:tcW w:w="2740" w:type="dxa"/>
            <w:vAlign w:val="bottom"/>
            <w:gridSpan w:val="2"/>
            <w:vMerge w:val="restart"/>
          </w:tcPr>
          <w:p>
            <w:pPr>
              <w:ind w:left="120"/>
              <w:spacing w:after="0" w:line="141" w:lineRule="exact"/>
              <w:rPr>
                <w:sz w:val="20"/>
                <w:szCs w:val="20"/>
                <w:color w:val="auto"/>
              </w:rPr>
            </w:pPr>
            <w:r>
              <w:rPr>
                <w:rFonts w:ascii="Arial" w:cs="Arial" w:eastAsia="Arial" w:hAnsi="Arial"/>
                <w:sz w:val="14"/>
                <w:szCs w:val="14"/>
                <w:color w:val="auto"/>
              </w:rPr>
              <w:t>FL 33401</w:t>
            </w:r>
          </w:p>
        </w:tc>
        <w:tc>
          <w:tcPr>
            <w:tcW w:w="108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740" w:type="dxa"/>
            <w:vAlign w:val="bottom"/>
            <w:gridSpan w:val="2"/>
            <w:vMerge w:val="continue"/>
          </w:tcPr>
          <w:p>
            <w:pPr>
              <w:spacing w:after="0"/>
              <w:rPr>
                <w:sz w:val="2"/>
                <w:szCs w:val="2"/>
                <w:color w:val="auto"/>
              </w:rPr>
            </w:pPr>
          </w:p>
        </w:tc>
        <w:tc>
          <w:tcPr>
            <w:tcW w:w="1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740" w:type="dxa"/>
            <w:vAlign w:val="bottom"/>
            <w:gridSpan w:val="2"/>
          </w:tcPr>
          <w:p>
            <w:pPr>
              <w:ind w:left="260"/>
              <w:spacing w:after="0"/>
              <w:rPr>
                <w:sz w:val="20"/>
                <w:szCs w:val="20"/>
                <w:color w:val="auto"/>
              </w:rPr>
            </w:pPr>
            <w:r>
              <w:rPr>
                <w:rFonts w:ascii="Arial" w:cs="Arial" w:eastAsia="Arial" w:hAnsi="Arial"/>
                <w:sz w:val="14"/>
                <w:szCs w:val="14"/>
                <w:color w:val="auto"/>
              </w:rPr>
              <w:t>Aerospace and Defense</w:t>
            </w:r>
          </w:p>
        </w:tc>
        <w:tc>
          <w:tcPr>
            <w:tcW w:w="10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gridSpan w:val="2"/>
          </w:tcPr>
          <w:p>
            <w:pPr>
              <w:spacing w:after="0"/>
              <w:rPr>
                <w:sz w:val="20"/>
                <w:szCs w:val="20"/>
                <w:color w:val="auto"/>
              </w:rPr>
            </w:pPr>
            <w:r>
              <w:rPr>
                <w:rFonts w:ascii="Arial" w:cs="Arial" w:eastAsia="Arial" w:hAnsi="Arial"/>
                <w:sz w:val="14"/>
                <w:szCs w:val="14"/>
                <w:color w:val="auto"/>
              </w:rPr>
              <w:t>FP WRCA Coinvestment Fund VII, Ltd.</w:t>
            </w:r>
          </w:p>
        </w:tc>
        <w:tc>
          <w:tcPr>
            <w:tcW w:w="1080" w:type="dxa"/>
            <w:vAlign w:val="bottom"/>
          </w:tcPr>
          <w:p>
            <w:pPr>
              <w:ind w:left="80"/>
              <w:spacing w:after="0"/>
              <w:rPr>
                <w:sz w:val="20"/>
                <w:szCs w:val="20"/>
                <w:color w:val="auto"/>
              </w:rPr>
            </w:pPr>
            <w:r>
              <w:rPr>
                <w:rFonts w:ascii="Arial" w:cs="Arial" w:eastAsia="Arial" w:hAnsi="Arial"/>
                <w:sz w:val="12"/>
                <w:szCs w:val="12"/>
                <w:color w:val="auto"/>
              </w:rPr>
              <w:t>(3)(13)(19)</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740" w:type="dxa"/>
            <w:vAlign w:val="bottom"/>
            <w:gridSpan w:val="2"/>
          </w:tcPr>
          <w:p>
            <w:pPr>
              <w:spacing w:after="0" w:line="141" w:lineRule="exact"/>
              <w:rPr>
                <w:sz w:val="20"/>
                <w:szCs w:val="20"/>
                <w:color w:val="auto"/>
              </w:rPr>
            </w:pPr>
            <w:r>
              <w:rPr>
                <w:rFonts w:ascii="Arial" w:cs="Arial" w:eastAsia="Arial" w:hAnsi="Arial"/>
                <w:sz w:val="14"/>
                <w:szCs w:val="14"/>
                <w:color w:val="auto"/>
              </w:rPr>
              <w:t>2400 W75th St., Prairie Village, KS 66208</w:t>
            </w:r>
          </w:p>
        </w:tc>
        <w:tc>
          <w:tcPr>
            <w:tcW w:w="1080" w:type="dxa"/>
            <w:vAlign w:val="bottom"/>
          </w:tcPr>
          <w:p>
            <w:pPr>
              <w:spacing w:after="0"/>
              <w:rPr>
                <w:sz w:val="12"/>
                <w:szCs w:val="12"/>
                <w:color w:val="auto"/>
              </w:rPr>
            </w:pPr>
          </w:p>
        </w:tc>
        <w:tc>
          <w:tcPr>
            <w:tcW w:w="2020" w:type="dxa"/>
            <w:vAlign w:val="bottom"/>
          </w:tcPr>
          <w:p>
            <w:pPr>
              <w:spacing w:after="0" w:line="141" w:lineRule="exact"/>
              <w:rPr>
                <w:sz w:val="20"/>
                <w:szCs w:val="20"/>
                <w:color w:val="auto"/>
              </w:rPr>
            </w:pPr>
            <w:r>
              <w:rPr>
                <w:rFonts w:ascii="Arial" w:cs="Arial" w:eastAsia="Arial" w:hAnsi="Arial"/>
                <w:sz w:val="14"/>
                <w:szCs w:val="14"/>
                <w:color w:val="auto"/>
              </w:rPr>
              <w:t>Class A Shares</w:t>
            </w:r>
          </w:p>
        </w:tc>
        <w:tc>
          <w:tcPr>
            <w:tcW w:w="0" w:type="dxa"/>
            <w:vAlign w:val="bottom"/>
          </w:tcPr>
          <w:p>
            <w:pPr>
              <w:spacing w:after="0"/>
              <w:rPr>
                <w:sz w:val="1"/>
                <w:szCs w:val="1"/>
                <w:color w:val="auto"/>
              </w:rPr>
            </w:pPr>
          </w:p>
        </w:tc>
      </w:tr>
      <w:tr>
        <w:trPr>
          <w:trHeight w:val="173"/>
        </w:trPr>
        <w:tc>
          <w:tcPr>
            <w:tcW w:w="2740" w:type="dxa"/>
            <w:vAlign w:val="bottom"/>
            <w:gridSpan w:val="2"/>
          </w:tcPr>
          <w:p>
            <w:pPr>
              <w:ind w:left="260"/>
              <w:spacing w:after="0"/>
              <w:rPr>
                <w:sz w:val="20"/>
                <w:szCs w:val="20"/>
                <w:color w:val="auto"/>
              </w:rPr>
            </w:pPr>
            <w:r>
              <w:rPr>
                <w:rFonts w:ascii="Arial" w:cs="Arial" w:eastAsia="Arial" w:hAnsi="Arial"/>
                <w:sz w:val="14"/>
                <w:szCs w:val="14"/>
                <w:color w:val="auto"/>
              </w:rPr>
              <w:t>Capital Equipment</w:t>
            </w:r>
          </w:p>
        </w:tc>
        <w:tc>
          <w:tcPr>
            <w:tcW w:w="10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gridSpan w:val="2"/>
          </w:tcPr>
          <w:p>
            <w:pPr>
              <w:spacing w:after="0"/>
              <w:rPr>
                <w:sz w:val="20"/>
                <w:szCs w:val="20"/>
                <w:color w:val="auto"/>
              </w:rPr>
            </w:pPr>
            <w:r>
              <w:rPr>
                <w:rFonts w:ascii="Arial" w:cs="Arial" w:eastAsia="Arial" w:hAnsi="Arial"/>
                <w:sz w:val="14"/>
                <w:szCs w:val="14"/>
                <w:color w:val="auto"/>
              </w:rPr>
              <w:t>Fusion Connect, Inc.</w:t>
            </w:r>
          </w:p>
        </w:tc>
        <w:tc>
          <w:tcPr>
            <w:tcW w:w="1080" w:type="dxa"/>
            <w:vAlign w:val="bottom"/>
          </w:tcPr>
          <w:p>
            <w:pPr>
              <w:ind w:left="80"/>
              <w:spacing w:after="0"/>
              <w:rPr>
                <w:sz w:val="20"/>
                <w:szCs w:val="20"/>
                <w:color w:val="auto"/>
              </w:rPr>
            </w:pPr>
            <w:r>
              <w:rPr>
                <w:rFonts w:ascii="Arial" w:cs="Arial" w:eastAsia="Arial" w:hAnsi="Arial"/>
                <w:sz w:val="12"/>
                <w:szCs w:val="12"/>
                <w:color w:val="auto"/>
              </w:rPr>
              <w:t>(8)(13)(14)(19)</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740" w:type="dxa"/>
            <w:vAlign w:val="bottom"/>
            <w:gridSpan w:val="2"/>
          </w:tcPr>
          <w:p>
            <w:pPr>
              <w:spacing w:after="0" w:line="141" w:lineRule="exact"/>
              <w:rPr>
                <w:sz w:val="20"/>
                <w:szCs w:val="20"/>
                <w:color w:val="auto"/>
              </w:rPr>
            </w:pPr>
            <w:r>
              <w:rPr>
                <w:rFonts w:ascii="Arial" w:cs="Arial" w:eastAsia="Arial" w:hAnsi="Arial"/>
                <w:sz w:val="14"/>
                <w:szCs w:val="14"/>
                <w:color w:val="auto"/>
                <w:w w:val="94"/>
              </w:rPr>
              <w:t>420 Lexington Ave., Suite 1718 New York, NY</w:t>
            </w:r>
          </w:p>
        </w:tc>
        <w:tc>
          <w:tcPr>
            <w:tcW w:w="1080" w:type="dxa"/>
            <w:vAlign w:val="bottom"/>
          </w:tcPr>
          <w:p>
            <w:pPr>
              <w:spacing w:after="0"/>
              <w:rPr>
                <w:sz w:val="12"/>
                <w:szCs w:val="12"/>
                <w:color w:val="auto"/>
              </w:rPr>
            </w:pPr>
          </w:p>
        </w:tc>
        <w:tc>
          <w:tcPr>
            <w:tcW w:w="2020" w:type="dxa"/>
            <w:vAlign w:val="bottom"/>
            <w:vMerge w:val="restart"/>
          </w:tcPr>
          <w:p>
            <w:pPr>
              <w:spacing w:after="0"/>
              <w:rPr>
                <w:sz w:val="20"/>
                <w:szCs w:val="20"/>
                <w:color w:val="auto"/>
              </w:rPr>
            </w:pPr>
            <w:r>
              <w:rPr>
                <w:rFonts w:ascii="Arial" w:cs="Arial" w:eastAsia="Arial" w:hAnsi="Arial"/>
                <w:sz w:val="14"/>
                <w:szCs w:val="14"/>
                <w:color w:val="auto"/>
              </w:rPr>
              <w:t>Common</w:t>
            </w:r>
          </w:p>
        </w:tc>
        <w:tc>
          <w:tcPr>
            <w:tcW w:w="0" w:type="dxa"/>
            <w:vAlign w:val="bottom"/>
          </w:tcPr>
          <w:p>
            <w:pPr>
              <w:spacing w:after="0"/>
              <w:rPr>
                <w:sz w:val="1"/>
                <w:szCs w:val="1"/>
                <w:color w:val="auto"/>
              </w:rPr>
            </w:pPr>
          </w:p>
        </w:tc>
      </w:tr>
      <w:tr>
        <w:trPr>
          <w:trHeight w:val="109"/>
        </w:trPr>
        <w:tc>
          <w:tcPr>
            <w:tcW w:w="1060" w:type="dxa"/>
            <w:vAlign w:val="bottom"/>
            <w:vMerge w:val="restart"/>
          </w:tcPr>
          <w:p>
            <w:pPr>
              <w:ind w:left="120"/>
              <w:spacing w:after="0" w:line="141" w:lineRule="exact"/>
              <w:rPr>
                <w:sz w:val="20"/>
                <w:szCs w:val="20"/>
                <w:color w:val="auto"/>
              </w:rPr>
            </w:pPr>
            <w:r>
              <w:rPr>
                <w:rFonts w:ascii="Arial" w:cs="Arial" w:eastAsia="Arial" w:hAnsi="Arial"/>
                <w:sz w:val="14"/>
                <w:szCs w:val="14"/>
                <w:color w:val="auto"/>
              </w:rPr>
              <w:t>10170</w:t>
            </w:r>
          </w:p>
        </w:tc>
        <w:tc>
          <w:tcPr>
            <w:tcW w:w="1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1060" w:type="dxa"/>
            <w:vAlign w:val="bottom"/>
            <w:vMerge w:val="continue"/>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740" w:type="dxa"/>
            <w:vAlign w:val="bottom"/>
            <w:gridSpan w:val="2"/>
          </w:tcPr>
          <w:p>
            <w:pPr>
              <w:ind w:left="260"/>
              <w:spacing w:after="0"/>
              <w:rPr>
                <w:sz w:val="20"/>
                <w:szCs w:val="20"/>
                <w:color w:val="auto"/>
              </w:rPr>
            </w:pPr>
            <w:r>
              <w:rPr>
                <w:rFonts w:ascii="Arial" w:cs="Arial" w:eastAsia="Arial" w:hAnsi="Arial"/>
                <w:sz w:val="14"/>
                <w:szCs w:val="14"/>
                <w:color w:val="auto"/>
              </w:rPr>
              <w:t>Telecommunications</w:t>
            </w:r>
          </w:p>
        </w:tc>
        <w:tc>
          <w:tcPr>
            <w:tcW w:w="10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gridSpan w:val="2"/>
          </w:tcPr>
          <w:p>
            <w:pPr>
              <w:spacing w:after="0"/>
              <w:rPr>
                <w:sz w:val="20"/>
                <w:szCs w:val="20"/>
                <w:color w:val="auto"/>
              </w:rPr>
            </w:pPr>
            <w:r>
              <w:rPr>
                <w:rFonts w:ascii="Arial" w:cs="Arial" w:eastAsia="Arial" w:hAnsi="Arial"/>
                <w:sz w:val="14"/>
                <w:szCs w:val="14"/>
                <w:color w:val="auto"/>
              </w:rPr>
              <w:t>GIG Rooster Holdings I, LLC</w:t>
            </w:r>
          </w:p>
        </w:tc>
        <w:tc>
          <w:tcPr>
            <w:tcW w:w="1080" w:type="dxa"/>
            <w:vAlign w:val="bottom"/>
          </w:tcPr>
          <w:p>
            <w:pPr>
              <w:ind w:left="80"/>
              <w:spacing w:after="0"/>
              <w:rPr>
                <w:sz w:val="20"/>
                <w:szCs w:val="20"/>
                <w:color w:val="auto"/>
              </w:rPr>
            </w:pPr>
            <w:r>
              <w:rPr>
                <w:rFonts w:ascii="Arial" w:cs="Arial" w:eastAsia="Arial" w:hAnsi="Arial"/>
                <w:sz w:val="12"/>
                <w:szCs w:val="12"/>
                <w:color w:val="auto"/>
              </w:rPr>
              <w:t>(8)(13)(18)(19)</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740" w:type="dxa"/>
            <w:vAlign w:val="bottom"/>
            <w:gridSpan w:val="2"/>
          </w:tcPr>
          <w:p>
            <w:pPr>
              <w:spacing w:after="0" w:line="141" w:lineRule="exact"/>
              <w:rPr>
                <w:sz w:val="20"/>
                <w:szCs w:val="20"/>
                <w:color w:val="auto"/>
              </w:rPr>
            </w:pPr>
            <w:r>
              <w:rPr>
                <w:rFonts w:ascii="Arial" w:cs="Arial" w:eastAsia="Arial" w:hAnsi="Arial"/>
                <w:sz w:val="14"/>
                <w:szCs w:val="14"/>
                <w:color w:val="auto"/>
                <w:w w:val="94"/>
              </w:rPr>
              <w:t>16285 Park Ten Place, Suite 120 Houston, TX</w:t>
            </w:r>
          </w:p>
        </w:tc>
        <w:tc>
          <w:tcPr>
            <w:tcW w:w="1080" w:type="dxa"/>
            <w:vAlign w:val="bottom"/>
          </w:tcPr>
          <w:p>
            <w:pPr>
              <w:spacing w:after="0"/>
              <w:rPr>
                <w:sz w:val="12"/>
                <w:szCs w:val="12"/>
                <w:color w:val="auto"/>
              </w:rPr>
            </w:pPr>
          </w:p>
        </w:tc>
        <w:tc>
          <w:tcPr>
            <w:tcW w:w="2020" w:type="dxa"/>
            <w:vAlign w:val="bottom"/>
            <w:vMerge w:val="restart"/>
          </w:tcPr>
          <w:p>
            <w:pPr>
              <w:spacing w:after="0"/>
              <w:rPr>
                <w:sz w:val="20"/>
                <w:szCs w:val="20"/>
                <w:color w:val="auto"/>
              </w:rPr>
            </w:pPr>
            <w:r>
              <w:rPr>
                <w:rFonts w:ascii="Arial" w:cs="Arial" w:eastAsia="Arial" w:hAnsi="Arial"/>
                <w:sz w:val="14"/>
                <w:szCs w:val="14"/>
                <w:color w:val="auto"/>
              </w:rPr>
              <w:t>Common</w:t>
            </w:r>
          </w:p>
        </w:tc>
        <w:tc>
          <w:tcPr>
            <w:tcW w:w="0" w:type="dxa"/>
            <w:vAlign w:val="bottom"/>
          </w:tcPr>
          <w:p>
            <w:pPr>
              <w:spacing w:after="0"/>
              <w:rPr>
                <w:sz w:val="1"/>
                <w:szCs w:val="1"/>
                <w:color w:val="auto"/>
              </w:rPr>
            </w:pPr>
          </w:p>
        </w:tc>
      </w:tr>
      <w:tr>
        <w:trPr>
          <w:trHeight w:val="109"/>
        </w:trPr>
        <w:tc>
          <w:tcPr>
            <w:tcW w:w="1060" w:type="dxa"/>
            <w:vAlign w:val="bottom"/>
            <w:vMerge w:val="restart"/>
          </w:tcPr>
          <w:p>
            <w:pPr>
              <w:ind w:left="120"/>
              <w:spacing w:after="0" w:line="141" w:lineRule="exact"/>
              <w:rPr>
                <w:sz w:val="20"/>
                <w:szCs w:val="20"/>
                <w:color w:val="auto"/>
              </w:rPr>
            </w:pPr>
            <w:r>
              <w:rPr>
                <w:rFonts w:ascii="Arial" w:cs="Arial" w:eastAsia="Arial" w:hAnsi="Arial"/>
                <w:sz w:val="14"/>
                <w:szCs w:val="14"/>
                <w:color w:val="auto"/>
              </w:rPr>
              <w:t>77084</w:t>
            </w:r>
          </w:p>
        </w:tc>
        <w:tc>
          <w:tcPr>
            <w:tcW w:w="1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1060" w:type="dxa"/>
            <w:vAlign w:val="bottom"/>
            <w:vMerge w:val="continue"/>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740" w:type="dxa"/>
            <w:vAlign w:val="bottom"/>
            <w:gridSpan w:val="2"/>
          </w:tcPr>
          <w:p>
            <w:pPr>
              <w:ind w:left="260"/>
              <w:spacing w:after="0"/>
              <w:rPr>
                <w:sz w:val="20"/>
                <w:szCs w:val="20"/>
                <w:color w:val="auto"/>
              </w:rPr>
            </w:pPr>
            <w:r>
              <w:rPr>
                <w:rFonts w:ascii="Arial" w:cs="Arial" w:eastAsia="Arial" w:hAnsi="Arial"/>
                <w:sz w:val="14"/>
                <w:szCs w:val="14"/>
                <w:color w:val="auto"/>
              </w:rPr>
              <w:t>Energy: Oil &amp; Gas</w:t>
            </w:r>
          </w:p>
        </w:tc>
        <w:tc>
          <w:tcPr>
            <w:tcW w:w="10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gridSpan w:val="2"/>
          </w:tcPr>
          <w:p>
            <w:pPr>
              <w:spacing w:after="0"/>
              <w:rPr>
                <w:sz w:val="20"/>
                <w:szCs w:val="20"/>
                <w:color w:val="auto"/>
              </w:rPr>
            </w:pPr>
            <w:r>
              <w:rPr>
                <w:rFonts w:ascii="Arial" w:cs="Arial" w:eastAsia="Arial" w:hAnsi="Arial"/>
                <w:sz w:val="14"/>
                <w:szCs w:val="14"/>
                <w:color w:val="auto"/>
                <w:w w:val="95"/>
              </w:rPr>
              <w:t>KC Engineering &amp; Construction Services, LLC</w:t>
            </w:r>
          </w:p>
        </w:tc>
        <w:tc>
          <w:tcPr>
            <w:tcW w:w="1080" w:type="dxa"/>
            <w:vAlign w:val="bottom"/>
          </w:tcPr>
          <w:p>
            <w:pPr>
              <w:ind w:left="80"/>
              <w:spacing w:after="0"/>
              <w:rPr>
                <w:sz w:val="20"/>
                <w:szCs w:val="20"/>
                <w:color w:val="auto"/>
              </w:rPr>
            </w:pPr>
            <w:r>
              <w:rPr>
                <w:rFonts w:ascii="Arial" w:cs="Arial" w:eastAsia="Arial" w:hAnsi="Arial"/>
                <w:sz w:val="12"/>
                <w:szCs w:val="12"/>
                <w:color w:val="auto"/>
              </w:rPr>
              <w:t>(8)(13)(19)(25)</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740" w:type="dxa"/>
            <w:vAlign w:val="bottom"/>
            <w:gridSpan w:val="2"/>
          </w:tcPr>
          <w:p>
            <w:pPr>
              <w:spacing w:after="0" w:line="141" w:lineRule="exact"/>
              <w:rPr>
                <w:sz w:val="20"/>
                <w:szCs w:val="20"/>
                <w:color w:val="auto"/>
              </w:rPr>
            </w:pPr>
            <w:r>
              <w:rPr>
                <w:rFonts w:ascii="Arial" w:cs="Arial" w:eastAsia="Arial" w:hAnsi="Arial"/>
                <w:sz w:val="14"/>
                <w:szCs w:val="14"/>
                <w:color w:val="auto"/>
                <w:w w:val="92"/>
              </w:rPr>
              <w:t>4921 Memorial Highway, Suite 300, Tampa, FL</w:t>
            </w:r>
          </w:p>
        </w:tc>
        <w:tc>
          <w:tcPr>
            <w:tcW w:w="1080" w:type="dxa"/>
            <w:vAlign w:val="bottom"/>
          </w:tcPr>
          <w:p>
            <w:pPr>
              <w:spacing w:after="0"/>
              <w:rPr>
                <w:sz w:val="12"/>
                <w:szCs w:val="12"/>
                <w:color w:val="auto"/>
              </w:rPr>
            </w:pPr>
          </w:p>
        </w:tc>
        <w:tc>
          <w:tcPr>
            <w:tcW w:w="2020" w:type="dxa"/>
            <w:vAlign w:val="bottom"/>
            <w:vMerge w:val="restart"/>
          </w:tcPr>
          <w:p>
            <w:pPr>
              <w:spacing w:after="0"/>
              <w:rPr>
                <w:sz w:val="20"/>
                <w:szCs w:val="20"/>
                <w:color w:val="auto"/>
              </w:rPr>
            </w:pPr>
            <w:r>
              <w:rPr>
                <w:rFonts w:ascii="Arial" w:cs="Arial" w:eastAsia="Arial" w:hAnsi="Arial"/>
                <w:sz w:val="14"/>
                <w:szCs w:val="14"/>
                <w:color w:val="auto"/>
              </w:rPr>
              <w:t>Common Stock</w:t>
            </w:r>
          </w:p>
        </w:tc>
        <w:tc>
          <w:tcPr>
            <w:tcW w:w="0" w:type="dxa"/>
            <w:vAlign w:val="bottom"/>
          </w:tcPr>
          <w:p>
            <w:pPr>
              <w:spacing w:after="0"/>
              <w:rPr>
                <w:sz w:val="1"/>
                <w:szCs w:val="1"/>
                <w:color w:val="auto"/>
              </w:rPr>
            </w:pPr>
          </w:p>
        </w:tc>
      </w:tr>
      <w:tr>
        <w:trPr>
          <w:trHeight w:val="109"/>
        </w:trPr>
        <w:tc>
          <w:tcPr>
            <w:tcW w:w="1060" w:type="dxa"/>
            <w:vAlign w:val="bottom"/>
            <w:vMerge w:val="restart"/>
          </w:tcPr>
          <w:p>
            <w:pPr>
              <w:ind w:left="120"/>
              <w:spacing w:after="0" w:line="141" w:lineRule="exact"/>
              <w:rPr>
                <w:sz w:val="20"/>
                <w:szCs w:val="20"/>
                <w:color w:val="auto"/>
              </w:rPr>
            </w:pPr>
            <w:r>
              <w:rPr>
                <w:rFonts w:ascii="Arial" w:cs="Arial" w:eastAsia="Arial" w:hAnsi="Arial"/>
                <w:sz w:val="14"/>
                <w:szCs w:val="14"/>
                <w:color w:val="auto"/>
              </w:rPr>
              <w:t>33634</w:t>
            </w:r>
          </w:p>
        </w:tc>
        <w:tc>
          <w:tcPr>
            <w:tcW w:w="1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1060" w:type="dxa"/>
            <w:vAlign w:val="bottom"/>
            <w:vMerge w:val="continue"/>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740" w:type="dxa"/>
            <w:vAlign w:val="bottom"/>
            <w:gridSpan w:val="2"/>
          </w:tcPr>
          <w:p>
            <w:pPr>
              <w:ind w:left="260"/>
              <w:spacing w:after="0"/>
              <w:rPr>
                <w:sz w:val="20"/>
                <w:szCs w:val="20"/>
                <w:color w:val="auto"/>
              </w:rPr>
            </w:pPr>
            <w:r>
              <w:rPr>
                <w:rFonts w:ascii="Arial" w:cs="Arial" w:eastAsia="Arial" w:hAnsi="Arial"/>
                <w:sz w:val="14"/>
                <w:szCs w:val="14"/>
                <w:color w:val="auto"/>
              </w:rPr>
              <w:t>Environmental Industries</w:t>
            </w:r>
          </w:p>
        </w:tc>
        <w:tc>
          <w:tcPr>
            <w:tcW w:w="10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gridSpan w:val="2"/>
          </w:tcPr>
          <w:p>
            <w:pPr>
              <w:spacing w:after="0"/>
              <w:rPr>
                <w:sz w:val="20"/>
                <w:szCs w:val="20"/>
                <w:color w:val="auto"/>
              </w:rPr>
            </w:pPr>
            <w:r>
              <w:rPr>
                <w:rFonts w:ascii="Arial" w:cs="Arial" w:eastAsia="Arial" w:hAnsi="Arial"/>
                <w:sz w:val="14"/>
                <w:szCs w:val="14"/>
                <w:color w:val="auto"/>
              </w:rPr>
              <w:t>Kleen-Tech Acquisition, LLC</w:t>
            </w:r>
          </w:p>
        </w:tc>
        <w:tc>
          <w:tcPr>
            <w:tcW w:w="1080" w:type="dxa"/>
            <w:vAlign w:val="bottom"/>
          </w:tcPr>
          <w:p>
            <w:pPr>
              <w:ind w:left="80"/>
              <w:spacing w:after="0"/>
              <w:rPr>
                <w:sz w:val="20"/>
                <w:szCs w:val="20"/>
                <w:color w:val="auto"/>
              </w:rPr>
            </w:pPr>
            <w:r>
              <w:rPr>
                <w:rFonts w:ascii="Arial" w:cs="Arial" w:eastAsia="Arial" w:hAnsi="Arial"/>
                <w:sz w:val="12"/>
                <w:szCs w:val="12"/>
                <w:color w:val="auto"/>
                <w:w w:val="97"/>
              </w:rPr>
              <w:t>(8)(13)(18)(19)(25)</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740" w:type="dxa"/>
            <w:vAlign w:val="bottom"/>
            <w:gridSpan w:val="2"/>
          </w:tcPr>
          <w:p>
            <w:pPr>
              <w:spacing w:after="0" w:line="141" w:lineRule="exact"/>
              <w:rPr>
                <w:sz w:val="20"/>
                <w:szCs w:val="20"/>
                <w:color w:val="auto"/>
              </w:rPr>
            </w:pPr>
            <w:r>
              <w:rPr>
                <w:rFonts w:ascii="Arial" w:cs="Arial" w:eastAsia="Arial" w:hAnsi="Arial"/>
                <w:sz w:val="14"/>
                <w:szCs w:val="14"/>
                <w:color w:val="auto"/>
                <w:w w:val="95"/>
              </w:rPr>
              <w:t>7100 Broadway, Suite 6-L, Denver, CO 80221</w:t>
            </w:r>
          </w:p>
        </w:tc>
        <w:tc>
          <w:tcPr>
            <w:tcW w:w="1080" w:type="dxa"/>
            <w:vAlign w:val="bottom"/>
          </w:tcPr>
          <w:p>
            <w:pPr>
              <w:spacing w:after="0"/>
              <w:rPr>
                <w:sz w:val="12"/>
                <w:szCs w:val="12"/>
                <w:color w:val="auto"/>
              </w:rPr>
            </w:pPr>
          </w:p>
        </w:tc>
        <w:tc>
          <w:tcPr>
            <w:tcW w:w="2020" w:type="dxa"/>
            <w:vAlign w:val="bottom"/>
          </w:tcPr>
          <w:p>
            <w:pPr>
              <w:spacing w:after="0" w:line="141" w:lineRule="exact"/>
              <w:rPr>
                <w:sz w:val="20"/>
                <w:szCs w:val="20"/>
                <w:color w:val="auto"/>
              </w:rPr>
            </w:pPr>
            <w:r>
              <w:rPr>
                <w:rFonts w:ascii="Arial" w:cs="Arial" w:eastAsia="Arial" w:hAnsi="Arial"/>
                <w:sz w:val="14"/>
                <w:szCs w:val="14"/>
                <w:color w:val="auto"/>
              </w:rPr>
              <w:t>Common Stock</w:t>
            </w:r>
          </w:p>
        </w:tc>
        <w:tc>
          <w:tcPr>
            <w:tcW w:w="0" w:type="dxa"/>
            <w:vAlign w:val="bottom"/>
          </w:tcPr>
          <w:p>
            <w:pPr>
              <w:spacing w:after="0"/>
              <w:rPr>
                <w:sz w:val="1"/>
                <w:szCs w:val="1"/>
                <w:color w:val="auto"/>
              </w:rPr>
            </w:pPr>
          </w:p>
        </w:tc>
      </w:tr>
      <w:tr>
        <w:trPr>
          <w:trHeight w:val="173"/>
        </w:trPr>
        <w:tc>
          <w:tcPr>
            <w:tcW w:w="2740" w:type="dxa"/>
            <w:vAlign w:val="bottom"/>
            <w:gridSpan w:val="2"/>
          </w:tcPr>
          <w:p>
            <w:pPr>
              <w:ind w:left="260"/>
              <w:spacing w:after="0"/>
              <w:rPr>
                <w:sz w:val="20"/>
                <w:szCs w:val="20"/>
                <w:color w:val="auto"/>
              </w:rPr>
            </w:pPr>
            <w:r>
              <w:rPr>
                <w:rFonts w:ascii="Arial" w:cs="Arial" w:eastAsia="Arial" w:hAnsi="Arial"/>
                <w:sz w:val="14"/>
                <w:szCs w:val="14"/>
                <w:color w:val="auto"/>
              </w:rPr>
              <w:t>Services: Business</w:t>
            </w:r>
          </w:p>
        </w:tc>
        <w:tc>
          <w:tcPr>
            <w:tcW w:w="10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gridSpan w:val="2"/>
          </w:tcPr>
          <w:p>
            <w:pPr>
              <w:spacing w:after="0"/>
              <w:rPr>
                <w:sz w:val="20"/>
                <w:szCs w:val="20"/>
                <w:color w:val="auto"/>
              </w:rPr>
            </w:pPr>
            <w:r>
              <w:rPr>
                <w:rFonts w:ascii="Arial" w:cs="Arial" w:eastAsia="Arial" w:hAnsi="Arial"/>
                <w:sz w:val="14"/>
                <w:szCs w:val="14"/>
                <w:color w:val="auto"/>
              </w:rPr>
              <w:t>New Millennium Holdco, Inc.</w:t>
            </w:r>
          </w:p>
        </w:tc>
        <w:tc>
          <w:tcPr>
            <w:tcW w:w="1080" w:type="dxa"/>
            <w:vAlign w:val="bottom"/>
          </w:tcPr>
          <w:p>
            <w:pPr>
              <w:ind w:left="80"/>
              <w:spacing w:after="0"/>
              <w:rPr>
                <w:sz w:val="20"/>
                <w:szCs w:val="20"/>
                <w:color w:val="auto"/>
              </w:rPr>
            </w:pPr>
            <w:r>
              <w:rPr>
                <w:rFonts w:ascii="Arial" w:cs="Arial" w:eastAsia="Arial" w:hAnsi="Arial"/>
                <w:sz w:val="12"/>
                <w:szCs w:val="12"/>
                <w:color w:val="auto"/>
              </w:rPr>
              <w:t>(8)(13)(19)</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740" w:type="dxa"/>
            <w:vAlign w:val="bottom"/>
            <w:gridSpan w:val="2"/>
          </w:tcPr>
          <w:p>
            <w:pPr>
              <w:spacing w:after="0" w:line="141" w:lineRule="exact"/>
              <w:rPr>
                <w:sz w:val="20"/>
                <w:szCs w:val="20"/>
                <w:color w:val="auto"/>
              </w:rPr>
            </w:pPr>
            <w:r>
              <w:rPr>
                <w:rFonts w:ascii="Arial" w:cs="Arial" w:eastAsia="Arial" w:hAnsi="Arial"/>
                <w:sz w:val="14"/>
                <w:szCs w:val="14"/>
                <w:color w:val="auto"/>
                <w:w w:val="91"/>
              </w:rPr>
              <w:t>(Millennium Health, LLC) 16981 Via Tazon, San</w:t>
            </w:r>
          </w:p>
        </w:tc>
        <w:tc>
          <w:tcPr>
            <w:tcW w:w="1080" w:type="dxa"/>
            <w:vAlign w:val="bottom"/>
          </w:tcPr>
          <w:p>
            <w:pPr>
              <w:spacing w:after="0"/>
              <w:rPr>
                <w:sz w:val="12"/>
                <w:szCs w:val="12"/>
                <w:color w:val="auto"/>
              </w:rPr>
            </w:pPr>
          </w:p>
        </w:tc>
        <w:tc>
          <w:tcPr>
            <w:tcW w:w="2020" w:type="dxa"/>
            <w:vAlign w:val="bottom"/>
            <w:vMerge w:val="restart"/>
          </w:tcPr>
          <w:p>
            <w:pPr>
              <w:spacing w:after="0"/>
              <w:rPr>
                <w:sz w:val="20"/>
                <w:szCs w:val="20"/>
                <w:color w:val="auto"/>
              </w:rPr>
            </w:pPr>
            <w:r>
              <w:rPr>
                <w:rFonts w:ascii="Arial" w:cs="Arial" w:eastAsia="Arial" w:hAnsi="Arial"/>
                <w:sz w:val="14"/>
                <w:szCs w:val="14"/>
                <w:color w:val="auto"/>
              </w:rPr>
              <w:t>Common</w:t>
            </w:r>
          </w:p>
        </w:tc>
        <w:tc>
          <w:tcPr>
            <w:tcW w:w="0" w:type="dxa"/>
            <w:vAlign w:val="bottom"/>
          </w:tcPr>
          <w:p>
            <w:pPr>
              <w:spacing w:after="0"/>
              <w:rPr>
                <w:sz w:val="1"/>
                <w:szCs w:val="1"/>
                <w:color w:val="auto"/>
              </w:rPr>
            </w:pPr>
          </w:p>
        </w:tc>
      </w:tr>
      <w:tr>
        <w:trPr>
          <w:trHeight w:val="109"/>
        </w:trPr>
        <w:tc>
          <w:tcPr>
            <w:tcW w:w="2740" w:type="dxa"/>
            <w:vAlign w:val="bottom"/>
            <w:gridSpan w:val="2"/>
            <w:vMerge w:val="restart"/>
          </w:tcPr>
          <w:p>
            <w:pPr>
              <w:ind w:left="120"/>
              <w:spacing w:after="0" w:line="141" w:lineRule="exact"/>
              <w:rPr>
                <w:sz w:val="20"/>
                <w:szCs w:val="20"/>
                <w:color w:val="auto"/>
              </w:rPr>
            </w:pPr>
            <w:r>
              <w:rPr>
                <w:rFonts w:ascii="Arial" w:cs="Arial" w:eastAsia="Arial" w:hAnsi="Arial"/>
                <w:sz w:val="14"/>
                <w:szCs w:val="14"/>
                <w:color w:val="auto"/>
              </w:rPr>
              <w:t>Diego, CA 92127</w:t>
            </w:r>
          </w:p>
        </w:tc>
        <w:tc>
          <w:tcPr>
            <w:tcW w:w="108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740" w:type="dxa"/>
            <w:vAlign w:val="bottom"/>
            <w:gridSpan w:val="2"/>
            <w:vMerge w:val="continue"/>
          </w:tcPr>
          <w:p>
            <w:pPr>
              <w:spacing w:after="0"/>
              <w:rPr>
                <w:sz w:val="2"/>
                <w:szCs w:val="2"/>
                <w:color w:val="auto"/>
              </w:rPr>
            </w:pPr>
          </w:p>
        </w:tc>
        <w:tc>
          <w:tcPr>
            <w:tcW w:w="1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740" w:type="dxa"/>
            <w:vAlign w:val="bottom"/>
            <w:gridSpan w:val="2"/>
          </w:tcPr>
          <w:p>
            <w:pPr>
              <w:ind w:left="260"/>
              <w:spacing w:after="0"/>
              <w:rPr>
                <w:sz w:val="20"/>
                <w:szCs w:val="20"/>
                <w:color w:val="auto"/>
              </w:rPr>
            </w:pPr>
            <w:r>
              <w:rPr>
                <w:rFonts w:ascii="Arial" w:cs="Arial" w:eastAsia="Arial" w:hAnsi="Arial"/>
                <w:sz w:val="14"/>
                <w:szCs w:val="14"/>
                <w:color w:val="auto"/>
              </w:rPr>
              <w:t>Healthcare &amp; Pharmaceuticals</w:t>
            </w:r>
          </w:p>
        </w:tc>
        <w:tc>
          <w:tcPr>
            <w:tcW w:w="10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100" w:type="dxa"/>
            <w:vAlign w:val="bottom"/>
            <w:gridSpan w:val="2"/>
          </w:tcPr>
          <w:p>
            <w:pPr>
              <w:ind w:left="238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-4866640</wp:posOffset>
            </wp:positionV>
            <wp:extent cx="6620510" cy="365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20510" cy="36512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-4095750</wp:posOffset>
            </wp:positionV>
            <wp:extent cx="6620510" cy="275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20510" cy="275590"/>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-3414395</wp:posOffset>
            </wp:positionV>
            <wp:extent cx="6620510" cy="365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20510" cy="36512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-2554605</wp:posOffset>
            </wp:positionV>
            <wp:extent cx="6620510" cy="275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20510" cy="275590"/>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-1783715</wp:posOffset>
            </wp:positionV>
            <wp:extent cx="6620510" cy="3651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20510" cy="36512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-923290</wp:posOffset>
            </wp:positionV>
            <wp:extent cx="6620510" cy="275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20510" cy="275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Initial</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r>
      <w:tr>
        <w:trPr>
          <w:trHeight w:val="141"/>
        </w:trPr>
        <w:tc>
          <w:tcPr>
            <w:tcW w:w="82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6"/>
              </w:rPr>
              <w:t>Acquisition</w:t>
            </w:r>
          </w:p>
        </w:tc>
        <w:tc>
          <w:tcPr>
            <w:tcW w:w="80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Quantity/</w:t>
            </w:r>
          </w:p>
        </w:tc>
        <w:tc>
          <w:tcPr>
            <w:tcW w:w="88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Percent of</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180"/>
              <w:spacing w:after="0" w:line="141" w:lineRule="exact"/>
              <w:rPr>
                <w:sz w:val="20"/>
                <w:szCs w:val="20"/>
                <w:color w:val="auto"/>
              </w:rPr>
            </w:pPr>
            <w:r>
              <w:rPr>
                <w:rFonts w:ascii="Arial" w:cs="Arial" w:eastAsia="Arial" w:hAnsi="Arial"/>
                <w:sz w:val="14"/>
                <w:szCs w:val="14"/>
                <w:b w:val="1"/>
                <w:bCs w:val="1"/>
                <w:color w:val="auto"/>
              </w:rPr>
              <w:t>Fair</w:t>
            </w:r>
          </w:p>
        </w:tc>
        <w:tc>
          <w:tcPr>
            <w:tcW w:w="48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8"/>
              </w:rPr>
              <w:t>Net</w:t>
            </w:r>
          </w:p>
        </w:tc>
      </w:tr>
      <w:tr>
        <w:trPr>
          <w:trHeight w:val="161"/>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Par/Shares</w:t>
            </w:r>
          </w:p>
        </w:tc>
        <w:tc>
          <w:tcPr>
            <w:tcW w:w="140" w:type="dxa"/>
            <w:vAlign w:val="bottom"/>
          </w:tcPr>
          <w:p>
            <w:pPr>
              <w:spacing w:after="0"/>
              <w:rPr>
                <w:sz w:val="13"/>
                <w:szCs w:val="13"/>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Class Held</w:t>
            </w:r>
          </w:p>
        </w:tc>
        <w:tc>
          <w:tcPr>
            <w:tcW w:w="260" w:type="dxa"/>
            <w:vAlign w:val="bottom"/>
          </w:tcPr>
          <w:p>
            <w:pPr>
              <w:spacing w:after="0"/>
              <w:rPr>
                <w:sz w:val="13"/>
                <w:szCs w:val="13"/>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Assets</w:t>
            </w:r>
          </w:p>
        </w:tc>
        <w:tc>
          <w:tcPr>
            <w:tcW w:w="120" w:type="dxa"/>
            <w:vAlign w:val="bottom"/>
          </w:tcPr>
          <w:p>
            <w:pPr>
              <w:spacing w:after="0"/>
              <w:rPr>
                <w:sz w:val="13"/>
                <w:szCs w:val="13"/>
                <w:color w:val="auto"/>
              </w:rPr>
            </w:pPr>
          </w:p>
        </w:tc>
      </w:tr>
      <w:tr>
        <w:trPr>
          <w:trHeight w:val="569"/>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10/28/2020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36,342</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0.4%</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42,447</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537"/>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150,000</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3.9%</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418,387</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400,000</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537"/>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6/17/2020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1,000,000</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16.7%</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1,256,211</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1,546,700</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0.6%</w:t>
            </w:r>
          </w:p>
        </w:tc>
      </w:tr>
      <w:tr>
        <w:trPr>
          <w:trHeight w:val="537"/>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10/28/2020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1,085,565</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2.4%</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345,834</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2,008,295</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0.7%</w:t>
            </w:r>
          </w:p>
        </w:tc>
      </w:tr>
      <w:tr>
        <w:trPr>
          <w:trHeight w:val="677"/>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1,938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46.1%</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280,170</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300,000</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677"/>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1,000</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19.2%</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529,787</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580,448</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0.2%</w:t>
            </w:r>
          </w:p>
        </w:tc>
      </w:tr>
      <w:tr>
        <w:trPr>
          <w:trHeight w:val="537"/>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2/2/2007</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1,500,000</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0.2%</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1,500,000</w:t>
            </w:r>
          </w:p>
        </w:tc>
        <w:tc>
          <w:tcPr>
            <w:tcW w:w="14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738,000</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677"/>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10/28/2020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121,871</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3.1%</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865,853</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220,587</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677"/>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10/28/2020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99</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9.9%</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79,200</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677"/>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131,081</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2.5%</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4,314,740</w:t>
            </w:r>
          </w:p>
        </w:tc>
        <w:tc>
          <w:tcPr>
            <w:tcW w:w="14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4,500,000</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1.7%</w:t>
            </w:r>
          </w:p>
        </w:tc>
      </w:tr>
      <w:tr>
        <w:trPr>
          <w:trHeight w:val="537"/>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250,000</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6.9%</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1,264,409</w:t>
            </w:r>
          </w:p>
        </w:tc>
        <w:tc>
          <w:tcPr>
            <w:tcW w:w="14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1,240,000</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0.5%</w:t>
            </w:r>
          </w:p>
        </w:tc>
      </w:tr>
      <w:tr>
        <w:trPr>
          <w:trHeight w:val="677"/>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10/7/2014</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29,699</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0.0%</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1,953,299</w:t>
            </w:r>
          </w:p>
        </w:tc>
        <w:tc>
          <w:tcPr>
            <w:tcW w:w="14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1,000</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0.0%</w:t>
            </w:r>
          </w:p>
        </w:tc>
      </w:tr>
    </w:tbl>
    <w:p>
      <w:pPr>
        <w:sectPr>
          <w:pgSz w:w="11900" w:h="16838" w:orient="portrait"/>
          <w:cols w:equalWidth="0" w:num="2">
            <w:col w:w="6260" w:space="100"/>
            <w:col w:w="4440"/>
          </w:cols>
          <w:pgMar w:left="320" w:top="443" w:right="77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0800"/>
          </w:cols>
          <w:pgMar w:left="320" w:top="443" w:right="77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Portfolio Company /</w:t>
      </w:r>
    </w:p>
    <w:p>
      <w:pPr>
        <w:ind w:left="420"/>
        <w:spacing w:after="0" w:line="228" w:lineRule="auto"/>
        <w:rPr>
          <w:sz w:val="20"/>
          <w:szCs w:val="20"/>
          <w:color w:val="auto"/>
        </w:rPr>
      </w:pPr>
      <w:r>
        <w:rPr>
          <w:rFonts w:ascii="Arial" w:cs="Arial" w:eastAsia="Arial" w:hAnsi="Arial"/>
          <w:sz w:val="14"/>
          <w:szCs w:val="14"/>
          <w:b w:val="1"/>
          <w:bCs w:val="1"/>
          <w:u w:val="single" w:color="auto"/>
          <w:color w:val="auto"/>
        </w:rPr>
        <w:t>Principal Business</w:t>
      </w:r>
    </w:p>
    <w:p>
      <w:pPr>
        <w:ind w:left="420"/>
        <w:spacing w:after="0" w:line="210" w:lineRule="auto"/>
        <w:rPr>
          <w:sz w:val="20"/>
          <w:szCs w:val="20"/>
          <w:color w:val="auto"/>
        </w:rPr>
      </w:pPr>
      <w:r>
        <w:rPr>
          <w:rFonts w:ascii="Arial" w:cs="Arial" w:eastAsia="Arial" w:hAnsi="Arial"/>
          <w:sz w:val="14"/>
          <w:szCs w:val="14"/>
          <w:color w:val="auto"/>
        </w:rPr>
        <w:t>Northeast Metal Works LLC</w:t>
      </w:r>
    </w:p>
    <w:p>
      <w:pPr>
        <w:ind w:left="420"/>
        <w:spacing w:after="0"/>
        <w:rPr>
          <w:sz w:val="20"/>
          <w:szCs w:val="20"/>
          <w:color w:val="auto"/>
        </w:rPr>
      </w:pPr>
      <w:r>
        <w:rPr>
          <w:rFonts w:ascii="Arial" w:cs="Arial" w:eastAsia="Arial" w:hAnsi="Arial"/>
          <w:sz w:val="12"/>
          <w:szCs w:val="12"/>
          <w:color w:val="auto"/>
        </w:rPr>
        <w:t>410 John Downey Drive, New Britain, CT 06051</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Metals &amp; Mining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11"/>
          <w:szCs w:val="11"/>
          <w:b w:val="1"/>
          <w:bCs w:val="1"/>
          <w:color w:val="auto"/>
        </w:rPr>
        <w:t>15</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(8)(13)(18)(19)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-80010</wp:posOffset>
            </wp:positionV>
            <wp:extent cx="6620510" cy="275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20510" cy="275590"/>
                    </a:xfrm>
                    <a:prstGeom prst="rect">
                      <a:avLst/>
                    </a:prstGeom>
                    <a:noFill/>
                  </pic:spPr>
                </pic:pic>
              </a:graphicData>
            </a:graphic>
          </wp:anchor>
        </w:drawing>
      </w:r>
    </w:p>
    <w:p>
      <w:pPr>
        <w:ind w:left="820" w:hanging="694"/>
        <w:spacing w:after="0" w:line="180" w:lineRule="auto"/>
        <w:tabs>
          <w:tab w:leader="none" w:pos="820" w:val="left"/>
        </w:tabs>
        <w:numPr>
          <w:ilvl w:val="0"/>
          <w:numId w:val="21"/>
        </w:numPr>
        <w:rPr>
          <w:rFonts w:ascii="Arial" w:cs="Arial" w:eastAsia="Arial" w:hAnsi="Arial"/>
          <w:sz w:val="21"/>
          <w:szCs w:val="21"/>
          <w:color w:val="auto"/>
          <w:vertAlign w:val="superscript"/>
        </w:rPr>
      </w:pPr>
      <w:r>
        <w:rPr>
          <w:rFonts w:ascii="Arial" w:cs="Arial" w:eastAsia="Arial" w:hAnsi="Arial"/>
          <w:sz w:val="13"/>
          <w:szCs w:val="13"/>
          <w:color w:val="auto"/>
        </w:rPr>
        <w:t>Preferred Stock</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Initial</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 of</w:t>
            </w:r>
          </w:p>
        </w:tc>
      </w:tr>
      <w:tr>
        <w:trPr>
          <w:trHeight w:val="141"/>
        </w:trPr>
        <w:tc>
          <w:tcPr>
            <w:tcW w:w="80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9"/>
              </w:rPr>
              <w:t>Acquisition</w:t>
            </w:r>
          </w:p>
        </w:tc>
        <w:tc>
          <w:tcPr>
            <w:tcW w:w="78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Quantity/</w:t>
            </w:r>
          </w:p>
        </w:tc>
        <w:tc>
          <w:tcPr>
            <w:tcW w:w="88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Percent of</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Fair</w:t>
            </w:r>
          </w:p>
        </w:tc>
        <w:tc>
          <w:tcPr>
            <w:tcW w:w="50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8"/>
              </w:rPr>
              <w:t>Net</w:t>
            </w:r>
          </w:p>
        </w:tc>
      </w:tr>
      <w:tr>
        <w:trPr>
          <w:trHeight w:val="161"/>
        </w:trPr>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4"/>
              </w:rPr>
              <w:t>Par/Shares</w:t>
            </w:r>
          </w:p>
        </w:tc>
        <w:tc>
          <w:tcPr>
            <w:tcW w:w="1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Class Held</w:t>
            </w: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Value</w:t>
            </w:r>
            <w:r>
              <w:rPr>
                <w:rFonts w:ascii="Arial" w:cs="Arial" w:eastAsia="Arial" w:hAnsi="Arial"/>
                <w:sz w:val="11"/>
                <w:szCs w:val="11"/>
                <w:b w:val="1"/>
                <w:bCs w:val="1"/>
                <w:color w:val="auto"/>
                <w:w w:val="87"/>
              </w:rPr>
              <w:t>2</w:t>
            </w: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8"/>
              </w:rPr>
              <w:t>Assets</w:t>
            </w:r>
          </w:p>
        </w:tc>
      </w:tr>
      <w:tr>
        <w:trPr>
          <w:trHeight w:val="20"/>
        </w:trPr>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9"/>
        </w:trPr>
        <w:tc>
          <w:tcPr>
            <w:tcW w:w="680" w:type="dxa"/>
            <w:vAlign w:val="bottom"/>
          </w:tcPr>
          <w:p>
            <w:pPr>
              <w:jc w:val="right"/>
              <w:spacing w:after="0"/>
              <w:rPr>
                <w:sz w:val="20"/>
                <w:szCs w:val="20"/>
                <w:color w:val="auto"/>
              </w:rPr>
            </w:pPr>
            <w:r>
              <w:rPr>
                <w:rFonts w:ascii="Arial" w:cs="Arial" w:eastAsia="Arial" w:hAnsi="Arial"/>
                <w:sz w:val="14"/>
                <w:szCs w:val="14"/>
                <w:color w:val="auto"/>
              </w:rPr>
              <w:t>6/9/2021</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2,368</w:t>
            </w:r>
          </w:p>
        </w:tc>
        <w:tc>
          <w:tcPr>
            <w:tcW w:w="12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22.8%</w:t>
            </w: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0.0%</w:t>
            </w:r>
          </w:p>
        </w:tc>
      </w:tr>
    </w:tbl>
    <w:p>
      <w:pPr>
        <w:spacing w:after="0" w:line="61" w:lineRule="exact"/>
        <w:rPr>
          <w:sz w:val="20"/>
          <w:szCs w:val="20"/>
          <w:color w:val="auto"/>
        </w:rPr>
      </w:pPr>
    </w:p>
    <w:p>
      <w:pPr>
        <w:sectPr>
          <w:pgSz w:w="11900" w:h="16838" w:orient="portrait"/>
          <w:cols w:equalWidth="0" w:num="3">
            <w:col w:w="3100" w:space="400"/>
            <w:col w:w="2100" w:space="600"/>
            <w:col w:w="4600"/>
          </w:cols>
          <w:pgMar w:left="320" w:top="443" w:right="779" w:bottom="1440" w:gutter="0" w:footer="0" w:header="0"/>
          <w:type w:val="continuous"/>
        </w:sectPr>
      </w:pPr>
    </w:p>
    <w:p>
      <w:pPr>
        <w:ind w:left="420"/>
        <w:spacing w:after="0"/>
        <w:rPr>
          <w:sz w:val="20"/>
          <w:szCs w:val="20"/>
          <w:color w:val="auto"/>
        </w:rPr>
      </w:pPr>
      <w:r>
        <w:rPr>
          <w:rFonts w:ascii="Arial" w:cs="Arial" w:eastAsia="Arial" w:hAnsi="Arial"/>
          <w:sz w:val="14"/>
          <w:szCs w:val="14"/>
          <w:color w:val="auto"/>
        </w:rPr>
        <w:t>Ohene Holdings B.V.</w:t>
      </w:r>
    </w:p>
    <w:p>
      <w:pPr>
        <w:ind w:left="540" w:right="140" w:hanging="135"/>
        <w:spacing w:after="0" w:line="209" w:lineRule="auto"/>
        <w:rPr>
          <w:sz w:val="20"/>
          <w:szCs w:val="20"/>
          <w:color w:val="auto"/>
        </w:rPr>
      </w:pPr>
      <w:r>
        <w:rPr>
          <w:rFonts w:ascii="Arial" w:cs="Arial" w:eastAsia="Arial" w:hAnsi="Arial"/>
          <w:sz w:val="14"/>
          <w:szCs w:val="14"/>
          <w:color w:val="auto"/>
        </w:rPr>
        <w:t>Gustav Mahlerplein 23 A Symp 5th, Amsterdam, 1082MS</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High Tech Industries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Prosper Marketplace</w:t>
      </w:r>
    </w:p>
    <w:p>
      <w:pPr>
        <w:ind w:left="420"/>
        <w:spacing w:after="0" w:line="209" w:lineRule="auto"/>
        <w:rPr>
          <w:sz w:val="20"/>
          <w:szCs w:val="20"/>
          <w:color w:val="auto"/>
        </w:rPr>
      </w:pPr>
      <w:r>
        <w:rPr>
          <w:rFonts w:ascii="Arial" w:cs="Arial" w:eastAsia="Arial" w:hAnsi="Arial"/>
          <w:sz w:val="14"/>
          <w:szCs w:val="14"/>
          <w:color w:val="auto"/>
        </w:rPr>
        <w:t>P.O. Box 396081 San Francisco, CA 94139</w:t>
      </w:r>
    </w:p>
    <w:p>
      <w:pPr>
        <w:ind w:left="680"/>
        <w:spacing w:after="0"/>
        <w:rPr>
          <w:sz w:val="20"/>
          <w:szCs w:val="20"/>
          <w:color w:val="auto"/>
        </w:rPr>
      </w:pPr>
      <w:r>
        <w:rPr>
          <w:rFonts w:ascii="Arial" w:cs="Arial" w:eastAsia="Arial" w:hAnsi="Arial"/>
          <w:sz w:val="14"/>
          <w:szCs w:val="14"/>
          <w:color w:val="auto"/>
        </w:rPr>
        <w:t>Consumer goods: Durable</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Ravn Air Group, Inc.</w:t>
      </w:r>
    </w:p>
    <w:p>
      <w:pPr>
        <w:ind w:left="420"/>
        <w:spacing w:after="0"/>
        <w:rPr>
          <w:sz w:val="20"/>
          <w:szCs w:val="20"/>
          <w:color w:val="auto"/>
        </w:rPr>
      </w:pPr>
      <w:r>
        <w:rPr>
          <w:rFonts w:ascii="Arial" w:cs="Arial" w:eastAsia="Arial" w:hAnsi="Arial"/>
          <w:sz w:val="12"/>
          <w:szCs w:val="12"/>
          <w:color w:val="auto"/>
        </w:rPr>
        <w:t>600 First Avenue, Suite 600 King of Prussia, PA</w:t>
      </w:r>
    </w:p>
    <w:p>
      <w:pPr>
        <w:ind w:left="540"/>
        <w:spacing w:after="0" w:line="213" w:lineRule="auto"/>
        <w:rPr>
          <w:sz w:val="20"/>
          <w:szCs w:val="20"/>
          <w:color w:val="auto"/>
        </w:rPr>
      </w:pPr>
      <w:r>
        <w:rPr>
          <w:rFonts w:ascii="Arial" w:cs="Arial" w:eastAsia="Arial" w:hAnsi="Arial"/>
          <w:sz w:val="14"/>
          <w:szCs w:val="14"/>
          <w:color w:val="auto"/>
        </w:rPr>
        <w:t>19406</w:t>
      </w:r>
    </w:p>
    <w:p>
      <w:pPr>
        <w:ind w:left="680"/>
        <w:spacing w:after="0"/>
        <w:rPr>
          <w:sz w:val="20"/>
          <w:szCs w:val="20"/>
          <w:color w:val="auto"/>
        </w:rPr>
      </w:pPr>
      <w:r>
        <w:rPr>
          <w:rFonts w:ascii="Arial" w:cs="Arial" w:eastAsia="Arial" w:hAnsi="Arial"/>
          <w:sz w:val="14"/>
          <w:szCs w:val="14"/>
          <w:color w:val="auto"/>
        </w:rPr>
        <w:t>Aerospace and Defense</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Roscoe Investors, LLC</w:t>
      </w:r>
    </w:p>
    <w:p>
      <w:pPr>
        <w:ind w:left="420"/>
        <w:spacing w:after="0"/>
        <w:rPr>
          <w:sz w:val="20"/>
          <w:szCs w:val="20"/>
          <w:color w:val="auto"/>
        </w:rPr>
      </w:pPr>
      <w:r>
        <w:rPr>
          <w:rFonts w:ascii="Arial" w:cs="Arial" w:eastAsia="Arial" w:hAnsi="Arial"/>
          <w:sz w:val="12"/>
          <w:szCs w:val="12"/>
          <w:color w:val="auto"/>
        </w:rPr>
        <w:t>21973 Commerce Parkway, Strongsville, OH 44149</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Healthcare &amp; Pharmaceuticals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Safety Services Holdings Corporation,</w:t>
      </w:r>
    </w:p>
    <w:p>
      <w:pPr>
        <w:ind w:left="420"/>
        <w:spacing w:after="0"/>
        <w:rPr>
          <w:sz w:val="20"/>
          <w:szCs w:val="20"/>
          <w:color w:val="auto"/>
        </w:rPr>
      </w:pPr>
      <w:r>
        <w:rPr>
          <w:rFonts w:ascii="Arial" w:cs="Arial" w:eastAsia="Arial" w:hAnsi="Arial"/>
          <w:sz w:val="12"/>
          <w:szCs w:val="12"/>
          <w:color w:val="auto"/>
        </w:rPr>
        <w:t>2626 S Roosevelt St, Suite 2, Tempe, AZ 85282</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Services: Business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Surge Busy Bee Holdings LLC</w:t>
      </w:r>
    </w:p>
    <w:p>
      <w:pPr>
        <w:ind w:left="420"/>
        <w:spacing w:after="0"/>
        <w:rPr>
          <w:sz w:val="20"/>
          <w:szCs w:val="20"/>
          <w:color w:val="auto"/>
        </w:rPr>
      </w:pPr>
      <w:r>
        <w:rPr>
          <w:rFonts w:ascii="Arial" w:cs="Arial" w:eastAsia="Arial" w:hAnsi="Arial"/>
          <w:sz w:val="12"/>
          <w:szCs w:val="12"/>
          <w:color w:val="auto"/>
        </w:rPr>
        <w:t>100 Crescent CT Suite 7061, Dallas, Texas 75201</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Services: Business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Surge Hippodrome Holdings LLC</w:t>
      </w:r>
    </w:p>
    <w:p>
      <w:pPr>
        <w:ind w:left="420"/>
        <w:spacing w:after="0"/>
        <w:rPr>
          <w:sz w:val="20"/>
          <w:szCs w:val="20"/>
          <w:color w:val="auto"/>
        </w:rPr>
      </w:pPr>
      <w:r>
        <w:rPr>
          <w:rFonts w:ascii="Arial" w:cs="Arial" w:eastAsia="Arial" w:hAnsi="Arial"/>
          <w:sz w:val="12"/>
          <w:szCs w:val="12"/>
          <w:color w:val="auto"/>
        </w:rPr>
        <w:t>1919 McKinney Avenue, Suite 2001, Dallas, Texas</w:t>
      </w:r>
    </w:p>
    <w:p>
      <w:pPr>
        <w:ind w:left="540"/>
        <w:spacing w:after="0" w:line="213" w:lineRule="auto"/>
        <w:rPr>
          <w:sz w:val="20"/>
          <w:szCs w:val="20"/>
          <w:color w:val="auto"/>
        </w:rPr>
      </w:pPr>
      <w:r>
        <w:rPr>
          <w:rFonts w:ascii="Arial" w:cs="Arial" w:eastAsia="Arial" w:hAnsi="Arial"/>
          <w:sz w:val="14"/>
          <w:szCs w:val="14"/>
          <w:color w:val="auto"/>
        </w:rPr>
        <w:t>75201</w:t>
      </w:r>
    </w:p>
    <w:p>
      <w:pPr>
        <w:ind w:left="680"/>
        <w:spacing w:after="0"/>
        <w:rPr>
          <w:sz w:val="20"/>
          <w:szCs w:val="20"/>
          <w:color w:val="auto"/>
        </w:rPr>
      </w:pPr>
      <w:r>
        <w:rPr>
          <w:rFonts w:ascii="Arial" w:cs="Arial" w:eastAsia="Arial" w:hAnsi="Arial"/>
          <w:sz w:val="14"/>
          <w:szCs w:val="14"/>
          <w:color w:val="auto"/>
        </w:rPr>
        <w:t>Services: Business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Surge Hippodrome Partners LP</w:t>
      </w:r>
    </w:p>
    <w:p>
      <w:pPr>
        <w:ind w:left="420"/>
        <w:spacing w:after="0"/>
        <w:rPr>
          <w:sz w:val="20"/>
          <w:szCs w:val="20"/>
          <w:color w:val="auto"/>
        </w:rPr>
      </w:pPr>
      <w:r>
        <w:rPr>
          <w:rFonts w:ascii="Arial" w:cs="Arial" w:eastAsia="Arial" w:hAnsi="Arial"/>
          <w:sz w:val="12"/>
          <w:szCs w:val="12"/>
          <w:color w:val="auto"/>
        </w:rPr>
        <w:t>1919 McKinney Avenue, Suite 2001, Dallas, Texas</w:t>
      </w:r>
    </w:p>
    <w:p>
      <w:pPr>
        <w:ind w:left="540"/>
        <w:spacing w:after="0" w:line="213" w:lineRule="auto"/>
        <w:rPr>
          <w:sz w:val="20"/>
          <w:szCs w:val="20"/>
          <w:color w:val="auto"/>
        </w:rPr>
      </w:pPr>
      <w:r>
        <w:rPr>
          <w:rFonts w:ascii="Arial" w:cs="Arial" w:eastAsia="Arial" w:hAnsi="Arial"/>
          <w:sz w:val="14"/>
          <w:szCs w:val="14"/>
          <w:color w:val="auto"/>
        </w:rPr>
        <w:t>75201</w:t>
      </w:r>
    </w:p>
    <w:p>
      <w:pPr>
        <w:ind w:left="680"/>
        <w:spacing w:after="0"/>
        <w:rPr>
          <w:sz w:val="20"/>
          <w:szCs w:val="20"/>
          <w:color w:val="auto"/>
        </w:rPr>
      </w:pPr>
      <w:r>
        <w:rPr>
          <w:rFonts w:ascii="Arial" w:cs="Arial" w:eastAsia="Arial" w:hAnsi="Arial"/>
          <w:sz w:val="14"/>
          <w:szCs w:val="14"/>
          <w:color w:val="auto"/>
        </w:rPr>
        <w:t>Services: Business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Tank Partners Equipment Holdings LLC</w:t>
      </w:r>
    </w:p>
    <w:p>
      <w:pPr>
        <w:ind w:left="680" w:right="60" w:hanging="272"/>
        <w:spacing w:after="0" w:line="225" w:lineRule="auto"/>
        <w:rPr>
          <w:sz w:val="20"/>
          <w:szCs w:val="20"/>
          <w:color w:val="auto"/>
        </w:rPr>
      </w:pPr>
      <w:r>
        <w:rPr>
          <w:rFonts w:ascii="Arial" w:cs="Arial" w:eastAsia="Arial" w:hAnsi="Arial"/>
          <w:sz w:val="14"/>
          <w:szCs w:val="14"/>
          <w:color w:val="auto"/>
        </w:rPr>
        <w:t>575 Fifth Avenue 14th Floor, New York NY 10017 Energy: Oil &amp; Gas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TRSO II, Inc.</w:t>
      </w:r>
    </w:p>
    <w:p>
      <w:pPr>
        <w:ind w:left="420"/>
        <w:spacing w:after="0"/>
        <w:rPr>
          <w:sz w:val="20"/>
          <w:szCs w:val="20"/>
          <w:color w:val="auto"/>
        </w:rPr>
      </w:pPr>
      <w:r>
        <w:rPr>
          <w:rFonts w:ascii="Arial" w:cs="Arial" w:eastAsia="Arial" w:hAnsi="Arial"/>
          <w:sz w:val="12"/>
          <w:szCs w:val="12"/>
          <w:color w:val="auto"/>
        </w:rPr>
        <w:t>2700 E. Interstate 20 P.O. Box 2488, Odessa, TX</w:t>
      </w:r>
    </w:p>
    <w:p>
      <w:pPr>
        <w:ind w:left="540"/>
        <w:spacing w:after="0" w:line="213" w:lineRule="auto"/>
        <w:rPr>
          <w:sz w:val="20"/>
          <w:szCs w:val="20"/>
          <w:color w:val="auto"/>
        </w:rPr>
      </w:pPr>
      <w:r>
        <w:rPr>
          <w:rFonts w:ascii="Arial" w:cs="Arial" w:eastAsia="Arial" w:hAnsi="Arial"/>
          <w:sz w:val="14"/>
          <w:szCs w:val="14"/>
          <w:color w:val="auto"/>
        </w:rPr>
        <w:t>79760</w:t>
      </w:r>
    </w:p>
    <w:p>
      <w:pPr>
        <w:ind w:left="680"/>
        <w:spacing w:after="0"/>
        <w:rPr>
          <w:sz w:val="20"/>
          <w:szCs w:val="20"/>
          <w:color w:val="auto"/>
        </w:rPr>
      </w:pPr>
      <w:r>
        <w:rPr>
          <w:rFonts w:ascii="Arial" w:cs="Arial" w:eastAsia="Arial" w:hAnsi="Arial"/>
          <w:sz w:val="14"/>
          <w:szCs w:val="14"/>
          <w:color w:val="auto"/>
        </w:rPr>
        <w:t>Energy: Oil &amp;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(3)(13)(19)</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0"/>
          <w:szCs w:val="10"/>
          <w:color w:val="auto"/>
        </w:rPr>
        <w:t>(6)(8)(13)(19)</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(8)(13)(19)</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2"/>
          <w:szCs w:val="12"/>
          <w:color w:val="auto"/>
        </w:rPr>
        <w:t>(8)(13)(19)</w:t>
      </w:r>
    </w:p>
    <w:p>
      <w:pPr>
        <w:spacing w:after="0" w:line="399" w:lineRule="exact"/>
        <w:rPr>
          <w:sz w:val="20"/>
          <w:szCs w:val="20"/>
          <w:color w:val="auto"/>
        </w:rPr>
      </w:pPr>
    </w:p>
    <w:p>
      <w:pPr>
        <w:spacing w:after="0"/>
        <w:rPr>
          <w:sz w:val="20"/>
          <w:szCs w:val="20"/>
          <w:color w:val="auto"/>
        </w:rPr>
      </w:pPr>
      <w:r>
        <w:rPr>
          <w:rFonts w:ascii="Arial" w:cs="Arial" w:eastAsia="Arial" w:hAnsi="Arial"/>
          <w:sz w:val="12"/>
          <w:szCs w:val="12"/>
          <w:color w:val="auto"/>
        </w:rPr>
        <w:t>(8)(13)(19)</w:t>
      </w:r>
    </w:p>
    <w:p>
      <w:pPr>
        <w:spacing w:after="0" w:line="399" w:lineRule="exact"/>
        <w:rPr>
          <w:sz w:val="20"/>
          <w:szCs w:val="20"/>
          <w:color w:val="auto"/>
        </w:rPr>
      </w:pPr>
    </w:p>
    <w:p>
      <w:pPr>
        <w:spacing w:after="0"/>
        <w:rPr>
          <w:sz w:val="20"/>
          <w:szCs w:val="20"/>
          <w:color w:val="auto"/>
        </w:rPr>
      </w:pPr>
      <w:r>
        <w:rPr>
          <w:rFonts w:ascii="Arial" w:cs="Arial" w:eastAsia="Arial" w:hAnsi="Arial"/>
          <w:sz w:val="10"/>
          <w:szCs w:val="10"/>
          <w:color w:val="auto"/>
        </w:rPr>
        <w:t>(8)(13)(19)(25)</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0"/>
          <w:szCs w:val="10"/>
          <w:color w:val="auto"/>
        </w:rPr>
        <w:t>(8)(13)(18)(19)</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(25)</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0"/>
          <w:szCs w:val="10"/>
          <w:color w:val="auto"/>
        </w:rPr>
        <w:t>(8)(13)(18)(19)</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(25)</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0"/>
          <w:szCs w:val="10"/>
          <w:color w:val="auto"/>
        </w:rPr>
        <w:t>(8)(9)(13)(19)</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(8)(13)(19)</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201295</wp:posOffset>
            </wp:positionV>
            <wp:extent cx="6620510" cy="275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20510" cy="2755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Class B Preferred Units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color w:val="auto"/>
        </w:rPr>
        <w:t>Class B Membership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215900</wp:posOffset>
            </wp:positionV>
            <wp:extent cx="6620510" cy="275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20510" cy="2755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Class A Units</w:t>
      </w: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160655</wp:posOffset>
            </wp:positionV>
            <wp:extent cx="6620510" cy="275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20510" cy="27559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Warrants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201295</wp:posOffset>
            </wp:positionV>
            <wp:extent cx="6620510" cy="365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20510" cy="36512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Common Stock</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Class A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160655</wp:posOffset>
            </wp:positionV>
            <wp:extent cx="6620510" cy="365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20510" cy="36512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jc w:val="right"/>
              <w:ind w:right="92"/>
              <w:spacing w:after="0"/>
              <w:rPr>
                <w:sz w:val="20"/>
                <w:szCs w:val="20"/>
                <w:color w:val="auto"/>
              </w:rPr>
            </w:pPr>
            <w:r>
              <w:rPr>
                <w:rFonts w:ascii="Arial" w:cs="Arial" w:eastAsia="Arial" w:hAnsi="Arial"/>
                <w:sz w:val="14"/>
                <w:szCs w:val="14"/>
                <w:color w:val="auto"/>
                <w:w w:val="96"/>
              </w:rPr>
              <w:t>3/31/2019</w:t>
            </w:r>
          </w:p>
        </w:tc>
        <w:tc>
          <w:tcPr>
            <w:tcW w:w="880" w:type="dxa"/>
            <w:vAlign w:val="bottom"/>
          </w:tcPr>
          <w:p>
            <w:pPr>
              <w:jc w:val="right"/>
              <w:ind w:right="192"/>
              <w:spacing w:after="0"/>
              <w:rPr>
                <w:sz w:val="20"/>
                <w:szCs w:val="20"/>
                <w:color w:val="auto"/>
              </w:rPr>
            </w:pPr>
            <w:r>
              <w:rPr>
                <w:rFonts w:ascii="Arial" w:cs="Arial" w:eastAsia="Arial" w:hAnsi="Arial"/>
                <w:sz w:val="14"/>
                <w:szCs w:val="14"/>
                <w:color w:val="auto"/>
              </w:rPr>
              <w:t>4</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0.0%</w:t>
            </w:r>
          </w:p>
        </w:tc>
        <w:tc>
          <w:tcPr>
            <w:tcW w:w="86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537"/>
        </w:trPr>
        <w:tc>
          <w:tcPr>
            <w:tcW w:w="780" w:type="dxa"/>
            <w:vAlign w:val="bottom"/>
          </w:tcPr>
          <w:p>
            <w:pPr>
              <w:jc w:val="right"/>
              <w:ind w:right="92"/>
              <w:spacing w:after="0"/>
              <w:rPr>
                <w:sz w:val="20"/>
                <w:szCs w:val="20"/>
                <w:color w:val="auto"/>
              </w:rPr>
            </w:pPr>
            <w:r>
              <w:rPr>
                <w:rFonts w:ascii="Arial" w:cs="Arial" w:eastAsia="Arial" w:hAnsi="Arial"/>
                <w:sz w:val="14"/>
                <w:szCs w:val="14"/>
                <w:color w:val="auto"/>
                <w:w w:val="85"/>
              </w:rPr>
              <w:t>10/28/2020</w:t>
            </w:r>
          </w:p>
        </w:tc>
        <w:tc>
          <w:tcPr>
            <w:tcW w:w="880" w:type="dxa"/>
            <w:vAlign w:val="bottom"/>
          </w:tcPr>
          <w:p>
            <w:pPr>
              <w:jc w:val="right"/>
              <w:ind w:right="192"/>
              <w:spacing w:after="0"/>
              <w:rPr>
                <w:sz w:val="20"/>
                <w:szCs w:val="20"/>
                <w:color w:val="auto"/>
              </w:rPr>
            </w:pPr>
            <w:r>
              <w:rPr>
                <w:rFonts w:ascii="Arial" w:cs="Arial" w:eastAsia="Arial" w:hAnsi="Arial"/>
                <w:sz w:val="14"/>
                <w:szCs w:val="14"/>
                <w:color w:val="auto"/>
              </w:rPr>
              <w:t>912,865</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2.6%</w:t>
            </w: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278,865</w:t>
            </w: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264,731</w:t>
            </w:r>
          </w:p>
        </w:tc>
        <w:tc>
          <w:tcPr>
            <w:tcW w:w="4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677"/>
        </w:trPr>
        <w:tc>
          <w:tcPr>
            <w:tcW w:w="780" w:type="dxa"/>
            <w:vAlign w:val="bottom"/>
          </w:tcPr>
          <w:p>
            <w:pPr>
              <w:jc w:val="right"/>
              <w:ind w:right="92"/>
              <w:spacing w:after="0"/>
              <w:rPr>
                <w:sz w:val="20"/>
                <w:szCs w:val="20"/>
                <w:color w:val="auto"/>
              </w:rPr>
            </w:pPr>
            <w:r>
              <w:rPr>
                <w:rFonts w:ascii="Arial" w:cs="Arial" w:eastAsia="Arial" w:hAnsi="Arial"/>
                <w:sz w:val="14"/>
                <w:szCs w:val="14"/>
                <w:color w:val="auto"/>
                <w:w w:val="85"/>
              </w:rPr>
              <w:t>10/30/2020</w:t>
            </w:r>
          </w:p>
        </w:tc>
        <w:tc>
          <w:tcPr>
            <w:tcW w:w="880" w:type="dxa"/>
            <w:vAlign w:val="bottom"/>
          </w:tcPr>
          <w:p>
            <w:pPr>
              <w:jc w:val="right"/>
              <w:ind w:right="192"/>
              <w:spacing w:after="0"/>
              <w:rPr>
                <w:sz w:val="20"/>
                <w:szCs w:val="20"/>
                <w:color w:val="auto"/>
              </w:rPr>
            </w:pPr>
            <w:r>
              <w:rPr>
                <w:rFonts w:ascii="Arial" w:cs="Arial" w:eastAsia="Arial" w:hAnsi="Arial"/>
                <w:sz w:val="14"/>
                <w:szCs w:val="14"/>
                <w:color w:val="auto"/>
              </w:rPr>
              <w:t>1,172</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1.7%</w:t>
            </w: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247,543</w:t>
            </w: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71,223</w:t>
            </w:r>
          </w:p>
        </w:tc>
        <w:tc>
          <w:tcPr>
            <w:tcW w:w="46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537"/>
        </w:trPr>
        <w:tc>
          <w:tcPr>
            <w:tcW w:w="780" w:type="dxa"/>
            <w:vAlign w:val="bottom"/>
          </w:tcPr>
          <w:p>
            <w:pPr>
              <w:jc w:val="right"/>
              <w:ind w:right="92"/>
              <w:spacing w:after="0"/>
              <w:rPr>
                <w:sz w:val="20"/>
                <w:szCs w:val="20"/>
                <w:color w:val="auto"/>
              </w:rPr>
            </w:pPr>
            <w:r>
              <w:rPr>
                <w:rFonts w:ascii="Arial" w:cs="Arial" w:eastAsia="Arial" w:hAnsi="Arial"/>
                <w:sz w:val="14"/>
                <w:szCs w:val="14"/>
                <w:color w:val="auto"/>
                <w:w w:val="96"/>
              </w:rPr>
              <w:t>3/26/2014</w:t>
            </w:r>
          </w:p>
        </w:tc>
        <w:tc>
          <w:tcPr>
            <w:tcW w:w="880" w:type="dxa"/>
            <w:vAlign w:val="bottom"/>
          </w:tcPr>
          <w:p>
            <w:pPr>
              <w:jc w:val="right"/>
              <w:ind w:right="192"/>
              <w:spacing w:after="0"/>
              <w:rPr>
                <w:sz w:val="20"/>
                <w:szCs w:val="20"/>
                <w:color w:val="auto"/>
              </w:rPr>
            </w:pPr>
            <w:r>
              <w:rPr>
                <w:rFonts w:ascii="Arial" w:cs="Arial" w:eastAsia="Arial" w:hAnsi="Arial"/>
                <w:sz w:val="14"/>
                <w:szCs w:val="14"/>
                <w:color w:val="auto"/>
              </w:rPr>
              <w:t>10,000</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1.1%</w:t>
            </w: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1,000,000</w:t>
            </w: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483,000</w:t>
            </w:r>
          </w:p>
        </w:tc>
        <w:tc>
          <w:tcPr>
            <w:tcW w:w="46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537"/>
        </w:trPr>
        <w:tc>
          <w:tcPr>
            <w:tcW w:w="780" w:type="dxa"/>
            <w:vAlign w:val="bottom"/>
          </w:tcPr>
          <w:p>
            <w:pPr>
              <w:jc w:val="right"/>
              <w:ind w:right="92"/>
              <w:spacing w:after="0"/>
              <w:rPr>
                <w:sz w:val="20"/>
                <w:szCs w:val="20"/>
                <w:color w:val="auto"/>
              </w:rPr>
            </w:pPr>
            <w:r>
              <w:rPr>
                <w:rFonts w:ascii="Arial" w:cs="Arial" w:eastAsia="Arial" w:hAnsi="Arial"/>
                <w:sz w:val="14"/>
                <w:szCs w:val="14"/>
                <w:color w:val="auto"/>
              </w:rPr>
              <w:t>6/9/2021</w:t>
            </w:r>
          </w:p>
        </w:tc>
        <w:tc>
          <w:tcPr>
            <w:tcW w:w="880" w:type="dxa"/>
            <w:vAlign w:val="bottom"/>
          </w:tcPr>
          <w:p>
            <w:pPr>
              <w:jc w:val="right"/>
              <w:ind w:right="192"/>
              <w:spacing w:after="0"/>
              <w:rPr>
                <w:sz w:val="20"/>
                <w:szCs w:val="20"/>
                <w:color w:val="auto"/>
              </w:rPr>
            </w:pPr>
            <w:r>
              <w:rPr>
                <w:rFonts w:ascii="Arial" w:cs="Arial" w:eastAsia="Arial" w:hAnsi="Arial"/>
                <w:sz w:val="14"/>
                <w:szCs w:val="14"/>
                <w:color w:val="auto"/>
              </w:rPr>
              <w:t>100,000</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0.6%</w:t>
            </w: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43,334</w:t>
            </w: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50,000</w:t>
            </w:r>
          </w:p>
        </w:tc>
        <w:tc>
          <w:tcPr>
            <w:tcW w:w="46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537"/>
        </w:trPr>
        <w:tc>
          <w:tcPr>
            <w:tcW w:w="780" w:type="dxa"/>
            <w:vAlign w:val="bottom"/>
          </w:tcPr>
          <w:p>
            <w:pPr>
              <w:jc w:val="right"/>
              <w:ind w:right="92"/>
              <w:spacing w:after="0"/>
              <w:rPr>
                <w:sz w:val="20"/>
                <w:szCs w:val="20"/>
                <w:color w:val="auto"/>
              </w:rPr>
            </w:pPr>
            <w:r>
              <w:rPr>
                <w:rFonts w:ascii="Arial" w:cs="Arial" w:eastAsia="Arial" w:hAnsi="Arial"/>
                <w:sz w:val="14"/>
                <w:szCs w:val="14"/>
                <w:color w:val="auto"/>
              </w:rPr>
              <w:t>6/9/2021</w:t>
            </w:r>
          </w:p>
        </w:tc>
        <w:tc>
          <w:tcPr>
            <w:tcW w:w="880" w:type="dxa"/>
            <w:vAlign w:val="bottom"/>
          </w:tcPr>
          <w:p>
            <w:pPr>
              <w:jc w:val="right"/>
              <w:ind w:right="192"/>
              <w:spacing w:after="0"/>
              <w:rPr>
                <w:sz w:val="20"/>
                <w:szCs w:val="20"/>
                <w:color w:val="auto"/>
              </w:rPr>
            </w:pPr>
            <w:r>
              <w:rPr>
                <w:rFonts w:ascii="Arial" w:cs="Arial" w:eastAsia="Arial" w:hAnsi="Arial"/>
                <w:sz w:val="14"/>
                <w:szCs w:val="14"/>
                <w:color w:val="auto"/>
              </w:rPr>
              <w:t>105</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4.8%</w:t>
            </w: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62,571</w:t>
            </w:r>
          </w:p>
        </w:tc>
        <w:tc>
          <w:tcPr>
            <w:tcW w:w="8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677"/>
        </w:trPr>
        <w:tc>
          <w:tcPr>
            <w:tcW w:w="780" w:type="dxa"/>
            <w:vAlign w:val="bottom"/>
          </w:tcPr>
          <w:p>
            <w:pPr>
              <w:jc w:val="right"/>
              <w:ind w:right="92"/>
              <w:spacing w:after="0"/>
              <w:rPr>
                <w:sz w:val="20"/>
                <w:szCs w:val="20"/>
                <w:color w:val="auto"/>
              </w:rPr>
            </w:pPr>
            <w:r>
              <w:rPr>
                <w:rFonts w:ascii="Arial" w:cs="Arial" w:eastAsia="Arial" w:hAnsi="Arial"/>
                <w:sz w:val="14"/>
                <w:szCs w:val="14"/>
                <w:color w:val="auto"/>
              </w:rPr>
              <w:t>6/9/2021</w:t>
            </w:r>
          </w:p>
        </w:tc>
        <w:tc>
          <w:tcPr>
            <w:tcW w:w="880" w:type="dxa"/>
            <w:vAlign w:val="bottom"/>
          </w:tcPr>
          <w:p>
            <w:pPr>
              <w:jc w:val="right"/>
              <w:ind w:right="192"/>
              <w:spacing w:after="0"/>
              <w:rPr>
                <w:sz w:val="20"/>
                <w:szCs w:val="20"/>
                <w:color w:val="auto"/>
              </w:rPr>
            </w:pPr>
            <w:r>
              <w:rPr>
                <w:rFonts w:ascii="Arial" w:cs="Arial" w:eastAsia="Arial" w:hAnsi="Arial"/>
                <w:sz w:val="14"/>
                <w:szCs w:val="14"/>
                <w:color w:val="auto"/>
              </w:rPr>
              <w:t>10</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6.4%</w:t>
            </w: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159,322</w:t>
            </w: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180,000</w:t>
            </w:r>
          </w:p>
        </w:tc>
        <w:tc>
          <w:tcPr>
            <w:tcW w:w="4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677"/>
        </w:trPr>
        <w:tc>
          <w:tcPr>
            <w:tcW w:w="780" w:type="dxa"/>
            <w:vAlign w:val="bottom"/>
          </w:tcPr>
          <w:p>
            <w:pPr>
              <w:jc w:val="right"/>
              <w:ind w:right="92"/>
              <w:spacing w:after="0"/>
              <w:rPr>
                <w:sz w:val="20"/>
                <w:szCs w:val="20"/>
                <w:color w:val="auto"/>
              </w:rPr>
            </w:pPr>
            <w:r>
              <w:rPr>
                <w:rFonts w:ascii="Arial" w:cs="Arial" w:eastAsia="Arial" w:hAnsi="Arial"/>
                <w:sz w:val="14"/>
                <w:szCs w:val="14"/>
                <w:color w:val="auto"/>
              </w:rPr>
              <w:t>6/9/2021</w:t>
            </w:r>
          </w:p>
        </w:tc>
        <w:tc>
          <w:tcPr>
            <w:tcW w:w="880" w:type="dxa"/>
            <w:vAlign w:val="bottom"/>
          </w:tcPr>
          <w:p>
            <w:pPr>
              <w:jc w:val="right"/>
              <w:ind w:right="192"/>
              <w:spacing w:after="0"/>
              <w:rPr>
                <w:sz w:val="20"/>
                <w:szCs w:val="20"/>
                <w:color w:val="auto"/>
              </w:rPr>
            </w:pPr>
            <w:r>
              <w:rPr>
                <w:rFonts w:ascii="Arial" w:cs="Arial" w:eastAsia="Arial" w:hAnsi="Arial"/>
                <w:sz w:val="14"/>
                <w:szCs w:val="14"/>
                <w:color w:val="auto"/>
              </w:rPr>
              <w:t>176</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10.7%</w:t>
            </w: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357,029</w:t>
            </w: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300,000</w:t>
            </w:r>
          </w:p>
        </w:tc>
        <w:tc>
          <w:tcPr>
            <w:tcW w:w="4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537"/>
        </w:trPr>
        <w:tc>
          <w:tcPr>
            <w:tcW w:w="780" w:type="dxa"/>
            <w:vAlign w:val="bottom"/>
          </w:tcPr>
          <w:p>
            <w:pPr>
              <w:jc w:val="right"/>
              <w:ind w:right="92"/>
              <w:spacing w:after="0"/>
              <w:rPr>
                <w:sz w:val="20"/>
                <w:szCs w:val="20"/>
                <w:color w:val="auto"/>
              </w:rPr>
            </w:pPr>
            <w:r>
              <w:rPr>
                <w:rFonts w:ascii="Arial" w:cs="Arial" w:eastAsia="Arial" w:hAnsi="Arial"/>
                <w:sz w:val="14"/>
                <w:szCs w:val="14"/>
                <w:color w:val="auto"/>
                <w:w w:val="96"/>
              </w:rPr>
              <w:t>8/28/2014</w:t>
            </w:r>
          </w:p>
        </w:tc>
        <w:tc>
          <w:tcPr>
            <w:tcW w:w="880" w:type="dxa"/>
            <w:vAlign w:val="bottom"/>
          </w:tcPr>
          <w:p>
            <w:pPr>
              <w:jc w:val="right"/>
              <w:ind w:right="192"/>
              <w:spacing w:after="0"/>
              <w:rPr>
                <w:sz w:val="20"/>
                <w:szCs w:val="20"/>
                <w:color w:val="auto"/>
              </w:rPr>
            </w:pPr>
            <w:r>
              <w:rPr>
                <w:rFonts w:ascii="Arial" w:cs="Arial" w:eastAsia="Arial" w:hAnsi="Arial"/>
                <w:sz w:val="14"/>
                <w:szCs w:val="14"/>
                <w:color w:val="auto"/>
              </w:rPr>
              <w:t>49,000</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48.5%</w:t>
            </w: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6,228,000</w:t>
            </w:r>
          </w:p>
        </w:tc>
        <w:tc>
          <w:tcPr>
            <w:tcW w:w="8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677"/>
        </w:trPr>
        <w:tc>
          <w:tcPr>
            <w:tcW w:w="780" w:type="dxa"/>
            <w:vAlign w:val="bottom"/>
          </w:tcPr>
          <w:p>
            <w:pPr>
              <w:jc w:val="right"/>
              <w:ind w:right="92"/>
              <w:spacing w:after="0"/>
              <w:rPr>
                <w:sz w:val="20"/>
                <w:szCs w:val="20"/>
                <w:color w:val="auto"/>
              </w:rPr>
            </w:pPr>
            <w:r>
              <w:rPr>
                <w:rFonts w:ascii="Arial" w:cs="Arial" w:eastAsia="Arial" w:hAnsi="Arial"/>
                <w:sz w:val="14"/>
                <w:szCs w:val="14"/>
                <w:color w:val="auto"/>
                <w:w w:val="85"/>
              </w:rPr>
              <w:t>12/24/2012</w:t>
            </w:r>
          </w:p>
        </w:tc>
        <w:tc>
          <w:tcPr>
            <w:tcW w:w="880" w:type="dxa"/>
            <w:vAlign w:val="bottom"/>
          </w:tcPr>
          <w:p>
            <w:pPr>
              <w:jc w:val="right"/>
              <w:ind w:right="192"/>
              <w:spacing w:after="0"/>
              <w:rPr>
                <w:sz w:val="20"/>
                <w:szCs w:val="20"/>
                <w:color w:val="auto"/>
              </w:rPr>
            </w:pPr>
            <w:r>
              <w:rPr>
                <w:rFonts w:ascii="Arial" w:cs="Arial" w:eastAsia="Arial" w:hAnsi="Arial"/>
                <w:sz w:val="14"/>
                <w:szCs w:val="14"/>
                <w:color w:val="auto"/>
              </w:rPr>
              <w:t>1,228</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1.3%</w:t>
            </w: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420,289</w:t>
            </w:r>
          </w:p>
        </w:tc>
        <w:tc>
          <w:tcPr>
            <w:tcW w:w="8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0.0%</w:t>
            </w:r>
          </w:p>
        </w:tc>
      </w:tr>
    </w:tbl>
    <w:p>
      <w:pPr>
        <w:spacing w:after="0" w:line="61" w:lineRule="exact"/>
        <w:rPr>
          <w:sz w:val="20"/>
          <w:szCs w:val="20"/>
          <w:color w:val="auto"/>
        </w:rPr>
      </w:pPr>
    </w:p>
    <w:p>
      <w:pPr>
        <w:sectPr>
          <w:pgSz w:w="11900" w:h="16838" w:orient="portrait"/>
          <w:cols w:equalWidth="0" w:num="4">
            <w:col w:w="3240" w:space="260"/>
            <w:col w:w="700" w:space="120"/>
            <w:col w:w="1480" w:space="460"/>
            <w:col w:w="4540"/>
          </w:cols>
          <w:pgMar w:left="320" w:top="443" w:right="779" w:bottom="1440" w:gutter="0" w:footer="0" w:header="0"/>
          <w:type w:val="continuous"/>
        </w:sectPr>
      </w:pPr>
    </w:p>
    <w:p>
      <w:pPr>
        <w:ind w:left="420"/>
        <w:spacing w:after="0"/>
        <w:rPr>
          <w:sz w:val="20"/>
          <w:szCs w:val="20"/>
          <w:color w:val="auto"/>
        </w:rPr>
      </w:pPr>
      <w:r>
        <w:rPr>
          <w:rFonts w:ascii="Arial" w:cs="Arial" w:eastAsia="Arial" w:hAnsi="Arial"/>
          <w:sz w:val="14"/>
          <w:szCs w:val="14"/>
          <w:color w:val="auto"/>
        </w:rPr>
        <w:t>VTK Acquisition, Inc.</w:t>
      </w:r>
    </w:p>
    <w:p>
      <w:pPr>
        <w:ind w:left="420"/>
        <w:spacing w:after="0" w:line="209" w:lineRule="auto"/>
        <w:rPr>
          <w:sz w:val="20"/>
          <w:szCs w:val="20"/>
          <w:color w:val="auto"/>
        </w:rPr>
      </w:pPr>
      <w:r>
        <w:rPr>
          <w:rFonts w:ascii="Arial" w:cs="Arial" w:eastAsia="Arial" w:hAnsi="Arial"/>
          <w:sz w:val="14"/>
          <w:szCs w:val="14"/>
          <w:color w:val="auto"/>
        </w:rPr>
        <w:t>751 Summit Avenue, Mankato, MN 56001</w:t>
      </w:r>
    </w:p>
    <w:p>
      <w:pPr>
        <w:ind w:left="680"/>
        <w:spacing w:after="0"/>
        <w:rPr>
          <w:sz w:val="20"/>
          <w:szCs w:val="20"/>
          <w:color w:val="auto"/>
        </w:rPr>
      </w:pPr>
      <w:r>
        <w:rPr>
          <w:rFonts w:ascii="Arial" w:cs="Arial" w:eastAsia="Arial" w:hAnsi="Arial"/>
          <w:sz w:val="14"/>
          <w:szCs w:val="14"/>
          <w:color w:val="auto"/>
        </w:rPr>
        <w:t>Capital Equipment</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World Business Lenders, LLC</w:t>
      </w:r>
    </w:p>
    <w:p>
      <w:pPr>
        <w:ind w:left="680" w:hanging="272"/>
        <w:spacing w:after="0" w:line="285" w:lineRule="auto"/>
        <w:rPr>
          <w:sz w:val="20"/>
          <w:szCs w:val="20"/>
          <w:color w:val="auto"/>
        </w:rPr>
      </w:pPr>
      <w:r>
        <w:rPr>
          <w:rFonts w:ascii="Arial" w:cs="Arial" w:eastAsia="Arial" w:hAnsi="Arial"/>
          <w:sz w:val="12"/>
          <w:szCs w:val="12"/>
          <w:color w:val="auto"/>
        </w:rPr>
        <w:t>101 Hudson Street, 33rd Floor, Jersey City, NJ 07302 Banking, Finance, Insurance &amp; Real Estate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(8)(13)(18)(19)</w:t>
      </w:r>
    </w:p>
    <w:p>
      <w:pPr>
        <w:ind w:left="820" w:hanging="694"/>
        <w:spacing w:after="0" w:line="185" w:lineRule="auto"/>
        <w:tabs>
          <w:tab w:leader="none" w:pos="820" w:val="left"/>
        </w:tabs>
        <w:numPr>
          <w:ilvl w:val="0"/>
          <w:numId w:val="22"/>
        </w:numPr>
        <w:rPr>
          <w:rFonts w:ascii="Arial" w:cs="Arial" w:eastAsia="Arial" w:hAnsi="Arial"/>
          <w:sz w:val="19"/>
          <w:szCs w:val="19"/>
          <w:color w:val="auto"/>
          <w:vertAlign w:val="superscript"/>
        </w:rPr>
      </w:pPr>
      <w:r>
        <w:rPr>
          <w:rFonts w:ascii="Arial" w:cs="Arial" w:eastAsia="Arial" w:hAnsi="Arial"/>
          <w:sz w:val="12"/>
          <w:szCs w:val="12"/>
          <w:color w:val="auto"/>
        </w:rPr>
        <w:t>Common Stock</w:t>
      </w: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color w:val="auto"/>
        </w:rPr>
        <w:t>(13)(19)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-80010</wp:posOffset>
            </wp:positionV>
            <wp:extent cx="6620510" cy="275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20510" cy="275590"/>
                    </a:xfrm>
                    <a:prstGeom prst="rect">
                      <a:avLst/>
                    </a:prstGeom>
                    <a:noFill/>
                  </pic:spPr>
                </pic:pic>
              </a:graphicData>
            </a:graphic>
          </wp:anchor>
        </w:drawing>
      </w:r>
    </w:p>
    <w:p>
      <w:pPr>
        <w:jc w:val="right"/>
        <w:ind w:right="500"/>
        <w:spacing w:after="0"/>
        <w:rPr>
          <w:sz w:val="20"/>
          <w:szCs w:val="20"/>
          <w:color w:val="auto"/>
        </w:rPr>
      </w:pPr>
      <w:r>
        <w:rPr>
          <w:rFonts w:ascii="Arial" w:cs="Arial" w:eastAsia="Arial" w:hAnsi="Arial"/>
          <w:sz w:val="14"/>
          <w:szCs w:val="14"/>
          <w:color w:val="auto"/>
        </w:rPr>
        <w:t>Common Stock</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600" w:type="dxa"/>
            <w:vAlign w:val="bottom"/>
          </w:tcPr>
          <w:p>
            <w:pPr>
              <w:jc w:val="right"/>
              <w:ind w:right="52"/>
              <w:spacing w:after="0"/>
              <w:rPr>
                <w:sz w:val="20"/>
                <w:szCs w:val="20"/>
                <w:color w:val="auto"/>
              </w:rPr>
            </w:pPr>
            <w:r>
              <w:rPr>
                <w:rFonts w:ascii="Arial" w:cs="Arial" w:eastAsia="Arial" w:hAnsi="Arial"/>
                <w:sz w:val="14"/>
                <w:szCs w:val="14"/>
                <w:color w:val="auto"/>
                <w:w w:val="84"/>
              </w:rPr>
              <w:t>6/9/2021</w:t>
            </w:r>
          </w:p>
        </w:tc>
        <w:tc>
          <w:tcPr>
            <w:tcW w:w="660" w:type="dxa"/>
            <w:vAlign w:val="bottom"/>
          </w:tcPr>
          <w:p>
            <w:pPr>
              <w:jc w:val="right"/>
              <w:spacing w:after="0"/>
              <w:rPr>
                <w:sz w:val="20"/>
                <w:szCs w:val="20"/>
                <w:color w:val="auto"/>
              </w:rPr>
            </w:pPr>
            <w:r>
              <w:rPr>
                <w:rFonts w:ascii="Arial" w:cs="Arial" w:eastAsia="Arial" w:hAnsi="Arial"/>
                <w:sz w:val="14"/>
                <w:szCs w:val="14"/>
                <w:color w:val="auto"/>
              </w:rPr>
              <w:t>90</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9.0%</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250,959</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490,000</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0.2%</w:t>
            </w:r>
          </w:p>
        </w:tc>
      </w:tr>
      <w:tr>
        <w:trPr>
          <w:trHeight w:val="522"/>
        </w:trPr>
        <w:tc>
          <w:tcPr>
            <w:tcW w:w="600" w:type="dxa"/>
            <w:vAlign w:val="bottom"/>
          </w:tcPr>
          <w:p>
            <w:pPr>
              <w:jc w:val="right"/>
              <w:ind w:right="52"/>
              <w:spacing w:after="0"/>
              <w:rPr>
                <w:sz w:val="20"/>
                <w:szCs w:val="20"/>
                <w:color w:val="auto"/>
              </w:rPr>
            </w:pPr>
            <w:r>
              <w:rPr>
                <w:rFonts w:ascii="Arial" w:cs="Arial" w:eastAsia="Arial" w:hAnsi="Arial"/>
                <w:sz w:val="14"/>
                <w:szCs w:val="14"/>
                <w:color w:val="auto"/>
                <w:w w:val="84"/>
              </w:rPr>
              <w:t>6/9/2021</w:t>
            </w:r>
          </w:p>
        </w:tc>
        <w:tc>
          <w:tcPr>
            <w:tcW w:w="660" w:type="dxa"/>
            <w:vAlign w:val="bottom"/>
          </w:tcPr>
          <w:p>
            <w:pPr>
              <w:jc w:val="right"/>
              <w:spacing w:after="0"/>
              <w:rPr>
                <w:sz w:val="20"/>
                <w:szCs w:val="20"/>
                <w:color w:val="auto"/>
              </w:rPr>
            </w:pPr>
            <w:r>
              <w:rPr>
                <w:rFonts w:ascii="Arial" w:cs="Arial" w:eastAsia="Arial" w:hAnsi="Arial"/>
                <w:sz w:val="14"/>
                <w:szCs w:val="14"/>
                <w:color w:val="auto"/>
              </w:rPr>
              <w:t>49,209</w:t>
            </w:r>
          </w:p>
        </w:tc>
        <w:tc>
          <w:tcPr>
            <w:tcW w:w="12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0.3%</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7" w:lineRule="exact"/>
        <w:rPr>
          <w:sz w:val="20"/>
          <w:szCs w:val="20"/>
          <w:color w:val="auto"/>
        </w:rPr>
      </w:pPr>
    </w:p>
    <w:p>
      <w:pPr>
        <w:sectPr>
          <w:pgSz w:w="11900" w:h="16838" w:orient="portrait"/>
          <w:cols w:equalWidth="0" w:num="3">
            <w:col w:w="3320" w:space="180"/>
            <w:col w:w="2180" w:space="720"/>
            <w:col w:w="4400"/>
          </w:cols>
          <w:pgMar w:left="320" w:top="443" w:right="779" w:bottom="1440" w:gutter="0" w:footer="0" w:header="0"/>
          <w:type w:val="continuous"/>
        </w:sectPr>
      </w:pPr>
    </w:p>
    <w:p>
      <w:pPr>
        <w:ind w:left="420"/>
        <w:spacing w:after="0"/>
        <w:rPr>
          <w:sz w:val="20"/>
          <w:szCs w:val="20"/>
          <w:color w:val="auto"/>
        </w:rPr>
      </w:pPr>
      <w:r>
        <w:rPr>
          <w:rFonts w:ascii="Arial" w:cs="Arial" w:eastAsia="Arial" w:hAnsi="Arial"/>
          <w:sz w:val="14"/>
          <w:szCs w:val="14"/>
          <w:b w:val="1"/>
          <w:bCs w:val="1"/>
          <w:color w:val="auto"/>
        </w:rPr>
        <w:t>Total Investment in Equity Securities</w:t>
      </w:r>
    </w:p>
    <w:p>
      <w:pPr>
        <w:ind w:left="540"/>
        <w:spacing w:after="0"/>
        <w:rPr>
          <w:sz w:val="20"/>
          <w:szCs w:val="20"/>
          <w:color w:val="auto"/>
        </w:rPr>
      </w:pPr>
      <w:r>
        <w:rPr>
          <w:rFonts w:ascii="Arial" w:cs="Arial" w:eastAsia="Arial" w:hAnsi="Arial"/>
          <w:sz w:val="14"/>
          <w:szCs w:val="14"/>
          <w:b w:val="1"/>
          <w:bCs w:val="1"/>
          <w:color w:val="auto"/>
        </w:rPr>
        <w:t>(8.2% of net asset value at fair value)</w:t>
      </w:r>
    </w:p>
    <w:p>
      <w:pPr>
        <w:spacing w:after="0" w:line="140" w:lineRule="exact"/>
        <w:rPr>
          <w:sz w:val="20"/>
          <w:szCs w:val="20"/>
          <w:color w:val="auto"/>
        </w:rPr>
      </w:pPr>
    </w:p>
    <w:p>
      <w:pPr>
        <w:jc w:val="right"/>
        <w:ind w:right="2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29,041,687</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22,298,759</w:t>
            </w: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8.2%</w:t>
            </w:r>
          </w:p>
        </w:tc>
      </w:tr>
      <w:tr>
        <w:trPr>
          <w:trHeight w:val="20"/>
        </w:trPr>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ectPr>
          <w:pgSz w:w="11900" w:h="16838" w:orient="portrait"/>
          <w:cols w:equalWidth="0" w:num="2">
            <w:col w:w="7940" w:space="720"/>
            <w:col w:w="2140"/>
          </w:cols>
          <w:pgMar w:left="320" w:top="443" w:right="779" w:bottom="1440" w:gutter="0" w:footer="0" w:header="0"/>
          <w:type w:val="continuous"/>
        </w:sectPr>
      </w:pPr>
    </w:p>
    <w:bookmarkStart w:id="31" w:name="page32"/>
    <w:bookmarkEnd w:id="3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CLO Fund Securities</w:t>
      </w:r>
    </w:p>
    <w:p>
      <w:pPr>
        <w:spacing w:after="0" w:line="200" w:lineRule="exact"/>
        <w:rPr>
          <w:sz w:val="20"/>
          <w:szCs w:val="20"/>
          <w:color w:val="auto"/>
        </w:rPr>
      </w:pPr>
    </w:p>
    <w:p>
      <w:pPr>
        <w:spacing w:after="0" w:line="303"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Portfolio Company</w:t>
            </w:r>
          </w:p>
        </w:tc>
        <w:tc>
          <w:tcPr>
            <w:tcW w:w="1760" w:type="dxa"/>
            <w:vAlign w:val="bottom"/>
          </w:tcPr>
          <w:p>
            <w:pPr>
              <w:spacing w:after="0"/>
              <w:rPr>
                <w:sz w:val="14"/>
                <w:szCs w:val="14"/>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color w:val="auto"/>
              </w:rPr>
              <w:t>(3)(13)</w:t>
            </w:r>
          </w:p>
        </w:tc>
        <w:tc>
          <w:tcPr>
            <w:tcW w:w="0" w:type="dxa"/>
            <w:vAlign w:val="bottom"/>
          </w:tcPr>
          <w:p>
            <w:pPr>
              <w:spacing w:after="0"/>
              <w:rPr>
                <w:sz w:val="1"/>
                <w:szCs w:val="1"/>
                <w:color w:val="auto"/>
              </w:rPr>
            </w:pPr>
          </w:p>
        </w:tc>
      </w:tr>
      <w:tr>
        <w:trPr>
          <w:trHeight w:val="115"/>
        </w:trPr>
        <w:tc>
          <w:tcPr>
            <w:tcW w:w="2880" w:type="dxa"/>
            <w:vAlign w:val="bottom"/>
            <w:gridSpan w:val="2"/>
          </w:tcPr>
          <w:p>
            <w:pPr>
              <w:spacing w:after="0" w:line="115" w:lineRule="exact"/>
              <w:rPr>
                <w:sz w:val="20"/>
                <w:szCs w:val="20"/>
                <w:color w:val="auto"/>
              </w:rPr>
            </w:pPr>
            <w:r>
              <w:rPr>
                <w:rFonts w:ascii="Arial" w:cs="Arial" w:eastAsia="Arial" w:hAnsi="Arial"/>
                <w:sz w:val="12"/>
                <w:szCs w:val="12"/>
                <w:color w:val="auto"/>
              </w:rPr>
              <w:t>Catamaran CLO 2013- 1 Ltd.</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880" w:type="dxa"/>
            <w:vAlign w:val="bottom"/>
            <w:gridSpan w:val="2"/>
          </w:tcPr>
          <w:p>
            <w:pPr>
              <w:spacing w:after="0" w:line="141" w:lineRule="exact"/>
              <w:rPr>
                <w:sz w:val="20"/>
                <w:szCs w:val="20"/>
                <w:color w:val="auto"/>
              </w:rPr>
            </w:pPr>
            <w:r>
              <w:rPr>
                <w:rFonts w:ascii="Arial" w:cs="Arial" w:eastAsia="Arial" w:hAnsi="Arial"/>
                <w:sz w:val="14"/>
                <w:szCs w:val="14"/>
                <w:color w:val="auto"/>
                <w:w w:val="89"/>
              </w:rPr>
              <w:t>Boundary Hall, Cricket Square PO Box 1093 Grand</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Cayman, Ky1-1102 Cayman Islands</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spacing w:after="0"/>
              <w:rPr>
                <w:sz w:val="20"/>
                <w:szCs w:val="20"/>
                <w:color w:val="auto"/>
              </w:rPr>
            </w:pPr>
            <w:r>
              <w:rPr>
                <w:rFonts w:ascii="Arial" w:cs="Arial" w:eastAsia="Arial" w:hAnsi="Arial"/>
                <w:sz w:val="14"/>
                <w:szCs w:val="14"/>
                <w:color w:val="auto"/>
              </w:rPr>
              <w:t>Catamaran CLO 2014-1 Ltd.</w:t>
            </w:r>
          </w:p>
        </w:tc>
        <w:tc>
          <w:tcPr>
            <w:tcW w:w="520" w:type="dxa"/>
            <w:vAlign w:val="bottom"/>
          </w:tcPr>
          <w:p>
            <w:pPr>
              <w:ind w:left="60"/>
              <w:spacing w:after="0"/>
              <w:rPr>
                <w:sz w:val="20"/>
                <w:szCs w:val="20"/>
                <w:color w:val="auto"/>
              </w:rPr>
            </w:pPr>
            <w:r>
              <w:rPr>
                <w:rFonts w:ascii="Arial" w:cs="Arial" w:eastAsia="Arial" w:hAnsi="Arial"/>
                <w:sz w:val="12"/>
                <w:szCs w:val="12"/>
                <w:color w:val="auto"/>
              </w:rPr>
              <w:t>(3)(13)</w:t>
            </w:r>
          </w:p>
        </w:tc>
        <w:tc>
          <w:tcPr>
            <w:tcW w:w="0" w:type="dxa"/>
            <w:vAlign w:val="bottom"/>
          </w:tcPr>
          <w:p>
            <w:pPr>
              <w:spacing w:after="0"/>
              <w:rPr>
                <w:sz w:val="1"/>
                <w:szCs w:val="1"/>
                <w:color w:val="auto"/>
              </w:rPr>
            </w:pPr>
          </w:p>
        </w:tc>
      </w:tr>
      <w:tr>
        <w:trPr>
          <w:trHeight w:val="141"/>
        </w:trPr>
        <w:tc>
          <w:tcPr>
            <w:tcW w:w="2880" w:type="dxa"/>
            <w:vAlign w:val="bottom"/>
            <w:gridSpan w:val="2"/>
          </w:tcPr>
          <w:p>
            <w:pPr>
              <w:spacing w:after="0" w:line="141" w:lineRule="exact"/>
              <w:rPr>
                <w:sz w:val="20"/>
                <w:szCs w:val="20"/>
                <w:color w:val="auto"/>
              </w:rPr>
            </w:pPr>
            <w:r>
              <w:rPr>
                <w:rFonts w:ascii="Arial" w:cs="Arial" w:eastAsia="Arial" w:hAnsi="Arial"/>
                <w:sz w:val="14"/>
                <w:szCs w:val="14"/>
                <w:color w:val="auto"/>
              </w:rPr>
              <w:t>655 Broad Street 8th Floor Newark, NJ 07102</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United States</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spacing w:after="0"/>
              <w:rPr>
                <w:sz w:val="20"/>
                <w:szCs w:val="20"/>
                <w:color w:val="auto"/>
              </w:rPr>
            </w:pPr>
            <w:r>
              <w:rPr>
                <w:rFonts w:ascii="Arial" w:cs="Arial" w:eastAsia="Arial" w:hAnsi="Arial"/>
                <w:sz w:val="14"/>
                <w:szCs w:val="14"/>
                <w:color w:val="auto"/>
              </w:rPr>
              <w:t>Dryden 30 Senior Loan Fund</w:t>
            </w:r>
          </w:p>
        </w:tc>
        <w:tc>
          <w:tcPr>
            <w:tcW w:w="520" w:type="dxa"/>
            <w:vAlign w:val="bottom"/>
          </w:tcPr>
          <w:p>
            <w:pPr>
              <w:ind w:left="60"/>
              <w:spacing w:after="0"/>
              <w:rPr>
                <w:sz w:val="20"/>
                <w:szCs w:val="20"/>
                <w:color w:val="auto"/>
              </w:rPr>
            </w:pPr>
            <w:r>
              <w:rPr>
                <w:rFonts w:ascii="Arial" w:cs="Arial" w:eastAsia="Arial" w:hAnsi="Arial"/>
                <w:sz w:val="12"/>
                <w:szCs w:val="12"/>
                <w:color w:val="auto"/>
              </w:rPr>
              <w:t>(3)(13)</w:t>
            </w:r>
          </w:p>
        </w:tc>
        <w:tc>
          <w:tcPr>
            <w:tcW w:w="0" w:type="dxa"/>
            <w:vAlign w:val="bottom"/>
          </w:tcPr>
          <w:p>
            <w:pPr>
              <w:spacing w:after="0"/>
              <w:rPr>
                <w:sz w:val="1"/>
                <w:szCs w:val="1"/>
                <w:color w:val="auto"/>
              </w:rPr>
            </w:pPr>
          </w:p>
        </w:tc>
      </w:tr>
      <w:tr>
        <w:trPr>
          <w:trHeight w:val="141"/>
        </w:trPr>
        <w:tc>
          <w:tcPr>
            <w:tcW w:w="2880" w:type="dxa"/>
            <w:vAlign w:val="bottom"/>
            <w:gridSpan w:val="2"/>
          </w:tcPr>
          <w:p>
            <w:pPr>
              <w:spacing w:after="0" w:line="141" w:lineRule="exact"/>
              <w:rPr>
                <w:sz w:val="20"/>
                <w:szCs w:val="20"/>
                <w:color w:val="auto"/>
              </w:rPr>
            </w:pPr>
            <w:r>
              <w:rPr>
                <w:rFonts w:ascii="Arial" w:cs="Arial" w:eastAsia="Arial" w:hAnsi="Arial"/>
                <w:sz w:val="14"/>
                <w:szCs w:val="14"/>
                <w:color w:val="auto"/>
                <w:w w:val="89"/>
              </w:rPr>
              <w:t>Boundary Hall, Cricket Square PO Box 1093 Grand</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Cayman, Ky1-1102 Cayman Islands</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spacing w:after="0"/>
              <w:rPr>
                <w:sz w:val="20"/>
                <w:szCs w:val="20"/>
                <w:color w:val="auto"/>
              </w:rPr>
            </w:pPr>
            <w:r>
              <w:rPr>
                <w:rFonts w:ascii="Arial" w:cs="Arial" w:eastAsia="Arial" w:hAnsi="Arial"/>
                <w:sz w:val="14"/>
                <w:szCs w:val="14"/>
                <w:color w:val="auto"/>
              </w:rPr>
              <w:t>Catamaran CLO 2014-2 Ltd.</w:t>
            </w:r>
          </w:p>
        </w:tc>
        <w:tc>
          <w:tcPr>
            <w:tcW w:w="520" w:type="dxa"/>
            <w:vAlign w:val="bottom"/>
          </w:tcPr>
          <w:p>
            <w:pPr>
              <w:ind w:left="60"/>
              <w:spacing w:after="0"/>
              <w:rPr>
                <w:sz w:val="20"/>
                <w:szCs w:val="20"/>
                <w:color w:val="auto"/>
              </w:rPr>
            </w:pPr>
            <w:r>
              <w:rPr>
                <w:rFonts w:ascii="Arial" w:cs="Arial" w:eastAsia="Arial" w:hAnsi="Arial"/>
                <w:sz w:val="12"/>
                <w:szCs w:val="12"/>
                <w:color w:val="auto"/>
                <w:w w:val="86"/>
              </w:rPr>
              <w:t>(3)(7)(13)</w:t>
            </w:r>
          </w:p>
        </w:tc>
        <w:tc>
          <w:tcPr>
            <w:tcW w:w="0" w:type="dxa"/>
            <w:vAlign w:val="bottom"/>
          </w:tcPr>
          <w:p>
            <w:pPr>
              <w:spacing w:after="0"/>
              <w:rPr>
                <w:sz w:val="1"/>
                <w:szCs w:val="1"/>
                <w:color w:val="auto"/>
              </w:rPr>
            </w:pPr>
          </w:p>
        </w:tc>
      </w:tr>
      <w:tr>
        <w:trPr>
          <w:trHeight w:val="141"/>
        </w:trPr>
        <w:tc>
          <w:tcPr>
            <w:tcW w:w="2880" w:type="dxa"/>
            <w:vAlign w:val="bottom"/>
            <w:gridSpan w:val="2"/>
          </w:tcPr>
          <w:p>
            <w:pPr>
              <w:spacing w:after="0" w:line="141" w:lineRule="exact"/>
              <w:rPr>
                <w:sz w:val="20"/>
                <w:szCs w:val="20"/>
                <w:color w:val="auto"/>
              </w:rPr>
            </w:pPr>
            <w:r>
              <w:rPr>
                <w:rFonts w:ascii="Arial" w:cs="Arial" w:eastAsia="Arial" w:hAnsi="Arial"/>
                <w:sz w:val="14"/>
                <w:szCs w:val="14"/>
                <w:color w:val="auto"/>
                <w:w w:val="89"/>
              </w:rPr>
              <w:t>Boundary Hall, Cricket Square PO Box 1093 Grand</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Cayman, Ky1-1102 Cayman Islands</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spacing w:after="0"/>
              <w:rPr>
                <w:sz w:val="20"/>
                <w:szCs w:val="20"/>
                <w:color w:val="auto"/>
              </w:rPr>
            </w:pPr>
            <w:r>
              <w:rPr>
                <w:rFonts w:ascii="Arial" w:cs="Arial" w:eastAsia="Arial" w:hAnsi="Arial"/>
                <w:sz w:val="14"/>
                <w:szCs w:val="14"/>
                <w:color w:val="auto"/>
              </w:rPr>
              <w:t>Catamaran CLO 2015-1 Ltd.</w:t>
            </w:r>
          </w:p>
        </w:tc>
        <w:tc>
          <w:tcPr>
            <w:tcW w:w="520" w:type="dxa"/>
            <w:vAlign w:val="bottom"/>
          </w:tcPr>
          <w:p>
            <w:pPr>
              <w:ind w:left="60"/>
              <w:spacing w:after="0"/>
              <w:rPr>
                <w:sz w:val="20"/>
                <w:szCs w:val="20"/>
                <w:color w:val="auto"/>
              </w:rPr>
            </w:pPr>
            <w:r>
              <w:rPr>
                <w:rFonts w:ascii="Arial" w:cs="Arial" w:eastAsia="Arial" w:hAnsi="Arial"/>
                <w:sz w:val="12"/>
                <w:szCs w:val="12"/>
                <w:color w:val="auto"/>
              </w:rPr>
              <w:t>(3)(13)</w:t>
            </w:r>
          </w:p>
        </w:tc>
        <w:tc>
          <w:tcPr>
            <w:tcW w:w="0" w:type="dxa"/>
            <w:vAlign w:val="bottom"/>
          </w:tcPr>
          <w:p>
            <w:pPr>
              <w:spacing w:after="0"/>
              <w:rPr>
                <w:sz w:val="1"/>
                <w:szCs w:val="1"/>
                <w:color w:val="auto"/>
              </w:rPr>
            </w:pPr>
          </w:p>
        </w:tc>
      </w:tr>
      <w:tr>
        <w:trPr>
          <w:trHeight w:val="141"/>
        </w:trPr>
        <w:tc>
          <w:tcPr>
            <w:tcW w:w="2880" w:type="dxa"/>
            <w:vAlign w:val="bottom"/>
            <w:gridSpan w:val="2"/>
          </w:tcPr>
          <w:p>
            <w:pPr>
              <w:spacing w:after="0" w:line="141" w:lineRule="exact"/>
              <w:rPr>
                <w:sz w:val="20"/>
                <w:szCs w:val="20"/>
                <w:color w:val="auto"/>
              </w:rPr>
            </w:pPr>
            <w:r>
              <w:rPr>
                <w:rFonts w:ascii="Arial" w:cs="Arial" w:eastAsia="Arial" w:hAnsi="Arial"/>
                <w:sz w:val="14"/>
                <w:szCs w:val="14"/>
                <w:color w:val="auto"/>
                <w:w w:val="89"/>
              </w:rPr>
              <w:t>Boundary Hall, Cricket Square PO Box 1093 Grand</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Cayman, Ky1-1102 Cayman Islands</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spacing w:after="0"/>
              <w:rPr>
                <w:sz w:val="20"/>
                <w:szCs w:val="20"/>
                <w:color w:val="auto"/>
              </w:rPr>
            </w:pPr>
            <w:r>
              <w:rPr>
                <w:rFonts w:ascii="Arial" w:cs="Arial" w:eastAsia="Arial" w:hAnsi="Arial"/>
                <w:sz w:val="14"/>
                <w:szCs w:val="14"/>
                <w:color w:val="auto"/>
              </w:rPr>
              <w:t>Catamaran CLO 2018-1 Ltd</w:t>
            </w:r>
          </w:p>
        </w:tc>
        <w:tc>
          <w:tcPr>
            <w:tcW w:w="520" w:type="dxa"/>
            <w:vAlign w:val="bottom"/>
          </w:tcPr>
          <w:p>
            <w:pPr>
              <w:ind w:left="60"/>
              <w:spacing w:after="0"/>
              <w:rPr>
                <w:sz w:val="20"/>
                <w:szCs w:val="20"/>
                <w:color w:val="auto"/>
              </w:rPr>
            </w:pPr>
            <w:r>
              <w:rPr>
                <w:rFonts w:ascii="Arial" w:cs="Arial" w:eastAsia="Arial" w:hAnsi="Arial"/>
                <w:sz w:val="12"/>
                <w:szCs w:val="12"/>
                <w:color w:val="auto"/>
              </w:rPr>
              <w:t>(3)(13)</w:t>
            </w:r>
          </w:p>
        </w:tc>
        <w:tc>
          <w:tcPr>
            <w:tcW w:w="0" w:type="dxa"/>
            <w:vAlign w:val="bottom"/>
          </w:tcPr>
          <w:p>
            <w:pPr>
              <w:spacing w:after="0"/>
              <w:rPr>
                <w:sz w:val="1"/>
                <w:szCs w:val="1"/>
                <w:color w:val="auto"/>
              </w:rPr>
            </w:pPr>
          </w:p>
        </w:tc>
      </w:tr>
      <w:tr>
        <w:trPr>
          <w:trHeight w:val="141"/>
        </w:trPr>
        <w:tc>
          <w:tcPr>
            <w:tcW w:w="2880" w:type="dxa"/>
            <w:vAlign w:val="bottom"/>
            <w:gridSpan w:val="2"/>
          </w:tcPr>
          <w:p>
            <w:pPr>
              <w:spacing w:after="0" w:line="141" w:lineRule="exact"/>
              <w:rPr>
                <w:sz w:val="20"/>
                <w:szCs w:val="20"/>
                <w:color w:val="auto"/>
              </w:rPr>
            </w:pPr>
            <w:r>
              <w:rPr>
                <w:rFonts w:ascii="Arial" w:cs="Arial" w:eastAsia="Arial" w:hAnsi="Arial"/>
                <w:sz w:val="14"/>
                <w:szCs w:val="14"/>
                <w:color w:val="auto"/>
                <w:w w:val="89"/>
              </w:rPr>
              <w:t>Boundary Hall, Cricket Square PO Box 1093 Grand</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Cayman, Ky1-1102 Cayman Islands</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20"/>
        <w:spacing w:after="0" w:line="235" w:lineRule="auto"/>
        <w:rPr>
          <w:sz w:val="20"/>
          <w:szCs w:val="20"/>
          <w:color w:val="auto"/>
        </w:rPr>
      </w:pPr>
      <w:r>
        <w:rPr>
          <w:rFonts w:ascii="Arial" w:cs="Arial" w:eastAsia="Arial" w:hAnsi="Arial"/>
          <w:sz w:val="14"/>
          <w:szCs w:val="14"/>
          <w:b w:val="1"/>
          <w:bCs w:val="1"/>
          <w:color w:val="auto"/>
        </w:rPr>
        <w:t>Total Investment in CLO Fund</w:t>
      </w:r>
    </w:p>
    <w:p>
      <w:pPr>
        <w:ind w:left="680"/>
        <w:spacing w:after="0" w:line="210" w:lineRule="auto"/>
        <w:rPr>
          <w:sz w:val="20"/>
          <w:szCs w:val="20"/>
          <w:color w:val="auto"/>
        </w:rPr>
      </w:pPr>
      <w:r>
        <w:rPr>
          <w:rFonts w:ascii="Arial" w:cs="Arial" w:eastAsia="Arial" w:hAnsi="Arial"/>
          <w:sz w:val="14"/>
          <w:szCs w:val="14"/>
          <w:b w:val="1"/>
          <w:bCs w:val="1"/>
          <w:color w:val="auto"/>
        </w:rPr>
        <w:t>Securities (6.3% of net asset</w:t>
      </w:r>
    </w:p>
    <w:p>
      <w:pPr>
        <w:ind w:left="820"/>
        <w:spacing w:after="0"/>
        <w:rPr>
          <w:sz w:val="20"/>
          <w:szCs w:val="20"/>
          <w:color w:val="auto"/>
        </w:rPr>
      </w:pPr>
      <w:r>
        <w:rPr>
          <w:rFonts w:ascii="Arial" w:cs="Arial" w:eastAsia="Arial" w:hAnsi="Arial"/>
          <w:sz w:val="14"/>
          <w:szCs w:val="14"/>
          <w:b w:val="1"/>
          <w:bCs w:val="1"/>
          <w:color w:val="auto"/>
        </w:rPr>
        <w:t>value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Initial</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8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11"/>
                <w:szCs w:val="11"/>
                <w:b w:val="1"/>
                <w:bCs w:val="1"/>
                <w:color w:val="auto"/>
              </w:rPr>
              <w:t>15,11</w:t>
            </w:r>
          </w:p>
        </w:tc>
        <w:tc>
          <w:tcPr>
            <w:tcW w:w="80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6"/>
              </w:rPr>
              <w:t>Acquisition</w:t>
            </w:r>
          </w:p>
        </w:tc>
        <w:tc>
          <w:tcPr>
            <w:tcW w:w="900" w:type="dxa"/>
            <w:vAlign w:val="bottom"/>
            <w:gridSpan w:val="2"/>
          </w:tcPr>
          <w:p>
            <w:pPr>
              <w:jc w:val="right"/>
              <w:ind w:right="260"/>
              <w:spacing w:after="0" w:line="141" w:lineRule="exact"/>
              <w:rPr>
                <w:sz w:val="20"/>
                <w:szCs w:val="20"/>
                <w:color w:val="auto"/>
              </w:rPr>
            </w:pPr>
            <w:r>
              <w:rPr>
                <w:rFonts w:ascii="Arial" w:cs="Arial" w:eastAsia="Arial" w:hAnsi="Arial"/>
                <w:sz w:val="14"/>
                <w:szCs w:val="14"/>
                <w:b w:val="1"/>
                <w:bCs w:val="1"/>
                <w:color w:val="auto"/>
                <w:w w:val="82"/>
              </w:rPr>
              <w:t>Percentage</w:t>
            </w: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w w:val="90"/>
              </w:rPr>
              <w:t>Amortized</w:t>
            </w:r>
          </w:p>
        </w:tc>
        <w:tc>
          <w:tcPr>
            <w:tcW w:w="60" w:type="dxa"/>
            <w:vAlign w:val="bottom"/>
          </w:tcPr>
          <w:p>
            <w:pPr>
              <w:spacing w:after="0"/>
              <w:rPr>
                <w:sz w:val="12"/>
                <w:szCs w:val="12"/>
                <w:color w:val="auto"/>
              </w:rPr>
            </w:pPr>
          </w:p>
        </w:tc>
        <w:tc>
          <w:tcPr>
            <w:tcW w:w="82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Fair</w:t>
            </w:r>
          </w:p>
        </w:tc>
        <w:tc>
          <w:tcPr>
            <w:tcW w:w="52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Date</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Ownership</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Value</w:t>
            </w:r>
            <w:r>
              <w:rPr>
                <w:rFonts w:ascii="Arial" w:cs="Arial" w:eastAsia="Arial" w:hAnsi="Arial"/>
                <w:sz w:val="11"/>
                <w:szCs w:val="11"/>
                <w:b w:val="1"/>
                <w:bCs w:val="1"/>
                <w:color w:val="auto"/>
                <w:w w:val="87"/>
              </w:rPr>
              <w:t>2</w:t>
            </w: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680" w:type="dxa"/>
            <w:vAlign w:val="bottom"/>
            <w:tcBorders>
              <w:top w:val="single" w:sz="8" w:color="auto"/>
            </w:tcBorders>
          </w:tcPr>
          <w:p>
            <w:pPr>
              <w:spacing w:after="0" w:line="115" w:lineRule="exact"/>
              <w:rPr>
                <w:sz w:val="20"/>
                <w:szCs w:val="20"/>
                <w:color w:val="auto"/>
              </w:rPr>
            </w:pPr>
            <w:r>
              <w:rPr>
                <w:rFonts w:ascii="Arial" w:cs="Arial" w:eastAsia="Arial" w:hAnsi="Arial"/>
                <w:sz w:val="12"/>
                <w:szCs w:val="12"/>
                <w:color w:val="auto"/>
              </w:rPr>
              <w:t>Subordinated Securities, effective interest 8.0%,</w:t>
            </w:r>
          </w:p>
        </w:tc>
        <w:tc>
          <w:tcPr>
            <w:tcW w:w="1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800" w:type="dxa"/>
            <w:vAlign w:val="bottom"/>
            <w:gridSpan w:val="3"/>
          </w:tcPr>
          <w:p>
            <w:pPr>
              <w:spacing w:after="0"/>
              <w:rPr>
                <w:sz w:val="20"/>
                <w:szCs w:val="20"/>
                <w:color w:val="auto"/>
              </w:rPr>
            </w:pPr>
            <w:r>
              <w:rPr>
                <w:rFonts w:ascii="Arial" w:cs="Arial" w:eastAsia="Arial" w:hAnsi="Arial"/>
                <w:sz w:val="14"/>
                <w:szCs w:val="14"/>
                <w:color w:val="auto"/>
              </w:rPr>
              <w:t>1/28 maturity</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6/4/2013</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23.3%</w:t>
            </w: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5,695,114</w:t>
            </w: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3,404,929</w:t>
            </w:r>
          </w:p>
        </w:tc>
        <w:tc>
          <w:tcPr>
            <w:tcW w:w="520" w:type="dxa"/>
            <w:vAlign w:val="bottom"/>
            <w:gridSpan w:val="2"/>
            <w:vMerge w:val="restart"/>
          </w:tcPr>
          <w:p>
            <w:pPr>
              <w:ind w:left="200"/>
              <w:spacing w:after="0"/>
              <w:rPr>
                <w:sz w:val="20"/>
                <w:szCs w:val="20"/>
                <w:color w:val="auto"/>
              </w:rPr>
            </w:pPr>
            <w:r>
              <w:rPr>
                <w:rFonts w:ascii="Arial" w:cs="Arial" w:eastAsia="Arial" w:hAnsi="Arial"/>
                <w:sz w:val="14"/>
                <w:szCs w:val="14"/>
                <w:color w:val="auto"/>
                <w:w w:val="93"/>
              </w:rPr>
              <w:t>1.3%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00" w:type="dxa"/>
            <w:vAlign w:val="bottom"/>
            <w:gridSpan w:val="3"/>
          </w:tcPr>
          <w:p>
            <w:pPr>
              <w:spacing w:after="0"/>
              <w:rPr>
                <w:sz w:val="20"/>
                <w:szCs w:val="20"/>
                <w:color w:val="auto"/>
              </w:rPr>
            </w:pPr>
            <w:r>
              <w:rPr>
                <w:rFonts w:ascii="Arial" w:cs="Arial" w:eastAsia="Arial" w:hAnsi="Arial"/>
                <w:sz w:val="14"/>
                <w:szCs w:val="14"/>
                <w:color w:val="auto"/>
                <w:w w:val="93"/>
              </w:rPr>
              <w:t>Subordinated Securities, effective interest 5.5%,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800" w:type="dxa"/>
            <w:vAlign w:val="bottom"/>
            <w:gridSpan w:val="3"/>
          </w:tcPr>
          <w:p>
            <w:pPr>
              <w:spacing w:after="0"/>
              <w:rPr>
                <w:sz w:val="20"/>
                <w:szCs w:val="20"/>
                <w:color w:val="auto"/>
              </w:rPr>
            </w:pPr>
            <w:r>
              <w:rPr>
                <w:rFonts w:ascii="Arial" w:cs="Arial" w:eastAsia="Arial" w:hAnsi="Arial"/>
                <w:sz w:val="14"/>
                <w:szCs w:val="14"/>
                <w:color w:val="auto"/>
              </w:rPr>
              <w:t>4/30 maturity</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5/6/2014</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22.2%</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9,619,787</w:t>
            </w:r>
          </w:p>
        </w:tc>
        <w:tc>
          <w:tcPr>
            <w:tcW w:w="60" w:type="dxa"/>
            <w:vAlign w:val="bottom"/>
          </w:tcPr>
          <w:p>
            <w:pPr>
              <w:spacing w:after="0"/>
              <w:rPr>
                <w:sz w:val="15"/>
                <w:szCs w:val="15"/>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5,218,279</w:t>
            </w:r>
          </w:p>
        </w:tc>
        <w:tc>
          <w:tcPr>
            <w:tcW w:w="520" w:type="dxa"/>
            <w:vAlign w:val="bottom"/>
            <w:gridSpan w:val="2"/>
            <w:vMerge w:val="restart"/>
          </w:tcPr>
          <w:p>
            <w:pPr>
              <w:ind w:left="200"/>
              <w:spacing w:after="0"/>
              <w:rPr>
                <w:sz w:val="20"/>
                <w:szCs w:val="20"/>
                <w:color w:val="auto"/>
              </w:rPr>
            </w:pPr>
            <w:r>
              <w:rPr>
                <w:rFonts w:ascii="Arial" w:cs="Arial" w:eastAsia="Arial" w:hAnsi="Arial"/>
                <w:sz w:val="14"/>
                <w:szCs w:val="14"/>
                <w:color w:val="auto"/>
                <w:w w:val="93"/>
              </w:rPr>
              <w:t>1.9%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800" w:type="dxa"/>
            <w:vAlign w:val="bottom"/>
            <w:gridSpan w:val="3"/>
          </w:tcPr>
          <w:p>
            <w:pPr>
              <w:spacing w:after="0"/>
              <w:rPr>
                <w:sz w:val="20"/>
                <w:szCs w:val="20"/>
                <w:color w:val="auto"/>
              </w:rPr>
            </w:pPr>
            <w:r>
              <w:rPr>
                <w:rFonts w:ascii="Arial" w:cs="Arial" w:eastAsia="Arial" w:hAnsi="Arial"/>
                <w:sz w:val="14"/>
                <w:szCs w:val="14"/>
                <w:color w:val="auto"/>
                <w:w w:val="90"/>
              </w:rPr>
              <w:t>Subordinated Securities, effective interest 20.5%,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800" w:type="dxa"/>
            <w:vAlign w:val="bottom"/>
            <w:gridSpan w:val="3"/>
          </w:tcPr>
          <w:p>
            <w:pPr>
              <w:spacing w:after="0"/>
              <w:rPr>
                <w:sz w:val="20"/>
                <w:szCs w:val="20"/>
                <w:color w:val="auto"/>
              </w:rPr>
            </w:pPr>
            <w:r>
              <w:rPr>
                <w:rFonts w:ascii="Arial" w:cs="Arial" w:eastAsia="Arial" w:hAnsi="Arial"/>
                <w:sz w:val="14"/>
                <w:szCs w:val="14"/>
                <w:color w:val="auto"/>
              </w:rPr>
              <w:t>11/28 maturity</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w w:val="94"/>
              </w:rPr>
              <w:t>10/10/2013</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6.8%</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1,099,275</w:t>
            </w:r>
          </w:p>
        </w:tc>
        <w:tc>
          <w:tcPr>
            <w:tcW w:w="60" w:type="dxa"/>
            <w:vAlign w:val="bottom"/>
          </w:tcPr>
          <w:p>
            <w:pPr>
              <w:spacing w:after="0"/>
              <w:rPr>
                <w:sz w:val="15"/>
                <w:szCs w:val="15"/>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1,364,999</w:t>
            </w:r>
          </w:p>
        </w:tc>
        <w:tc>
          <w:tcPr>
            <w:tcW w:w="520" w:type="dxa"/>
            <w:vAlign w:val="bottom"/>
            <w:gridSpan w:val="2"/>
            <w:vMerge w:val="restart"/>
          </w:tcPr>
          <w:p>
            <w:pPr>
              <w:ind w:left="200"/>
              <w:spacing w:after="0"/>
              <w:rPr>
                <w:sz w:val="20"/>
                <w:szCs w:val="20"/>
                <w:color w:val="auto"/>
              </w:rPr>
            </w:pPr>
            <w:r>
              <w:rPr>
                <w:rFonts w:ascii="Arial" w:cs="Arial" w:eastAsia="Arial" w:hAnsi="Arial"/>
                <w:sz w:val="14"/>
                <w:szCs w:val="14"/>
                <w:color w:val="auto"/>
                <w:w w:val="93"/>
              </w:rPr>
              <w:t>0.5%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800" w:type="dxa"/>
            <w:vAlign w:val="bottom"/>
            <w:gridSpan w:val="3"/>
          </w:tcPr>
          <w:p>
            <w:pPr>
              <w:spacing w:after="0"/>
              <w:rPr>
                <w:sz w:val="20"/>
                <w:szCs w:val="20"/>
                <w:color w:val="auto"/>
              </w:rPr>
            </w:pPr>
            <w:r>
              <w:rPr>
                <w:rFonts w:ascii="Arial" w:cs="Arial" w:eastAsia="Arial" w:hAnsi="Arial"/>
                <w:sz w:val="14"/>
                <w:szCs w:val="14"/>
                <w:color w:val="auto"/>
                <w:w w:val="93"/>
              </w:rPr>
              <w:t>Subordinated Securities, effective interest 0.0%,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800" w:type="dxa"/>
            <w:vAlign w:val="bottom"/>
            <w:gridSpan w:val="3"/>
          </w:tcPr>
          <w:p>
            <w:pPr>
              <w:spacing w:after="0"/>
              <w:rPr>
                <w:sz w:val="20"/>
                <w:szCs w:val="20"/>
                <w:color w:val="auto"/>
              </w:rPr>
            </w:pPr>
            <w:r>
              <w:rPr>
                <w:rFonts w:ascii="Arial" w:cs="Arial" w:eastAsia="Arial" w:hAnsi="Arial"/>
                <w:sz w:val="14"/>
                <w:szCs w:val="14"/>
                <w:color w:val="auto"/>
              </w:rPr>
              <w:t>10/26 maturity</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8/15/2014</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24.9%</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6,065,598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tcPr>
          <w:p>
            <w:pPr>
              <w:ind w:left="200"/>
              <w:spacing w:after="0"/>
              <w:rPr>
                <w:sz w:val="20"/>
                <w:szCs w:val="20"/>
                <w:color w:val="auto"/>
              </w:rPr>
            </w:pPr>
            <w:r>
              <w:rPr>
                <w:rFonts w:ascii="Arial" w:cs="Arial" w:eastAsia="Arial" w:hAnsi="Arial"/>
                <w:sz w:val="14"/>
                <w:szCs w:val="14"/>
                <w:color w:val="auto"/>
                <w:w w:val="93"/>
              </w:rPr>
              <w:t>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800" w:type="dxa"/>
            <w:vAlign w:val="bottom"/>
            <w:gridSpan w:val="3"/>
          </w:tcPr>
          <w:p>
            <w:pPr>
              <w:spacing w:after="0"/>
              <w:rPr>
                <w:sz w:val="20"/>
                <w:szCs w:val="20"/>
                <w:color w:val="auto"/>
              </w:rPr>
            </w:pPr>
            <w:r>
              <w:rPr>
                <w:rFonts w:ascii="Arial" w:cs="Arial" w:eastAsia="Arial" w:hAnsi="Arial"/>
                <w:sz w:val="14"/>
                <w:szCs w:val="14"/>
                <w:color w:val="auto"/>
                <w:w w:val="93"/>
              </w:rPr>
              <w:t>Subordinated Securities, effective interest 8.7%,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800" w:type="dxa"/>
            <w:vAlign w:val="bottom"/>
            <w:gridSpan w:val="3"/>
          </w:tcPr>
          <w:p>
            <w:pPr>
              <w:spacing w:after="0"/>
              <w:rPr>
                <w:sz w:val="20"/>
                <w:szCs w:val="20"/>
                <w:color w:val="auto"/>
              </w:rPr>
            </w:pPr>
            <w:r>
              <w:rPr>
                <w:rFonts w:ascii="Arial" w:cs="Arial" w:eastAsia="Arial" w:hAnsi="Arial"/>
                <w:sz w:val="14"/>
                <w:szCs w:val="14"/>
                <w:color w:val="auto"/>
              </w:rPr>
              <w:t>4/27 maturity</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5/5/2015</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9.9%</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2,660,968</w:t>
            </w:r>
          </w:p>
        </w:tc>
        <w:tc>
          <w:tcPr>
            <w:tcW w:w="60" w:type="dxa"/>
            <w:vAlign w:val="bottom"/>
          </w:tcPr>
          <w:p>
            <w:pPr>
              <w:spacing w:after="0"/>
              <w:rPr>
                <w:sz w:val="15"/>
                <w:szCs w:val="15"/>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162,425</w:t>
            </w:r>
          </w:p>
        </w:tc>
        <w:tc>
          <w:tcPr>
            <w:tcW w:w="520" w:type="dxa"/>
            <w:vAlign w:val="bottom"/>
            <w:gridSpan w:val="2"/>
            <w:vMerge w:val="restart"/>
          </w:tcPr>
          <w:p>
            <w:pPr>
              <w:ind w:left="200"/>
              <w:spacing w:after="0"/>
              <w:rPr>
                <w:sz w:val="20"/>
                <w:szCs w:val="20"/>
                <w:color w:val="auto"/>
              </w:rPr>
            </w:pPr>
            <w:r>
              <w:rPr>
                <w:rFonts w:ascii="Arial" w:cs="Arial" w:eastAsia="Arial" w:hAnsi="Arial"/>
                <w:sz w:val="14"/>
                <w:szCs w:val="14"/>
                <w:color w:val="auto"/>
                <w:w w:val="93"/>
              </w:rPr>
              <w:t>0.1%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800" w:type="dxa"/>
            <w:vAlign w:val="bottom"/>
            <w:gridSpan w:val="3"/>
          </w:tcPr>
          <w:p>
            <w:pPr>
              <w:spacing w:after="0"/>
              <w:rPr>
                <w:sz w:val="20"/>
                <w:szCs w:val="20"/>
                <w:color w:val="auto"/>
              </w:rPr>
            </w:pPr>
            <w:r>
              <w:rPr>
                <w:rFonts w:ascii="Arial" w:cs="Arial" w:eastAsia="Arial" w:hAnsi="Arial"/>
                <w:sz w:val="14"/>
                <w:szCs w:val="14"/>
                <w:color w:val="auto"/>
                <w:w w:val="93"/>
              </w:rPr>
              <w:t>Subordinated Securities, effective interest 8.7%,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800" w:type="dxa"/>
            <w:vAlign w:val="bottom"/>
            <w:gridSpan w:val="3"/>
          </w:tcPr>
          <w:p>
            <w:pPr>
              <w:spacing w:after="0"/>
              <w:rPr>
                <w:sz w:val="20"/>
                <w:szCs w:val="20"/>
                <w:color w:val="auto"/>
              </w:rPr>
            </w:pPr>
            <w:r>
              <w:rPr>
                <w:rFonts w:ascii="Arial" w:cs="Arial" w:eastAsia="Arial" w:hAnsi="Arial"/>
                <w:sz w:val="14"/>
                <w:szCs w:val="14"/>
                <w:color w:val="auto"/>
              </w:rPr>
              <w:t>10/31 maturity</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9/27/2018</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24.8%</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8,823,496</w:t>
            </w:r>
          </w:p>
        </w:tc>
        <w:tc>
          <w:tcPr>
            <w:tcW w:w="6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7,023,002</w:t>
            </w:r>
          </w:p>
        </w:tc>
        <w:tc>
          <w:tcPr>
            <w:tcW w:w="120" w:type="dxa"/>
            <w:vAlign w:val="bottom"/>
            <w:vMerge w:val="restart"/>
          </w:tcPr>
          <w:p>
            <w:pPr>
              <w:spacing w:after="0"/>
              <w:rPr>
                <w:sz w:val="15"/>
                <w:szCs w:val="15"/>
                <w:color w:val="auto"/>
              </w:rPr>
            </w:pPr>
          </w:p>
        </w:tc>
        <w:tc>
          <w:tcPr>
            <w:tcW w:w="520" w:type="dxa"/>
            <w:vAlign w:val="bottom"/>
            <w:gridSpan w:val="2"/>
            <w:vMerge w:val="restart"/>
          </w:tcPr>
          <w:p>
            <w:pPr>
              <w:ind w:left="200"/>
              <w:spacing w:after="0"/>
              <w:rPr>
                <w:sz w:val="20"/>
                <w:szCs w:val="20"/>
                <w:color w:val="auto"/>
              </w:rPr>
            </w:pPr>
            <w:r>
              <w:rPr>
                <w:rFonts w:ascii="Arial" w:cs="Arial" w:eastAsia="Arial" w:hAnsi="Arial"/>
                <w:sz w:val="14"/>
                <w:szCs w:val="14"/>
                <w:color w:val="auto"/>
                <w:w w:val="93"/>
              </w:rPr>
              <w:t>2.6%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33,964,238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17,173,634</w:t>
            </w:r>
          </w:p>
        </w:tc>
        <w:tc>
          <w:tcPr>
            <w:tcW w:w="120" w:type="dxa"/>
            <w:vAlign w:val="bottom"/>
          </w:tcPr>
          <w:p>
            <w:pPr>
              <w:spacing w:after="0"/>
              <w:rPr>
                <w:sz w:val="24"/>
                <w:szCs w:val="24"/>
                <w:color w:val="auto"/>
              </w:rPr>
            </w:pPr>
          </w:p>
        </w:tc>
        <w:tc>
          <w:tcPr>
            <w:tcW w:w="520" w:type="dxa"/>
            <w:vAlign w:val="bottom"/>
            <w:gridSpan w:val="2"/>
          </w:tcPr>
          <w:p>
            <w:pPr>
              <w:ind w:left="200"/>
              <w:spacing w:after="0"/>
              <w:rPr>
                <w:sz w:val="20"/>
                <w:szCs w:val="20"/>
                <w:color w:val="auto"/>
              </w:rPr>
            </w:pPr>
            <w:r>
              <w:rPr>
                <w:rFonts w:ascii="Arial" w:cs="Arial" w:eastAsia="Arial" w:hAnsi="Arial"/>
                <w:sz w:val="14"/>
                <w:szCs w:val="14"/>
                <w:b w:val="1"/>
                <w:bCs w:val="1"/>
                <w:color w:val="auto"/>
                <w:w w:val="93"/>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-2652395</wp:posOffset>
            </wp:positionH>
            <wp:positionV relativeFrom="paragraph">
              <wp:posOffset>-3333750</wp:posOffset>
            </wp:positionV>
            <wp:extent cx="71812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1215" cy="36830"/>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-2279015</wp:posOffset>
            </wp:positionV>
            <wp:extent cx="6620510" cy="275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20510" cy="275590"/>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-1597660</wp:posOffset>
            </wp:positionV>
            <wp:extent cx="6620510" cy="275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20510" cy="275590"/>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-916305</wp:posOffset>
            </wp:positionV>
            <wp:extent cx="6620510" cy="275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20510" cy="275590"/>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-283210</wp:posOffset>
            </wp:positionV>
            <wp:extent cx="6620510" cy="275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20510" cy="275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340"/>
            <w:col w:w="6680"/>
          </w:cols>
          <w:pgMar w:left="320" w:top="443" w:right="739" w:bottom="1440" w:gutter="0" w:footer="0" w:header="0"/>
        </w:sectPr>
      </w:pPr>
    </w:p>
    <w:p>
      <w:pPr>
        <w:spacing w:after="0" w:line="10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Asset Manager Affiliates</w:t>
      </w:r>
    </w:p>
    <w:p>
      <w:pPr>
        <w:spacing w:after="0" w:line="356"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Portfolio Company /</w:t>
      </w:r>
    </w:p>
    <w:p>
      <w:pPr>
        <w:ind w:left="420"/>
        <w:spacing w:after="0" w:line="228" w:lineRule="auto"/>
        <w:rPr>
          <w:sz w:val="20"/>
          <w:szCs w:val="20"/>
          <w:color w:val="auto"/>
        </w:rPr>
      </w:pPr>
      <w:r>
        <w:rPr>
          <w:rFonts w:ascii="Arial" w:cs="Arial" w:eastAsia="Arial" w:hAnsi="Arial"/>
          <w:sz w:val="14"/>
          <w:szCs w:val="14"/>
          <w:b w:val="1"/>
          <w:bCs w:val="1"/>
          <w:u w:val="single" w:color="auto"/>
          <w:color w:val="auto"/>
        </w:rPr>
        <w:t>Principal Business</w:t>
      </w:r>
    </w:p>
    <w:p>
      <w:pPr>
        <w:ind w:left="420"/>
        <w:spacing w:after="0" w:line="210" w:lineRule="auto"/>
        <w:rPr>
          <w:sz w:val="20"/>
          <w:szCs w:val="20"/>
          <w:color w:val="auto"/>
        </w:rPr>
      </w:pPr>
      <w:r>
        <w:rPr>
          <w:rFonts w:ascii="Arial" w:cs="Arial" w:eastAsia="Arial" w:hAnsi="Arial"/>
          <w:sz w:val="14"/>
          <w:szCs w:val="14"/>
          <w:color w:val="auto"/>
        </w:rPr>
        <w:t>Asset Manager Affiliates</w:t>
      </w:r>
    </w:p>
    <w:p>
      <w:pPr>
        <w:ind w:left="420"/>
        <w:spacing w:after="0"/>
        <w:rPr>
          <w:sz w:val="20"/>
          <w:szCs w:val="20"/>
          <w:color w:val="auto"/>
        </w:rPr>
      </w:pPr>
      <w:r>
        <w:rPr>
          <w:rFonts w:ascii="Arial" w:cs="Arial" w:eastAsia="Arial" w:hAnsi="Arial"/>
          <w:sz w:val="14"/>
          <w:szCs w:val="14"/>
          <w:color w:val="auto"/>
        </w:rPr>
        <w:t>650 Madison Ave FL23, New York, NY 10022</w:t>
      </w:r>
    </w:p>
    <w:p>
      <w:pPr>
        <w:ind w:left="420"/>
        <w:spacing w:after="0" w:line="236" w:lineRule="auto"/>
        <w:rPr>
          <w:sz w:val="20"/>
          <w:szCs w:val="20"/>
          <w:color w:val="auto"/>
        </w:rPr>
      </w:pPr>
      <w:r>
        <w:rPr>
          <w:rFonts w:ascii="Arial" w:cs="Arial" w:eastAsia="Arial" w:hAnsi="Arial"/>
          <w:sz w:val="14"/>
          <w:szCs w:val="14"/>
          <w:b w:val="1"/>
          <w:bCs w:val="1"/>
          <w:color w:val="auto"/>
        </w:rPr>
        <w:t>Total Investment in Asset Manager</w:t>
      </w:r>
    </w:p>
    <w:p>
      <w:pPr>
        <w:ind w:left="680"/>
        <w:spacing w:after="0"/>
        <w:rPr>
          <w:sz w:val="20"/>
          <w:szCs w:val="20"/>
          <w:color w:val="auto"/>
        </w:rPr>
      </w:pPr>
      <w:r>
        <w:rPr>
          <w:rFonts w:ascii="Arial" w:cs="Arial" w:eastAsia="Arial" w:hAnsi="Arial"/>
          <w:sz w:val="12"/>
          <w:szCs w:val="12"/>
          <w:b w:val="1"/>
          <w:bCs w:val="1"/>
          <w:color w:val="auto"/>
        </w:rPr>
        <w:t>Affiliates (0% of net asset value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Initial</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1"/>
        </w:trPr>
        <w:tc>
          <w:tcPr>
            <w:tcW w:w="216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11"/>
                <w:szCs w:val="11"/>
                <w:b w:val="1"/>
                <w:bCs w:val="1"/>
                <w:color w:val="auto"/>
              </w:rPr>
              <w:t>15</w:t>
            </w:r>
          </w:p>
        </w:tc>
        <w:tc>
          <w:tcPr>
            <w:tcW w:w="100" w:type="dxa"/>
            <w:vAlign w:val="bottom"/>
            <w:vMerge w:val="restart"/>
          </w:tcPr>
          <w:p>
            <w:pPr>
              <w:spacing w:after="0"/>
              <w:rPr>
                <w:sz w:val="12"/>
                <w:szCs w:val="12"/>
                <w:color w:val="auto"/>
              </w:rPr>
            </w:pPr>
          </w:p>
        </w:tc>
        <w:tc>
          <w:tcPr>
            <w:tcW w:w="80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6"/>
              </w:rPr>
              <w:t>Acquisition</w:t>
            </w:r>
          </w:p>
        </w:tc>
        <w:tc>
          <w:tcPr>
            <w:tcW w:w="9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Percentage</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3"/>
              </w:rPr>
              <w:t>Fair</w:t>
            </w:r>
          </w:p>
        </w:tc>
        <w:tc>
          <w:tcPr>
            <w:tcW w:w="140" w:type="dxa"/>
            <w:vAlign w:val="bottom"/>
          </w:tcPr>
          <w:p>
            <w:pPr>
              <w:spacing w:after="0"/>
              <w:rPr>
                <w:sz w:val="12"/>
                <w:szCs w:val="12"/>
                <w:color w:val="auto"/>
              </w:rPr>
            </w:pPr>
          </w:p>
        </w:tc>
        <w:tc>
          <w:tcPr>
            <w:tcW w:w="52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21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20" w:type="dxa"/>
            <w:vAlign w:val="bottom"/>
          </w:tcPr>
          <w:p>
            <w:pPr>
              <w:spacing w:after="0"/>
              <w:rPr>
                <w:sz w:val="13"/>
                <w:szCs w:val="13"/>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Ownership</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79"/>
              </w:rPr>
              <w:t>Value</w:t>
            </w:r>
            <w:r>
              <w:rPr>
                <w:rFonts w:ascii="Arial" w:cs="Arial" w:eastAsia="Arial" w:hAnsi="Arial"/>
                <w:sz w:val="10"/>
                <w:szCs w:val="10"/>
                <w:b w:val="1"/>
                <w:bCs w:val="1"/>
                <w:color w:val="auto"/>
                <w:w w:val="79"/>
              </w:rPr>
              <w:t>2</w:t>
            </w:r>
          </w:p>
        </w:tc>
        <w:tc>
          <w:tcPr>
            <w:tcW w:w="140" w:type="dxa"/>
            <w:vAlign w:val="bottom"/>
          </w:tcPr>
          <w:p>
            <w:pPr>
              <w:spacing w:after="0"/>
              <w:rPr>
                <w:sz w:val="13"/>
                <w:szCs w:val="13"/>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Assets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2260" w:type="dxa"/>
            <w:vAlign w:val="bottom"/>
            <w:gridSpan w:val="2"/>
          </w:tcPr>
          <w:p>
            <w:pPr>
              <w:spacing w:after="0"/>
              <w:rPr>
                <w:sz w:val="20"/>
                <w:szCs w:val="20"/>
                <w:color w:val="auto"/>
              </w:rPr>
            </w:pPr>
            <w:r>
              <w:rPr>
                <w:rFonts w:ascii="Arial" w:cs="Arial" w:eastAsia="Arial" w:hAnsi="Arial"/>
                <w:sz w:val="14"/>
                <w:szCs w:val="14"/>
                <w:color w:val="auto"/>
              </w:rPr>
              <w:t>Asset Management Company</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12/11/2006</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100%</w:t>
            </w:r>
          </w:p>
        </w:tc>
        <w:tc>
          <w:tcPr>
            <w:tcW w:w="680" w:type="dxa"/>
            <w:vAlign w:val="bottom"/>
          </w:tcPr>
          <w:p>
            <w:pPr>
              <w:jc w:val="center"/>
              <w:spacing w:after="0"/>
              <w:rPr>
                <w:sz w:val="20"/>
                <w:szCs w:val="20"/>
                <w:color w:val="auto"/>
              </w:rPr>
            </w:pPr>
            <w:r>
              <w:rPr>
                <w:rFonts w:ascii="Arial" w:cs="Arial" w:eastAsia="Arial" w:hAnsi="Arial"/>
                <w:sz w:val="14"/>
                <w:szCs w:val="14"/>
                <w:u w:val="single" w:color="auto"/>
                <w:color w:val="auto"/>
                <w:w w:val="87"/>
              </w:rPr>
              <w:t>$</w:t>
            </w:r>
            <w:r>
              <w:rPr>
                <w:rFonts w:ascii="Arial" w:cs="Arial" w:eastAsia="Arial" w:hAnsi="Arial"/>
                <w:sz w:val="14"/>
                <w:szCs w:val="14"/>
                <w:color w:val="auto"/>
                <w:w w:val="87"/>
              </w:rPr>
              <w:t>17,791,230</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tcPr>
          <w:p>
            <w:pPr>
              <w:ind w:left="340"/>
              <w:spacing w:after="0"/>
              <w:rPr>
                <w:sz w:val="20"/>
                <w:szCs w:val="20"/>
                <w:color w:val="auto"/>
              </w:rPr>
            </w:pPr>
            <w:r>
              <w:rPr>
                <w:rFonts w:ascii="Arial" w:cs="Arial" w:eastAsia="Arial" w:hAnsi="Arial"/>
                <w:sz w:val="14"/>
                <w:szCs w:val="14"/>
                <w:color w:val="auto"/>
                <w:w w:val="93"/>
              </w:rPr>
              <w:t>0.0%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17,791,230</w:t>
            </w:r>
          </w:p>
        </w:tc>
        <w:tc>
          <w:tcPr>
            <w:tcW w:w="200" w:type="dxa"/>
            <w:vAlign w:val="bottom"/>
          </w:tcPr>
          <w:p>
            <w:pPr>
              <w:ind w:left="140"/>
              <w:spacing w:after="0"/>
              <w:rPr>
                <w:sz w:val="20"/>
                <w:szCs w:val="20"/>
                <w:color w:val="auto"/>
              </w:rPr>
            </w:pPr>
            <w:r>
              <w:rPr>
                <w:rFonts w:ascii="Arial" w:cs="Arial" w:eastAsia="Arial" w:hAnsi="Arial"/>
                <w:sz w:val="5"/>
                <w:szCs w:val="5"/>
                <w:b w:val="1"/>
                <w:bCs w:val="1"/>
                <w:color w:val="auto"/>
                <w:w w:val="70"/>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3"/>
          </w:tcPr>
          <w:p>
            <w:pPr>
              <w:ind w:left="340"/>
              <w:spacing w:after="0"/>
              <w:rPr>
                <w:sz w:val="20"/>
                <w:szCs w:val="20"/>
                <w:color w:val="auto"/>
              </w:rPr>
            </w:pPr>
            <w:r>
              <w:rPr>
                <w:rFonts w:ascii="Arial" w:cs="Arial" w:eastAsia="Arial" w:hAnsi="Arial"/>
                <w:sz w:val="14"/>
                <w:szCs w:val="14"/>
                <w:b w:val="1"/>
                <w:bCs w:val="1"/>
                <w:color w:val="auto"/>
                <w:w w:val="93"/>
              </w:rPr>
              <w:t>0.0%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-396875</wp:posOffset>
            </wp:positionV>
            <wp:extent cx="6620510" cy="186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20510" cy="186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5860"/>
          </w:cols>
          <w:pgMar w:left="320" w:top="443" w:right="739" w:bottom="1440" w:gutter="0" w:footer="0" w:header="0"/>
          <w:type w:val="continuous"/>
        </w:sectPr>
      </w:pPr>
    </w:p>
    <w:p>
      <w:pPr>
        <w:spacing w:after="0" w:line="10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Derivatives</w:t>
      </w:r>
    </w:p>
    <w:p>
      <w:pPr>
        <w:spacing w:after="0" w:line="215"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w:t>
            </w:r>
          </w:p>
        </w:tc>
        <w:tc>
          <w:tcPr>
            <w:tcW w:w="1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197"/>
              <w:spacing w:after="0"/>
              <w:rPr>
                <w:sz w:val="20"/>
                <w:szCs w:val="20"/>
                <w:color w:val="auto"/>
              </w:rPr>
            </w:pPr>
            <w:r>
              <w:rPr>
                <w:rFonts w:ascii="Arial" w:cs="Arial" w:eastAsia="Arial" w:hAnsi="Arial"/>
                <w:sz w:val="14"/>
                <w:szCs w:val="14"/>
                <w:b w:val="1"/>
                <w:bCs w:val="1"/>
                <w:color w:val="auto"/>
                <w:w w:val="98"/>
              </w:rPr>
              <w:t>Initial</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35"/>
        </w:trPr>
        <w:tc>
          <w:tcPr>
            <w:tcW w:w="3660" w:type="dxa"/>
            <w:vAlign w:val="bottom"/>
            <w:gridSpan w:val="3"/>
            <w:vMerge w:val="continue"/>
          </w:tcPr>
          <w:p>
            <w:pPr>
              <w:spacing w:after="0"/>
              <w:rPr>
                <w:sz w:val="11"/>
                <w:szCs w:val="11"/>
                <w:color w:val="auto"/>
              </w:rPr>
            </w:pPr>
          </w:p>
        </w:tc>
        <w:tc>
          <w:tcPr>
            <w:tcW w:w="15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center"/>
              <w:ind w:right="197"/>
              <w:spacing w:after="0" w:line="135" w:lineRule="exact"/>
              <w:rPr>
                <w:sz w:val="20"/>
                <w:szCs w:val="20"/>
                <w:color w:val="auto"/>
              </w:rPr>
            </w:pPr>
            <w:r>
              <w:rPr>
                <w:rFonts w:ascii="Arial" w:cs="Arial" w:eastAsia="Arial" w:hAnsi="Arial"/>
                <w:sz w:val="14"/>
                <w:szCs w:val="14"/>
                <w:b w:val="1"/>
                <w:bCs w:val="1"/>
                <w:color w:val="auto"/>
                <w:w w:val="89"/>
              </w:rPr>
              <w:t>Acquisition</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rPr>
              <w:t>Fair</w:t>
            </w:r>
          </w:p>
        </w:tc>
        <w:tc>
          <w:tcPr>
            <w:tcW w:w="6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53"/>
        </w:trPr>
        <w:tc>
          <w:tcPr>
            <w:tcW w:w="366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Principal Business</w:t>
            </w:r>
          </w:p>
        </w:tc>
        <w:tc>
          <w:tcPr>
            <w:tcW w:w="1500" w:type="dxa"/>
            <w:vAlign w:val="bottom"/>
          </w:tcPr>
          <w:p>
            <w:pPr>
              <w:spacing w:after="0"/>
              <w:rPr>
                <w:sz w:val="13"/>
                <w:szCs w:val="13"/>
                <w:color w:val="auto"/>
              </w:rPr>
            </w:pPr>
          </w:p>
        </w:tc>
        <w:tc>
          <w:tcPr>
            <w:tcW w:w="2380" w:type="dxa"/>
            <w:vAlign w:val="bottom"/>
            <w:gridSpan w:val="2"/>
          </w:tcPr>
          <w:p>
            <w:pPr>
              <w:ind w:left="760"/>
              <w:spacing w:after="0" w:line="153" w:lineRule="exact"/>
              <w:rPr>
                <w:sz w:val="20"/>
                <w:szCs w:val="20"/>
                <w:color w:val="auto"/>
              </w:rPr>
            </w:pPr>
            <w:r>
              <w:rPr>
                <w:rFonts w:ascii="Arial" w:cs="Arial" w:eastAsia="Arial" w:hAnsi="Arial"/>
                <w:sz w:val="14"/>
                <w:szCs w:val="14"/>
                <w:b w:val="1"/>
                <w:bCs w:val="1"/>
                <w:color w:val="auto"/>
              </w:rPr>
              <w:t>Investment</w:t>
            </w:r>
            <w:r>
              <w:rPr>
                <w:rFonts w:ascii="Arial" w:cs="Arial" w:eastAsia="Arial" w:hAnsi="Arial"/>
                <w:sz w:val="11"/>
                <w:szCs w:val="11"/>
                <w:b w:val="1"/>
                <w:bCs w:val="1"/>
                <w:color w:val="auto"/>
              </w:rPr>
              <w:t>15</w:t>
            </w:r>
          </w:p>
        </w:tc>
        <w:tc>
          <w:tcPr>
            <w:tcW w:w="900" w:type="dxa"/>
            <w:vAlign w:val="bottom"/>
            <w:gridSpan w:val="3"/>
          </w:tcPr>
          <w:p>
            <w:pPr>
              <w:jc w:val="center"/>
              <w:ind w:right="197"/>
              <w:spacing w:after="0" w:line="153" w:lineRule="exact"/>
              <w:rPr>
                <w:sz w:val="20"/>
                <w:szCs w:val="20"/>
                <w:color w:val="auto"/>
              </w:rPr>
            </w:pPr>
            <w:r>
              <w:rPr>
                <w:rFonts w:ascii="Arial" w:cs="Arial" w:eastAsia="Arial" w:hAnsi="Arial"/>
                <w:sz w:val="14"/>
                <w:szCs w:val="14"/>
                <w:b w:val="1"/>
                <w:bCs w:val="1"/>
                <w:color w:val="auto"/>
                <w:w w:val="92"/>
              </w:rPr>
              <w:t>Date</w:t>
            </w:r>
          </w:p>
        </w:tc>
        <w:tc>
          <w:tcPr>
            <w:tcW w:w="5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Cost</w:t>
            </w:r>
          </w:p>
        </w:tc>
        <w:tc>
          <w:tcPr>
            <w:tcW w:w="86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1"/>
                <w:szCs w:val="11"/>
                <w:b w:val="1"/>
                <w:bCs w:val="1"/>
                <w:color w:val="auto"/>
              </w:rPr>
              <w:t>2</w:t>
            </w:r>
          </w:p>
        </w:tc>
        <w:tc>
          <w:tcPr>
            <w:tcW w:w="6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gridSpan w:val="2"/>
            <w:shd w:val="clear" w:color="auto" w:fill="CCEEFF"/>
          </w:tcPr>
          <w:p>
            <w:pPr>
              <w:spacing w:after="0" w:line="95" w:lineRule="exact"/>
              <w:rPr>
                <w:sz w:val="20"/>
                <w:szCs w:val="20"/>
                <w:color w:val="auto"/>
              </w:rPr>
            </w:pPr>
            <w:r>
              <w:rPr>
                <w:rFonts w:ascii="Arial" w:cs="Arial" w:eastAsia="Arial" w:hAnsi="Arial"/>
                <w:sz w:val="11"/>
                <w:szCs w:val="11"/>
                <w:color w:val="auto"/>
              </w:rPr>
              <w:t>AAPC Holdings LLC.</w:t>
            </w:r>
          </w:p>
        </w:tc>
        <w:tc>
          <w:tcPr>
            <w:tcW w:w="1500" w:type="dxa"/>
            <w:vAlign w:val="bottom"/>
            <w:shd w:val="clear" w:color="auto" w:fill="CCEEFF"/>
          </w:tcPr>
          <w:p>
            <w:pPr>
              <w:ind w:left="580"/>
              <w:spacing w:after="0" w:line="95" w:lineRule="exact"/>
              <w:rPr>
                <w:sz w:val="20"/>
                <w:szCs w:val="20"/>
                <w:color w:val="auto"/>
              </w:rPr>
            </w:pPr>
            <w:r>
              <w:rPr>
                <w:rFonts w:ascii="Arial" w:cs="Arial" w:eastAsia="Arial" w:hAnsi="Arial"/>
                <w:sz w:val="10"/>
                <w:szCs w:val="10"/>
                <w:color w:val="auto"/>
              </w:rPr>
              <w:t>(13)(21)(22)</w:t>
            </w:r>
          </w:p>
        </w:tc>
        <w:tc>
          <w:tcPr>
            <w:tcW w:w="2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415 Bedford Road — Suite 102,</w:t>
            </w:r>
          </w:p>
        </w:tc>
        <w:tc>
          <w:tcPr>
            <w:tcW w:w="15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Pleasantville, NY, 10570</w:t>
            </w:r>
          </w:p>
        </w:tc>
        <w:tc>
          <w:tcPr>
            <w:tcW w:w="15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Banking, Finance, Insurance &amp; Real Estate</w:t>
            </w:r>
          </w:p>
        </w:tc>
        <w:tc>
          <w:tcPr>
            <w:tcW w:w="3880" w:type="dxa"/>
            <w:vAlign w:val="bottom"/>
            <w:gridSpan w:val="3"/>
            <w:shd w:val="clear" w:color="auto" w:fill="CCEEFF"/>
          </w:tcPr>
          <w:p>
            <w:pPr>
              <w:ind w:left="1500"/>
              <w:spacing w:after="0"/>
              <w:rPr>
                <w:sz w:val="20"/>
                <w:szCs w:val="20"/>
                <w:color w:val="auto"/>
              </w:rPr>
            </w:pPr>
            <w:r>
              <w:rPr>
                <w:rFonts w:ascii="Arial" w:cs="Arial" w:eastAsia="Arial" w:hAnsi="Arial"/>
                <w:sz w:val="14"/>
                <w:szCs w:val="14"/>
                <w:color w:val="auto"/>
                <w:w w:val="96"/>
              </w:rPr>
              <w:t>Securities Swap and Option Agreement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9/30/2019  $</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4"/>
              </w:rPr>
              <w:t>$ (2,000,145)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24"/>
        </w:trPr>
        <w:tc>
          <w:tcPr>
            <w:tcW w:w="3660" w:type="dxa"/>
            <w:vAlign w:val="bottom"/>
            <w:gridSpan w:val="3"/>
          </w:tcPr>
          <w:p>
            <w:pPr>
              <w:spacing w:after="0"/>
              <w:rPr>
                <w:sz w:val="20"/>
                <w:szCs w:val="20"/>
                <w:color w:val="auto"/>
              </w:rPr>
            </w:pPr>
            <w:r>
              <w:rPr>
                <w:rFonts w:ascii="Arial" w:cs="Arial" w:eastAsia="Arial" w:hAnsi="Arial"/>
                <w:sz w:val="14"/>
                <w:szCs w:val="14"/>
                <w:color w:val="auto"/>
              </w:rPr>
              <w:t>Coastal Screen and Rail</w:t>
            </w:r>
          </w:p>
        </w:tc>
        <w:tc>
          <w:tcPr>
            <w:tcW w:w="1500" w:type="dxa"/>
            <w:vAlign w:val="bottom"/>
          </w:tcPr>
          <w:p>
            <w:pPr>
              <w:ind w:left="580"/>
              <w:spacing w:after="0"/>
              <w:rPr>
                <w:sz w:val="20"/>
                <w:szCs w:val="20"/>
                <w:color w:val="auto"/>
              </w:rPr>
            </w:pPr>
            <w:r>
              <w:rPr>
                <w:rFonts w:ascii="Arial" w:cs="Arial" w:eastAsia="Arial" w:hAnsi="Arial"/>
                <w:sz w:val="12"/>
                <w:szCs w:val="12"/>
                <w:color w:val="auto"/>
              </w:rPr>
              <w:t>(13)(22)</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660" w:type="dxa"/>
            <w:vAlign w:val="bottom"/>
            <w:gridSpan w:val="3"/>
          </w:tcPr>
          <w:p>
            <w:pPr>
              <w:spacing w:after="0" w:line="141" w:lineRule="exact"/>
              <w:rPr>
                <w:sz w:val="20"/>
                <w:szCs w:val="20"/>
                <w:color w:val="auto"/>
              </w:rPr>
            </w:pPr>
            <w:r>
              <w:rPr>
                <w:rFonts w:ascii="Arial" w:cs="Arial" w:eastAsia="Arial" w:hAnsi="Arial"/>
                <w:sz w:val="14"/>
                <w:szCs w:val="14"/>
                <w:color w:val="auto"/>
              </w:rPr>
              <w:t>1127 Poinsettia Dr., Delray Beach, FL 33444</w:t>
            </w:r>
          </w:p>
        </w:tc>
        <w:tc>
          <w:tcPr>
            <w:tcW w:w="1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40" w:type="dxa"/>
            <w:vAlign w:val="bottom"/>
            <w:gridSpan w:val="2"/>
          </w:tcPr>
          <w:p>
            <w:pPr>
              <w:ind w:left="240"/>
              <w:spacing w:after="0"/>
              <w:rPr>
                <w:sz w:val="20"/>
                <w:szCs w:val="20"/>
                <w:color w:val="auto"/>
              </w:rPr>
            </w:pPr>
            <w:r>
              <w:rPr>
                <w:rFonts w:ascii="Arial" w:cs="Arial" w:eastAsia="Arial" w:hAnsi="Arial"/>
                <w:sz w:val="14"/>
                <w:szCs w:val="14"/>
                <w:color w:val="auto"/>
              </w:rPr>
              <w:t>Construction &amp; Building</w:t>
            </w:r>
          </w:p>
        </w:tc>
        <w:tc>
          <w:tcPr>
            <w:tcW w:w="3880" w:type="dxa"/>
            <w:vAlign w:val="bottom"/>
            <w:gridSpan w:val="3"/>
          </w:tcPr>
          <w:p>
            <w:pPr>
              <w:ind w:left="1500"/>
              <w:spacing w:after="0"/>
              <w:rPr>
                <w:sz w:val="20"/>
                <w:szCs w:val="20"/>
                <w:color w:val="auto"/>
              </w:rPr>
            </w:pPr>
            <w:r>
              <w:rPr>
                <w:rFonts w:ascii="Arial" w:cs="Arial" w:eastAsia="Arial" w:hAnsi="Arial"/>
                <w:sz w:val="14"/>
                <w:szCs w:val="14"/>
                <w:color w:val="auto"/>
              </w:rPr>
              <w:t>Put Option</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8/31/2021</w:t>
            </w:r>
          </w:p>
        </w:tc>
        <w:tc>
          <w:tcPr>
            <w:tcW w:w="60" w:type="dxa"/>
            <w:vAlign w:val="bottom"/>
          </w:tcPr>
          <w:p>
            <w:pPr>
              <w:spacing w:after="0"/>
              <w:rPr>
                <w:sz w:val="16"/>
                <w:szCs w:val="16"/>
                <w:color w:val="auto"/>
              </w:rPr>
            </w:pPr>
          </w:p>
        </w:tc>
        <w:tc>
          <w:tcPr>
            <w:tcW w:w="5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04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64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HDNet Holdco LLC</w:t>
            </w:r>
          </w:p>
        </w:tc>
        <w:tc>
          <w:tcPr>
            <w:tcW w:w="1500" w:type="dxa"/>
            <w:vAlign w:val="bottom"/>
            <w:shd w:val="clear" w:color="auto" w:fill="CCEEFF"/>
          </w:tcPr>
          <w:p>
            <w:pPr>
              <w:ind w:left="580"/>
              <w:spacing w:after="0" w:line="122" w:lineRule="exact"/>
              <w:rPr>
                <w:sz w:val="20"/>
                <w:szCs w:val="20"/>
                <w:color w:val="auto"/>
              </w:rPr>
            </w:pPr>
            <w:r>
              <w:rPr>
                <w:rFonts w:ascii="Arial" w:cs="Arial" w:eastAsia="Arial" w:hAnsi="Arial"/>
                <w:sz w:val="12"/>
                <w:szCs w:val="12"/>
                <w:color w:val="auto"/>
              </w:rPr>
              <w:t>(13)(21)(22)</w:t>
            </w:r>
          </w:p>
        </w:tc>
        <w:tc>
          <w:tcPr>
            <w:tcW w:w="2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8269 E. 23rd Ave Denver, CO 80238</w:t>
            </w:r>
          </w:p>
        </w:tc>
        <w:tc>
          <w:tcPr>
            <w:tcW w:w="15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Media: Broadcasting &amp; Subscription</w:t>
            </w:r>
          </w:p>
        </w:tc>
        <w:tc>
          <w:tcPr>
            <w:tcW w:w="3880" w:type="dxa"/>
            <w:vAlign w:val="bottom"/>
            <w:gridSpan w:val="3"/>
            <w:shd w:val="clear" w:color="auto" w:fill="CCEEFF"/>
          </w:tcPr>
          <w:p>
            <w:pPr>
              <w:ind w:left="1500"/>
              <w:spacing w:after="0"/>
              <w:rPr>
                <w:sz w:val="20"/>
                <w:szCs w:val="20"/>
                <w:color w:val="auto"/>
              </w:rPr>
            </w:pPr>
            <w:r>
              <w:rPr>
                <w:rFonts w:ascii="Arial" w:cs="Arial" w:eastAsia="Arial" w:hAnsi="Arial"/>
                <w:sz w:val="14"/>
                <w:szCs w:val="14"/>
                <w:color w:val="auto"/>
              </w:rPr>
              <w:t>Call Option</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9/9/2019</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w w:val="79"/>
              </w:rPr>
              <w:t>30,609</w:t>
            </w:r>
          </w:p>
        </w:tc>
        <w:tc>
          <w:tcPr>
            <w:tcW w:w="140" w:type="dxa"/>
            <w:vAlign w:val="bottom"/>
            <w:tcBorders>
              <w:left w:val="single" w:sz="8" w:color="CCEEFF"/>
            </w:tcBorders>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18,054</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Derivatives (0% of net asset value at fair value)</w:t>
            </w:r>
          </w:p>
        </w:tc>
        <w:tc>
          <w:tcPr>
            <w:tcW w:w="1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66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5"/>
                <w:szCs w:val="5"/>
                <w:b w:val="1"/>
                <w:bCs w:val="1"/>
                <w:u w:val="single" w:color="auto"/>
                <w:color w:val="auto"/>
                <w:w w:val="70"/>
              </w:rPr>
              <w:t>$</w:t>
            </w:r>
          </w:p>
        </w:tc>
        <w:tc>
          <w:tcPr>
            <w:tcW w:w="380" w:type="dxa"/>
            <w:vAlign w:val="bottom"/>
          </w:tcPr>
          <w:p>
            <w:pPr>
              <w:spacing w:after="0" w:line="146" w:lineRule="exact"/>
              <w:rPr>
                <w:sz w:val="20"/>
                <w:szCs w:val="20"/>
                <w:color w:val="auto"/>
              </w:rPr>
            </w:pPr>
            <w:r>
              <w:rPr>
                <w:rFonts w:ascii="Arial" w:cs="Arial" w:eastAsia="Arial" w:hAnsi="Arial"/>
                <w:sz w:val="14"/>
                <w:szCs w:val="14"/>
                <w:b w:val="1"/>
                <w:bCs w:val="1"/>
                <w:color w:val="auto"/>
                <w:w w:val="79"/>
              </w:rPr>
              <w:t>30,609</w:t>
            </w:r>
          </w:p>
        </w:tc>
        <w:tc>
          <w:tcPr>
            <w:tcW w:w="140" w:type="dxa"/>
            <w:vAlign w:val="bottom"/>
            <w:vMerge w:val="continue"/>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4"/>
                <w:szCs w:val="14"/>
                <w:b w:val="1"/>
                <w:bCs w:val="1"/>
                <w:color w:val="auto"/>
                <w:w w:val="83"/>
              </w:rPr>
              <w:t>$ (1,982,091</w:t>
            </w:r>
          </w:p>
        </w:tc>
        <w:tc>
          <w:tcPr>
            <w:tcW w:w="180" w:type="dxa"/>
            <w:vAlign w:val="bottom"/>
            <w:vMerge w:val="continue"/>
          </w:tcPr>
          <w:p>
            <w:pPr>
              <w:spacing w:after="0"/>
              <w:rPr>
                <w:sz w:val="12"/>
                <w:szCs w:val="12"/>
                <w:color w:val="auto"/>
              </w:rPr>
            </w:pPr>
          </w:p>
        </w:tc>
        <w:tc>
          <w:tcPr>
            <w:tcW w:w="600" w:type="dxa"/>
            <w:vAlign w:val="bottom"/>
            <w:gridSpan w:val="2"/>
          </w:tcPr>
          <w:p>
            <w:pPr>
              <w:jc w:val="right"/>
              <w:ind w:right="40"/>
              <w:spacing w:after="0" w:line="146" w:lineRule="exact"/>
              <w:rPr>
                <w:sz w:val="20"/>
                <w:szCs w:val="20"/>
                <w:color w:val="auto"/>
              </w:rPr>
            </w:pPr>
            <w:r>
              <w:rPr>
                <w:rFonts w:ascii="Arial" w:cs="Arial" w:eastAsia="Arial" w:hAnsi="Arial"/>
                <w:sz w:val="14"/>
                <w:szCs w:val="14"/>
                <w:b w:val="1"/>
                <w:bCs w:val="1"/>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840"/>
          </w:cols>
          <w:pgMar w:left="320" w:top="443" w:right="739" w:bottom="1440" w:gutter="0" w:footer="0" w:header="0"/>
          <w:type w:val="continuous"/>
        </w:sectPr>
      </w:pPr>
    </w:p>
    <w:bookmarkStart w:id="32" w:name="page33"/>
    <w:bookmarkEnd w:id="3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Joint Ventures</w:t>
      </w:r>
    </w:p>
    <w:p>
      <w:pPr>
        <w:spacing w:after="0" w:line="356"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Portfolio Company /</w:t>
      </w:r>
    </w:p>
    <w:p>
      <w:pPr>
        <w:ind w:left="420"/>
        <w:spacing w:after="0" w:line="228" w:lineRule="auto"/>
        <w:rPr>
          <w:sz w:val="20"/>
          <w:szCs w:val="20"/>
          <w:color w:val="auto"/>
        </w:rPr>
      </w:pPr>
      <w:r>
        <w:rPr>
          <w:rFonts w:ascii="Arial" w:cs="Arial" w:eastAsia="Arial" w:hAnsi="Arial"/>
          <w:sz w:val="14"/>
          <w:szCs w:val="14"/>
          <w:b w:val="1"/>
          <w:bCs w:val="1"/>
          <w:u w:val="single" w:color="auto"/>
          <w:color w:val="auto"/>
        </w:rPr>
        <w:t>Principal Business</w:t>
      </w:r>
    </w:p>
    <w:p>
      <w:pPr>
        <w:ind w:left="420"/>
        <w:spacing w:after="0" w:line="210" w:lineRule="auto"/>
        <w:rPr>
          <w:sz w:val="20"/>
          <w:szCs w:val="20"/>
          <w:color w:val="auto"/>
        </w:rPr>
      </w:pPr>
      <w:r>
        <w:rPr>
          <w:rFonts w:ascii="Arial" w:cs="Arial" w:eastAsia="Arial" w:hAnsi="Arial"/>
          <w:sz w:val="14"/>
          <w:szCs w:val="14"/>
          <w:color w:val="auto"/>
        </w:rPr>
        <w:t>KCAP Freedom 3 LLC</w:t>
      </w:r>
    </w:p>
    <w:p>
      <w:pPr>
        <w:ind w:left="420"/>
        <w:spacing w:after="0"/>
        <w:rPr>
          <w:sz w:val="20"/>
          <w:szCs w:val="20"/>
          <w:color w:val="auto"/>
        </w:rPr>
      </w:pPr>
      <w:r>
        <w:rPr>
          <w:rFonts w:ascii="Arial" w:cs="Arial" w:eastAsia="Arial" w:hAnsi="Arial"/>
          <w:sz w:val="12"/>
          <w:szCs w:val="12"/>
          <w:color w:val="auto"/>
        </w:rPr>
        <w:t>650 Madison Ave FL23, New York, NY 10022</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BCP Great Lakes Holdings LP</w:t>
      </w:r>
    </w:p>
    <w:p>
      <w:pPr>
        <w:ind w:left="420"/>
        <w:spacing w:after="0"/>
        <w:rPr>
          <w:sz w:val="20"/>
          <w:szCs w:val="20"/>
          <w:color w:val="auto"/>
        </w:rPr>
      </w:pPr>
      <w:r>
        <w:rPr>
          <w:rFonts w:ascii="Arial" w:cs="Arial" w:eastAsia="Arial" w:hAnsi="Arial"/>
          <w:sz w:val="12"/>
          <w:szCs w:val="12"/>
          <w:color w:val="auto"/>
        </w:rPr>
        <w:t>650 Madison Ave FL23, New York, NY 10022</w:t>
      </w:r>
    </w:p>
    <w:p>
      <w:pPr>
        <w:ind w:left="420"/>
        <w:spacing w:after="0" w:line="232" w:lineRule="auto"/>
        <w:rPr>
          <w:sz w:val="20"/>
          <w:szCs w:val="20"/>
          <w:color w:val="auto"/>
        </w:rPr>
      </w:pPr>
      <w:r>
        <w:rPr>
          <w:rFonts w:ascii="Arial" w:cs="Arial" w:eastAsia="Arial" w:hAnsi="Arial"/>
          <w:sz w:val="14"/>
          <w:szCs w:val="14"/>
          <w:color w:val="auto"/>
        </w:rPr>
        <w:t>Limited Partnership</w:t>
      </w:r>
    </w:p>
    <w:p>
      <w:pPr>
        <w:ind w:left="420"/>
        <w:spacing w:after="0" w:line="209" w:lineRule="auto"/>
        <w:rPr>
          <w:sz w:val="20"/>
          <w:szCs w:val="20"/>
          <w:color w:val="auto"/>
        </w:rPr>
      </w:pPr>
      <w:r>
        <w:rPr>
          <w:rFonts w:ascii="Arial" w:cs="Arial" w:eastAsia="Arial" w:hAnsi="Arial"/>
          <w:sz w:val="14"/>
          <w:szCs w:val="14"/>
          <w:b w:val="1"/>
          <w:bCs w:val="1"/>
          <w:color w:val="auto"/>
        </w:rPr>
        <w:t>Total Investment in Joint Ventures</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(24.9% of net asset value at fair value)</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Total Investments</w:t>
      </w:r>
      <w:r>
        <w:rPr>
          <w:rFonts w:ascii="Arial" w:cs="Arial" w:eastAsia="Arial" w:hAnsi="Arial"/>
          <w:sz w:val="11"/>
          <w:szCs w:val="11"/>
          <w:b w:val="1"/>
          <w:bCs w:val="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Initial</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1"/>
        </w:trPr>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11"/>
                <w:szCs w:val="11"/>
                <w:b w:val="1"/>
                <w:bCs w:val="1"/>
                <w:color w:val="auto"/>
              </w:rPr>
              <w:t>15</w:t>
            </w:r>
          </w:p>
        </w:tc>
        <w:tc>
          <w:tcPr>
            <w:tcW w:w="100" w:type="dxa"/>
            <w:vAlign w:val="bottom"/>
            <w:vMerge w:val="restart"/>
          </w:tcPr>
          <w:p>
            <w:pPr>
              <w:spacing w:after="0"/>
              <w:rPr>
                <w:sz w:val="12"/>
                <w:szCs w:val="12"/>
                <w:color w:val="auto"/>
              </w:rPr>
            </w:pPr>
          </w:p>
        </w:tc>
        <w:tc>
          <w:tcPr>
            <w:tcW w:w="82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6"/>
              </w:rPr>
              <w:t>Acquisition</w:t>
            </w:r>
          </w:p>
        </w:tc>
        <w:tc>
          <w:tcPr>
            <w:tcW w:w="1000" w:type="dxa"/>
            <w:vAlign w:val="bottom"/>
            <w:gridSpan w:val="3"/>
          </w:tcPr>
          <w:p>
            <w:pPr>
              <w:jc w:val="right"/>
              <w:ind w:right="340"/>
              <w:spacing w:after="0" w:line="141"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3"/>
              </w:rPr>
              <w:t>Fair</w:t>
            </w:r>
          </w:p>
        </w:tc>
        <w:tc>
          <w:tcPr>
            <w:tcW w:w="52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720" w:type="dxa"/>
            <w:vAlign w:val="bottom"/>
            <w:vMerge w:val="restart"/>
          </w:tcPr>
          <w:p>
            <w:pPr>
              <w:spacing w:after="0"/>
              <w:rPr>
                <w:sz w:val="20"/>
                <w:szCs w:val="20"/>
                <w:color w:val="auto"/>
              </w:rPr>
            </w:pPr>
            <w:r>
              <w:rPr>
                <w:rFonts w:ascii="Arial" w:cs="Arial" w:eastAsia="Arial" w:hAnsi="Arial"/>
                <w:sz w:val="12"/>
                <w:szCs w:val="12"/>
                <w:color w:val="auto"/>
              </w:rPr>
              <w:t>(9)(13)(16)</w:t>
            </w:r>
          </w:p>
        </w:tc>
        <w:tc>
          <w:tcPr>
            <w:tcW w:w="120" w:type="dxa"/>
            <w:vAlign w:val="bottom"/>
          </w:tcPr>
          <w:p>
            <w:pPr>
              <w:spacing w:after="0"/>
              <w:rPr>
                <w:sz w:val="13"/>
                <w:szCs w:val="13"/>
                <w:color w:val="auto"/>
              </w:rPr>
            </w:pPr>
          </w:p>
        </w:tc>
        <w:tc>
          <w:tcPr>
            <w:tcW w:w="20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Ownership</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Value</w:t>
            </w:r>
            <w:r>
              <w:rPr>
                <w:rFonts w:ascii="Arial" w:cs="Arial" w:eastAsia="Arial" w:hAnsi="Arial"/>
                <w:sz w:val="11"/>
                <w:szCs w:val="11"/>
                <w:b w:val="1"/>
                <w:bCs w:val="1"/>
                <w:color w:val="auto"/>
                <w:w w:val="87"/>
              </w:rPr>
              <w:t>2</w:t>
            </w:r>
          </w:p>
        </w:tc>
        <w:tc>
          <w:tcPr>
            <w:tcW w:w="140" w:type="dxa"/>
            <w:vAlign w:val="bottom"/>
          </w:tcPr>
          <w:p>
            <w:pPr>
              <w:spacing w:after="0"/>
              <w:rPr>
                <w:sz w:val="13"/>
                <w:szCs w:val="13"/>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Assets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Arial" w:cs="Arial" w:eastAsia="Arial" w:hAnsi="Arial"/>
                <w:sz w:val="14"/>
                <w:szCs w:val="14"/>
                <w:color w:val="auto"/>
              </w:rPr>
              <w:t>Joint Venture</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7/19/2017</w:t>
            </w:r>
          </w:p>
        </w:tc>
        <w:tc>
          <w:tcPr>
            <w:tcW w:w="100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60%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4"/>
              </w:rPr>
              <w:t>27,414,858</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4"/>
              </w:rPr>
              <w:t>23,946,301</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720" w:type="dxa"/>
            <w:vAlign w:val="bottom"/>
          </w:tcPr>
          <w:p>
            <w:pPr>
              <w:spacing w:after="0"/>
              <w:rPr>
                <w:sz w:val="20"/>
                <w:szCs w:val="20"/>
                <w:color w:val="auto"/>
              </w:rPr>
            </w:pPr>
            <w:r>
              <w:rPr>
                <w:rFonts w:ascii="Arial" w:cs="Arial" w:eastAsia="Arial" w:hAnsi="Arial"/>
                <w:sz w:val="12"/>
                <w:szCs w:val="12"/>
                <w:color w:val="auto"/>
              </w:rPr>
              <w:t>(10)(17)(18)</w:t>
            </w:r>
          </w:p>
        </w:tc>
        <w:tc>
          <w:tcPr>
            <w:tcW w:w="2240" w:type="dxa"/>
            <w:vAlign w:val="bottom"/>
            <w:gridSpan w:val="3"/>
          </w:tcPr>
          <w:p>
            <w:pPr>
              <w:ind w:left="120"/>
              <w:spacing w:after="0"/>
              <w:rPr>
                <w:sz w:val="20"/>
                <w:szCs w:val="20"/>
                <w:color w:val="auto"/>
              </w:rPr>
            </w:pPr>
            <w:r>
              <w:rPr>
                <w:rFonts w:ascii="Arial" w:cs="Arial" w:eastAsia="Arial" w:hAnsi="Arial"/>
                <w:sz w:val="14"/>
                <w:szCs w:val="14"/>
                <w:color w:val="auto"/>
              </w:rPr>
              <w:t>Joint Venture</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720" w:type="dxa"/>
            <w:vAlign w:val="bottom"/>
          </w:tcPr>
          <w:p>
            <w:pPr>
              <w:jc w:val="right"/>
              <w:ind w:right="322"/>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12/11/2018</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43,143,519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43,682,813</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79"/>
        </w:trPr>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4"/>
              </w:rPr>
              <w:t>70,558,377</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67,629,114</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24.9%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4"/>
                <w:szCs w:val="14"/>
                <w:b w:val="1"/>
                <w:bCs w:val="1"/>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601,987,885</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560,199,292</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106.4%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-2411095</wp:posOffset>
            </wp:positionH>
            <wp:positionV relativeFrom="paragraph">
              <wp:posOffset>-1962785</wp:posOffset>
            </wp:positionV>
            <wp:extent cx="718121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1215" cy="36830"/>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-908050</wp:posOffset>
            </wp:positionV>
            <wp:extent cx="6620510" cy="186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20510" cy="186690"/>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-381000</wp:posOffset>
            </wp:positionV>
            <wp:extent cx="6620510" cy="186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20510" cy="186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020"/>
          </w:cols>
          <w:pgMar w:left="320" w:top="443" w:right="779" w:bottom="1440" w:gutter="0" w:footer="0" w:header="0"/>
        </w:sectPr>
      </w:pPr>
    </w:p>
    <w:p>
      <w:pPr>
        <w:spacing w:after="0" w:line="24" w:lineRule="exact"/>
        <w:rPr>
          <w:sz w:val="20"/>
          <w:szCs w:val="20"/>
          <w:color w:val="auto"/>
        </w:rPr>
      </w:pPr>
    </w:p>
    <w:p>
      <w:pPr>
        <w:ind w:left="820" w:right="100" w:hanging="409"/>
        <w:spacing w:after="0" w:line="249" w:lineRule="auto"/>
        <w:tabs>
          <w:tab w:leader="none" w:pos="820" w:val="left"/>
        </w:tabs>
        <w:numPr>
          <w:ilvl w:val="0"/>
          <w:numId w:val="23"/>
        </w:numPr>
        <w:rPr>
          <w:rFonts w:ascii="Arial" w:cs="Arial" w:eastAsia="Arial" w:hAnsi="Arial"/>
          <w:sz w:val="11"/>
          <w:szCs w:val="11"/>
          <w:color w:val="auto"/>
        </w:rPr>
      </w:pPr>
      <w:r>
        <w:rPr>
          <w:rFonts w:ascii="Arial" w:cs="Arial" w:eastAsia="Arial" w:hAnsi="Arial"/>
          <w:sz w:val="12"/>
          <w:szCs w:val="12"/>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September 30, 2021 loan. For each such loan, the Company has provided the weighted average annual stated interest rate in effect at September 30, 2021. As noted in the table above 75.5% (based on par) of debt securities contain floors which range between 0.50% and 2.25%.</w:t>
      </w:r>
    </w:p>
    <w:p>
      <w:pPr>
        <w:ind w:left="820" w:hanging="409"/>
        <w:spacing w:after="0" w:line="211" w:lineRule="auto"/>
        <w:tabs>
          <w:tab w:leader="none" w:pos="820" w:val="left"/>
        </w:tabs>
        <w:numPr>
          <w:ilvl w:val="0"/>
          <w:numId w:val="24"/>
        </w:numPr>
        <w:rPr>
          <w:rFonts w:ascii="Arial" w:cs="Arial" w:eastAsia="Arial" w:hAnsi="Arial"/>
          <w:sz w:val="12"/>
          <w:szCs w:val="12"/>
          <w:color w:val="auto"/>
        </w:rPr>
      </w:pPr>
      <w:r>
        <w:rPr>
          <w:rFonts w:ascii="Arial" w:cs="Arial" w:eastAsia="Arial" w:hAnsi="Arial"/>
          <w:sz w:val="14"/>
          <w:szCs w:val="14"/>
          <w:color w:val="auto"/>
        </w:rPr>
        <w:t>Reflects the fair market value of all investments as of September 30, 2021 as determined by the Company’s Board of Directors.</w:t>
      </w:r>
    </w:p>
    <w:p>
      <w:pPr>
        <w:ind w:left="420"/>
        <w:spacing w:after="0"/>
        <w:rPr>
          <w:rFonts w:ascii="Arial" w:cs="Arial" w:eastAsia="Arial" w:hAnsi="Arial"/>
          <w:sz w:val="12"/>
          <w:szCs w:val="12"/>
          <w:color w:val="auto"/>
        </w:rPr>
      </w:pPr>
      <w:r>
        <w:rPr>
          <w:rFonts w:ascii="Arial" w:cs="Arial" w:eastAsia="Arial" w:hAnsi="Arial"/>
          <w:sz w:val="12"/>
          <w:szCs w:val="12"/>
          <w:color w:val="auto"/>
        </w:rPr>
        <w:t>3Non-U.S. company or principal place of business outside the U.S.</w:t>
      </w:r>
    </w:p>
    <w:p>
      <w:pPr>
        <w:spacing w:after="0" w:line="2" w:lineRule="exact"/>
        <w:rPr>
          <w:rFonts w:ascii="Arial" w:cs="Arial" w:eastAsia="Arial" w:hAnsi="Arial"/>
          <w:sz w:val="12"/>
          <w:szCs w:val="12"/>
          <w:color w:val="auto"/>
        </w:rPr>
      </w:pPr>
    </w:p>
    <w:p>
      <w:pPr>
        <w:ind w:left="820" w:right="360" w:hanging="409"/>
        <w:spacing w:after="0" w:line="244" w:lineRule="auto"/>
        <w:rPr>
          <w:rFonts w:ascii="Arial" w:cs="Arial" w:eastAsia="Arial" w:hAnsi="Arial"/>
          <w:sz w:val="12"/>
          <w:szCs w:val="12"/>
          <w:color w:val="auto"/>
        </w:rPr>
      </w:pPr>
      <w:r>
        <w:rPr>
          <w:rFonts w:ascii="Arial" w:cs="Arial" w:eastAsia="Arial" w:hAnsi="Arial"/>
          <w:sz w:val="12"/>
          <w:szCs w:val="12"/>
          <w:color w:val="auto"/>
        </w:rPr>
        <w:t>4The aggregate cost of investments for federal income tax purposes is approximately $632 million. The aggregate gross unrealized appreciation is approximately $51 million, the aggregate gross unrealized depreciation is approximately $123 million, and the net unrealized depreciation is approximately $72 million.</w:t>
      </w:r>
    </w:p>
    <w:p>
      <w:pPr>
        <w:ind w:left="420"/>
        <w:spacing w:after="0"/>
        <w:rPr>
          <w:rFonts w:ascii="Arial" w:cs="Arial" w:eastAsia="Arial" w:hAnsi="Arial"/>
          <w:sz w:val="12"/>
          <w:szCs w:val="12"/>
          <w:color w:val="auto"/>
        </w:rPr>
      </w:pPr>
      <w:r>
        <w:rPr>
          <w:rFonts w:ascii="Arial" w:cs="Arial" w:eastAsia="Arial" w:hAnsi="Arial"/>
          <w:sz w:val="12"/>
          <w:szCs w:val="12"/>
          <w:color w:val="auto"/>
        </w:rPr>
        <w:t>5Loan or debt security is on non-accrual status and therefore is considered non-income producing.</w:t>
      </w:r>
    </w:p>
    <w:p>
      <w:pPr>
        <w:spacing w:after="0" w:line="2" w:lineRule="exact"/>
        <w:rPr>
          <w:rFonts w:ascii="Arial" w:cs="Arial" w:eastAsia="Arial" w:hAnsi="Arial"/>
          <w:sz w:val="12"/>
          <w:szCs w:val="12"/>
          <w:color w:val="auto"/>
        </w:rPr>
      </w:pPr>
    </w:p>
    <w:p>
      <w:pPr>
        <w:ind w:left="820" w:right="300" w:hanging="409"/>
        <w:spacing w:after="0" w:line="209" w:lineRule="auto"/>
        <w:rPr>
          <w:rFonts w:ascii="Arial" w:cs="Arial" w:eastAsia="Arial" w:hAnsi="Arial"/>
          <w:sz w:val="12"/>
          <w:szCs w:val="12"/>
          <w:color w:val="auto"/>
        </w:rPr>
      </w:pPr>
      <w:r>
        <w:rPr>
          <w:rFonts w:ascii="Arial" w:cs="Arial" w:eastAsia="Arial" w:hAnsi="Arial"/>
          <w:sz w:val="12"/>
          <w:szCs w:val="12"/>
          <w:color w:val="auto"/>
        </w:rPr>
        <w:t>6</w:t>
      </w:r>
      <w:r>
        <w:rPr>
          <w:rFonts w:ascii="Arial" w:cs="Arial" w:eastAsia="Arial" w:hAnsi="Arial"/>
          <w:sz w:val="14"/>
          <w:szCs w:val="14"/>
          <w:color w:val="auto"/>
        </w:rPr>
        <w:t>Held through Garrison Capital Equity Holdings II LLC and net of non-controlling member’s interest of 17.5% pursuant to the Amended and Restated Limited Liability Company Agreement of Garrison Capital Equity Holdings II LLC.</w:t>
      </w:r>
    </w:p>
    <w:p>
      <w:pPr>
        <w:ind w:left="420"/>
        <w:spacing w:after="0"/>
        <w:rPr>
          <w:rFonts w:ascii="Arial" w:cs="Arial" w:eastAsia="Arial" w:hAnsi="Arial"/>
          <w:sz w:val="12"/>
          <w:szCs w:val="12"/>
          <w:color w:val="auto"/>
        </w:rPr>
      </w:pPr>
      <w:r>
        <w:rPr>
          <w:rFonts w:ascii="Arial" w:cs="Arial" w:eastAsia="Arial" w:hAnsi="Arial"/>
          <w:sz w:val="12"/>
          <w:szCs w:val="12"/>
          <w:color w:val="auto"/>
        </w:rPr>
        <w:t>7During the second quarter of 2020, the Company was notified that this CLO Fund security will cease making distributions to the Company.</w:t>
      </w:r>
    </w:p>
    <w:p>
      <w:pPr>
        <w:spacing w:after="0" w:line="2" w:lineRule="exact"/>
        <w:rPr>
          <w:rFonts w:ascii="Arial" w:cs="Arial" w:eastAsia="Arial" w:hAnsi="Arial"/>
          <w:sz w:val="12"/>
          <w:szCs w:val="12"/>
          <w:color w:val="auto"/>
        </w:rPr>
      </w:pPr>
    </w:p>
    <w:p>
      <w:pPr>
        <w:ind w:left="820" w:right="320" w:hanging="409"/>
        <w:spacing w:after="0" w:line="209" w:lineRule="auto"/>
        <w:rPr>
          <w:rFonts w:ascii="Arial" w:cs="Arial" w:eastAsia="Arial" w:hAnsi="Arial"/>
          <w:sz w:val="12"/>
          <w:szCs w:val="12"/>
          <w:color w:val="auto"/>
        </w:rPr>
      </w:pPr>
      <w:r>
        <w:rPr>
          <w:rFonts w:ascii="Arial" w:cs="Arial" w:eastAsia="Arial" w:hAnsi="Arial"/>
          <w:sz w:val="12"/>
          <w:szCs w:val="12"/>
          <w:color w:val="auto"/>
        </w:rPr>
        <w:t>8</w:t>
      </w:r>
      <w:r>
        <w:rPr>
          <w:rFonts w:ascii="Arial" w:cs="Arial" w:eastAsia="Arial" w:hAnsi="Arial"/>
          <w:sz w:val="14"/>
          <w:szCs w:val="14"/>
          <w:color w:val="auto"/>
        </w:rPr>
        <w:t>Qualified asset for purposes of section 55(a) of the Investment Company Act of 1940, as amended (the “1940 Act”). Qualifying assets represent approximately 84.4% of the total assets at September 30, 2021.</w:t>
      </w:r>
    </w:p>
    <w:p>
      <w:pPr>
        <w:ind w:left="820" w:right="340" w:hanging="409"/>
        <w:spacing w:after="0" w:line="244" w:lineRule="auto"/>
        <w:rPr>
          <w:rFonts w:ascii="Arial" w:cs="Arial" w:eastAsia="Arial" w:hAnsi="Arial"/>
          <w:sz w:val="12"/>
          <w:szCs w:val="12"/>
          <w:color w:val="auto"/>
        </w:rPr>
      </w:pPr>
      <w:r>
        <w:rPr>
          <w:rFonts w:ascii="Arial" w:cs="Arial" w:eastAsia="Arial" w:hAnsi="Arial"/>
          <w:sz w:val="12"/>
          <w:szCs w:val="12"/>
          <w:color w:val="auto"/>
        </w:rPr>
        <w:t>9As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ind w:left="820" w:hanging="409"/>
        <w:spacing w:after="0" w:line="210" w:lineRule="auto"/>
        <w:tabs>
          <w:tab w:leader="none" w:pos="820" w:val="left"/>
        </w:tabs>
        <w:numPr>
          <w:ilvl w:val="0"/>
          <w:numId w:val="25"/>
        </w:numPr>
        <w:rPr>
          <w:rFonts w:ascii="Arial" w:cs="Arial" w:eastAsia="Arial" w:hAnsi="Arial"/>
          <w:sz w:val="12"/>
          <w:szCs w:val="12"/>
          <w:color w:val="auto"/>
        </w:rPr>
      </w:pPr>
      <w:r>
        <w:rPr>
          <w:rFonts w:ascii="Arial" w:cs="Arial" w:eastAsia="Arial" w:hAnsi="Arial"/>
          <w:sz w:val="14"/>
          <w:szCs w:val="14"/>
          <w:color w:val="auto"/>
        </w:rPr>
        <w:t>Non-voting.</w:t>
      </w:r>
    </w:p>
    <w:p>
      <w:pPr>
        <w:ind w:left="820" w:right="60" w:hanging="409"/>
        <w:spacing w:after="0" w:line="244" w:lineRule="auto"/>
        <w:tabs>
          <w:tab w:leader="none" w:pos="820" w:val="left"/>
        </w:tabs>
        <w:numPr>
          <w:ilvl w:val="0"/>
          <w:numId w:val="25"/>
        </w:numPr>
        <w:rPr>
          <w:rFonts w:ascii="Arial" w:cs="Arial" w:eastAsia="Arial" w:hAnsi="Arial"/>
          <w:sz w:val="11"/>
          <w:szCs w:val="11"/>
          <w:color w:val="auto"/>
        </w:rPr>
      </w:pPr>
      <w:r>
        <w:rPr>
          <w:rFonts w:ascii="Arial" w:cs="Arial" w:eastAsia="Arial" w:hAnsi="Arial"/>
          <w:sz w:val="12"/>
          <w:szCs w:val="12"/>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ind w:left="820" w:hanging="409"/>
        <w:spacing w:after="0" w:line="209" w:lineRule="auto"/>
        <w:tabs>
          <w:tab w:leader="none" w:pos="820" w:val="left"/>
        </w:tabs>
        <w:numPr>
          <w:ilvl w:val="0"/>
          <w:numId w:val="25"/>
        </w:numPr>
        <w:rPr>
          <w:rFonts w:ascii="Arial" w:cs="Arial" w:eastAsia="Arial" w:hAnsi="Arial"/>
          <w:sz w:val="12"/>
          <w:szCs w:val="12"/>
          <w:color w:val="auto"/>
        </w:rPr>
      </w:pPr>
      <w:r>
        <w:rPr>
          <w:rFonts w:ascii="Arial" w:cs="Arial" w:eastAsia="Arial" w:hAnsi="Arial"/>
          <w:sz w:val="14"/>
          <w:szCs w:val="14"/>
          <w:color w:val="auto"/>
        </w:rPr>
        <w:t>This investment is on non-accrual status and receives a 5% royalty interest on oil being produced on certain fields. All production payments received are being applied to the cost basis and are considered return of capital.</w:t>
      </w:r>
    </w:p>
    <w:p>
      <w:pPr>
        <w:ind w:left="820" w:hanging="409"/>
        <w:spacing w:after="0" w:line="209" w:lineRule="auto"/>
        <w:tabs>
          <w:tab w:leader="none" w:pos="820" w:val="left"/>
        </w:tabs>
        <w:numPr>
          <w:ilvl w:val="0"/>
          <w:numId w:val="25"/>
        </w:numPr>
        <w:rPr>
          <w:rFonts w:ascii="Arial" w:cs="Arial" w:eastAsia="Arial" w:hAnsi="Arial"/>
          <w:sz w:val="12"/>
          <w:szCs w:val="12"/>
          <w:color w:val="auto"/>
        </w:rPr>
      </w:pPr>
      <w:r>
        <w:rPr>
          <w:rFonts w:ascii="Arial" w:cs="Arial" w:eastAsia="Arial" w:hAnsi="Arial"/>
          <w:sz w:val="14"/>
          <w:szCs w:val="14"/>
          <w:color w:val="auto"/>
        </w:rPr>
        <w:t>Fair value of this investment was determined using significant unobservable inputs.</w:t>
      </w:r>
    </w:p>
    <w:p>
      <w:pPr>
        <w:ind w:left="820" w:hanging="409"/>
        <w:spacing w:after="0" w:line="209" w:lineRule="auto"/>
        <w:tabs>
          <w:tab w:leader="none" w:pos="820" w:val="left"/>
        </w:tabs>
        <w:numPr>
          <w:ilvl w:val="0"/>
          <w:numId w:val="25"/>
        </w:numPr>
        <w:rPr>
          <w:rFonts w:ascii="Arial" w:cs="Arial" w:eastAsia="Arial" w:hAnsi="Arial"/>
          <w:sz w:val="12"/>
          <w:szCs w:val="12"/>
          <w:color w:val="auto"/>
        </w:rPr>
      </w:pPr>
      <w:r>
        <w:rPr>
          <w:rFonts w:ascii="Arial" w:cs="Arial" w:eastAsia="Arial" w:hAnsi="Arial"/>
          <w:sz w:val="14"/>
          <w:szCs w:val="14"/>
          <w:color w:val="auto"/>
        </w:rPr>
        <w:t>As of September 30, 2021, is investment is pledged to secure the Company’s debt obligations.</w:t>
      </w:r>
    </w:p>
    <w:p>
      <w:pPr>
        <w:ind w:left="820" w:right="20" w:hanging="409"/>
        <w:spacing w:after="0" w:line="209" w:lineRule="auto"/>
        <w:tabs>
          <w:tab w:leader="none" w:pos="820" w:val="left"/>
        </w:tabs>
        <w:numPr>
          <w:ilvl w:val="0"/>
          <w:numId w:val="25"/>
        </w:numPr>
        <w:rPr>
          <w:rFonts w:ascii="Arial" w:cs="Arial" w:eastAsia="Arial" w:hAnsi="Arial"/>
          <w:sz w:val="12"/>
          <w:szCs w:val="12"/>
          <w:color w:val="auto"/>
        </w:rPr>
      </w:pPr>
      <w:r>
        <w:rPr>
          <w:rFonts w:ascii="Arial" w:cs="Arial" w:eastAsia="Arial" w:hAnsi="Arial"/>
          <w:sz w:val="14"/>
          <w:szCs w:val="14"/>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ind w:left="820" w:right="420" w:hanging="409"/>
        <w:spacing w:after="0" w:line="244" w:lineRule="auto"/>
        <w:tabs>
          <w:tab w:leader="none" w:pos="820" w:val="left"/>
        </w:tabs>
        <w:numPr>
          <w:ilvl w:val="0"/>
          <w:numId w:val="25"/>
        </w:numPr>
        <w:rPr>
          <w:rFonts w:ascii="Arial" w:cs="Arial" w:eastAsia="Arial" w:hAnsi="Arial"/>
          <w:sz w:val="11"/>
          <w:szCs w:val="11"/>
          <w:color w:val="auto"/>
        </w:rPr>
      </w:pPr>
      <w:r>
        <w:rPr>
          <w:rFonts w:ascii="Arial" w:cs="Arial" w:eastAsia="Arial" w:hAnsi="Arial"/>
          <w:sz w:val="12"/>
          <w:szCs w:val="12"/>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ind w:left="820" w:hanging="409"/>
        <w:spacing w:after="0" w:line="209" w:lineRule="auto"/>
        <w:tabs>
          <w:tab w:leader="none" w:pos="820" w:val="left"/>
        </w:tabs>
        <w:numPr>
          <w:ilvl w:val="0"/>
          <w:numId w:val="25"/>
        </w:numPr>
        <w:rPr>
          <w:rFonts w:ascii="Arial" w:cs="Arial" w:eastAsia="Arial" w:hAnsi="Arial"/>
          <w:sz w:val="12"/>
          <w:szCs w:val="12"/>
          <w:color w:val="auto"/>
        </w:rPr>
      </w:pPr>
      <w:r>
        <w:rPr>
          <w:rFonts w:ascii="Arial" w:cs="Arial" w:eastAsia="Arial" w:hAnsi="Arial"/>
          <w:sz w:val="14"/>
          <w:szCs w:val="14"/>
          <w:color w:val="auto"/>
        </w:rPr>
        <w:t>Ownership of LP interest held through the holding company BCP Great Lakes Fund, L.P, a non-U.S. company or principal place of business outside the U.S.</w:t>
      </w:r>
    </w:p>
    <w:p>
      <w:pPr>
        <w:ind w:left="820" w:right="20" w:hanging="409"/>
        <w:spacing w:after="0" w:line="209" w:lineRule="auto"/>
        <w:tabs>
          <w:tab w:leader="none" w:pos="820" w:val="left"/>
        </w:tabs>
        <w:numPr>
          <w:ilvl w:val="0"/>
          <w:numId w:val="25"/>
        </w:numPr>
        <w:rPr>
          <w:rFonts w:ascii="Arial" w:cs="Arial" w:eastAsia="Arial" w:hAnsi="Arial"/>
          <w:sz w:val="12"/>
          <w:szCs w:val="12"/>
          <w:color w:val="auto"/>
        </w:rPr>
      </w:pPr>
      <w:r>
        <w:rPr>
          <w:rFonts w:ascii="Arial" w:cs="Arial" w:eastAsia="Arial" w:hAnsi="Arial"/>
          <w:sz w:val="14"/>
          <w:szCs w:val="14"/>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spacing w:after="0" w:line="1" w:lineRule="exact"/>
        <w:rPr>
          <w:rFonts w:ascii="Arial" w:cs="Arial" w:eastAsia="Arial" w:hAnsi="Arial"/>
          <w:sz w:val="12"/>
          <w:szCs w:val="12"/>
          <w:color w:val="auto"/>
        </w:rPr>
      </w:pPr>
    </w:p>
    <w:p>
      <w:pPr>
        <w:ind w:left="820" w:hanging="409"/>
        <w:spacing w:after="0" w:line="209" w:lineRule="auto"/>
        <w:tabs>
          <w:tab w:leader="none" w:pos="820" w:val="left"/>
        </w:tabs>
        <w:numPr>
          <w:ilvl w:val="0"/>
          <w:numId w:val="25"/>
        </w:numPr>
        <w:rPr>
          <w:rFonts w:ascii="Arial" w:cs="Arial" w:eastAsia="Arial" w:hAnsi="Arial"/>
          <w:sz w:val="12"/>
          <w:szCs w:val="12"/>
          <w:color w:val="auto"/>
        </w:rPr>
      </w:pPr>
      <w:r>
        <w:rPr>
          <w:rFonts w:ascii="Arial" w:cs="Arial" w:eastAsia="Arial" w:hAnsi="Arial"/>
          <w:sz w:val="14"/>
          <w:szCs w:val="14"/>
          <w:color w:val="auto"/>
        </w:rPr>
        <w:t>Non-income producing.</w:t>
      </w:r>
    </w:p>
    <w:p>
      <w:pPr>
        <w:ind w:left="820" w:right="40" w:hanging="409"/>
        <w:spacing w:after="0" w:line="225" w:lineRule="auto"/>
        <w:tabs>
          <w:tab w:leader="none" w:pos="820" w:val="left"/>
        </w:tabs>
        <w:numPr>
          <w:ilvl w:val="0"/>
          <w:numId w:val="25"/>
        </w:numPr>
        <w:rPr>
          <w:rFonts w:ascii="Arial" w:cs="Arial" w:eastAsia="Arial" w:hAnsi="Arial"/>
          <w:sz w:val="12"/>
          <w:szCs w:val="12"/>
          <w:color w:val="auto"/>
        </w:rPr>
      </w:pPr>
      <w:r>
        <w:rPr>
          <w:rFonts w:ascii="Arial" w:cs="Arial" w:eastAsia="Arial" w:hAnsi="Arial"/>
          <w:sz w:val="14"/>
          <w:szCs w:val="14"/>
          <w:color w:val="auto"/>
        </w:rPr>
        <w:t>In addition to the stated interest rate of this security, which is the amount disclosed in this schedule, the Company is entitled to receive additional interest as a result of an arrangement with other lenders in the syndication, whereby the “first out” tranche will have priority over the Company’s</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800"/>
          </w:cols>
          <w:pgMar w:left="320" w:top="443" w:right="779" w:bottom="1440" w:gutter="0" w:footer="0" w:header="0"/>
          <w:type w:val="continuous"/>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820" w:right="100"/>
        <w:spacing w:after="0" w:line="218" w:lineRule="auto"/>
        <w:rPr>
          <w:sz w:val="20"/>
          <w:szCs w:val="20"/>
          <w:color w:val="auto"/>
        </w:rPr>
      </w:pPr>
      <w:r>
        <w:rPr>
          <w:rFonts w:ascii="Arial" w:cs="Arial" w:eastAsia="Arial" w:hAnsi="Arial"/>
          <w:sz w:val="14"/>
          <w:szCs w:val="14"/>
          <w:color w:val="auto"/>
        </w:rPr>
        <w:t>“last out” tranche with respect to payments of principal, interest and any other amounts due thereunder from the borrower. The additional interest received during the quarter has been annualized and included in the spread disclosed for this investment.</w:t>
      </w:r>
    </w:p>
    <w:p>
      <w:pPr>
        <w:ind w:left="820" w:hanging="409"/>
        <w:spacing w:after="0" w:line="210" w:lineRule="auto"/>
        <w:tabs>
          <w:tab w:leader="none" w:pos="820" w:val="left"/>
        </w:tabs>
        <w:numPr>
          <w:ilvl w:val="0"/>
          <w:numId w:val="26"/>
        </w:numPr>
        <w:rPr>
          <w:rFonts w:ascii="Arial" w:cs="Arial" w:eastAsia="Arial" w:hAnsi="Arial"/>
          <w:sz w:val="12"/>
          <w:szCs w:val="12"/>
          <w:color w:val="auto"/>
        </w:rPr>
      </w:pPr>
      <w:r>
        <w:rPr>
          <w:rFonts w:ascii="Arial" w:cs="Arial" w:eastAsia="Arial" w:hAnsi="Arial"/>
          <w:sz w:val="14"/>
          <w:szCs w:val="14"/>
          <w:color w:val="auto"/>
        </w:rPr>
        <w:t>Represents co-investment made with the Company’s affiliates in accordance with the terms of the exemptive relief that the Company received.</w:t>
      </w:r>
    </w:p>
    <w:p>
      <w:pPr>
        <w:ind w:left="820" w:hanging="409"/>
        <w:spacing w:after="0"/>
        <w:tabs>
          <w:tab w:leader="none" w:pos="820" w:val="left"/>
        </w:tabs>
        <w:numPr>
          <w:ilvl w:val="0"/>
          <w:numId w:val="26"/>
        </w:numPr>
        <w:rPr>
          <w:rFonts w:ascii="Arial" w:cs="Arial" w:eastAsia="Arial" w:hAnsi="Arial"/>
          <w:sz w:val="12"/>
          <w:szCs w:val="12"/>
          <w:color w:val="auto"/>
        </w:rPr>
      </w:pPr>
      <w:r>
        <w:rPr>
          <w:rFonts w:ascii="Arial" w:cs="Arial" w:eastAsia="Arial" w:hAnsi="Arial"/>
          <w:sz w:val="14"/>
          <w:szCs w:val="14"/>
          <w:color w:val="auto"/>
        </w:rPr>
        <w:t>Information related to the Company’s derivatives is presented below as of September 30, 2021:</w:t>
      </w:r>
    </w:p>
    <w:p>
      <w:pPr>
        <w:spacing w:after="0" w:line="175"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Upfront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00" w:type="dxa"/>
            <w:vAlign w:val="bottom"/>
            <w:gridSpan w:val="2"/>
          </w:tcPr>
          <w:p>
            <w:pPr>
              <w:jc w:val="right"/>
              <w:ind w:right="140"/>
              <w:spacing w:after="0" w:line="141" w:lineRule="exact"/>
              <w:rPr>
                <w:sz w:val="20"/>
                <w:szCs w:val="20"/>
                <w:color w:val="auto"/>
              </w:rPr>
            </w:pPr>
            <w:r>
              <w:rPr>
                <w:rFonts w:ascii="Arial" w:cs="Arial" w:eastAsia="Arial" w:hAnsi="Arial"/>
                <w:sz w:val="14"/>
                <w:szCs w:val="14"/>
                <w:b w:val="1"/>
                <w:bCs w:val="1"/>
                <w:color w:val="auto"/>
                <w:w w:val="81"/>
              </w:rPr>
              <w:t>Payments</w:t>
            </w:r>
          </w:p>
        </w:tc>
        <w:tc>
          <w:tcPr>
            <w:tcW w:w="74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Payments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1" w:lineRule="exact"/>
              <w:rPr>
                <w:sz w:val="20"/>
                <w:szCs w:val="20"/>
                <w:color w:val="auto"/>
              </w:rPr>
            </w:pPr>
            <w:r>
              <w:rPr>
                <w:rFonts w:ascii="Arial" w:cs="Arial" w:eastAsia="Arial" w:hAnsi="Arial"/>
                <w:sz w:val="14"/>
                <w:szCs w:val="14"/>
                <w:b w:val="1"/>
                <w:bCs w:val="1"/>
                <w:color w:val="auto"/>
                <w:w w:val="91"/>
              </w:rPr>
              <w:t>Maturity</w:t>
            </w:r>
          </w:p>
        </w:tc>
        <w:tc>
          <w:tcPr>
            <w:tcW w:w="80" w:type="dxa"/>
            <w:vAlign w:val="bottom"/>
          </w:tcPr>
          <w:p>
            <w:pPr>
              <w:spacing w:after="0"/>
              <w:rPr>
                <w:sz w:val="12"/>
                <w:szCs w:val="12"/>
                <w:color w:val="auto"/>
              </w:rPr>
            </w:pPr>
          </w:p>
        </w:tc>
        <w:tc>
          <w:tcPr>
            <w:tcW w:w="70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89"/>
              </w:rPr>
              <w:t>Notional</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w w:val="83"/>
              </w:rPr>
              <w:t>payments/</w:t>
            </w:r>
          </w:p>
        </w:tc>
        <w:tc>
          <w:tcPr>
            <w:tcW w:w="7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54"/>
        </w:trPr>
        <w:tc>
          <w:tcPr>
            <w:tcW w:w="4240" w:type="dxa"/>
            <w:vAlign w:val="bottom"/>
            <w:gridSpan w:val="2"/>
            <w:vMerge w:val="continue"/>
          </w:tcPr>
          <w:p>
            <w:pPr>
              <w:spacing w:after="0"/>
              <w:rPr>
                <w:sz w:val="13"/>
                <w:szCs w:val="13"/>
                <w:color w:val="auto"/>
              </w:rPr>
            </w:pPr>
          </w:p>
        </w:tc>
        <w:tc>
          <w:tcPr>
            <w:tcW w:w="7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made</w:t>
            </w:r>
          </w:p>
        </w:tc>
        <w:tc>
          <w:tcPr>
            <w:tcW w:w="7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received</w:t>
            </w:r>
          </w:p>
        </w:tc>
        <w:tc>
          <w:tcPr>
            <w:tcW w:w="9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Counterparty</w:t>
            </w:r>
          </w:p>
        </w:tc>
        <w:tc>
          <w:tcPr>
            <w:tcW w:w="60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3"/>
                <w:szCs w:val="13"/>
                <w:color w:val="auto"/>
              </w:rPr>
            </w:pPr>
          </w:p>
        </w:tc>
        <w:tc>
          <w:tcPr>
            <w:tcW w:w="70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3"/>
                <w:szCs w:val="13"/>
                <w:color w:val="auto"/>
              </w:rPr>
            </w:pPr>
          </w:p>
        </w:tc>
        <w:tc>
          <w:tcPr>
            <w:tcW w:w="80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receipts</w:t>
            </w:r>
          </w:p>
        </w:tc>
        <w:tc>
          <w:tcPr>
            <w:tcW w:w="7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w w:val="99"/>
              </w:rPr>
              <w:t>gain (loss)</w:t>
            </w:r>
          </w:p>
        </w:tc>
        <w:tc>
          <w:tcPr>
            <w:tcW w:w="0" w:type="dxa"/>
            <w:vAlign w:val="bottom"/>
          </w:tcPr>
          <w:p>
            <w:pPr>
              <w:spacing w:after="0"/>
              <w:rPr>
                <w:sz w:val="1"/>
                <w:szCs w:val="1"/>
                <w:color w:val="auto"/>
              </w:rPr>
            </w:pPr>
          </w:p>
        </w:tc>
      </w:tr>
      <w:tr>
        <w:trPr>
          <w:trHeight w:val="122"/>
        </w:trPr>
        <w:tc>
          <w:tcPr>
            <w:tcW w:w="660" w:type="dxa"/>
            <w:vAlign w:val="bottom"/>
            <w:tcBorders>
              <w:top w:val="single" w:sz="8" w:color="auto"/>
            </w:tcBorders>
            <w:shd w:val="clear" w:color="auto" w:fill="CCEEFF"/>
          </w:tcPr>
          <w:p>
            <w:pPr>
              <w:spacing w:after="0"/>
              <w:rPr>
                <w:sz w:val="10"/>
                <w:szCs w:val="10"/>
                <w:color w:val="auto"/>
              </w:rPr>
            </w:pPr>
          </w:p>
        </w:tc>
        <w:tc>
          <w:tcPr>
            <w:tcW w:w="35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Advantage</w:t>
            </w: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66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Capital</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Holdings</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2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Securities Swap and Option Agreement</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18% PIK</w:t>
            </w:r>
          </w:p>
        </w:tc>
        <w:tc>
          <w:tcPr>
            <w:tcW w:w="74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16% Cash</w:t>
            </w:r>
          </w:p>
        </w:tc>
        <w:tc>
          <w:tcPr>
            <w:tcW w:w="9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LLC.</w:t>
            </w: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9/15/24</w:t>
            </w:r>
          </w:p>
        </w:tc>
        <w:tc>
          <w:tcPr>
            <w:tcW w:w="78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$5,500,000</w:t>
            </w:r>
          </w:p>
        </w:tc>
        <w:tc>
          <w:tcPr>
            <w:tcW w:w="8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1"/>
              </w:rPr>
              <w:t>$ (2,000,145)</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88"/>
              </w:rPr>
              <w:t>$ (2,000,145)</w:t>
            </w:r>
          </w:p>
        </w:tc>
        <w:tc>
          <w:tcPr>
            <w:tcW w:w="0" w:type="dxa"/>
            <w:vAlign w:val="bottom"/>
          </w:tcPr>
          <w:p>
            <w:pPr>
              <w:spacing w:after="0"/>
              <w:rPr>
                <w:sz w:val="1"/>
                <w:szCs w:val="1"/>
                <w:color w:val="auto"/>
              </w:rPr>
            </w:pPr>
          </w:p>
        </w:tc>
      </w:tr>
    </w:tbl>
    <w:p>
      <w:pPr>
        <w:spacing w:after="0" w:line="18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83"/>
              </w:rPr>
              <w:t>Description</w:t>
            </w:r>
          </w:p>
        </w:tc>
        <w:tc>
          <w:tcPr>
            <w:tcW w:w="3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Notional</w:t>
            </w:r>
          </w:p>
        </w:tc>
        <w:tc>
          <w:tcPr>
            <w:tcW w:w="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Exercise</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6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11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Counterparty</w:t>
            </w:r>
          </w:p>
        </w:tc>
        <w:tc>
          <w:tcPr>
            <w:tcW w:w="136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85"/>
              </w:rPr>
              <w:t>Number of shares</w:t>
            </w:r>
          </w:p>
        </w:tc>
        <w:tc>
          <w:tcPr>
            <w:tcW w:w="8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9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9"/>
              </w:rPr>
              <w:t>price</w:t>
            </w:r>
          </w:p>
        </w:tc>
        <w:tc>
          <w:tcPr>
            <w:tcW w:w="110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w w:val="88"/>
              </w:rPr>
              <w:t>Expiration date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22"/>
        </w:trPr>
        <w:tc>
          <w:tcPr>
            <w:tcW w:w="660" w:type="dxa"/>
            <w:vAlign w:val="bottom"/>
            <w:tcBorders>
              <w:top w:val="single" w:sz="8" w:color="auto"/>
            </w:tcBorders>
            <w:shd w:val="clear" w:color="auto" w:fill="CCEEFF"/>
          </w:tcPr>
          <w:p>
            <w:pPr>
              <w:spacing w:after="0"/>
              <w:rPr>
                <w:sz w:val="10"/>
                <w:szCs w:val="10"/>
                <w:color w:val="auto"/>
              </w:rPr>
            </w:pPr>
          </w:p>
        </w:tc>
        <w:tc>
          <w:tcPr>
            <w:tcW w:w="36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HDNet</w:t>
            </w:r>
          </w:p>
        </w:tc>
        <w:tc>
          <w:tcPr>
            <w:tcW w:w="30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660" w:type="dxa"/>
            <w:vAlign w:val="bottom"/>
            <w:shd w:val="clear" w:color="auto" w:fill="CCEEFF"/>
          </w:tcPr>
          <w:p>
            <w:pPr>
              <w:spacing w:after="0"/>
              <w:rPr>
                <w:sz w:val="12"/>
                <w:szCs w:val="12"/>
                <w:color w:val="auto"/>
              </w:rPr>
            </w:pPr>
          </w:p>
        </w:tc>
        <w:tc>
          <w:tcPr>
            <w:tcW w:w="4760" w:type="dxa"/>
            <w:vAlign w:val="bottom"/>
            <w:gridSpan w:val="3"/>
            <w:shd w:val="clear" w:color="auto" w:fill="CCEEFF"/>
          </w:tcPr>
          <w:p>
            <w:pPr>
              <w:ind w:left="3660"/>
              <w:spacing w:after="0" w:line="141" w:lineRule="exact"/>
              <w:rPr>
                <w:sz w:val="20"/>
                <w:szCs w:val="20"/>
                <w:color w:val="auto"/>
              </w:rPr>
            </w:pPr>
            <w:r>
              <w:rPr>
                <w:rFonts w:ascii="Arial" w:cs="Arial" w:eastAsia="Arial" w:hAnsi="Arial"/>
                <w:sz w:val="14"/>
                <w:szCs w:val="14"/>
                <w:color w:val="auto"/>
              </w:rPr>
              <w:t>Holdco</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6"/>
              </w:rPr>
              <w:t>Call option</w:t>
            </w:r>
          </w:p>
        </w:tc>
        <w:tc>
          <w:tcPr>
            <w:tcW w:w="4760" w:type="dxa"/>
            <w:vAlign w:val="bottom"/>
            <w:gridSpan w:val="3"/>
            <w:shd w:val="clear" w:color="auto" w:fill="CCEEFF"/>
          </w:tcPr>
          <w:p>
            <w:pPr>
              <w:ind w:left="3660"/>
              <w:spacing w:after="0" w:line="159" w:lineRule="exact"/>
              <w:rPr>
                <w:sz w:val="20"/>
                <w:szCs w:val="20"/>
                <w:color w:val="auto"/>
              </w:rPr>
            </w:pPr>
            <w:r>
              <w:rPr>
                <w:rFonts w:ascii="Arial" w:cs="Arial" w:eastAsia="Arial" w:hAnsi="Arial"/>
                <w:sz w:val="14"/>
                <w:szCs w:val="14"/>
                <w:color w:val="auto"/>
              </w:rPr>
              <w:t>LLC</w:t>
            </w:r>
          </w:p>
        </w:tc>
        <w:tc>
          <w:tcPr>
            <w:tcW w:w="136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7,656</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0.01</w:t>
            </w:r>
          </w:p>
        </w:tc>
        <w:tc>
          <w:tcPr>
            <w:tcW w:w="11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N/A</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88"/>
              </w:rPr>
              <w:t>18,054</w:t>
            </w: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4760" w:type="dxa"/>
            <w:vAlign w:val="bottom"/>
            <w:gridSpan w:val="3"/>
          </w:tcPr>
          <w:p>
            <w:pPr>
              <w:ind w:left="3660"/>
              <w:spacing w:after="0"/>
              <w:rPr>
                <w:sz w:val="20"/>
                <w:szCs w:val="20"/>
                <w:color w:val="auto"/>
              </w:rPr>
            </w:pPr>
            <w:r>
              <w:rPr>
                <w:rFonts w:ascii="Arial" w:cs="Arial" w:eastAsia="Arial" w:hAnsi="Arial"/>
                <w:sz w:val="14"/>
                <w:szCs w:val="14"/>
                <w:color w:val="auto"/>
              </w:rPr>
              <w:t>Coastal</w:t>
            </w: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660" w:type="dxa"/>
            <w:vAlign w:val="bottom"/>
          </w:tcPr>
          <w:p>
            <w:pPr>
              <w:spacing w:after="0"/>
              <w:rPr>
                <w:sz w:val="12"/>
                <w:szCs w:val="12"/>
                <w:color w:val="auto"/>
              </w:rPr>
            </w:pPr>
          </w:p>
        </w:tc>
        <w:tc>
          <w:tcPr>
            <w:tcW w:w="4760" w:type="dxa"/>
            <w:vAlign w:val="bottom"/>
            <w:gridSpan w:val="3"/>
          </w:tcPr>
          <w:p>
            <w:pPr>
              <w:ind w:left="3660"/>
              <w:spacing w:after="0" w:line="141" w:lineRule="exact"/>
              <w:rPr>
                <w:sz w:val="20"/>
                <w:szCs w:val="20"/>
                <w:color w:val="auto"/>
              </w:rPr>
            </w:pPr>
            <w:r>
              <w:rPr>
                <w:rFonts w:ascii="Arial" w:cs="Arial" w:eastAsia="Arial" w:hAnsi="Arial"/>
                <w:sz w:val="14"/>
                <w:szCs w:val="14"/>
                <w:color w:val="auto"/>
              </w:rPr>
              <w:t>Screen</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0" w:type="dxa"/>
            <w:vAlign w:val="bottom"/>
          </w:tcPr>
          <w:p>
            <w:pPr>
              <w:spacing w:after="0"/>
              <w:rPr>
                <w:sz w:val="12"/>
                <w:szCs w:val="12"/>
                <w:color w:val="auto"/>
              </w:rPr>
            </w:pPr>
          </w:p>
        </w:tc>
        <w:tc>
          <w:tcPr>
            <w:tcW w:w="4760" w:type="dxa"/>
            <w:vAlign w:val="bottom"/>
            <w:gridSpan w:val="3"/>
          </w:tcPr>
          <w:p>
            <w:pPr>
              <w:ind w:left="3660"/>
              <w:spacing w:after="0" w:line="141" w:lineRule="exact"/>
              <w:rPr>
                <w:sz w:val="20"/>
                <w:szCs w:val="20"/>
                <w:color w:val="auto"/>
              </w:rPr>
            </w:pPr>
            <w:r>
              <w:rPr>
                <w:rFonts w:ascii="Arial" w:cs="Arial" w:eastAsia="Arial" w:hAnsi="Arial"/>
                <w:sz w:val="14"/>
                <w:szCs w:val="14"/>
                <w:color w:val="auto"/>
              </w:rPr>
              <w:t>and</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20"/>
                <w:szCs w:val="20"/>
                <w:color w:val="auto"/>
              </w:rPr>
            </w:pPr>
            <w:r>
              <w:rPr>
                <w:rFonts w:ascii="Arial" w:cs="Arial" w:eastAsia="Arial" w:hAnsi="Arial"/>
                <w:sz w:val="14"/>
                <w:szCs w:val="14"/>
                <w:color w:val="auto"/>
              </w:rPr>
              <w:t>Put option</w:t>
            </w:r>
          </w:p>
        </w:tc>
        <w:tc>
          <w:tcPr>
            <w:tcW w:w="4760" w:type="dxa"/>
            <w:vAlign w:val="bottom"/>
            <w:gridSpan w:val="3"/>
          </w:tcPr>
          <w:p>
            <w:pPr>
              <w:ind w:left="3660"/>
              <w:spacing w:after="0"/>
              <w:rPr>
                <w:sz w:val="20"/>
                <w:szCs w:val="20"/>
                <w:color w:val="auto"/>
              </w:rPr>
            </w:pPr>
            <w:r>
              <w:rPr>
                <w:rFonts w:ascii="Arial" w:cs="Arial" w:eastAsia="Arial" w:hAnsi="Arial"/>
                <w:sz w:val="14"/>
                <w:szCs w:val="14"/>
                <w:color w:val="auto"/>
              </w:rPr>
              <w:t>Rail</w:t>
            </w:r>
          </w:p>
        </w:tc>
        <w:tc>
          <w:tcPr>
            <w:tcW w:w="13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w w:val="86"/>
              </w:rPr>
              <w:t>150,000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w w:val="85"/>
              </w:rPr>
              <w:t>400,000.00</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8/31/2022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820" w:right="200" w:hanging="409"/>
        <w:spacing w:after="0" w:line="218" w:lineRule="auto"/>
        <w:tabs>
          <w:tab w:leader="none" w:pos="820" w:val="left"/>
        </w:tabs>
        <w:numPr>
          <w:ilvl w:val="0"/>
          <w:numId w:val="27"/>
        </w:numPr>
        <w:rPr>
          <w:rFonts w:ascii="Arial" w:cs="Arial" w:eastAsia="Arial" w:hAnsi="Arial"/>
          <w:sz w:val="12"/>
          <w:szCs w:val="12"/>
          <w:color w:val="auto"/>
        </w:rPr>
      </w:pPr>
      <w:r>
        <w:rPr>
          <w:rFonts w:ascii="Arial" w:cs="Arial" w:eastAsia="Arial" w:hAnsi="Arial"/>
          <w:sz w:val="14"/>
          <w:szCs w:val="14"/>
          <w:color w:val="auto"/>
        </w:rPr>
        <w:t>Debt security has an unfunded commitment in addition to the amounts shown in the Consolidated Schedule of Investments. See Note 8 for additional information on the Company’s commitments and contingencies.</w:t>
      </w:r>
    </w:p>
    <w:p>
      <w:pPr>
        <w:ind w:left="820" w:hanging="409"/>
        <w:spacing w:after="0" w:line="209" w:lineRule="auto"/>
        <w:tabs>
          <w:tab w:leader="none" w:pos="820" w:val="left"/>
        </w:tabs>
        <w:numPr>
          <w:ilvl w:val="0"/>
          <w:numId w:val="27"/>
        </w:numPr>
        <w:rPr>
          <w:rFonts w:ascii="Arial" w:cs="Arial" w:eastAsia="Arial" w:hAnsi="Arial"/>
          <w:sz w:val="12"/>
          <w:szCs w:val="12"/>
          <w:color w:val="auto"/>
        </w:rPr>
      </w:pPr>
      <w:r>
        <w:rPr>
          <w:rFonts w:ascii="Arial" w:cs="Arial" w:eastAsia="Arial" w:hAnsi="Arial"/>
          <w:sz w:val="14"/>
          <w:szCs w:val="14"/>
          <w:color w:val="auto"/>
        </w:rPr>
        <w:t>The cash coupon and/or PIK coupon on the loan is subject to a pricing grid based on certain leverage ratios of the portfolio company.</w:t>
      </w:r>
    </w:p>
    <w:p>
      <w:pPr>
        <w:ind w:left="820" w:hanging="409"/>
        <w:spacing w:after="0" w:line="209" w:lineRule="auto"/>
        <w:tabs>
          <w:tab w:leader="none" w:pos="820" w:val="left"/>
        </w:tabs>
        <w:numPr>
          <w:ilvl w:val="0"/>
          <w:numId w:val="27"/>
        </w:numPr>
        <w:rPr>
          <w:rFonts w:ascii="Arial" w:cs="Arial" w:eastAsia="Arial" w:hAnsi="Arial"/>
          <w:sz w:val="12"/>
          <w:szCs w:val="12"/>
          <w:color w:val="auto"/>
        </w:rPr>
      </w:pPr>
      <w:r>
        <w:rPr>
          <w:rFonts w:ascii="Arial" w:cs="Arial" w:eastAsia="Arial" w:hAnsi="Arial"/>
          <w:sz w:val="14"/>
          <w:szCs w:val="14"/>
          <w:color w:val="auto"/>
        </w:rPr>
        <w:t>This investment is owned by HCAP Equity Holdings, LLC, one of the Company’s taxable blocker subsidiaries.</w:t>
      </w:r>
    </w:p>
    <w:p>
      <w:pPr>
        <w:ind w:left="820" w:right="220" w:hanging="409"/>
        <w:spacing w:after="0" w:line="264" w:lineRule="auto"/>
        <w:tabs>
          <w:tab w:leader="none" w:pos="820" w:val="left"/>
        </w:tabs>
        <w:numPr>
          <w:ilvl w:val="0"/>
          <w:numId w:val="27"/>
        </w:numPr>
        <w:rPr>
          <w:rFonts w:ascii="Arial" w:cs="Arial" w:eastAsia="Arial" w:hAnsi="Arial"/>
          <w:sz w:val="11"/>
          <w:szCs w:val="11"/>
          <w:color w:val="auto"/>
        </w:rPr>
      </w:pPr>
      <w:r>
        <w:rPr>
          <w:rFonts w:ascii="Arial" w:cs="Arial" w:eastAsia="Arial" w:hAnsi="Arial"/>
          <w:sz w:val="12"/>
          <w:szCs w:val="12"/>
          <w:color w:val="auto"/>
        </w:rPr>
        <w:t>This is an equity investment that receives a cash flow stream based on lease payments received by Flight Lease VII, LLC. Flight Lease VII, LLC owns an aircraft that was leased to one lessee. The lessee had been in arrears on its lease payments and in June of 2018, Flight Lease VII, LLC terminated the lease. As a result of the cessation of cash flows, future payments on this equity investment will resume only if Flight Lease VII, LLC is successful in obtaining a new lessee or sells the aircraft.</w:t>
      </w:r>
    </w:p>
    <w:p>
      <w:pPr>
        <w:spacing w:after="0" w:line="10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840"/>
          </w:cols>
          <w:pgMar w:left="320" w:top="443" w:right="7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FINANCIAL STATEMENTS</w:t>
      </w:r>
    </w:p>
    <w:p>
      <w:pPr>
        <w:spacing w:after="0" w:line="217" w:lineRule="exact"/>
        <w:rPr>
          <w:sz w:val="20"/>
          <w:szCs w:val="20"/>
          <w:color w:val="auto"/>
        </w:rPr>
      </w:pPr>
    </w:p>
    <w:p>
      <w:pPr>
        <w:ind w:left="420" w:firstLine="417"/>
        <w:spacing w:after="0" w:line="257" w:lineRule="auto"/>
        <w:rPr>
          <w:sz w:val="20"/>
          <w:szCs w:val="20"/>
          <w:color w:val="auto"/>
        </w:rPr>
      </w:pPr>
      <w:r>
        <w:rPr>
          <w:rFonts w:ascii="Arial" w:cs="Arial" w:eastAsia="Arial" w:hAnsi="Arial"/>
          <w:sz w:val="17"/>
          <w:szCs w:val="17"/>
          <w:color w:val="auto"/>
        </w:rPr>
        <w:t>The information in “Consolidated Financial Statements and Supplementary Data” in Part II, Item 8 of the Company’s Annual Report on Form 10-K for the fiscal year ended December 31, 2020 and “Financial Statements” in Part I, Item 1 of the Company’s Quarterly Report on Form 10-Q for the period ended September 30, 2021 is incorporated herein by reference. The financial data should be read in conjunction with the Company’s consolidated financial statements and related notes thereto and “Management’s Discussion and Analysis of Financial Condition and Results of Operations” as incorporated by reference herein.</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820"/>
          </w:cols>
          <w:pgMar w:left="320" w:top="443" w:right="75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MANAGEMENT</w:t>
      </w:r>
    </w:p>
    <w:p>
      <w:pPr>
        <w:spacing w:after="0" w:line="217" w:lineRule="exact"/>
        <w:rPr>
          <w:sz w:val="20"/>
          <w:szCs w:val="20"/>
          <w:color w:val="auto"/>
        </w:rPr>
      </w:pPr>
    </w:p>
    <w:p>
      <w:pPr>
        <w:ind w:left="420" w:firstLine="417"/>
        <w:spacing w:after="0" w:line="344" w:lineRule="auto"/>
        <w:rPr>
          <w:sz w:val="20"/>
          <w:szCs w:val="20"/>
          <w:color w:val="auto"/>
        </w:rPr>
      </w:pPr>
      <w:r>
        <w:rPr>
          <w:rFonts w:ascii="Arial" w:cs="Arial" w:eastAsia="Arial" w:hAnsi="Arial"/>
          <w:sz w:val="15"/>
          <w:szCs w:val="15"/>
          <w:color w:val="auto"/>
        </w:rPr>
        <w:t>The information in “Director and Executive Officer Information,” “Director Compensation,” “Executive Compensation,” and “Security Ownership of Certain Beneficial Owners and Management” in the Company’s Definitive Proxy on Schedule 14A are incorporated herein by reference.</w:t>
      </w:r>
    </w:p>
    <w:p>
      <w:pPr>
        <w:spacing w:after="0" w:line="5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700"/>
          </w:cols>
          <w:pgMar w:left="320" w:top="443" w:right="87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PORTFOLIO MANAGEMENT</w:t>
      </w:r>
    </w:p>
    <w:p>
      <w:pPr>
        <w:spacing w:after="0" w:line="217" w:lineRule="exact"/>
        <w:rPr>
          <w:sz w:val="20"/>
          <w:szCs w:val="20"/>
          <w:color w:val="auto"/>
        </w:rPr>
      </w:pPr>
    </w:p>
    <w:p>
      <w:pPr>
        <w:ind w:left="420" w:firstLine="417"/>
        <w:spacing w:after="0" w:line="270" w:lineRule="auto"/>
        <w:rPr>
          <w:sz w:val="20"/>
          <w:szCs w:val="20"/>
          <w:color w:val="auto"/>
        </w:rPr>
      </w:pPr>
      <w:r>
        <w:rPr>
          <w:rFonts w:ascii="Arial" w:cs="Arial" w:eastAsia="Arial" w:hAnsi="Arial"/>
          <w:sz w:val="16"/>
          <w:szCs w:val="16"/>
          <w:color w:val="auto"/>
        </w:rPr>
        <w:t>The management of our investment portfolio is the responsibility of Sierra Crest and our investment team (the “PTMN Investment Team”). All investment decisions require the majority approval of the PTMN investment committee (the “PTMN Investment Committee”). The PTMN Investment Team sources, identifies and diligences investment opportunities and presents the opportunity to the PTMN Investment Committee for approval. The PTMN Investment Committee is currently comprised of three members of BC Partners Credit (“BCP Credit”) (Ted Goldthorpe, Matthias Ederer and Henry Wang), and one member of BCP PE, or BC Partners Private Equity, Raymond Svider. The PTMN Investment Committee meets regularly to review the opportunities presented by the PTMN Investment Team. Follow-on investments in existing portfolio companies may require the PTMN Investment Committee’s approval beyond that obtained when the initial investment in the company was made. In addition, temporary investments, such as those in cash equivalents, U.S. government securities and other high quality debt investments that mature in one year or less, may require approval by the PTMN Investment Committee. Our Board, including a majority of the Independent Directors, oversees and monitors the investment performance and, beginning with the second anniversary of the effective date of the Investment Advisory Agreement, will annually review the compensation we pay to Sierra Crest.</w:t>
      </w:r>
    </w:p>
    <w:p>
      <w:pPr>
        <w:spacing w:after="0" w:line="17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None of Sierra Crest’s investment professionals receive any direct compensation from us in connection with the management of our portfolio.</w:t>
      </w:r>
    </w:p>
    <w:p>
      <w:pPr>
        <w:spacing w:after="0" w:line="225" w:lineRule="exact"/>
        <w:rPr>
          <w:sz w:val="20"/>
          <w:szCs w:val="20"/>
          <w:color w:val="auto"/>
        </w:rPr>
      </w:pPr>
    </w:p>
    <w:p>
      <w:pPr>
        <w:ind w:left="420" w:right="380" w:firstLine="417"/>
        <w:spacing w:after="0" w:line="263" w:lineRule="auto"/>
        <w:rPr>
          <w:sz w:val="20"/>
          <w:szCs w:val="20"/>
          <w:color w:val="auto"/>
        </w:rPr>
      </w:pPr>
      <w:r>
        <w:rPr>
          <w:rFonts w:ascii="Arial" w:cs="Arial" w:eastAsia="Arial" w:hAnsi="Arial"/>
          <w:sz w:val="17"/>
          <w:szCs w:val="17"/>
          <w:color w:val="auto"/>
        </w:rPr>
        <w:t>The following individuals (the “PTMN Portfolio Managers”) have senior responsibility for the management of our investment portfolio: Ted Goldthorpe, Matthias Ederer, Henry Wang, Raymond Svider, and Patrick Schafer. Mr. Schafer is our Chief Investment Officer and has primary responsibility for the day-to-day implementation and management of our investment portfolio.</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Biographical information regarding senior members of the PTMN Portfolio Managers who are not directors or executive officers is as follows:</w:t>
      </w:r>
    </w:p>
    <w:p>
      <w:pPr>
        <w:spacing w:after="0" w:line="32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Matthias Ederer</w:t>
      </w:r>
    </w:p>
    <w:p>
      <w:pPr>
        <w:spacing w:after="0" w:line="115" w:lineRule="exact"/>
        <w:rPr>
          <w:sz w:val="20"/>
          <w:szCs w:val="20"/>
          <w:color w:val="auto"/>
        </w:rPr>
      </w:pPr>
    </w:p>
    <w:p>
      <w:pPr>
        <w:ind w:left="420" w:right="40" w:firstLine="417"/>
        <w:spacing w:after="0" w:line="263" w:lineRule="auto"/>
        <w:rPr>
          <w:sz w:val="20"/>
          <w:szCs w:val="20"/>
          <w:color w:val="auto"/>
        </w:rPr>
      </w:pPr>
      <w:r>
        <w:rPr>
          <w:rFonts w:ascii="Arial" w:cs="Arial" w:eastAsia="Arial" w:hAnsi="Arial"/>
          <w:sz w:val="17"/>
          <w:szCs w:val="17"/>
          <w:color w:val="auto"/>
        </w:rPr>
        <w:t>Mr. Ederer is a founding partner of BCP Credit, having previously been a partner and founding team member of Wingspan Investment Management, which he joined in 2013. Prior to Wingspan, he spent seven years in Goldman Sachs’ Special Situations Group and Bank Loan Distressed Investing Group in New York and London.</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Raymond Svider</w:t>
      </w:r>
    </w:p>
    <w:p>
      <w:pPr>
        <w:spacing w:after="0" w:line="115" w:lineRule="exact"/>
        <w:rPr>
          <w:sz w:val="20"/>
          <w:szCs w:val="20"/>
          <w:color w:val="auto"/>
        </w:rPr>
      </w:pPr>
    </w:p>
    <w:p>
      <w:pPr>
        <w:jc w:val="both"/>
        <w:ind w:left="420" w:right="80" w:firstLine="417"/>
        <w:spacing w:after="0" w:line="263" w:lineRule="auto"/>
        <w:rPr>
          <w:sz w:val="20"/>
          <w:szCs w:val="20"/>
          <w:color w:val="auto"/>
        </w:rPr>
      </w:pPr>
      <w:r>
        <w:rPr>
          <w:rFonts w:ascii="Arial" w:cs="Arial" w:eastAsia="Arial" w:hAnsi="Arial"/>
          <w:sz w:val="17"/>
          <w:szCs w:val="17"/>
          <w:color w:val="auto"/>
        </w:rPr>
        <w:t>Mr. Svider is a Partner and Chairman of BC Partners. He joined BC Partners in Paris in 1992 before moving to the London office in 2000 to lead its investments in the technology and telecoms industries. Mr. Svider then relocated to New York in 2008. Previously, Mr. Svider worked in investment banking at Wasserstein Perella in New York and Paris, and at the Boston Consulting Group in Chicago.</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Henry Wang</w:t>
      </w:r>
    </w:p>
    <w:p>
      <w:pPr>
        <w:spacing w:after="0" w:line="115" w:lineRule="exact"/>
        <w:rPr>
          <w:sz w:val="20"/>
          <w:szCs w:val="20"/>
          <w:color w:val="auto"/>
        </w:rPr>
      </w:pPr>
    </w:p>
    <w:p>
      <w:pPr>
        <w:ind w:left="420" w:right="80" w:firstLine="417"/>
        <w:spacing w:after="0" w:line="263" w:lineRule="auto"/>
        <w:rPr>
          <w:sz w:val="20"/>
          <w:szCs w:val="20"/>
          <w:color w:val="auto"/>
        </w:rPr>
      </w:pPr>
      <w:r>
        <w:rPr>
          <w:rFonts w:ascii="Arial" w:cs="Arial" w:eastAsia="Arial" w:hAnsi="Arial"/>
          <w:sz w:val="17"/>
          <w:szCs w:val="17"/>
          <w:color w:val="auto"/>
        </w:rPr>
        <w:t>Mr. Wang is a founding partner of BCP Credit, having formerly been a Partner at Stonerise Capital Partners where he spent over five years. Previously, he worked for over seven years at Goldman Sachs in its Special Situations Group and Investment Banking Division. Mr. Wang also worked for Vulcan Capital (Paul Allen’s investment firm, co-founder of Microsoft) and Thomas Weisel Partners.</w:t>
      </w:r>
    </w:p>
    <w:p>
      <w:pPr>
        <w:spacing w:after="0" w:line="175" w:lineRule="exact"/>
        <w:rPr>
          <w:sz w:val="20"/>
          <w:szCs w:val="20"/>
          <w:color w:val="auto"/>
        </w:rPr>
      </w:pPr>
    </w:p>
    <w:p>
      <w:pPr>
        <w:ind w:left="420" w:right="120" w:firstLine="417"/>
        <w:spacing w:after="0" w:line="280" w:lineRule="auto"/>
        <w:rPr>
          <w:sz w:val="20"/>
          <w:szCs w:val="20"/>
          <w:color w:val="auto"/>
        </w:rPr>
      </w:pPr>
      <w:r>
        <w:rPr>
          <w:rFonts w:ascii="Arial" w:cs="Arial" w:eastAsia="Arial" w:hAnsi="Arial"/>
          <w:sz w:val="16"/>
          <w:szCs w:val="16"/>
          <w:color w:val="auto"/>
        </w:rPr>
        <w:t>Material conflicts of interest that may arise in connection with the PTMN Portfolio Managers’ management of our investments, on the one hand, and the investments of the other accounts managed by Sierra Crest and its affiliates, on the other. See “</w:t>
      </w:r>
      <w:r>
        <w:rPr>
          <w:rFonts w:ascii="Arial" w:cs="Arial" w:eastAsia="Arial" w:hAnsi="Arial"/>
          <w:sz w:val="16"/>
          <w:szCs w:val="16"/>
          <w:i w:val="1"/>
          <w:iCs w:val="1"/>
          <w:color w:val="auto"/>
        </w:rPr>
        <w:t>Risk Factors—Risks related to our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There may be conflicts of interest related to obligations that Sierra Crest’s senior management and investment team has to other clients</w:t>
      </w:r>
      <w:r>
        <w:rPr>
          <w:rFonts w:ascii="Arial" w:cs="Arial" w:eastAsia="Arial" w:hAnsi="Arial"/>
          <w:sz w:val="16"/>
          <w:szCs w:val="16"/>
          <w:color w:val="auto"/>
        </w:rPr>
        <w:t>” in our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 on Form 10-K for the year ended December 31, 2020 incorporated by reference herein.</w:t>
      </w:r>
    </w:p>
    <w:p>
      <w:pPr>
        <w:spacing w:after="0" w:line="10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800"/>
          </w:cols>
          <w:pgMar w:left="320" w:top="443" w:right="77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Equity Securities</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dollar range of equity securities in us beneficially owned at September 30, 2021 by each Portfolio Manager is as follows:</w:t>
      </w:r>
    </w:p>
    <w:p>
      <w:pPr>
        <w:spacing w:after="0" w:line="211"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8"/>
              </w:rPr>
              <w:t>Dollar Range of</w:t>
            </w:r>
          </w:p>
        </w:tc>
        <w:tc>
          <w:tcPr>
            <w:tcW w:w="0" w:type="dxa"/>
            <w:vAlign w:val="bottom"/>
          </w:tcPr>
          <w:p>
            <w:pPr>
              <w:spacing w:after="0"/>
              <w:rPr>
                <w:sz w:val="1"/>
                <w:szCs w:val="1"/>
                <w:color w:val="auto"/>
              </w:rPr>
            </w:pPr>
          </w:p>
        </w:tc>
      </w:tr>
      <w:tr>
        <w:trPr>
          <w:trHeight w:val="14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7"/>
              </w:rPr>
              <w:t>Equity Securities in</w:t>
            </w:r>
          </w:p>
        </w:tc>
        <w:tc>
          <w:tcPr>
            <w:tcW w:w="0" w:type="dxa"/>
            <w:vAlign w:val="bottom"/>
          </w:tcPr>
          <w:p>
            <w:pPr>
              <w:spacing w:after="0"/>
              <w:rPr>
                <w:sz w:val="1"/>
                <w:szCs w:val="1"/>
                <w:color w:val="auto"/>
              </w:rPr>
            </w:pPr>
          </w:p>
        </w:tc>
      </w:tr>
      <w:tr>
        <w:trPr>
          <w:trHeight w:val="148"/>
        </w:trPr>
        <w:tc>
          <w:tcPr>
            <w:tcW w:w="5240" w:type="dxa"/>
            <w:vAlign w:val="bottom"/>
            <w:gridSpan w:val="2"/>
            <w:vMerge w:val="continue"/>
          </w:tcPr>
          <w:p>
            <w:pPr>
              <w:spacing w:after="0"/>
              <w:rPr>
                <w:sz w:val="12"/>
                <w:szCs w:val="12"/>
                <w:color w:val="auto"/>
              </w:rPr>
            </w:pPr>
          </w:p>
        </w:tc>
        <w:tc>
          <w:tcPr>
            <w:tcW w:w="1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8"/>
              </w:rPr>
              <w:t>PTMN(1)</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4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rPr>
              <w:t>Matthias Ederer</w:t>
            </w:r>
          </w:p>
        </w:tc>
        <w:tc>
          <w:tcPr>
            <w:tcW w:w="184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4"/>
        </w:trPr>
        <w:tc>
          <w:tcPr>
            <w:tcW w:w="5240" w:type="dxa"/>
            <w:vAlign w:val="bottom"/>
            <w:gridSpan w:val="2"/>
          </w:tcPr>
          <w:p>
            <w:pPr>
              <w:spacing w:after="0"/>
              <w:rPr>
                <w:sz w:val="20"/>
                <w:szCs w:val="20"/>
                <w:color w:val="auto"/>
              </w:rPr>
            </w:pPr>
            <w:r>
              <w:rPr>
                <w:rFonts w:ascii="Arial" w:cs="Arial" w:eastAsia="Arial" w:hAnsi="Arial"/>
                <w:sz w:val="17"/>
                <w:szCs w:val="17"/>
                <w:color w:val="auto"/>
              </w:rPr>
              <w:t>Ted Goldthorpe</w:t>
            </w:r>
          </w:p>
        </w:tc>
        <w:tc>
          <w:tcPr>
            <w:tcW w:w="1840" w:type="dxa"/>
            <w:vAlign w:val="bottom"/>
          </w:tcPr>
          <w:p>
            <w:pPr>
              <w:spacing w:after="0"/>
              <w:rPr>
                <w:sz w:val="20"/>
                <w:szCs w:val="20"/>
                <w:color w:val="auto"/>
              </w:rPr>
            </w:pPr>
            <w:r>
              <w:rPr>
                <w:rFonts w:ascii="Arial" w:cs="Arial" w:eastAsia="Arial" w:hAnsi="Arial"/>
                <w:sz w:val="17"/>
                <w:szCs w:val="17"/>
                <w:color w:val="auto"/>
              </w:rPr>
              <w:t>$100,001—$500,000</w:t>
            </w:r>
          </w:p>
        </w:tc>
        <w:tc>
          <w:tcPr>
            <w:tcW w:w="0" w:type="dxa"/>
            <w:vAlign w:val="bottom"/>
          </w:tcPr>
          <w:p>
            <w:pPr>
              <w:spacing w:after="0"/>
              <w:rPr>
                <w:sz w:val="1"/>
                <w:szCs w:val="1"/>
                <w:color w:val="auto"/>
              </w:rPr>
            </w:pPr>
          </w:p>
        </w:tc>
      </w:tr>
      <w:tr>
        <w:trPr>
          <w:trHeight w:val="204"/>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Patrick Schafer</w:t>
            </w: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$100,001—$500,000</w:t>
            </w:r>
          </w:p>
        </w:tc>
        <w:tc>
          <w:tcPr>
            <w:tcW w:w="0" w:type="dxa"/>
            <w:vAlign w:val="bottom"/>
          </w:tcPr>
          <w:p>
            <w:pPr>
              <w:spacing w:after="0"/>
              <w:rPr>
                <w:sz w:val="1"/>
                <w:szCs w:val="1"/>
                <w:color w:val="auto"/>
              </w:rPr>
            </w:pPr>
          </w:p>
        </w:tc>
      </w:tr>
      <w:tr>
        <w:trPr>
          <w:trHeight w:val="204"/>
        </w:trPr>
        <w:tc>
          <w:tcPr>
            <w:tcW w:w="5240" w:type="dxa"/>
            <w:vAlign w:val="bottom"/>
            <w:gridSpan w:val="2"/>
          </w:tcPr>
          <w:p>
            <w:pPr>
              <w:spacing w:after="0"/>
              <w:rPr>
                <w:sz w:val="20"/>
                <w:szCs w:val="20"/>
                <w:color w:val="auto"/>
              </w:rPr>
            </w:pPr>
            <w:r>
              <w:rPr>
                <w:rFonts w:ascii="Arial" w:cs="Arial" w:eastAsia="Arial" w:hAnsi="Arial"/>
                <w:sz w:val="17"/>
                <w:szCs w:val="17"/>
                <w:color w:val="auto"/>
              </w:rPr>
              <w:t>Raymond Svider</w:t>
            </w:r>
          </w:p>
        </w:tc>
        <w:tc>
          <w:tcPr>
            <w:tcW w:w="1840" w:type="dxa"/>
            <w:vAlign w:val="bottom"/>
          </w:tcPr>
          <w:p>
            <w:pPr>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4"/>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Henry Wang</w:t>
            </w: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820" w:right="80" w:hanging="409"/>
        <w:spacing w:after="0" w:line="275" w:lineRule="auto"/>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Dollar ranges are as follows: None; $1—$10,000; $10,001—$50,000; $50,001—$100,000; $100,001—$500,000; $500,001—$1,000,000 or Over $1,000,000.</w:t>
      </w:r>
    </w:p>
    <w:p>
      <w:pPr>
        <w:spacing w:after="0" w:line="26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Other Accounts Managed</w:t>
      </w:r>
    </w:p>
    <w:p>
      <w:pPr>
        <w:spacing w:after="0" w:line="115" w:lineRule="exact"/>
        <w:rPr>
          <w:sz w:val="20"/>
          <w:szCs w:val="20"/>
          <w:color w:val="auto"/>
        </w:rPr>
      </w:pPr>
    </w:p>
    <w:p>
      <w:pPr>
        <w:ind w:left="420" w:right="680" w:firstLine="417"/>
        <w:spacing w:after="0" w:line="275" w:lineRule="auto"/>
        <w:rPr>
          <w:sz w:val="20"/>
          <w:szCs w:val="20"/>
          <w:color w:val="auto"/>
        </w:rPr>
      </w:pPr>
      <w:r>
        <w:rPr>
          <w:rFonts w:ascii="Arial" w:cs="Arial" w:eastAsia="Arial" w:hAnsi="Arial"/>
          <w:sz w:val="17"/>
          <w:szCs w:val="17"/>
          <w:color w:val="auto"/>
        </w:rPr>
        <w:t>The information below lists the number of other accounts for which each Portfolio Manager was primarily responsible for the day-to-day management as of the fiscal year ended December 31, 2020.</w:t>
      </w:r>
    </w:p>
    <w:p>
      <w:pPr>
        <w:spacing w:after="0" w:line="16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1"/>
        </w:trPr>
        <w:tc>
          <w:tcPr>
            <w:tcW w:w="1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3"/>
              </w:rPr>
              <w:t>Assets in</w:t>
            </w:r>
          </w:p>
        </w:tc>
        <w:tc>
          <w:tcPr>
            <w:tcW w:w="0" w:type="dxa"/>
            <w:vAlign w:val="bottom"/>
          </w:tcPr>
          <w:p>
            <w:pPr>
              <w:spacing w:after="0"/>
              <w:rPr>
                <w:sz w:val="1"/>
                <w:szCs w:val="1"/>
                <w:color w:val="auto"/>
              </w:rPr>
            </w:pPr>
          </w:p>
        </w:tc>
      </w:tr>
      <w:tr>
        <w:trPr>
          <w:trHeight w:val="141"/>
        </w:trPr>
        <w:tc>
          <w:tcPr>
            <w:tcW w:w="1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1"/>
        </w:trPr>
        <w:tc>
          <w:tcPr>
            <w:tcW w:w="1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4"/>
              </w:rPr>
              <w:t>Accounts</w:t>
            </w:r>
          </w:p>
        </w:tc>
        <w:tc>
          <w:tcPr>
            <w:tcW w:w="0" w:type="dxa"/>
            <w:vAlign w:val="bottom"/>
          </w:tcPr>
          <w:p>
            <w:pPr>
              <w:spacing w:after="0"/>
              <w:rPr>
                <w:sz w:val="1"/>
                <w:szCs w:val="1"/>
                <w:color w:val="auto"/>
              </w:rPr>
            </w:pPr>
          </w:p>
        </w:tc>
      </w:tr>
      <w:tr>
        <w:trPr>
          <w:trHeight w:val="141"/>
        </w:trPr>
        <w:tc>
          <w:tcPr>
            <w:tcW w:w="1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1"/>
              </w:rPr>
              <w:t>No. of 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8"/>
              </w:rPr>
              <w:t>where</w:t>
            </w:r>
          </w:p>
        </w:tc>
        <w:tc>
          <w:tcPr>
            <w:tcW w:w="0" w:type="dxa"/>
            <w:vAlign w:val="bottom"/>
          </w:tcPr>
          <w:p>
            <w:pPr>
              <w:spacing w:after="0"/>
              <w:rPr>
                <w:sz w:val="1"/>
                <w:szCs w:val="1"/>
                <w:color w:val="auto"/>
              </w:rPr>
            </w:pPr>
          </w:p>
        </w:tc>
      </w:tr>
      <w:tr>
        <w:trPr>
          <w:trHeight w:val="141"/>
        </w:trPr>
        <w:tc>
          <w:tcPr>
            <w:tcW w:w="1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420"/>
              <w:spacing w:after="0" w:line="141" w:lineRule="exact"/>
              <w:rPr>
                <w:sz w:val="20"/>
                <w:szCs w:val="20"/>
                <w:color w:val="auto"/>
              </w:rPr>
            </w:pPr>
            <w:r>
              <w:rPr>
                <w:rFonts w:ascii="Arial" w:cs="Arial" w:eastAsia="Arial" w:hAnsi="Arial"/>
                <w:sz w:val="14"/>
                <w:szCs w:val="14"/>
                <w:b w:val="1"/>
                <w:bCs w:val="1"/>
                <w:color w:val="auto"/>
                <w:w w:val="89"/>
              </w:rPr>
              <w:t>Total</w:t>
            </w:r>
          </w:p>
        </w:tc>
        <w:tc>
          <w:tcPr>
            <w:tcW w:w="94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4"/>
              </w:rPr>
              <w:t>Accounts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6"/>
              </w:rPr>
              <w:t>Advisory</w:t>
            </w:r>
          </w:p>
        </w:tc>
        <w:tc>
          <w:tcPr>
            <w:tcW w:w="0" w:type="dxa"/>
            <w:vAlign w:val="bottom"/>
          </w:tcPr>
          <w:p>
            <w:pPr>
              <w:spacing w:after="0"/>
              <w:rPr>
                <w:sz w:val="1"/>
                <w:szCs w:val="1"/>
                <w:color w:val="auto"/>
              </w:rPr>
            </w:pPr>
          </w:p>
        </w:tc>
      </w:tr>
      <w:tr>
        <w:trPr>
          <w:trHeight w:val="141"/>
        </w:trPr>
        <w:tc>
          <w:tcPr>
            <w:tcW w:w="1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3"/>
          </w:tcPr>
          <w:p>
            <w:pPr>
              <w:jc w:val="center"/>
              <w:ind w:right="340"/>
              <w:spacing w:after="0" w:line="141" w:lineRule="exact"/>
              <w:rPr>
                <w:sz w:val="20"/>
                <w:szCs w:val="20"/>
                <w:color w:val="auto"/>
              </w:rPr>
            </w:pPr>
            <w:r>
              <w:rPr>
                <w:rFonts w:ascii="Arial" w:cs="Arial" w:eastAsia="Arial" w:hAnsi="Arial"/>
                <w:sz w:val="14"/>
                <w:szCs w:val="14"/>
                <w:b w:val="1"/>
                <w:bCs w:val="1"/>
                <w:color w:val="auto"/>
                <w:w w:val="90"/>
              </w:rPr>
              <w:t>Other</w:t>
            </w:r>
          </w:p>
        </w:tc>
        <w:tc>
          <w:tcPr>
            <w:tcW w:w="94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3"/>
              </w:rPr>
              <w:t>where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0"/>
              </w:rPr>
              <w:t>Fee is</w:t>
            </w:r>
          </w:p>
        </w:tc>
        <w:tc>
          <w:tcPr>
            <w:tcW w:w="0" w:type="dxa"/>
            <w:vAlign w:val="bottom"/>
          </w:tcPr>
          <w:p>
            <w:pPr>
              <w:spacing w:after="0"/>
              <w:rPr>
                <w:sz w:val="1"/>
                <w:szCs w:val="1"/>
                <w:color w:val="auto"/>
              </w:rPr>
            </w:pPr>
          </w:p>
        </w:tc>
      </w:tr>
      <w:tr>
        <w:trPr>
          <w:trHeight w:val="141"/>
        </w:trPr>
        <w:tc>
          <w:tcPr>
            <w:tcW w:w="1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360"/>
              <w:spacing w:after="0" w:line="141" w:lineRule="exact"/>
              <w:rPr>
                <w:sz w:val="20"/>
                <w:szCs w:val="20"/>
                <w:color w:val="auto"/>
              </w:rPr>
            </w:pPr>
            <w:r>
              <w:rPr>
                <w:rFonts w:ascii="Arial" w:cs="Arial" w:eastAsia="Arial" w:hAnsi="Arial"/>
                <w:sz w:val="14"/>
                <w:szCs w:val="14"/>
                <w:b w:val="1"/>
                <w:bCs w:val="1"/>
                <w:color w:val="auto"/>
                <w:w w:val="86"/>
              </w:rPr>
              <w:t>Total No.</w:t>
            </w:r>
          </w:p>
        </w:tc>
        <w:tc>
          <w:tcPr>
            <w:tcW w:w="840" w:type="dxa"/>
            <w:vAlign w:val="bottom"/>
            <w:gridSpan w:val="3"/>
          </w:tcPr>
          <w:p>
            <w:pPr>
              <w:jc w:val="center"/>
              <w:ind w:right="360"/>
              <w:spacing w:after="0" w:line="141" w:lineRule="exact"/>
              <w:rPr>
                <w:sz w:val="20"/>
                <w:szCs w:val="20"/>
                <w:color w:val="auto"/>
              </w:rPr>
            </w:pPr>
            <w:r>
              <w:rPr>
                <w:rFonts w:ascii="Arial" w:cs="Arial" w:eastAsia="Arial" w:hAnsi="Arial"/>
                <w:sz w:val="14"/>
                <w:szCs w:val="14"/>
                <w:b w:val="1"/>
                <w:bCs w:val="1"/>
                <w:color w:val="auto"/>
                <w:w w:val="78"/>
              </w:rPr>
              <w:t>Assets</w:t>
            </w:r>
          </w:p>
        </w:tc>
        <w:tc>
          <w:tcPr>
            <w:tcW w:w="94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0"/>
              </w:rPr>
              <w:t>Advisory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2"/>
              </w:rPr>
              <w:t>Based on</w:t>
            </w:r>
          </w:p>
        </w:tc>
        <w:tc>
          <w:tcPr>
            <w:tcW w:w="0" w:type="dxa"/>
            <w:vAlign w:val="bottom"/>
          </w:tcPr>
          <w:p>
            <w:pPr>
              <w:spacing w:after="0"/>
              <w:rPr>
                <w:sz w:val="1"/>
                <w:szCs w:val="1"/>
                <w:color w:val="auto"/>
              </w:rPr>
            </w:pPr>
          </w:p>
        </w:tc>
      </w:tr>
      <w:tr>
        <w:trPr>
          <w:trHeight w:val="14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PTMN Portfolio</w:t>
            </w:r>
          </w:p>
        </w:tc>
        <w:tc>
          <w:tcPr>
            <w:tcW w:w="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380"/>
              <w:spacing w:after="0" w:line="141" w:lineRule="exact"/>
              <w:rPr>
                <w:sz w:val="20"/>
                <w:szCs w:val="20"/>
                <w:color w:val="auto"/>
              </w:rPr>
            </w:pPr>
            <w:r>
              <w:rPr>
                <w:rFonts w:ascii="Arial" w:cs="Arial" w:eastAsia="Arial" w:hAnsi="Arial"/>
                <w:sz w:val="14"/>
                <w:szCs w:val="14"/>
                <w:b w:val="1"/>
                <w:bCs w:val="1"/>
                <w:color w:val="auto"/>
                <w:w w:val="91"/>
              </w:rPr>
              <w:t>of Other</w:t>
            </w:r>
          </w:p>
        </w:tc>
        <w:tc>
          <w:tcPr>
            <w:tcW w:w="80" w:type="dxa"/>
            <w:vAlign w:val="bottom"/>
          </w:tcPr>
          <w:p>
            <w:pPr>
              <w:spacing w:after="0"/>
              <w:rPr>
                <w:sz w:val="12"/>
                <w:szCs w:val="12"/>
                <w:color w:val="auto"/>
              </w:rPr>
            </w:pPr>
          </w:p>
        </w:tc>
        <w:tc>
          <w:tcPr>
            <w:tcW w:w="760" w:type="dxa"/>
            <w:vAlign w:val="bottom"/>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w w:val="93"/>
              </w:rPr>
              <w:t>(in</w:t>
            </w:r>
          </w:p>
        </w:tc>
        <w:tc>
          <w:tcPr>
            <w:tcW w:w="94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0"/>
              </w:rPr>
              <w:t>Fee</w:t>
            </w:r>
          </w:p>
        </w:tc>
        <w:tc>
          <w:tcPr>
            <w:tcW w:w="180" w:type="dxa"/>
            <w:vAlign w:val="bottom"/>
          </w:tcPr>
          <w:p>
            <w:pPr>
              <w:spacing w:after="0"/>
              <w:rPr>
                <w:sz w:val="12"/>
                <w:szCs w:val="12"/>
                <w:color w:val="auto"/>
              </w:rPr>
            </w:pPr>
          </w:p>
        </w:tc>
        <w:tc>
          <w:tcPr>
            <w:tcW w:w="8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35"/>
        </w:trPr>
        <w:tc>
          <w:tcPr>
            <w:tcW w:w="38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81"/>
              </w:rPr>
              <w:t>Accounts</w:t>
            </w:r>
          </w:p>
        </w:tc>
        <w:tc>
          <w:tcPr>
            <w:tcW w:w="8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millions)</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3"/>
              </w:rPr>
              <w:t>is Based on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(in</w:t>
            </w:r>
          </w:p>
        </w:tc>
        <w:tc>
          <w:tcPr>
            <w:tcW w:w="0" w:type="dxa"/>
            <w:vAlign w:val="bottom"/>
          </w:tcPr>
          <w:p>
            <w:pPr>
              <w:spacing w:after="0"/>
              <w:rPr>
                <w:sz w:val="1"/>
                <w:szCs w:val="1"/>
                <w:color w:val="auto"/>
              </w:rPr>
            </w:pPr>
          </w:p>
        </w:tc>
      </w:tr>
      <w:tr>
        <w:trPr>
          <w:trHeight w:val="173"/>
        </w:trPr>
        <w:tc>
          <w:tcPr>
            <w:tcW w:w="148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Manager</w:t>
            </w:r>
          </w:p>
        </w:tc>
        <w:tc>
          <w:tcPr>
            <w:tcW w:w="2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Pr>
          <w:p>
            <w:pPr>
              <w:ind w:left="680"/>
              <w:spacing w:after="0" w:line="153" w:lineRule="exact"/>
              <w:rPr>
                <w:sz w:val="20"/>
                <w:szCs w:val="20"/>
                <w:color w:val="auto"/>
              </w:rPr>
            </w:pPr>
            <w:r>
              <w:rPr>
                <w:rFonts w:ascii="Arial" w:cs="Arial" w:eastAsia="Arial" w:hAnsi="Arial"/>
                <w:sz w:val="14"/>
                <w:szCs w:val="14"/>
                <w:b w:val="1"/>
                <w:bCs w:val="1"/>
                <w:color w:val="auto"/>
              </w:rPr>
              <w:t>Type of Accounts</w:t>
            </w:r>
          </w:p>
        </w:tc>
        <w:tc>
          <w:tcPr>
            <w:tcW w:w="300" w:type="dxa"/>
            <w:vAlign w:val="bottom"/>
          </w:tcPr>
          <w:p>
            <w:pPr>
              <w:spacing w:after="0"/>
              <w:rPr>
                <w:sz w:val="15"/>
                <w:szCs w:val="15"/>
                <w:color w:val="auto"/>
              </w:rPr>
            </w:pPr>
          </w:p>
        </w:tc>
        <w:tc>
          <w:tcPr>
            <w:tcW w:w="90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w w:val="85"/>
              </w:rPr>
              <w:t>Managed</w:t>
            </w:r>
          </w:p>
        </w:tc>
        <w:tc>
          <w:tcPr>
            <w:tcW w:w="80" w:type="dxa"/>
            <w:vAlign w:val="bottom"/>
          </w:tcPr>
          <w:p>
            <w:pPr>
              <w:spacing w:after="0"/>
              <w:rPr>
                <w:sz w:val="15"/>
                <w:szCs w:val="15"/>
                <w:color w:val="auto"/>
              </w:rPr>
            </w:pPr>
          </w:p>
        </w:tc>
        <w:tc>
          <w:tcPr>
            <w:tcW w:w="420" w:type="dxa"/>
            <w:vAlign w:val="bottom"/>
          </w:tcPr>
          <w:p>
            <w:pPr>
              <w:jc w:val="center"/>
              <w:ind w:right="18"/>
              <w:spacing w:after="0" w:line="153" w:lineRule="exact"/>
              <w:rPr>
                <w:sz w:val="20"/>
                <w:szCs w:val="20"/>
                <w:color w:val="auto"/>
              </w:rPr>
            </w:pPr>
            <w:r>
              <w:rPr>
                <w:rFonts w:ascii="Arial" w:cs="Arial" w:eastAsia="Arial" w:hAnsi="Arial"/>
                <w:sz w:val="14"/>
                <w:szCs w:val="14"/>
                <w:b w:val="1"/>
                <w:bCs w:val="1"/>
                <w:color w:val="auto"/>
                <w:w w:val="93"/>
              </w:rPr>
              <w:t>(1)</w:t>
            </w:r>
          </w:p>
        </w:tc>
        <w:tc>
          <w:tcPr>
            <w:tcW w:w="340" w:type="dxa"/>
            <w:vAlign w:val="bottom"/>
          </w:tcPr>
          <w:p>
            <w:pPr>
              <w:spacing w:after="0"/>
              <w:rPr>
                <w:sz w:val="15"/>
                <w:szCs w:val="15"/>
                <w:color w:val="auto"/>
              </w:rPr>
            </w:pPr>
          </w:p>
        </w:tc>
        <w:tc>
          <w:tcPr>
            <w:tcW w:w="940" w:type="dxa"/>
            <w:vAlign w:val="bottom"/>
            <w:gridSpan w:val="2"/>
          </w:tcPr>
          <w:p>
            <w:pPr>
              <w:jc w:val="right"/>
              <w:ind w:right="180"/>
              <w:spacing w:after="0" w:line="153" w:lineRule="exact"/>
              <w:rPr>
                <w:sz w:val="20"/>
                <w:szCs w:val="20"/>
                <w:color w:val="auto"/>
              </w:rPr>
            </w:pPr>
            <w:r>
              <w:rPr>
                <w:rFonts w:ascii="Arial" w:cs="Arial" w:eastAsia="Arial" w:hAnsi="Arial"/>
                <w:sz w:val="14"/>
                <w:szCs w:val="14"/>
                <w:b w:val="1"/>
                <w:bCs w:val="1"/>
                <w:color w:val="auto"/>
                <w:w w:val="86"/>
              </w:rPr>
              <w:t>Performance</w:t>
            </w:r>
          </w:p>
        </w:tc>
        <w:tc>
          <w:tcPr>
            <w:tcW w:w="180" w:type="dxa"/>
            <w:vAlign w:val="bottom"/>
          </w:tcPr>
          <w:p>
            <w:pPr>
              <w:spacing w:after="0"/>
              <w:rPr>
                <w:sz w:val="15"/>
                <w:szCs w:val="15"/>
                <w:color w:val="auto"/>
              </w:rPr>
            </w:pPr>
          </w:p>
        </w:tc>
        <w:tc>
          <w:tcPr>
            <w:tcW w:w="820" w:type="dxa"/>
            <w:vAlign w:val="bottom"/>
            <w:gridSpan w:val="3"/>
          </w:tcPr>
          <w:p>
            <w:pPr>
              <w:jc w:val="center"/>
              <w:ind w:right="60"/>
              <w:spacing w:after="0" w:line="153" w:lineRule="exact"/>
              <w:rPr>
                <w:sz w:val="20"/>
                <w:szCs w:val="20"/>
                <w:color w:val="auto"/>
              </w:rPr>
            </w:pPr>
            <w:r>
              <w:rPr>
                <w:rFonts w:ascii="Arial" w:cs="Arial" w:eastAsia="Arial" w:hAnsi="Arial"/>
                <w:sz w:val="14"/>
                <w:szCs w:val="14"/>
                <w:b w:val="1"/>
                <w:bCs w:val="1"/>
                <w:color w:val="auto"/>
                <w:w w:val="90"/>
              </w:rPr>
              <w:t>millions)(2)</w:t>
            </w:r>
          </w:p>
        </w:tc>
        <w:tc>
          <w:tcPr>
            <w:tcW w:w="0" w:type="dxa"/>
            <w:vAlign w:val="bottom"/>
          </w:tcPr>
          <w:p>
            <w:pPr>
              <w:spacing w:after="0"/>
              <w:rPr>
                <w:sz w:val="1"/>
                <w:szCs w:val="1"/>
                <w:color w:val="auto"/>
              </w:rPr>
            </w:pPr>
          </w:p>
        </w:tc>
      </w:tr>
      <w:tr>
        <w:trPr>
          <w:trHeight w:val="190"/>
        </w:trPr>
        <w:tc>
          <w:tcPr>
            <w:tcW w:w="3820" w:type="dxa"/>
            <w:vAlign w:val="bottom"/>
            <w:tcBorders>
              <w:top w:val="single" w:sz="8" w:color="CCEEFF"/>
            </w:tcBorders>
            <w:gridSpan w:val="2"/>
            <w:shd w:val="clear" w:color="auto" w:fill="CCEEFF"/>
          </w:tcPr>
          <w:p>
            <w:pPr>
              <w:spacing w:after="0" w:line="190" w:lineRule="exact"/>
              <w:rPr>
                <w:sz w:val="20"/>
                <w:szCs w:val="20"/>
                <w:color w:val="auto"/>
              </w:rPr>
            </w:pPr>
            <w:r>
              <w:rPr>
                <w:rFonts w:ascii="Arial" w:cs="Arial" w:eastAsia="Arial" w:hAnsi="Arial"/>
                <w:sz w:val="17"/>
                <w:szCs w:val="17"/>
                <w:color w:val="auto"/>
              </w:rPr>
              <w:t>Matthias Ederer</w:t>
            </w:r>
          </w:p>
        </w:tc>
        <w:tc>
          <w:tcPr>
            <w:tcW w:w="280" w:type="dxa"/>
            <w:vAlign w:val="bottom"/>
            <w:tcBorders>
              <w:top w:val="single" w:sz="8" w:color="CCEEFF"/>
            </w:tcBorders>
            <w:shd w:val="clear" w:color="auto" w:fill="CCEEFF"/>
          </w:tcPr>
          <w:p>
            <w:pPr>
              <w:spacing w:after="0"/>
              <w:rPr>
                <w:sz w:val="16"/>
                <w:szCs w:val="16"/>
                <w:color w:val="auto"/>
              </w:rPr>
            </w:pPr>
          </w:p>
        </w:tc>
        <w:tc>
          <w:tcPr>
            <w:tcW w:w="234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w w:val="88"/>
              </w:rPr>
              <w:t>Registered Investment Companies</w:t>
            </w:r>
          </w:p>
        </w:tc>
        <w:tc>
          <w:tcPr>
            <w:tcW w:w="3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2</w:t>
            </w:r>
          </w:p>
        </w:tc>
        <w:tc>
          <w:tcPr>
            <w:tcW w:w="3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369</w:t>
            </w: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2</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369</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4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w w:val="90"/>
              </w:rPr>
              <w:t>Other Pooled Investment Vehicles</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3"/>
              </w:rPr>
              <w:t>1,444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4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rPr>
              <w:t>Other Accounts</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3"/>
              </w:rPr>
              <w:t>1,007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192"/>
        </w:trPr>
        <w:tc>
          <w:tcPr>
            <w:tcW w:w="3820" w:type="dxa"/>
            <w:vAlign w:val="bottom"/>
            <w:gridSpan w:val="2"/>
          </w:tcPr>
          <w:p>
            <w:pPr>
              <w:spacing w:after="0" w:line="192" w:lineRule="exact"/>
              <w:rPr>
                <w:sz w:val="20"/>
                <w:szCs w:val="20"/>
                <w:color w:val="auto"/>
              </w:rPr>
            </w:pPr>
            <w:r>
              <w:rPr>
                <w:rFonts w:ascii="Arial" w:cs="Arial" w:eastAsia="Arial" w:hAnsi="Arial"/>
                <w:sz w:val="17"/>
                <w:szCs w:val="17"/>
                <w:color w:val="auto"/>
              </w:rPr>
              <w:t>Ted Goldthorpe</w:t>
            </w:r>
          </w:p>
        </w:tc>
        <w:tc>
          <w:tcPr>
            <w:tcW w:w="280" w:type="dxa"/>
            <w:vAlign w:val="bottom"/>
          </w:tcPr>
          <w:p>
            <w:pPr>
              <w:spacing w:after="0"/>
              <w:rPr>
                <w:sz w:val="16"/>
                <w:szCs w:val="16"/>
                <w:color w:val="auto"/>
              </w:rPr>
            </w:pPr>
          </w:p>
        </w:tc>
        <w:tc>
          <w:tcPr>
            <w:tcW w:w="2340" w:type="dxa"/>
            <w:vAlign w:val="bottom"/>
          </w:tcPr>
          <w:p>
            <w:pPr>
              <w:spacing w:after="0" w:line="192" w:lineRule="exact"/>
              <w:rPr>
                <w:sz w:val="20"/>
                <w:szCs w:val="20"/>
                <w:color w:val="auto"/>
              </w:rPr>
            </w:pPr>
            <w:r>
              <w:rPr>
                <w:rFonts w:ascii="Arial" w:cs="Arial" w:eastAsia="Arial" w:hAnsi="Arial"/>
                <w:sz w:val="17"/>
                <w:szCs w:val="17"/>
                <w:color w:val="auto"/>
                <w:w w:val="88"/>
              </w:rPr>
              <w:t>Registered Investment Companies</w:t>
            </w:r>
          </w:p>
        </w:tc>
        <w:tc>
          <w:tcPr>
            <w:tcW w:w="1200" w:type="dxa"/>
            <w:vAlign w:val="bottom"/>
            <w:gridSpan w:val="3"/>
          </w:tcPr>
          <w:p>
            <w:pPr>
              <w:jc w:val="right"/>
              <w:ind w:right="360"/>
              <w:spacing w:after="0" w:line="192" w:lineRule="exact"/>
              <w:rPr>
                <w:sz w:val="20"/>
                <w:szCs w:val="20"/>
                <w:color w:val="auto"/>
              </w:rPr>
            </w:pPr>
            <w:r>
              <w:rPr>
                <w:rFonts w:ascii="Arial" w:cs="Arial" w:eastAsia="Arial" w:hAnsi="Arial"/>
                <w:sz w:val="17"/>
                <w:szCs w:val="17"/>
                <w:color w:val="auto"/>
              </w:rPr>
              <w:t>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line="192" w:lineRule="exact"/>
              <w:rPr>
                <w:sz w:val="20"/>
                <w:szCs w:val="20"/>
                <w:color w:val="auto"/>
              </w:rPr>
            </w:pPr>
            <w:r>
              <w:rPr>
                <w:rFonts w:ascii="Arial" w:cs="Arial" w:eastAsia="Arial" w:hAnsi="Arial"/>
                <w:sz w:val="17"/>
                <w:szCs w:val="17"/>
                <w:color w:val="auto"/>
              </w:rPr>
              <w:t>369</w:t>
            </w:r>
          </w:p>
        </w:tc>
        <w:tc>
          <w:tcPr>
            <w:tcW w:w="940" w:type="dxa"/>
            <w:vAlign w:val="bottom"/>
            <w:gridSpan w:val="2"/>
          </w:tcPr>
          <w:p>
            <w:pPr>
              <w:jc w:val="right"/>
              <w:ind w:right="160"/>
              <w:spacing w:after="0" w:line="192" w:lineRule="exact"/>
              <w:rPr>
                <w:sz w:val="20"/>
                <w:szCs w:val="20"/>
                <w:color w:val="auto"/>
              </w:rPr>
            </w:pPr>
            <w:r>
              <w:rPr>
                <w:rFonts w:ascii="Arial" w:cs="Arial" w:eastAsia="Arial" w:hAnsi="Arial"/>
                <w:sz w:val="17"/>
                <w:szCs w:val="17"/>
                <w:color w:val="auto"/>
              </w:rPr>
              <w:t>2</w:t>
            </w:r>
          </w:p>
        </w:tc>
        <w:tc>
          <w:tcPr>
            <w:tcW w:w="280" w:type="dxa"/>
            <w:vAlign w:val="bottom"/>
            <w:gridSpan w:val="2"/>
          </w:tcPr>
          <w:p>
            <w:pPr>
              <w:ind w:left="180"/>
              <w:spacing w:after="0" w:line="192" w:lineRule="exact"/>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60"/>
              <w:spacing w:after="0" w:line="192" w:lineRule="exact"/>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04"/>
        </w:trPr>
        <w:tc>
          <w:tcPr>
            <w:tcW w:w="14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Arial" w:cs="Arial" w:eastAsia="Arial" w:hAnsi="Arial"/>
                <w:sz w:val="17"/>
                <w:szCs w:val="17"/>
                <w:color w:val="auto"/>
                <w:w w:val="90"/>
              </w:rPr>
              <w:t>Other Pooled Investment Vehicles</w:t>
            </w:r>
          </w:p>
        </w:tc>
        <w:tc>
          <w:tcPr>
            <w:tcW w:w="1200" w:type="dxa"/>
            <w:vAlign w:val="bottom"/>
            <w:gridSpan w:val="3"/>
          </w:tcPr>
          <w:p>
            <w:pPr>
              <w:jc w:val="right"/>
              <w:ind w:right="36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rPr>
                <w:sz w:val="20"/>
                <w:szCs w:val="20"/>
                <w:color w:val="auto"/>
              </w:rPr>
            </w:pPr>
            <w:r>
              <w:rPr>
                <w:rFonts w:ascii="Arial" w:cs="Arial" w:eastAsia="Arial" w:hAnsi="Arial"/>
                <w:sz w:val="17"/>
                <w:szCs w:val="17"/>
                <w:color w:val="auto"/>
                <w:w w:val="93"/>
              </w:rPr>
              <w:t>1,444</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1,444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7"/>
                <w:szCs w:val="17"/>
                <w:color w:val="auto"/>
              </w:rPr>
              <w:t>Other Accounts</w:t>
            </w:r>
          </w:p>
        </w:tc>
        <w:tc>
          <w:tcPr>
            <w:tcW w:w="1200" w:type="dxa"/>
            <w:vAlign w:val="bottom"/>
            <w:gridSpan w:val="3"/>
          </w:tcPr>
          <w:p>
            <w:pPr>
              <w:jc w:val="right"/>
              <w:ind w:right="36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rPr>
                <w:sz w:val="20"/>
                <w:szCs w:val="20"/>
                <w:color w:val="auto"/>
              </w:rPr>
            </w:pPr>
            <w:r>
              <w:rPr>
                <w:rFonts w:ascii="Arial" w:cs="Arial" w:eastAsia="Arial" w:hAnsi="Arial"/>
                <w:sz w:val="17"/>
                <w:szCs w:val="17"/>
                <w:color w:val="auto"/>
                <w:w w:val="93"/>
              </w:rPr>
              <w:t>1,007</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06"/>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Patrick Schafer</w:t>
            </w:r>
          </w:p>
        </w:tc>
        <w:tc>
          <w:tcPr>
            <w:tcW w:w="2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w w:val="88"/>
              </w:rPr>
              <w:t>Registered Investment Companies</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14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w w:val="90"/>
              </w:rPr>
              <w:t>Other Pooled Investment Vehicles</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14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rPr>
              <w:t>Other Accounts</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3820" w:type="dxa"/>
            <w:vAlign w:val="bottom"/>
            <w:gridSpan w:val="2"/>
          </w:tcPr>
          <w:p>
            <w:pPr>
              <w:spacing w:after="0" w:line="192" w:lineRule="exact"/>
              <w:rPr>
                <w:sz w:val="20"/>
                <w:szCs w:val="20"/>
                <w:color w:val="auto"/>
              </w:rPr>
            </w:pPr>
            <w:r>
              <w:rPr>
                <w:rFonts w:ascii="Arial" w:cs="Arial" w:eastAsia="Arial" w:hAnsi="Arial"/>
                <w:sz w:val="17"/>
                <w:szCs w:val="17"/>
                <w:color w:val="auto"/>
              </w:rPr>
              <w:t>Raymond Svider</w:t>
            </w:r>
          </w:p>
        </w:tc>
        <w:tc>
          <w:tcPr>
            <w:tcW w:w="280" w:type="dxa"/>
            <w:vAlign w:val="bottom"/>
          </w:tcPr>
          <w:p>
            <w:pPr>
              <w:spacing w:after="0"/>
              <w:rPr>
                <w:sz w:val="16"/>
                <w:szCs w:val="16"/>
                <w:color w:val="auto"/>
              </w:rPr>
            </w:pPr>
          </w:p>
        </w:tc>
        <w:tc>
          <w:tcPr>
            <w:tcW w:w="2340" w:type="dxa"/>
            <w:vAlign w:val="bottom"/>
          </w:tcPr>
          <w:p>
            <w:pPr>
              <w:spacing w:after="0" w:line="192" w:lineRule="exact"/>
              <w:rPr>
                <w:sz w:val="20"/>
                <w:szCs w:val="20"/>
                <w:color w:val="auto"/>
              </w:rPr>
            </w:pPr>
            <w:r>
              <w:rPr>
                <w:rFonts w:ascii="Arial" w:cs="Arial" w:eastAsia="Arial" w:hAnsi="Arial"/>
                <w:sz w:val="17"/>
                <w:szCs w:val="17"/>
                <w:color w:val="auto"/>
                <w:w w:val="88"/>
              </w:rPr>
              <w:t>Registered Investment Companies</w:t>
            </w:r>
          </w:p>
        </w:tc>
        <w:tc>
          <w:tcPr>
            <w:tcW w:w="1200" w:type="dxa"/>
            <w:vAlign w:val="bottom"/>
            <w:gridSpan w:val="3"/>
          </w:tcPr>
          <w:p>
            <w:pPr>
              <w:jc w:val="right"/>
              <w:ind w:right="360"/>
              <w:spacing w:after="0" w:line="192" w:lineRule="exact"/>
              <w:rPr>
                <w:sz w:val="20"/>
                <w:szCs w:val="20"/>
                <w:color w:val="auto"/>
              </w:rPr>
            </w:pPr>
            <w:r>
              <w:rPr>
                <w:rFonts w:ascii="Arial" w:cs="Arial" w:eastAsia="Arial" w:hAnsi="Arial"/>
                <w:sz w:val="17"/>
                <w:szCs w:val="17"/>
                <w:color w:val="auto"/>
              </w:rPr>
              <w:t>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line="192" w:lineRule="exact"/>
              <w:rPr>
                <w:sz w:val="20"/>
                <w:szCs w:val="20"/>
                <w:color w:val="auto"/>
              </w:rPr>
            </w:pPr>
            <w:r>
              <w:rPr>
                <w:rFonts w:ascii="Arial" w:cs="Arial" w:eastAsia="Arial" w:hAnsi="Arial"/>
                <w:sz w:val="17"/>
                <w:szCs w:val="17"/>
                <w:color w:val="auto"/>
              </w:rPr>
              <w:t>369</w:t>
            </w:r>
          </w:p>
        </w:tc>
        <w:tc>
          <w:tcPr>
            <w:tcW w:w="940" w:type="dxa"/>
            <w:vAlign w:val="bottom"/>
            <w:gridSpan w:val="2"/>
          </w:tcPr>
          <w:p>
            <w:pPr>
              <w:jc w:val="right"/>
              <w:ind w:right="160"/>
              <w:spacing w:after="0" w:line="192" w:lineRule="exact"/>
              <w:rPr>
                <w:sz w:val="20"/>
                <w:szCs w:val="20"/>
                <w:color w:val="auto"/>
              </w:rPr>
            </w:pPr>
            <w:r>
              <w:rPr>
                <w:rFonts w:ascii="Arial" w:cs="Arial" w:eastAsia="Arial" w:hAnsi="Arial"/>
                <w:sz w:val="17"/>
                <w:szCs w:val="17"/>
                <w:color w:val="auto"/>
              </w:rPr>
              <w:t>2</w:t>
            </w:r>
          </w:p>
        </w:tc>
        <w:tc>
          <w:tcPr>
            <w:tcW w:w="280" w:type="dxa"/>
            <w:vAlign w:val="bottom"/>
            <w:gridSpan w:val="2"/>
          </w:tcPr>
          <w:p>
            <w:pPr>
              <w:ind w:left="180"/>
              <w:spacing w:after="0" w:line="192" w:lineRule="exact"/>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60"/>
              <w:spacing w:after="0" w:line="192" w:lineRule="exact"/>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04"/>
        </w:trPr>
        <w:tc>
          <w:tcPr>
            <w:tcW w:w="14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Arial" w:cs="Arial" w:eastAsia="Arial" w:hAnsi="Arial"/>
                <w:sz w:val="17"/>
                <w:szCs w:val="17"/>
                <w:color w:val="auto"/>
                <w:w w:val="90"/>
              </w:rPr>
              <w:t>Other Pooled Investment Vehicles</w:t>
            </w:r>
          </w:p>
        </w:tc>
        <w:tc>
          <w:tcPr>
            <w:tcW w:w="1200" w:type="dxa"/>
            <w:vAlign w:val="bottom"/>
            <w:gridSpan w:val="3"/>
          </w:tcPr>
          <w:p>
            <w:pPr>
              <w:jc w:val="right"/>
              <w:ind w:right="36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rPr>
                <w:sz w:val="20"/>
                <w:szCs w:val="20"/>
                <w:color w:val="auto"/>
              </w:rPr>
            </w:pPr>
            <w:r>
              <w:rPr>
                <w:rFonts w:ascii="Arial" w:cs="Arial" w:eastAsia="Arial" w:hAnsi="Arial"/>
                <w:sz w:val="17"/>
                <w:szCs w:val="17"/>
                <w:color w:val="auto"/>
                <w:w w:val="93"/>
              </w:rPr>
              <w:t>1,444</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1,444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7"/>
                <w:szCs w:val="17"/>
                <w:color w:val="auto"/>
              </w:rPr>
              <w:t>Other Accounts</w:t>
            </w:r>
          </w:p>
        </w:tc>
        <w:tc>
          <w:tcPr>
            <w:tcW w:w="1200" w:type="dxa"/>
            <w:vAlign w:val="bottom"/>
            <w:gridSpan w:val="3"/>
          </w:tcPr>
          <w:p>
            <w:pPr>
              <w:jc w:val="right"/>
              <w:ind w:right="36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rPr>
                <w:sz w:val="20"/>
                <w:szCs w:val="20"/>
                <w:color w:val="auto"/>
              </w:rPr>
            </w:pPr>
            <w:r>
              <w:rPr>
                <w:rFonts w:ascii="Arial" w:cs="Arial" w:eastAsia="Arial" w:hAnsi="Arial"/>
                <w:sz w:val="17"/>
                <w:szCs w:val="17"/>
                <w:color w:val="auto"/>
                <w:w w:val="93"/>
              </w:rPr>
              <w:t>1,007</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06"/>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Henry Wang</w:t>
            </w:r>
          </w:p>
        </w:tc>
        <w:tc>
          <w:tcPr>
            <w:tcW w:w="2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w w:val="88"/>
              </w:rPr>
              <w:t>Registered Investment Companies</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369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04"/>
        </w:trPr>
        <w:tc>
          <w:tcPr>
            <w:tcW w:w="14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w w:val="90"/>
              </w:rPr>
              <w:t>Other Pooled Investment Vehicles</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3"/>
              </w:rPr>
              <w:t>1,444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4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rPr>
              <w:t>Other Accounts</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3"/>
              </w:rPr>
              <w:t>1,007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820" w:hanging="409"/>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Total Other Assets as defined by BCP, which includes undrawn commitments.</w:t>
      </w:r>
    </w:p>
    <w:p>
      <w:pPr>
        <w:spacing w:after="0" w:line="20" w:lineRule="exact"/>
        <w:rPr>
          <w:rFonts w:ascii="Arial" w:cs="Arial" w:eastAsia="Arial" w:hAnsi="Arial"/>
          <w:sz w:val="17"/>
          <w:szCs w:val="17"/>
          <w:color w:val="auto"/>
        </w:rPr>
      </w:pPr>
    </w:p>
    <w:p>
      <w:pPr>
        <w:ind w:left="820" w:right="20" w:hanging="409"/>
        <w:spacing w:after="0" w:line="261" w:lineRule="auto"/>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the assets under management of the accounts managed that have the potential to generate fees in addition to management fees based on total assets.</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Compensation</w:t>
      </w:r>
    </w:p>
    <w:p>
      <w:pPr>
        <w:spacing w:after="0" w:line="115" w:lineRule="exact"/>
        <w:rPr>
          <w:sz w:val="20"/>
          <w:szCs w:val="20"/>
          <w:color w:val="auto"/>
        </w:rPr>
      </w:pPr>
    </w:p>
    <w:p>
      <w:pPr>
        <w:ind w:left="420" w:right="20" w:firstLine="417"/>
        <w:spacing w:after="0" w:line="275" w:lineRule="auto"/>
        <w:rPr>
          <w:sz w:val="20"/>
          <w:szCs w:val="20"/>
          <w:color w:val="auto"/>
        </w:rPr>
      </w:pPr>
      <w:r>
        <w:rPr>
          <w:rFonts w:ascii="Arial" w:cs="Arial" w:eastAsia="Arial" w:hAnsi="Arial"/>
          <w:sz w:val="17"/>
          <w:szCs w:val="17"/>
          <w:color w:val="auto"/>
        </w:rPr>
        <w:t>BCP’s financial arrangements with the Portfolio Managers, its competitive compensation and its career path emphasis at all levels reflect the value senior management places on key resources. Compensation may include a</w:t>
      </w:r>
    </w:p>
    <w:p>
      <w:pPr>
        <w:spacing w:after="0" w:line="10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840"/>
          </w:cols>
          <w:pgMar w:left="320" w:top="443" w:right="7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20" w:right="740"/>
        <w:spacing w:after="0" w:line="275" w:lineRule="auto"/>
        <w:rPr>
          <w:sz w:val="20"/>
          <w:szCs w:val="20"/>
          <w:color w:val="auto"/>
        </w:rPr>
      </w:pPr>
      <w:r>
        <w:rPr>
          <w:rFonts w:ascii="Arial" w:cs="Arial" w:eastAsia="Arial" w:hAnsi="Arial"/>
          <w:sz w:val="17"/>
          <w:szCs w:val="17"/>
          <w:color w:val="auto"/>
        </w:rPr>
        <w:t>variety of components and may vary from year to year based on a number of factors. The principal components of compensation include base compensation and performance-based, discretionary compensation.</w:t>
      </w:r>
    </w:p>
    <w:p>
      <w:pPr>
        <w:spacing w:after="0" w:line="165" w:lineRule="exact"/>
        <w:rPr>
          <w:sz w:val="20"/>
          <w:szCs w:val="20"/>
          <w:color w:val="auto"/>
        </w:rPr>
      </w:pPr>
    </w:p>
    <w:p>
      <w:pPr>
        <w:ind w:left="420" w:right="40" w:firstLine="417"/>
        <w:spacing w:after="0" w:line="275" w:lineRule="auto"/>
        <w:rPr>
          <w:sz w:val="20"/>
          <w:szCs w:val="20"/>
          <w:color w:val="auto"/>
        </w:rPr>
      </w:pPr>
      <w:r>
        <w:rPr>
          <w:rFonts w:ascii="Arial" w:cs="Arial" w:eastAsia="Arial" w:hAnsi="Arial"/>
          <w:sz w:val="17"/>
          <w:szCs w:val="17"/>
          <w:i w:val="1"/>
          <w:iCs w:val="1"/>
          <w:u w:val="single" w:color="auto"/>
          <w:color w:val="auto"/>
        </w:rPr>
        <w:t>Base Compensation</w:t>
      </w:r>
      <w:r>
        <w:rPr>
          <w:rFonts w:ascii="Arial" w:cs="Arial" w:eastAsia="Arial" w:hAnsi="Arial"/>
          <w:sz w:val="17"/>
          <w:szCs w:val="17"/>
          <w:color w:val="auto"/>
        </w:rPr>
        <w:t>: Generally, the Portfolio Managers receive base compensation based on their position with the firm that is consistent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rate of annual salaries paid to similarly situated investment professionals.</w:t>
      </w:r>
    </w:p>
    <w:p>
      <w:pPr>
        <w:spacing w:after="0" w:line="165" w:lineRule="exact"/>
        <w:rPr>
          <w:sz w:val="20"/>
          <w:szCs w:val="20"/>
          <w:color w:val="auto"/>
        </w:rPr>
      </w:pPr>
    </w:p>
    <w:p>
      <w:pPr>
        <w:ind w:left="420" w:firstLine="417"/>
        <w:spacing w:after="0" w:line="275" w:lineRule="auto"/>
        <w:rPr>
          <w:sz w:val="20"/>
          <w:szCs w:val="20"/>
          <w:color w:val="auto"/>
        </w:rPr>
      </w:pPr>
      <w:r>
        <w:rPr>
          <w:rFonts w:ascii="Arial" w:cs="Arial" w:eastAsia="Arial" w:hAnsi="Arial"/>
          <w:sz w:val="17"/>
          <w:szCs w:val="17"/>
          <w:i w:val="1"/>
          <w:iCs w:val="1"/>
          <w:u w:val="single" w:color="auto"/>
          <w:color w:val="auto"/>
        </w:rPr>
        <w:t>Discretionary Compensation</w:t>
      </w:r>
      <w:r>
        <w:rPr>
          <w:rFonts w:ascii="Arial" w:cs="Arial" w:eastAsia="Arial" w:hAnsi="Arial"/>
          <w:sz w:val="17"/>
          <w:szCs w:val="17"/>
          <w:color w:val="auto"/>
        </w:rPr>
        <w:t>: The PTMN Portfolio Managers also receive discretionary compensation generally consisting of two components: an</w:t>
      </w:r>
      <w:r>
        <w:rPr>
          <w:rFonts w:ascii="Arial" w:cs="Arial" w:eastAsia="Arial" w:hAnsi="Arial"/>
          <w:sz w:val="17"/>
          <w:szCs w:val="17"/>
          <w:i w:val="1"/>
          <w:iCs w:val="1"/>
          <w:color w:val="auto"/>
        </w:rPr>
        <w:t xml:space="preserve"> </w:t>
      </w:r>
      <w:r>
        <w:rPr>
          <w:rFonts w:ascii="Arial" w:cs="Arial" w:eastAsia="Arial" w:hAnsi="Arial"/>
          <w:sz w:val="17"/>
          <w:szCs w:val="17"/>
          <w:color w:val="auto"/>
        </w:rPr>
        <w:t>annual bonus and carried interest.</w:t>
      </w:r>
    </w:p>
    <w:p>
      <w:pPr>
        <w:spacing w:after="0" w:line="76" w:lineRule="exact"/>
        <w:rPr>
          <w:sz w:val="20"/>
          <w:szCs w:val="20"/>
          <w:color w:val="auto"/>
        </w:rPr>
      </w:pPr>
    </w:p>
    <w:p>
      <w:pPr>
        <w:ind w:left="1340" w:right="60" w:hanging="418"/>
        <w:spacing w:after="0" w:line="263" w:lineRule="auto"/>
        <w:tabs>
          <w:tab w:leader="none" w:pos="134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xml:space="preserve"> Generally, a PTMN Portfolio Manager receives an annual bonus based on the performance of BCP, the performance of the PTMN Portfolio Manager’s group within BCP and the individual’s performance, achievement of certain internal objectives and contribution to the overall performance of these portfolios and BCP as a whole.</w:t>
      </w:r>
    </w:p>
    <w:p>
      <w:pPr>
        <w:spacing w:after="0" w:line="85" w:lineRule="exact"/>
        <w:rPr>
          <w:rFonts w:ascii="Arial" w:cs="Arial" w:eastAsia="Arial" w:hAnsi="Arial"/>
          <w:sz w:val="17"/>
          <w:szCs w:val="17"/>
          <w:color w:val="auto"/>
        </w:rPr>
      </w:pPr>
    </w:p>
    <w:p>
      <w:pPr>
        <w:ind w:left="1340" w:right="560" w:hanging="418"/>
        <w:spacing w:after="0" w:line="275" w:lineRule="auto"/>
        <w:tabs>
          <w:tab w:leader="none" w:pos="134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Carried Interest:</w:t>
      </w:r>
      <w:r>
        <w:rPr>
          <w:rFonts w:ascii="Arial" w:cs="Arial" w:eastAsia="Arial" w:hAnsi="Arial"/>
          <w:sz w:val="17"/>
          <w:szCs w:val="17"/>
          <w:color w:val="auto"/>
        </w:rPr>
        <w:t xml:space="preserve"> Generally, a PTMN Portfolio Manager receives carried interests with respect to the BCP-advised funds, subject to standard terms and conditions, including vesting.</w:t>
      </w:r>
    </w:p>
    <w:p>
      <w:pPr>
        <w:spacing w:after="0" w:line="10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800"/>
          </w:cols>
          <w:pgMar w:left="320" w:top="443" w:right="77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17" w:lineRule="exact"/>
        <w:rPr>
          <w:sz w:val="20"/>
          <w:szCs w:val="20"/>
          <w:color w:val="auto"/>
        </w:rPr>
      </w:pPr>
    </w:p>
    <w:p>
      <w:pPr>
        <w:ind w:left="420" w:firstLine="417"/>
        <w:spacing w:after="0" w:line="275" w:lineRule="auto"/>
        <w:rPr>
          <w:sz w:val="20"/>
          <w:szCs w:val="20"/>
          <w:color w:val="auto"/>
        </w:rPr>
      </w:pPr>
      <w:r>
        <w:rPr>
          <w:rFonts w:ascii="Arial" w:cs="Arial" w:eastAsia="Arial" w:hAnsi="Arial"/>
          <w:sz w:val="17"/>
          <w:szCs w:val="17"/>
          <w:color w:val="auto"/>
        </w:rPr>
        <w:t>The information contained under the caption “Certain Relationships and Related Transactions” in our most recent Definitive Proxy Statement on Schedule 14A is incorporated by reference herein.</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680"/>
          </w:cols>
          <w:pgMar w:left="320" w:top="443" w:right="89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CONTROL PERSONS AND PRINCIPAL STOCKHOLDERS</w:t>
      </w:r>
    </w:p>
    <w:p>
      <w:pPr>
        <w:spacing w:after="0" w:line="21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As of November 22, 2021, there were 9,680,127 shares of our Common Stock outstanding.</w:t>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17"/>
          <w:szCs w:val="17"/>
          <w:color w:val="auto"/>
        </w:rPr>
        <w:t>No person is deemed to control us, as such term is defined in the 1940 Act.</w:t>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sets forth, as of the date of this prospectus, information with respect to the beneficial ownership of our Common Stock by:</w:t>
      </w:r>
    </w:p>
    <w:p>
      <w:pPr>
        <w:spacing w:after="0" w:line="135" w:lineRule="exact"/>
        <w:rPr>
          <w:sz w:val="20"/>
          <w:szCs w:val="20"/>
          <w:color w:val="auto"/>
        </w:rPr>
      </w:pPr>
    </w:p>
    <w:p>
      <w:pPr>
        <w:ind w:left="1340" w:hanging="418"/>
        <w:spacing w:after="0"/>
        <w:tabs>
          <w:tab w:leader="none" w:pos="1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person known to us to beneficially own more than 5% of the outstanding shares of our Common Stock;</w:t>
      </w:r>
    </w:p>
    <w:p>
      <w:pPr>
        <w:spacing w:after="0" w:line="123" w:lineRule="exact"/>
        <w:rPr>
          <w:rFonts w:ascii="Arial" w:cs="Arial" w:eastAsia="Arial" w:hAnsi="Arial"/>
          <w:sz w:val="17"/>
          <w:szCs w:val="17"/>
          <w:color w:val="auto"/>
        </w:rPr>
      </w:pPr>
    </w:p>
    <w:p>
      <w:pPr>
        <w:ind w:left="1340" w:hanging="418"/>
        <w:spacing w:after="0"/>
        <w:tabs>
          <w:tab w:leader="none" w:pos="1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of our directors and each named executive officer; and</w:t>
      </w:r>
    </w:p>
    <w:p>
      <w:pPr>
        <w:spacing w:after="0" w:line="123" w:lineRule="exact"/>
        <w:rPr>
          <w:rFonts w:ascii="Arial" w:cs="Arial" w:eastAsia="Arial" w:hAnsi="Arial"/>
          <w:sz w:val="17"/>
          <w:szCs w:val="17"/>
          <w:color w:val="auto"/>
        </w:rPr>
      </w:pPr>
    </w:p>
    <w:p>
      <w:pPr>
        <w:ind w:left="1340" w:hanging="418"/>
        <w:spacing w:after="0"/>
        <w:tabs>
          <w:tab w:leader="none" w:pos="1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all of our directors and executive officers as a group.</w:t>
      </w:r>
    </w:p>
    <w:p>
      <w:pPr>
        <w:spacing w:after="0" w:line="213" w:lineRule="exact"/>
        <w:rPr>
          <w:sz w:val="20"/>
          <w:szCs w:val="20"/>
          <w:color w:val="auto"/>
        </w:rPr>
      </w:pPr>
    </w:p>
    <w:p>
      <w:pPr>
        <w:jc w:val="both"/>
        <w:ind w:left="420" w:firstLine="417"/>
        <w:spacing w:after="0" w:line="263" w:lineRule="auto"/>
        <w:rPr>
          <w:sz w:val="20"/>
          <w:szCs w:val="20"/>
          <w:color w:val="auto"/>
        </w:rPr>
      </w:pPr>
      <w:r>
        <w:rPr>
          <w:rFonts w:ascii="Arial" w:cs="Arial" w:eastAsia="Arial" w:hAnsi="Arial"/>
          <w:sz w:val="17"/>
          <w:szCs w:val="17"/>
          <w:color w:val="auto"/>
        </w:rPr>
        <w:t>Beneficial ownership is determined in accordance with the rules of the SEC and includes voting or investment power with respect to the securities. Such shares, however, are not deemed outstanding for the purposes of computing the percentage ownership of any other person. Percentage of beneficial ownership is based on 9,680,127 shares of our Common Stock outstanding as of November 22, 2021.</w:t>
      </w:r>
    </w:p>
    <w:p>
      <w:pPr>
        <w:spacing w:after="0" w:line="175" w:lineRule="exact"/>
        <w:rPr>
          <w:sz w:val="20"/>
          <w:szCs w:val="20"/>
          <w:color w:val="auto"/>
        </w:rPr>
      </w:pPr>
    </w:p>
    <w:p>
      <w:pPr>
        <w:ind w:left="420" w:right="400" w:firstLine="417"/>
        <w:spacing w:after="0" w:line="287" w:lineRule="auto"/>
        <w:rPr>
          <w:sz w:val="20"/>
          <w:szCs w:val="20"/>
          <w:color w:val="auto"/>
        </w:rPr>
      </w:pPr>
      <w:r>
        <w:rPr>
          <w:rFonts w:ascii="Arial" w:cs="Arial" w:eastAsia="Arial" w:hAnsi="Arial"/>
          <w:sz w:val="16"/>
          <w:szCs w:val="16"/>
          <w:color w:val="auto"/>
        </w:rPr>
        <w:t>Unless otherwise indicated, to our knowledge, each stockholder listed below has sole voting and investment power with respect to the shares beneficially owned by the stockholder, except to the extent authority is shared by spouses under applicable law. Unless otherwise indicated, each stockholder maintains an address of c/o Portman Ridge, 650 Madison Avenue, 23rd Floor, New York, New York 10022.</w:t>
      </w:r>
    </w:p>
    <w:p>
      <w:pPr>
        <w:spacing w:after="0" w:line="155"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5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14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540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640" w:type="dxa"/>
            <w:vAlign w:val="bottom"/>
          </w:tcPr>
          <w:p>
            <w:pPr>
              <w:jc w:val="right"/>
              <w:ind w:right="59"/>
              <w:spacing w:after="0" w:line="148" w:lineRule="exact"/>
              <w:rPr>
                <w:sz w:val="20"/>
                <w:szCs w:val="20"/>
                <w:color w:val="auto"/>
              </w:rPr>
            </w:pPr>
            <w:r>
              <w:rPr>
                <w:rFonts w:ascii="Arial" w:cs="Arial" w:eastAsia="Arial" w:hAnsi="Arial"/>
                <w:sz w:val="14"/>
                <w:szCs w:val="14"/>
                <w:b w:val="1"/>
                <w:bCs w:val="1"/>
                <w:color w:val="auto"/>
              </w:rPr>
              <w:t>Shares</w:t>
            </w:r>
          </w:p>
        </w:tc>
        <w:tc>
          <w:tcPr>
            <w:tcW w:w="620" w:type="dxa"/>
            <w:vAlign w:val="bottom"/>
          </w:tcPr>
          <w:p>
            <w:pPr>
              <w:spacing w:after="0"/>
              <w:rPr>
                <w:sz w:val="12"/>
                <w:szCs w:val="12"/>
                <w:color w:val="auto"/>
              </w:rPr>
            </w:pPr>
          </w:p>
        </w:tc>
        <w:tc>
          <w:tcPr>
            <w:tcW w:w="84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99"/>
              </w:rPr>
              <w:t>of 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bottom w:val="single" w:sz="8" w:color="CCEEFF"/>
            </w:tcBorders>
            <w:shd w:val="clear" w:color="auto" w:fill="000000"/>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380" w:type="dxa"/>
            <w:vAlign w:val="bottom"/>
            <w:gridSpan w:val="2"/>
            <w:shd w:val="clear" w:color="auto" w:fill="CCEEFF"/>
          </w:tcPr>
          <w:p>
            <w:pPr>
              <w:spacing w:after="0" w:line="177" w:lineRule="exact"/>
              <w:rPr>
                <w:sz w:val="20"/>
                <w:szCs w:val="20"/>
                <w:color w:val="auto"/>
              </w:rPr>
            </w:pPr>
            <w:r>
              <w:rPr>
                <w:rFonts w:ascii="Arial" w:cs="Arial" w:eastAsia="Arial" w:hAnsi="Arial"/>
                <w:sz w:val="17"/>
                <w:szCs w:val="17"/>
                <w:b w:val="1"/>
                <w:bCs w:val="1"/>
                <w:i w:val="1"/>
                <w:iCs w:val="1"/>
                <w:color w:val="auto"/>
              </w:rPr>
              <w:t>Directors and Executive Officers:</w:t>
            </w:r>
          </w:p>
        </w:tc>
        <w:tc>
          <w:tcPr>
            <w:tcW w:w="1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gridSpan w:val="2"/>
          </w:tcPr>
          <w:p>
            <w:pPr>
              <w:spacing w:after="0"/>
              <w:rPr>
                <w:sz w:val="20"/>
                <w:szCs w:val="20"/>
                <w:color w:val="auto"/>
              </w:rPr>
            </w:pPr>
            <w:r>
              <w:rPr>
                <w:rFonts w:ascii="Arial" w:cs="Arial" w:eastAsia="Arial" w:hAnsi="Arial"/>
                <w:sz w:val="17"/>
                <w:szCs w:val="17"/>
                <w:b w:val="1"/>
                <w:bCs w:val="1"/>
                <w:color w:val="auto"/>
              </w:rPr>
              <w:t>Independent Directors</w:t>
            </w: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Alexander Duka</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gridSpan w:val="2"/>
          </w:tcPr>
          <w:p>
            <w:pPr>
              <w:spacing w:after="0"/>
              <w:rPr>
                <w:sz w:val="20"/>
                <w:szCs w:val="20"/>
                <w:color w:val="auto"/>
              </w:rPr>
            </w:pPr>
            <w:r>
              <w:rPr>
                <w:rFonts w:ascii="Arial" w:cs="Arial" w:eastAsia="Arial" w:hAnsi="Arial"/>
                <w:sz w:val="17"/>
                <w:szCs w:val="17"/>
                <w:color w:val="auto"/>
              </w:rPr>
              <w:t>George Grunebaum</w:t>
            </w:r>
          </w:p>
        </w:tc>
        <w:tc>
          <w:tcPr>
            <w:tcW w:w="126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Christopher Lacovara</w:t>
            </w:r>
            <w:r>
              <w:rPr>
                <w:rFonts w:ascii="Arial" w:cs="Arial" w:eastAsia="Arial" w:hAnsi="Arial"/>
                <w:sz w:val="14"/>
                <w:szCs w:val="14"/>
                <w:color w:val="auto"/>
              </w:rPr>
              <w:t>(1)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21,263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gridSpan w:val="2"/>
          </w:tcPr>
          <w:p>
            <w:pPr>
              <w:spacing w:after="0"/>
              <w:rPr>
                <w:sz w:val="20"/>
                <w:szCs w:val="20"/>
                <w:color w:val="auto"/>
              </w:rPr>
            </w:pPr>
            <w:r>
              <w:rPr>
                <w:rFonts w:ascii="Arial" w:cs="Arial" w:eastAsia="Arial" w:hAnsi="Arial"/>
                <w:sz w:val="17"/>
                <w:szCs w:val="17"/>
                <w:color w:val="auto"/>
              </w:rPr>
              <w:t>Dean C. Kehler</w:t>
            </w:r>
            <w:r>
              <w:rPr>
                <w:rFonts w:ascii="Arial" w:cs="Arial" w:eastAsia="Arial" w:hAnsi="Arial"/>
                <w:sz w:val="14"/>
                <w:szCs w:val="14"/>
                <w:color w:val="auto"/>
              </w:rPr>
              <w:t>(2)</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167,400</w:t>
            </w:r>
          </w:p>
        </w:tc>
        <w:tc>
          <w:tcPr>
            <w:tcW w:w="1460" w:type="dxa"/>
            <w:vAlign w:val="bottom"/>
            <w:gridSpan w:val="3"/>
          </w:tcPr>
          <w:p>
            <w:pPr>
              <w:jc w:val="right"/>
              <w:ind w:right="4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Warshauer</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gridSpan w:val="2"/>
          </w:tcPr>
          <w:p>
            <w:pPr>
              <w:spacing w:after="0"/>
              <w:rPr>
                <w:sz w:val="20"/>
                <w:szCs w:val="20"/>
                <w:color w:val="auto"/>
              </w:rPr>
            </w:pPr>
            <w:r>
              <w:rPr>
                <w:rFonts w:ascii="Arial" w:cs="Arial" w:eastAsia="Arial" w:hAnsi="Arial"/>
                <w:sz w:val="17"/>
                <w:szCs w:val="17"/>
                <w:color w:val="auto"/>
              </w:rPr>
              <w:t>Matthew Westwood</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4,326</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Morea</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1,821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gridSpan w:val="2"/>
          </w:tcPr>
          <w:p>
            <w:pPr>
              <w:spacing w:after="0"/>
              <w:rPr>
                <w:sz w:val="20"/>
                <w:szCs w:val="20"/>
                <w:color w:val="auto"/>
              </w:rPr>
            </w:pPr>
            <w:r>
              <w:rPr>
                <w:rFonts w:ascii="Arial" w:cs="Arial" w:eastAsia="Arial" w:hAnsi="Arial"/>
                <w:sz w:val="17"/>
                <w:szCs w:val="17"/>
                <w:b w:val="1"/>
                <w:bCs w:val="1"/>
                <w:color w:val="auto"/>
              </w:rPr>
              <w:t>Non-Independent Directors</w:t>
            </w: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Ted Goldthorpe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9,765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gridSpan w:val="2"/>
          </w:tcPr>
          <w:p>
            <w:pPr>
              <w:spacing w:after="0"/>
              <w:rPr>
                <w:sz w:val="20"/>
                <w:szCs w:val="20"/>
                <w:color w:val="auto"/>
              </w:rPr>
            </w:pPr>
            <w:r>
              <w:rPr>
                <w:rFonts w:ascii="Arial" w:cs="Arial" w:eastAsia="Arial" w:hAnsi="Arial"/>
                <w:sz w:val="17"/>
                <w:szCs w:val="17"/>
                <w:b w:val="1"/>
                <w:bCs w:val="1"/>
                <w:color w:val="auto"/>
              </w:rPr>
              <w:t>Executive Officers</w:t>
            </w: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Jason T. Roos</w:t>
            </w: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gridSpan w:val="2"/>
          </w:tcPr>
          <w:p>
            <w:pPr>
              <w:spacing w:after="0"/>
              <w:rPr>
                <w:sz w:val="20"/>
                <w:szCs w:val="20"/>
                <w:color w:val="auto"/>
              </w:rPr>
            </w:pPr>
            <w:r>
              <w:rPr>
                <w:rFonts w:ascii="Arial" w:cs="Arial" w:eastAsia="Arial" w:hAnsi="Arial"/>
                <w:sz w:val="17"/>
                <w:szCs w:val="17"/>
                <w:color w:val="auto"/>
              </w:rPr>
              <w:t>David Held</w:t>
            </w:r>
          </w:p>
        </w:tc>
        <w:tc>
          <w:tcPr>
            <w:tcW w:w="126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Patrick Schafer</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gridSpan w:val="2"/>
          </w:tcPr>
          <w:p>
            <w:pPr>
              <w:spacing w:after="0"/>
              <w:rPr>
                <w:sz w:val="20"/>
                <w:szCs w:val="20"/>
                <w:color w:val="auto"/>
              </w:rPr>
            </w:pPr>
            <w:r>
              <w:rPr>
                <w:rFonts w:ascii="Arial" w:cs="Arial" w:eastAsia="Arial" w:hAnsi="Arial"/>
                <w:sz w:val="17"/>
                <w:szCs w:val="17"/>
                <w:b w:val="1"/>
                <w:bCs w:val="1"/>
                <w:color w:val="auto"/>
              </w:rPr>
              <w:t>Directors and Executive Officers as a Group (11 persons)</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213,525</w:t>
            </w:r>
          </w:p>
        </w:tc>
        <w:tc>
          <w:tcPr>
            <w:tcW w:w="1460" w:type="dxa"/>
            <w:vAlign w:val="bottom"/>
            <w:gridSpan w:val="3"/>
          </w:tcPr>
          <w:p>
            <w:pPr>
              <w:jc w:val="right"/>
              <w:ind w:right="4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5% Holders</w:t>
            </w: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7"/>
                <w:szCs w:val="17"/>
                <w:color w:val="auto"/>
              </w:rPr>
              <w:t>Sarpa Holdings LLC</w:t>
            </w:r>
            <w:r>
              <w:rPr>
                <w:rFonts w:ascii="Arial" w:cs="Arial" w:eastAsia="Arial" w:hAnsi="Arial"/>
                <w:sz w:val="14"/>
                <w:szCs w:val="14"/>
                <w:color w:val="auto"/>
              </w:rPr>
              <w:t>(3)</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559,868</w:t>
            </w:r>
          </w:p>
        </w:tc>
        <w:tc>
          <w:tcPr>
            <w:tcW w:w="1460" w:type="dxa"/>
            <w:vAlign w:val="bottom"/>
            <w:gridSpan w:val="3"/>
          </w:tcPr>
          <w:p>
            <w:pPr>
              <w:jc w:val="right"/>
              <w:ind w:right="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820" w:hanging="409"/>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Less than 1%.</w:t>
      </w:r>
    </w:p>
    <w:p>
      <w:pPr>
        <w:spacing w:after="0" w:line="20" w:lineRule="exact"/>
        <w:rPr>
          <w:sz w:val="20"/>
          <w:szCs w:val="20"/>
          <w:color w:val="auto"/>
        </w:rPr>
      </w:pPr>
    </w:p>
    <w:p>
      <w:pPr>
        <w:ind w:left="820" w:right="100" w:hanging="409"/>
        <w:spacing w:after="0" w:line="275"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Excludes shares of common stock held by KKAT Acquisition Company III, LLC, KKAT Acquisition Company IV, LLC, KKAT Acquisition Company V, LLC, KKAT Acquisition Company VII, LLC and KKAT Acquisition Company VIII, LLC (the “KKAT Entities”). Mr. Lacovara is a member of the KKAT entities and therefore may have a pecuniary interest in certain of the shares held by the KKAT entities. Mr. Lacovara disclaims beneficial ownership of the shares held by the KKAT entities except to the extent of their respective pecuniary interests therein.</w:t>
      </w:r>
    </w:p>
    <w:p>
      <w:pPr>
        <w:spacing w:after="0" w:line="1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820"/>
          </w:cols>
          <w:pgMar w:left="320" w:top="443" w:right="75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820" w:right="260" w:hanging="409"/>
        <w:spacing w:after="0" w:line="254" w:lineRule="auto"/>
        <w:tabs>
          <w:tab w:leader="none" w:pos="8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Includes 180,000 (as adjusted for the reverse stock split) shares acquired by Mr. Kehler as consideration for his indirect sale of certain property and limited liability company interests in Trimaran Advisors, L.L.C. to PTMN on February 29, 2012. Mr. Kehler indicated that he has sole dispositive and voting power over 72,500 (as adjusted for the reverse stock split) of such shares which were delivered at the closing of the transaction.</w:t>
      </w:r>
    </w:p>
    <w:p>
      <w:pPr>
        <w:spacing w:after="0" w:line="1" w:lineRule="exact"/>
        <w:rPr>
          <w:rFonts w:ascii="Arial" w:cs="Arial" w:eastAsia="Arial" w:hAnsi="Arial"/>
          <w:sz w:val="17"/>
          <w:szCs w:val="17"/>
          <w:color w:val="auto"/>
        </w:rPr>
      </w:pPr>
    </w:p>
    <w:p>
      <w:pPr>
        <w:ind w:left="820" w:right="460" w:hanging="409"/>
        <w:spacing w:after="0" w:line="261" w:lineRule="auto"/>
        <w:tabs>
          <w:tab w:leader="none" w:pos="8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As reported on a Schedule 13G filed by Sarpa Holdings LLC (“Sarpa”) on February 17, 2021. The principal address of Sarpa is 1870 Ogden Drive, Burlingame, CA 94010.</w:t>
      </w:r>
    </w:p>
    <w:p>
      <w:pPr>
        <w:spacing w:after="0" w:line="177" w:lineRule="exact"/>
        <w:rPr>
          <w:sz w:val="20"/>
          <w:szCs w:val="20"/>
          <w:color w:val="auto"/>
        </w:rPr>
      </w:pPr>
    </w:p>
    <w:p>
      <w:pPr>
        <w:ind w:left="820"/>
        <w:spacing w:after="0"/>
        <w:rPr>
          <w:sz w:val="20"/>
          <w:szCs w:val="20"/>
          <w:color w:val="auto"/>
        </w:rPr>
      </w:pPr>
      <w:r>
        <w:rPr>
          <w:rFonts w:ascii="Arial" w:cs="Arial" w:eastAsia="Arial" w:hAnsi="Arial"/>
          <w:sz w:val="15"/>
          <w:szCs w:val="15"/>
          <w:color w:val="auto"/>
        </w:rPr>
        <w:t>The following table sets forth the dollar range of PTMN’s equity securities beneficially owned by each of our directors as of November 22, 2021.</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are not part of a “family of investment companies,” as that term is defined in Schedule 14A.</w:t>
      </w:r>
    </w:p>
    <w:p>
      <w:pPr>
        <w:spacing w:after="0" w:line="199"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Dollar Range of</w:t>
            </w:r>
          </w:p>
        </w:tc>
        <w:tc>
          <w:tcPr>
            <w:tcW w:w="0" w:type="dxa"/>
            <w:vAlign w:val="bottom"/>
          </w:tcPr>
          <w:p>
            <w:pPr>
              <w:spacing w:after="0"/>
              <w:rPr>
                <w:sz w:val="1"/>
                <w:szCs w:val="1"/>
                <w:color w:val="auto"/>
              </w:rPr>
            </w:pPr>
          </w:p>
        </w:tc>
      </w:tr>
      <w:tr>
        <w:trPr>
          <w:trHeight w:val="141"/>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w w:val="88"/>
              </w:rPr>
              <w:t>Name of Director</w:t>
            </w:r>
          </w:p>
        </w:tc>
        <w:tc>
          <w:tcPr>
            <w:tcW w:w="4420" w:type="dxa"/>
            <w:vAlign w:val="bottom"/>
            <w:vMerge w:val="restart"/>
          </w:tcPr>
          <w:p>
            <w:pPr>
              <w:spacing w:after="0"/>
              <w:rPr>
                <w:sz w:val="12"/>
                <w:szCs w:val="12"/>
                <w:color w:val="auto"/>
              </w:rPr>
            </w:pPr>
          </w:p>
        </w:tc>
        <w:tc>
          <w:tcPr>
            <w:tcW w:w="1640" w:type="dxa"/>
            <w:vAlign w:val="bottom"/>
            <w:gridSpan w:val="2"/>
          </w:tcPr>
          <w:p>
            <w:pPr>
              <w:jc w:val="center"/>
              <w:ind w:right="60"/>
              <w:spacing w:after="0" w:line="141"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68"/>
        </w:trPr>
        <w:tc>
          <w:tcPr>
            <w:tcW w:w="1020" w:type="dxa"/>
            <w:vAlign w:val="bottom"/>
            <w:tcBorders>
              <w:bottom w:val="single" w:sz="8" w:color="auto"/>
            </w:tcBorders>
            <w:vMerge w:val="continue"/>
          </w:tcPr>
          <w:p>
            <w:pPr>
              <w:spacing w:after="0"/>
              <w:rPr>
                <w:sz w:val="14"/>
                <w:szCs w:val="14"/>
                <w:color w:val="auto"/>
              </w:rPr>
            </w:pPr>
          </w:p>
        </w:tc>
        <w:tc>
          <w:tcPr>
            <w:tcW w:w="4420" w:type="dxa"/>
            <w:vAlign w:val="bottom"/>
            <w:vMerge w:val="continue"/>
          </w:tcPr>
          <w:p>
            <w:pPr>
              <w:spacing w:after="0"/>
              <w:rPr>
                <w:sz w:val="14"/>
                <w:szCs w:val="14"/>
                <w:color w:val="auto"/>
              </w:rPr>
            </w:pPr>
          </w:p>
        </w:tc>
        <w:tc>
          <w:tcPr>
            <w:tcW w:w="16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1"/>
                <w:szCs w:val="11"/>
                <w:b w:val="1"/>
                <w:bCs w:val="1"/>
                <w:color w:val="auto"/>
                <w:w w:val="90"/>
              </w:rPr>
              <w:t>(1)(2)</w:t>
            </w:r>
          </w:p>
        </w:tc>
        <w:tc>
          <w:tcPr>
            <w:tcW w:w="0" w:type="dxa"/>
            <w:vAlign w:val="bottom"/>
          </w:tcPr>
          <w:p>
            <w:pPr>
              <w:spacing w:after="0"/>
              <w:rPr>
                <w:sz w:val="1"/>
                <w:szCs w:val="1"/>
                <w:color w:val="auto"/>
              </w:rPr>
            </w:pPr>
          </w:p>
        </w:tc>
      </w:tr>
      <w:tr>
        <w:trPr>
          <w:trHeight w:val="177"/>
        </w:trPr>
        <w:tc>
          <w:tcPr>
            <w:tcW w:w="544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7"/>
                <w:szCs w:val="17"/>
                <w:b w:val="1"/>
                <w:bCs w:val="1"/>
                <w:color w:val="auto"/>
              </w:rPr>
              <w:t>Independent Directors</w:t>
            </w:r>
          </w:p>
        </w:tc>
        <w:tc>
          <w:tcPr>
            <w:tcW w:w="1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440" w:type="dxa"/>
            <w:vAlign w:val="bottom"/>
            <w:gridSpan w:val="2"/>
          </w:tcPr>
          <w:p>
            <w:pPr>
              <w:spacing w:after="0"/>
              <w:rPr>
                <w:sz w:val="20"/>
                <w:szCs w:val="20"/>
                <w:color w:val="auto"/>
              </w:rPr>
            </w:pPr>
            <w:r>
              <w:rPr>
                <w:rFonts w:ascii="Arial" w:cs="Arial" w:eastAsia="Arial" w:hAnsi="Arial"/>
                <w:sz w:val="17"/>
                <w:szCs w:val="17"/>
                <w:color w:val="auto"/>
              </w:rPr>
              <w:t>Alexander Duka</w:t>
            </w: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$10,001-$50,000</w:t>
            </w:r>
          </w:p>
        </w:tc>
        <w:tc>
          <w:tcPr>
            <w:tcW w:w="0" w:type="dxa"/>
            <w:vAlign w:val="bottom"/>
          </w:tcPr>
          <w:p>
            <w:pPr>
              <w:spacing w:after="0"/>
              <w:rPr>
                <w:sz w:val="1"/>
                <w:szCs w:val="1"/>
                <w:color w:val="auto"/>
              </w:rPr>
            </w:pPr>
          </w:p>
        </w:tc>
      </w:tr>
      <w:tr>
        <w:trPr>
          <w:trHeight w:val="204"/>
        </w:trPr>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George Grunebaum</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4"/>
        </w:trPr>
        <w:tc>
          <w:tcPr>
            <w:tcW w:w="5440" w:type="dxa"/>
            <w:vAlign w:val="bottom"/>
            <w:gridSpan w:val="2"/>
          </w:tcPr>
          <w:p>
            <w:pPr>
              <w:spacing w:after="0"/>
              <w:rPr>
                <w:sz w:val="20"/>
                <w:szCs w:val="20"/>
                <w:color w:val="auto"/>
              </w:rPr>
            </w:pPr>
            <w:r>
              <w:rPr>
                <w:rFonts w:ascii="Arial" w:cs="Arial" w:eastAsia="Arial" w:hAnsi="Arial"/>
                <w:sz w:val="17"/>
                <w:szCs w:val="17"/>
                <w:color w:val="auto"/>
              </w:rPr>
              <w:t>Christopher Lacovara</w:t>
            </w: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&gt;$100,000</w:t>
            </w:r>
          </w:p>
        </w:tc>
        <w:tc>
          <w:tcPr>
            <w:tcW w:w="0" w:type="dxa"/>
            <w:vAlign w:val="bottom"/>
          </w:tcPr>
          <w:p>
            <w:pPr>
              <w:spacing w:after="0"/>
              <w:rPr>
                <w:sz w:val="1"/>
                <w:szCs w:val="1"/>
                <w:color w:val="auto"/>
              </w:rPr>
            </w:pPr>
          </w:p>
        </w:tc>
      </w:tr>
      <w:tr>
        <w:trPr>
          <w:trHeight w:val="204"/>
        </w:trPr>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Dean C. Kehler</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&gt;$100,000</w:t>
            </w:r>
          </w:p>
        </w:tc>
        <w:tc>
          <w:tcPr>
            <w:tcW w:w="0" w:type="dxa"/>
            <w:vAlign w:val="bottom"/>
          </w:tcPr>
          <w:p>
            <w:pPr>
              <w:spacing w:after="0"/>
              <w:rPr>
                <w:sz w:val="1"/>
                <w:szCs w:val="1"/>
                <w:color w:val="auto"/>
              </w:rPr>
            </w:pPr>
          </w:p>
        </w:tc>
      </w:tr>
      <w:tr>
        <w:trPr>
          <w:trHeight w:val="204"/>
        </w:trPr>
        <w:tc>
          <w:tcPr>
            <w:tcW w:w="5440" w:type="dxa"/>
            <w:vAlign w:val="bottom"/>
            <w:gridSpan w:val="2"/>
          </w:tcPr>
          <w:p>
            <w:pPr>
              <w:spacing w:after="0"/>
              <w:rPr>
                <w:sz w:val="20"/>
                <w:szCs w:val="20"/>
                <w:color w:val="auto"/>
              </w:rPr>
            </w:pPr>
            <w:r>
              <w:rPr>
                <w:rFonts w:ascii="Arial" w:cs="Arial" w:eastAsia="Arial" w:hAnsi="Arial"/>
                <w:sz w:val="17"/>
                <w:szCs w:val="17"/>
                <w:color w:val="auto"/>
              </w:rPr>
              <w:t>Robert Warshauer</w:t>
            </w: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$10,001-$50,000</w:t>
            </w:r>
          </w:p>
        </w:tc>
        <w:tc>
          <w:tcPr>
            <w:tcW w:w="0" w:type="dxa"/>
            <w:vAlign w:val="bottom"/>
          </w:tcPr>
          <w:p>
            <w:pPr>
              <w:spacing w:after="0"/>
              <w:rPr>
                <w:sz w:val="1"/>
                <w:szCs w:val="1"/>
                <w:color w:val="auto"/>
              </w:rPr>
            </w:pPr>
          </w:p>
        </w:tc>
      </w:tr>
      <w:tr>
        <w:trPr>
          <w:trHeight w:val="204"/>
        </w:trPr>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Matthew Westwood</w:t>
            </w:r>
            <w:r>
              <w:rPr>
                <w:rFonts w:ascii="Arial" w:cs="Arial" w:eastAsia="Arial" w:hAnsi="Arial"/>
                <w:sz w:val="14"/>
                <w:szCs w:val="14"/>
                <w:b w:val="1"/>
                <w:bCs w:val="1"/>
                <w:color w:val="auto"/>
              </w:rPr>
              <w:t>(3)</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&gt;$100,000</w:t>
            </w:r>
          </w:p>
        </w:tc>
        <w:tc>
          <w:tcPr>
            <w:tcW w:w="0" w:type="dxa"/>
            <w:vAlign w:val="bottom"/>
          </w:tcPr>
          <w:p>
            <w:pPr>
              <w:spacing w:after="0"/>
              <w:rPr>
                <w:sz w:val="1"/>
                <w:szCs w:val="1"/>
                <w:color w:val="auto"/>
              </w:rPr>
            </w:pPr>
          </w:p>
        </w:tc>
      </w:tr>
      <w:tr>
        <w:trPr>
          <w:trHeight w:val="204"/>
        </w:trPr>
        <w:tc>
          <w:tcPr>
            <w:tcW w:w="5440" w:type="dxa"/>
            <w:vAlign w:val="bottom"/>
            <w:gridSpan w:val="2"/>
          </w:tcPr>
          <w:p>
            <w:pPr>
              <w:spacing w:after="0"/>
              <w:rPr>
                <w:sz w:val="20"/>
                <w:szCs w:val="20"/>
                <w:color w:val="auto"/>
              </w:rPr>
            </w:pPr>
            <w:r>
              <w:rPr>
                <w:rFonts w:ascii="Arial" w:cs="Arial" w:eastAsia="Arial" w:hAnsi="Arial"/>
                <w:sz w:val="17"/>
                <w:szCs w:val="17"/>
                <w:color w:val="auto"/>
              </w:rPr>
              <w:t>Joseph Morea</w:t>
            </w:r>
            <w:r>
              <w:rPr>
                <w:rFonts w:ascii="Arial" w:cs="Arial" w:eastAsia="Arial" w:hAnsi="Arial"/>
                <w:sz w:val="14"/>
                <w:szCs w:val="14"/>
                <w:b w:val="1"/>
                <w:bCs w:val="1"/>
                <w:color w:val="auto"/>
              </w:rPr>
              <w:t>(4)</w:t>
            </w: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$10,001-$50,000</w:t>
            </w:r>
          </w:p>
        </w:tc>
        <w:tc>
          <w:tcPr>
            <w:tcW w:w="0" w:type="dxa"/>
            <w:vAlign w:val="bottom"/>
          </w:tcPr>
          <w:p>
            <w:pPr>
              <w:spacing w:after="0"/>
              <w:rPr>
                <w:sz w:val="1"/>
                <w:szCs w:val="1"/>
                <w:color w:val="auto"/>
              </w:rPr>
            </w:pPr>
          </w:p>
        </w:tc>
      </w:tr>
      <w:tr>
        <w:trPr>
          <w:trHeight w:val="204"/>
        </w:trPr>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Non-Independent Directors</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7"/>
                <w:szCs w:val="17"/>
                <w:color w:val="auto"/>
              </w:rPr>
              <w:t>Ted Goldthorpe</w:t>
            </w: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&gt;$100,000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820" w:right="200" w:hanging="409"/>
        <w:spacing w:after="0" w:line="257" w:lineRule="auto"/>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the closing price of our Common Stock on Nasdaq on November 22, 2021 of $24.51. The dollar range of equity securities beneficially owned are: none, $1 – $10,000, $10,001 – $50,000, $50,001 – $100,000, or &gt; $100,000.</w:t>
      </w:r>
    </w:p>
    <w:p>
      <w:pPr>
        <w:spacing w:after="0" w:line="1" w:lineRule="exact"/>
        <w:rPr>
          <w:rFonts w:ascii="Arial" w:cs="Arial" w:eastAsia="Arial" w:hAnsi="Arial"/>
          <w:sz w:val="17"/>
          <w:szCs w:val="17"/>
          <w:color w:val="auto"/>
        </w:rPr>
      </w:pPr>
    </w:p>
    <w:p>
      <w:pPr>
        <w:ind w:left="820" w:hanging="409"/>
        <w:spacing w:after="0"/>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Beneficial ownership has been determined in accordance with Rule 16a-1(a)(2) of the Exchange Act.</w:t>
      </w:r>
    </w:p>
    <w:p>
      <w:pPr>
        <w:spacing w:after="0" w:line="8" w:lineRule="exact"/>
        <w:rPr>
          <w:rFonts w:ascii="Arial" w:cs="Arial" w:eastAsia="Arial" w:hAnsi="Arial"/>
          <w:sz w:val="17"/>
          <w:szCs w:val="17"/>
          <w:color w:val="auto"/>
        </w:rPr>
      </w:pPr>
    </w:p>
    <w:p>
      <w:pPr>
        <w:ind w:left="820" w:hanging="409"/>
        <w:spacing w:after="0"/>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Mr. Westwood joined the Board on October, 26, 2020.</w:t>
      </w:r>
    </w:p>
    <w:p>
      <w:pPr>
        <w:spacing w:after="0" w:line="8" w:lineRule="exact"/>
        <w:rPr>
          <w:rFonts w:ascii="Arial" w:cs="Arial" w:eastAsia="Arial" w:hAnsi="Arial"/>
          <w:sz w:val="17"/>
          <w:szCs w:val="17"/>
          <w:color w:val="auto"/>
        </w:rPr>
      </w:pPr>
    </w:p>
    <w:p>
      <w:pPr>
        <w:ind w:left="820" w:hanging="409"/>
        <w:spacing w:after="0"/>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Mr. Morea joined the Board on October, 26, 2020.</w:t>
      </w:r>
    </w:p>
    <w:p>
      <w:pPr>
        <w:spacing w:after="0" w:line="202" w:lineRule="exact"/>
        <w:rPr>
          <w:sz w:val="20"/>
          <w:szCs w:val="20"/>
          <w:color w:val="auto"/>
        </w:rPr>
      </w:pPr>
    </w:p>
    <w:p>
      <w:pPr>
        <w:ind w:left="420" w:right="80" w:firstLine="417"/>
        <w:spacing w:after="0" w:line="275" w:lineRule="auto"/>
        <w:rPr>
          <w:sz w:val="20"/>
          <w:szCs w:val="20"/>
          <w:color w:val="auto"/>
        </w:rPr>
      </w:pPr>
      <w:r>
        <w:rPr>
          <w:rFonts w:ascii="Arial" w:cs="Arial" w:eastAsia="Arial" w:hAnsi="Arial"/>
          <w:sz w:val="17"/>
          <w:szCs w:val="17"/>
          <w:color w:val="auto"/>
        </w:rPr>
        <w:t>The following table sets forth the dollar range of equity interests beneficially owned by any of our independent directors and his or her immediate family as of December 31, 2020 in other funds managed by the Adviser or its affiliates.</w:t>
      </w:r>
    </w:p>
    <w:p>
      <w:pPr>
        <w:spacing w:after="0" w:line="183" w:lineRule="exact"/>
        <w:rPr>
          <w:sz w:val="20"/>
          <w:szCs w:val="20"/>
          <w:color w:val="auto"/>
        </w:rPr>
      </w:pPr>
    </w:p>
    <w:tbl>
      <w:tblPr>
        <w:tblLayout w:type="fixed"/>
        <w:tblInd w:w="420" w:type="dxa"/>
        <w:tblCellMar>
          <w:top w:w="0" w:type="dxa"/>
          <w:left w:w="0" w:type="dxa"/>
          <w:bottom w:w="0" w:type="dxa"/>
          <w:right w:w="0" w:type="dxa"/>
        </w:tblCellMar>
      </w:tblPr>
      <w:tr>
        <w:trPr>
          <w:trHeight w:val="18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Name of Director</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ind w:left="180"/>
              <w:spacing w:after="0"/>
              <w:rPr>
                <w:sz w:val="20"/>
                <w:szCs w:val="20"/>
                <w:color w:val="auto"/>
              </w:rPr>
            </w:pPr>
            <w:r>
              <w:rPr>
                <w:rFonts w:ascii="Arial" w:cs="Arial" w:eastAsia="Arial" w:hAnsi="Arial"/>
                <w:sz w:val="14"/>
                <w:szCs w:val="14"/>
                <w:b w:val="1"/>
                <w:bCs w:val="1"/>
                <w:color w:val="auto"/>
              </w:rPr>
              <w:t>Name of Owners</w:t>
            </w:r>
          </w:p>
        </w:tc>
        <w:tc>
          <w:tcPr>
            <w:tcW w:w="400" w:type="dxa"/>
            <w:vAlign w:val="bottom"/>
          </w:tcPr>
          <w:p>
            <w:pPr>
              <w:spacing w:after="0"/>
              <w:rPr>
                <w:sz w:val="15"/>
                <w:szCs w:val="15"/>
                <w:color w:val="auto"/>
              </w:rPr>
            </w:pPr>
          </w:p>
        </w:tc>
        <w:tc>
          <w:tcPr>
            <w:tcW w:w="2360" w:type="dxa"/>
            <w:vAlign w:val="bottom"/>
            <w:gridSpan w:val="2"/>
          </w:tcPr>
          <w:p>
            <w:pPr>
              <w:ind w:left="380"/>
              <w:spacing w:after="0"/>
              <w:rPr>
                <w:sz w:val="20"/>
                <w:szCs w:val="20"/>
                <w:color w:val="auto"/>
              </w:rPr>
            </w:pPr>
            <w:r>
              <w:rPr>
                <w:rFonts w:ascii="Arial" w:cs="Arial" w:eastAsia="Arial" w:hAnsi="Arial"/>
                <w:sz w:val="14"/>
                <w:szCs w:val="14"/>
                <w:b w:val="1"/>
                <w:bCs w:val="1"/>
                <w:color w:val="auto"/>
              </w:rPr>
              <w:t>Name of Investment</w:t>
            </w: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Title of Class</w:t>
            </w: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Value of Securities(1)</w:t>
            </w:r>
          </w:p>
        </w:tc>
      </w:tr>
      <w:tr>
        <w:trPr>
          <w:trHeight w:val="178"/>
        </w:trPr>
        <w:tc>
          <w:tcPr>
            <w:tcW w:w="232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7"/>
                <w:szCs w:val="17"/>
                <w:color w:val="auto"/>
              </w:rPr>
              <w:t>Alexander Duka</w:t>
            </w:r>
          </w:p>
        </w:tc>
        <w:tc>
          <w:tcPr>
            <w:tcW w:w="10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line="177" w:lineRule="exact"/>
              <w:rPr>
                <w:sz w:val="20"/>
                <w:szCs w:val="20"/>
                <w:color w:val="auto"/>
              </w:rPr>
            </w:pPr>
            <w:r>
              <w:rPr>
                <w:rFonts w:ascii="Arial" w:cs="Arial" w:eastAsia="Arial" w:hAnsi="Arial"/>
                <w:sz w:val="17"/>
                <w:szCs w:val="17"/>
                <w:color w:val="auto"/>
              </w:rPr>
              <w:t>Alexander Duka</w:t>
            </w:r>
          </w:p>
        </w:tc>
        <w:tc>
          <w:tcPr>
            <w:tcW w:w="40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shd w:val="clear" w:color="auto" w:fill="CCEEFF"/>
          </w:tcPr>
          <w:p>
            <w:pPr>
              <w:spacing w:after="0" w:line="177" w:lineRule="exact"/>
              <w:rPr>
                <w:sz w:val="20"/>
                <w:szCs w:val="20"/>
                <w:color w:val="auto"/>
              </w:rPr>
            </w:pPr>
            <w:r>
              <w:rPr>
                <w:rFonts w:ascii="Arial" w:cs="Arial" w:eastAsia="Arial" w:hAnsi="Arial"/>
                <w:sz w:val="17"/>
                <w:szCs w:val="17"/>
                <w:color w:val="auto"/>
              </w:rPr>
              <w:t>BC Partners Special</w:t>
            </w:r>
          </w:p>
        </w:tc>
        <w:tc>
          <w:tcPr>
            <w:tcW w:w="4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line="177" w:lineRule="exact"/>
              <w:rPr>
                <w:sz w:val="20"/>
                <w:szCs w:val="20"/>
                <w:color w:val="auto"/>
              </w:rPr>
            </w:pPr>
            <w:r>
              <w:rPr>
                <w:rFonts w:ascii="Arial" w:cs="Arial" w:eastAsia="Arial" w:hAnsi="Arial"/>
                <w:sz w:val="17"/>
                <w:szCs w:val="17"/>
                <w:color w:val="auto"/>
              </w:rPr>
              <w:t>Limited</w:t>
            </w:r>
          </w:p>
        </w:tc>
        <w:tc>
          <w:tcPr>
            <w:tcW w:w="4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w w:val="95"/>
              </w:rPr>
              <w:t>and Barbara Duka</w:t>
            </w:r>
          </w:p>
        </w:tc>
        <w:tc>
          <w:tcPr>
            <w:tcW w:w="276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Opportunities Fund I LP</w:t>
            </w:r>
          </w:p>
        </w:tc>
        <w:tc>
          <w:tcPr>
            <w:tcW w:w="1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Partnership</w:t>
            </w: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Over $</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100,000</w:t>
            </w:r>
          </w:p>
        </w:tc>
      </w:tr>
      <w:tr>
        <w:trPr>
          <w:trHeight w:val="192"/>
        </w:trPr>
        <w:tc>
          <w:tcPr>
            <w:tcW w:w="2320" w:type="dxa"/>
            <w:vAlign w:val="bottom"/>
            <w:gridSpan w:val="2"/>
          </w:tcPr>
          <w:p>
            <w:pPr>
              <w:spacing w:after="0" w:line="192" w:lineRule="exact"/>
              <w:rPr>
                <w:sz w:val="20"/>
                <w:szCs w:val="20"/>
                <w:color w:val="auto"/>
              </w:rPr>
            </w:pPr>
            <w:r>
              <w:rPr>
                <w:rFonts w:ascii="Arial" w:cs="Arial" w:eastAsia="Arial" w:hAnsi="Arial"/>
                <w:sz w:val="17"/>
                <w:szCs w:val="17"/>
                <w:color w:val="auto"/>
              </w:rPr>
              <w:t>Alexander Duka</w:t>
            </w:r>
          </w:p>
        </w:tc>
        <w:tc>
          <w:tcPr>
            <w:tcW w:w="2340" w:type="dxa"/>
            <w:vAlign w:val="bottom"/>
            <w:gridSpan w:val="2"/>
          </w:tcPr>
          <w:p>
            <w:pPr>
              <w:ind w:left="1000"/>
              <w:spacing w:after="0" w:line="192" w:lineRule="exact"/>
              <w:rPr>
                <w:sz w:val="20"/>
                <w:szCs w:val="20"/>
                <w:color w:val="auto"/>
              </w:rPr>
            </w:pPr>
            <w:r>
              <w:rPr>
                <w:rFonts w:ascii="Arial" w:cs="Arial" w:eastAsia="Arial" w:hAnsi="Arial"/>
                <w:sz w:val="17"/>
                <w:szCs w:val="17"/>
                <w:color w:val="auto"/>
              </w:rPr>
              <w:t>Alexander Duka</w:t>
            </w:r>
          </w:p>
        </w:tc>
        <w:tc>
          <w:tcPr>
            <w:tcW w:w="2760" w:type="dxa"/>
            <w:vAlign w:val="bottom"/>
            <w:gridSpan w:val="3"/>
          </w:tcPr>
          <w:p>
            <w:pPr>
              <w:ind w:left="400"/>
              <w:spacing w:after="0" w:line="192" w:lineRule="exact"/>
              <w:rPr>
                <w:sz w:val="20"/>
                <w:szCs w:val="20"/>
                <w:color w:val="auto"/>
              </w:rPr>
            </w:pPr>
            <w:r>
              <w:rPr>
                <w:rFonts w:ascii="Arial" w:cs="Arial" w:eastAsia="Arial" w:hAnsi="Arial"/>
                <w:sz w:val="17"/>
                <w:szCs w:val="17"/>
                <w:color w:val="auto"/>
              </w:rPr>
              <w:t>BC Partners Lending</w:t>
            </w: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9"/>
        </w:trPr>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340" w:type="dxa"/>
            <w:vAlign w:val="bottom"/>
            <w:gridSpan w:val="2"/>
          </w:tcPr>
          <w:p>
            <w:pPr>
              <w:ind w:left="1000"/>
              <w:spacing w:after="0"/>
              <w:rPr>
                <w:sz w:val="20"/>
                <w:szCs w:val="20"/>
                <w:color w:val="auto"/>
              </w:rPr>
            </w:pPr>
            <w:r>
              <w:rPr>
                <w:rFonts w:ascii="Arial" w:cs="Arial" w:eastAsia="Arial" w:hAnsi="Arial"/>
                <w:sz w:val="17"/>
                <w:szCs w:val="17"/>
                <w:color w:val="auto"/>
                <w:w w:val="95"/>
              </w:rPr>
              <w:t>and Barbara Duka</w:t>
            </w:r>
          </w:p>
        </w:tc>
        <w:tc>
          <w:tcPr>
            <w:tcW w:w="2760" w:type="dxa"/>
            <w:vAlign w:val="bottom"/>
            <w:gridSpan w:val="3"/>
          </w:tcPr>
          <w:p>
            <w:pPr>
              <w:ind w:left="400"/>
              <w:spacing w:after="0"/>
              <w:rPr>
                <w:sz w:val="20"/>
                <w:szCs w:val="20"/>
                <w:color w:val="auto"/>
              </w:rPr>
            </w:pPr>
            <w:r>
              <w:rPr>
                <w:rFonts w:ascii="Arial" w:cs="Arial" w:eastAsia="Arial" w:hAnsi="Arial"/>
                <w:sz w:val="17"/>
                <w:szCs w:val="17"/>
                <w:color w:val="auto"/>
              </w:rPr>
              <w:t>Corporation</w:t>
            </w:r>
          </w:p>
        </w:tc>
        <w:tc>
          <w:tcPr>
            <w:tcW w:w="1580" w:type="dxa"/>
            <w:vAlign w:val="bottom"/>
            <w:gridSpan w:val="2"/>
          </w:tcPr>
          <w:p>
            <w:pPr>
              <w:spacing w:after="0"/>
              <w:rPr>
                <w:sz w:val="20"/>
                <w:szCs w:val="20"/>
                <w:color w:val="auto"/>
              </w:rPr>
            </w:pPr>
            <w:r>
              <w:rPr>
                <w:rFonts w:ascii="Arial" w:cs="Arial" w:eastAsia="Arial" w:hAnsi="Arial"/>
                <w:sz w:val="17"/>
                <w:szCs w:val="17"/>
                <w:color w:val="auto"/>
              </w:rPr>
              <w:t>Common Stock</w:t>
            </w:r>
          </w:p>
        </w:tc>
        <w:tc>
          <w:tcPr>
            <w:tcW w:w="640" w:type="dxa"/>
            <w:vAlign w:val="bottom"/>
          </w:tcPr>
          <w:p>
            <w:pPr>
              <w:spacing w:after="0"/>
              <w:rPr>
                <w:sz w:val="20"/>
                <w:szCs w:val="20"/>
                <w:color w:val="auto"/>
              </w:rPr>
            </w:pPr>
            <w:r>
              <w:rPr>
                <w:rFonts w:ascii="Arial" w:cs="Arial" w:eastAsia="Arial" w:hAnsi="Arial"/>
                <w:sz w:val="17"/>
                <w:szCs w:val="17"/>
                <w:color w:val="auto"/>
              </w:rPr>
              <w:t>Over $</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100,000</w:t>
            </w:r>
          </w:p>
        </w:tc>
      </w:tr>
      <w:tr>
        <w:trPr>
          <w:trHeight w:val="193"/>
        </w:trPr>
        <w:tc>
          <w:tcPr>
            <w:tcW w:w="23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George Grunebaum</w:t>
            </w:r>
          </w:p>
        </w:tc>
        <w:tc>
          <w:tcPr>
            <w:tcW w:w="2340" w:type="dxa"/>
            <w:vAlign w:val="bottom"/>
            <w:gridSpan w:val="2"/>
            <w:shd w:val="clear" w:color="auto" w:fill="CCEEFF"/>
          </w:tcPr>
          <w:p>
            <w:pPr>
              <w:ind w:left="1000"/>
              <w:spacing w:after="0" w:line="194" w:lineRule="exact"/>
              <w:rPr>
                <w:sz w:val="20"/>
                <w:szCs w:val="20"/>
                <w:color w:val="auto"/>
              </w:rPr>
            </w:pPr>
            <w:r>
              <w:rPr>
                <w:rFonts w:ascii="Arial" w:cs="Arial" w:eastAsia="Arial" w:hAnsi="Arial"/>
                <w:sz w:val="17"/>
                <w:szCs w:val="17"/>
                <w:color w:val="auto"/>
              </w:rPr>
              <w:t>George</w:t>
            </w:r>
          </w:p>
        </w:tc>
        <w:tc>
          <w:tcPr>
            <w:tcW w:w="2760" w:type="dxa"/>
            <w:vAlign w:val="bottom"/>
            <w:gridSpan w:val="3"/>
            <w:shd w:val="clear" w:color="auto" w:fill="CCEEFF"/>
          </w:tcPr>
          <w:p>
            <w:pPr>
              <w:ind w:left="400"/>
              <w:spacing w:after="0" w:line="194" w:lineRule="exact"/>
              <w:rPr>
                <w:sz w:val="20"/>
                <w:szCs w:val="20"/>
                <w:color w:val="auto"/>
              </w:rPr>
            </w:pPr>
            <w:r>
              <w:rPr>
                <w:rFonts w:ascii="Arial" w:cs="Arial" w:eastAsia="Arial" w:hAnsi="Arial"/>
                <w:sz w:val="17"/>
                <w:szCs w:val="17"/>
                <w:color w:val="auto"/>
              </w:rPr>
              <w:t>BC Partners Lending</w:t>
            </w:r>
          </w:p>
        </w:tc>
        <w:tc>
          <w:tcPr>
            <w:tcW w:w="1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0"/>
        </w:trPr>
        <w:tc>
          <w:tcPr>
            <w:tcW w:w="10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Grunebaum</w:t>
            </w:r>
          </w:p>
        </w:tc>
        <w:tc>
          <w:tcPr>
            <w:tcW w:w="276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Corporation</w:t>
            </w:r>
          </w:p>
        </w:tc>
        <w:tc>
          <w:tcPr>
            <w:tcW w:w="1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 Stock</w:t>
            </w: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Over $</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100,000</w:t>
            </w:r>
          </w:p>
        </w:tc>
      </w:tr>
      <w:tr>
        <w:trPr>
          <w:trHeight w:val="192"/>
        </w:trPr>
        <w:tc>
          <w:tcPr>
            <w:tcW w:w="2320" w:type="dxa"/>
            <w:vAlign w:val="bottom"/>
            <w:gridSpan w:val="2"/>
          </w:tcPr>
          <w:p>
            <w:pPr>
              <w:spacing w:after="0" w:line="192" w:lineRule="exact"/>
              <w:rPr>
                <w:sz w:val="20"/>
                <w:szCs w:val="20"/>
                <w:color w:val="auto"/>
              </w:rPr>
            </w:pPr>
            <w:r>
              <w:rPr>
                <w:rFonts w:ascii="Arial" w:cs="Arial" w:eastAsia="Arial" w:hAnsi="Arial"/>
                <w:sz w:val="17"/>
                <w:szCs w:val="17"/>
                <w:color w:val="auto"/>
              </w:rPr>
              <w:t>Robert Warshauer</w:t>
            </w:r>
          </w:p>
        </w:tc>
        <w:tc>
          <w:tcPr>
            <w:tcW w:w="2340" w:type="dxa"/>
            <w:vAlign w:val="bottom"/>
            <w:gridSpan w:val="2"/>
          </w:tcPr>
          <w:p>
            <w:pPr>
              <w:ind w:left="1000"/>
              <w:spacing w:after="0" w:line="192" w:lineRule="exact"/>
              <w:rPr>
                <w:sz w:val="20"/>
                <w:szCs w:val="20"/>
                <w:color w:val="auto"/>
              </w:rPr>
            </w:pPr>
            <w:r>
              <w:rPr>
                <w:rFonts w:ascii="Arial" w:cs="Arial" w:eastAsia="Arial" w:hAnsi="Arial"/>
                <w:sz w:val="17"/>
                <w:szCs w:val="17"/>
                <w:color w:val="auto"/>
                <w:w w:val="95"/>
              </w:rPr>
              <w:t>Robert Warshauer</w:t>
            </w:r>
          </w:p>
        </w:tc>
        <w:tc>
          <w:tcPr>
            <w:tcW w:w="2760" w:type="dxa"/>
            <w:vAlign w:val="bottom"/>
            <w:gridSpan w:val="3"/>
          </w:tcPr>
          <w:p>
            <w:pPr>
              <w:ind w:left="400"/>
              <w:spacing w:after="0" w:line="192" w:lineRule="exact"/>
              <w:rPr>
                <w:sz w:val="20"/>
                <w:szCs w:val="20"/>
                <w:color w:val="auto"/>
              </w:rPr>
            </w:pPr>
            <w:r>
              <w:rPr>
                <w:rFonts w:ascii="Arial" w:cs="Arial" w:eastAsia="Arial" w:hAnsi="Arial"/>
                <w:sz w:val="17"/>
                <w:szCs w:val="17"/>
                <w:color w:val="auto"/>
              </w:rPr>
              <w:t>BC Partners Lending</w:t>
            </w: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9"/>
        </w:trPr>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760" w:type="dxa"/>
            <w:vAlign w:val="bottom"/>
            <w:gridSpan w:val="3"/>
          </w:tcPr>
          <w:p>
            <w:pPr>
              <w:ind w:left="400"/>
              <w:spacing w:after="0"/>
              <w:rPr>
                <w:sz w:val="20"/>
                <w:szCs w:val="20"/>
                <w:color w:val="auto"/>
              </w:rPr>
            </w:pPr>
            <w:r>
              <w:rPr>
                <w:rFonts w:ascii="Arial" w:cs="Arial" w:eastAsia="Arial" w:hAnsi="Arial"/>
                <w:sz w:val="17"/>
                <w:szCs w:val="17"/>
                <w:color w:val="auto"/>
              </w:rPr>
              <w:t>Corporation</w:t>
            </w:r>
          </w:p>
        </w:tc>
        <w:tc>
          <w:tcPr>
            <w:tcW w:w="1580" w:type="dxa"/>
            <w:vAlign w:val="bottom"/>
            <w:gridSpan w:val="2"/>
          </w:tcPr>
          <w:p>
            <w:pPr>
              <w:spacing w:after="0"/>
              <w:rPr>
                <w:sz w:val="20"/>
                <w:szCs w:val="20"/>
                <w:color w:val="auto"/>
              </w:rPr>
            </w:pPr>
            <w:r>
              <w:rPr>
                <w:rFonts w:ascii="Arial" w:cs="Arial" w:eastAsia="Arial" w:hAnsi="Arial"/>
                <w:sz w:val="17"/>
                <w:szCs w:val="17"/>
                <w:color w:val="auto"/>
              </w:rPr>
              <w:t>Common Stock</w:t>
            </w:r>
          </w:p>
        </w:tc>
        <w:tc>
          <w:tcPr>
            <w:tcW w:w="640" w:type="dxa"/>
            <w:vAlign w:val="bottom"/>
          </w:tcPr>
          <w:p>
            <w:pPr>
              <w:spacing w:after="0"/>
              <w:rPr>
                <w:sz w:val="20"/>
                <w:szCs w:val="20"/>
                <w:color w:val="auto"/>
              </w:rPr>
            </w:pPr>
            <w:r>
              <w:rPr>
                <w:rFonts w:ascii="Arial" w:cs="Arial" w:eastAsia="Arial" w:hAnsi="Arial"/>
                <w:sz w:val="17"/>
                <w:szCs w:val="17"/>
                <w:color w:val="auto"/>
              </w:rPr>
              <w:t>Over $</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100,000</w:t>
            </w:r>
          </w:p>
        </w:tc>
      </w:tr>
      <w:tr>
        <w:trPr>
          <w:trHeight w:val="193"/>
        </w:trPr>
        <w:tc>
          <w:tcPr>
            <w:tcW w:w="23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Robert Warshauer</w:t>
            </w:r>
          </w:p>
        </w:tc>
        <w:tc>
          <w:tcPr>
            <w:tcW w:w="2340" w:type="dxa"/>
            <w:vAlign w:val="bottom"/>
            <w:gridSpan w:val="2"/>
            <w:shd w:val="clear" w:color="auto" w:fill="CCEEFF"/>
          </w:tcPr>
          <w:p>
            <w:pPr>
              <w:ind w:left="1000"/>
              <w:spacing w:after="0" w:line="194" w:lineRule="exact"/>
              <w:rPr>
                <w:sz w:val="20"/>
                <w:szCs w:val="20"/>
                <w:color w:val="auto"/>
              </w:rPr>
            </w:pPr>
            <w:r>
              <w:rPr>
                <w:rFonts w:ascii="Arial" w:cs="Arial" w:eastAsia="Arial" w:hAnsi="Arial"/>
                <w:sz w:val="17"/>
                <w:szCs w:val="17"/>
                <w:color w:val="auto"/>
                <w:w w:val="95"/>
              </w:rPr>
              <w:t>Robert Warshauer</w:t>
            </w:r>
          </w:p>
        </w:tc>
        <w:tc>
          <w:tcPr>
            <w:tcW w:w="2760" w:type="dxa"/>
            <w:vAlign w:val="bottom"/>
            <w:gridSpan w:val="3"/>
            <w:shd w:val="clear" w:color="auto" w:fill="CCEEFF"/>
          </w:tcPr>
          <w:p>
            <w:pPr>
              <w:ind w:left="400"/>
              <w:spacing w:after="0" w:line="194" w:lineRule="exact"/>
              <w:rPr>
                <w:sz w:val="20"/>
                <w:szCs w:val="20"/>
                <w:color w:val="auto"/>
              </w:rPr>
            </w:pPr>
            <w:r>
              <w:rPr>
                <w:rFonts w:ascii="Arial" w:cs="Arial" w:eastAsia="Arial" w:hAnsi="Arial"/>
                <w:sz w:val="17"/>
                <w:szCs w:val="17"/>
                <w:color w:val="auto"/>
              </w:rPr>
              <w:t>BCP Special</w:t>
            </w:r>
          </w:p>
        </w:tc>
        <w:tc>
          <w:tcPr>
            <w:tcW w:w="15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Limited</w:t>
            </w:r>
          </w:p>
        </w:tc>
        <w:tc>
          <w:tcPr>
            <w:tcW w:w="6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0"/>
        </w:trPr>
        <w:tc>
          <w:tcPr>
            <w:tcW w:w="10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Opportunities Fund I LLP</w:t>
            </w:r>
          </w:p>
        </w:tc>
        <w:tc>
          <w:tcPr>
            <w:tcW w:w="1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Partnership</w:t>
            </w: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Over $</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100,000</w:t>
            </w:r>
          </w:p>
        </w:tc>
      </w:tr>
    </w:tbl>
    <w:p>
      <w:pPr>
        <w:spacing w:after="0" w:line="218" w:lineRule="exact"/>
        <w:rPr>
          <w:sz w:val="20"/>
          <w:szCs w:val="20"/>
          <w:color w:val="auto"/>
        </w:rPr>
      </w:pPr>
    </w:p>
    <w:p>
      <w:pPr>
        <w:ind w:left="5540" w:right="2560" w:hanging="5129"/>
        <w:spacing w:after="0" w:line="448" w:lineRule="auto"/>
        <w:tabs>
          <w:tab w:leader="none" w:pos="821" w:val="left"/>
        </w:tabs>
        <w:numPr>
          <w:ilvl w:val="0"/>
          <w:numId w:val="36"/>
        </w:numPr>
        <w:rPr>
          <w:rFonts w:ascii="Arial" w:cs="Arial" w:eastAsia="Arial" w:hAnsi="Arial"/>
          <w:sz w:val="17"/>
          <w:szCs w:val="17"/>
          <w:color w:val="auto"/>
        </w:rPr>
      </w:pPr>
      <w:r>
        <w:rPr>
          <w:rFonts w:ascii="Arial" w:cs="Arial" w:eastAsia="Arial" w:hAnsi="Arial"/>
          <w:sz w:val="17"/>
          <w:szCs w:val="17"/>
          <w:color w:val="auto"/>
        </w:rPr>
        <w:t>Dollar ranges are as follows: None, $1 – $10,000, $10,001 – $50,000, $50,001 – $100,000, or over $100,000. 37</w:t>
      </w:r>
    </w:p>
    <w:p>
      <w:pPr>
        <w:sectPr>
          <w:pgSz w:w="11900" w:h="16838" w:orient="portrait"/>
          <w:cols w:equalWidth="0" w:num="1">
            <w:col w:w="10840"/>
          </w:cols>
          <w:pgMar w:left="320" w:top="443" w:right="7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DETERMINATION OF NET ASSET VALUE</w:t>
      </w:r>
    </w:p>
    <w:p>
      <w:pPr>
        <w:spacing w:after="0" w:line="217" w:lineRule="exact"/>
        <w:rPr>
          <w:sz w:val="20"/>
          <w:szCs w:val="20"/>
          <w:color w:val="auto"/>
        </w:rPr>
      </w:pPr>
    </w:p>
    <w:p>
      <w:pPr>
        <w:ind w:left="420" w:right="420" w:firstLine="417"/>
        <w:spacing w:after="0" w:line="275" w:lineRule="auto"/>
        <w:rPr>
          <w:sz w:val="20"/>
          <w:szCs w:val="20"/>
          <w:color w:val="auto"/>
        </w:rPr>
      </w:pPr>
      <w:r>
        <w:rPr>
          <w:rFonts w:ascii="Arial" w:cs="Arial" w:eastAsia="Arial" w:hAnsi="Arial"/>
          <w:sz w:val="17"/>
          <w:szCs w:val="17"/>
          <w:color w:val="auto"/>
        </w:rPr>
        <w:t>The net asset value per share of our outstanding shares of common stock is determined quarterly by dividing the value of total assets minus liabilities by the total number of shares outstanding.</w:t>
      </w:r>
    </w:p>
    <w:p>
      <w:pPr>
        <w:spacing w:after="0" w:line="165" w:lineRule="exact"/>
        <w:rPr>
          <w:sz w:val="20"/>
          <w:szCs w:val="20"/>
          <w:color w:val="auto"/>
        </w:rPr>
      </w:pPr>
    </w:p>
    <w:p>
      <w:pPr>
        <w:ind w:left="420" w:firstLine="417"/>
        <w:spacing w:after="0" w:line="275" w:lineRule="auto"/>
        <w:rPr>
          <w:sz w:val="20"/>
          <w:szCs w:val="20"/>
          <w:color w:val="auto"/>
        </w:rPr>
      </w:pPr>
      <w:r>
        <w:rPr>
          <w:rFonts w:ascii="Arial" w:cs="Arial" w:eastAsia="Arial" w:hAnsi="Arial"/>
          <w:sz w:val="17"/>
          <w:szCs w:val="17"/>
          <w:color w:val="auto"/>
        </w:rPr>
        <w:t>We calculate the value of our investments in accordance with the procedures described in “Item 1. Business – Determination of Net Asset Value” of our most recent Annual Report on Form 10-K, which is incorporated by reference herein.</w:t>
      </w:r>
    </w:p>
    <w:p>
      <w:pPr>
        <w:spacing w:after="0" w:line="101"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720"/>
          </w:cols>
          <w:pgMar w:left="320" w:top="443" w:right="85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859"/>
        <w:spacing w:after="0"/>
        <w:rPr>
          <w:sz w:val="20"/>
          <w:szCs w:val="20"/>
          <w:color w:val="auto"/>
        </w:rPr>
      </w:pPr>
      <w:r>
        <w:rPr>
          <w:rFonts w:ascii="Arial" w:cs="Arial" w:eastAsia="Arial" w:hAnsi="Arial"/>
          <w:sz w:val="17"/>
          <w:szCs w:val="17"/>
          <w:b w:val="1"/>
          <w:bCs w:val="1"/>
          <w:color w:val="auto"/>
        </w:rPr>
        <w:t>DIVIDEND REINVESTMENT PLAN</w:t>
      </w:r>
    </w:p>
    <w:p>
      <w:pPr>
        <w:spacing w:after="0" w:line="217" w:lineRule="exact"/>
        <w:rPr>
          <w:sz w:val="20"/>
          <w:szCs w:val="20"/>
          <w:color w:val="auto"/>
        </w:rPr>
      </w:pPr>
    </w:p>
    <w:p>
      <w:pPr>
        <w:ind w:left="420" w:firstLine="417"/>
        <w:spacing w:after="0" w:line="275" w:lineRule="auto"/>
        <w:rPr>
          <w:sz w:val="20"/>
          <w:szCs w:val="20"/>
          <w:color w:val="auto"/>
        </w:rPr>
      </w:pPr>
      <w:r>
        <w:rPr>
          <w:rFonts w:ascii="Arial" w:cs="Arial" w:eastAsia="Arial" w:hAnsi="Arial"/>
          <w:sz w:val="17"/>
          <w:szCs w:val="17"/>
          <w:color w:val="auto"/>
        </w:rPr>
        <w:t>The information in “Business—Dividend Reinvestment Plan” in Part 1, Item 1 of our Annual Report on Form 10-K for the fiscal year ended December 31, 2020 is incorporated herein by reference.</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400"/>
          </w:cols>
          <w:pgMar w:left="320" w:top="443" w:right="117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CERTAIN MATERIAL U.S. FEDERAL INCOME TAX CONSIDERATIONS</w:t>
      </w:r>
    </w:p>
    <w:p>
      <w:pPr>
        <w:spacing w:after="0" w:line="217" w:lineRule="exact"/>
        <w:rPr>
          <w:sz w:val="20"/>
          <w:szCs w:val="20"/>
          <w:color w:val="auto"/>
        </w:rPr>
      </w:pPr>
    </w:p>
    <w:p>
      <w:pPr>
        <w:ind w:left="420" w:firstLine="417"/>
        <w:spacing w:after="0" w:line="270" w:lineRule="auto"/>
        <w:rPr>
          <w:sz w:val="20"/>
          <w:szCs w:val="20"/>
          <w:color w:val="auto"/>
        </w:rPr>
      </w:pPr>
      <w:r>
        <w:rPr>
          <w:rFonts w:ascii="Arial" w:cs="Arial" w:eastAsia="Arial" w:hAnsi="Arial"/>
          <w:sz w:val="16"/>
          <w:szCs w:val="16"/>
          <w:color w:val="auto"/>
        </w:rPr>
        <w:t>The following discussion is a general summary of certain material U.S. federal income tax considerations applicable to us and to an investment in shares of our common stock. This discussion is based on the provisions of the Code, the regulations of the U.S. Department of Treasury promulgated thereunder, or “Treasury regulations,” and administrative and judicial interpretations, each as in effect as of the date of this prospectus and all of which are subject to change, possibly retroactively, which could affect the continuing validity of this discussion. This discussion does not constitute a detailed explanation of all U.S. federal income tax aspects affecting us and our stockholders and does not purport to deal with the U.S. federal income tax consequences that may be important to particular stockholders in light of their individual investment circumstances or to some types of stockholders subject to special tax rules, such as financial institutions, broker dealers, insurance companies, tax-exempt organizations, partnerships or other pass-through entities, persons holding our common stock in connection with a hedging, straddle, conversion or other integrated transaction, non-U.S. stockholders (as defined below) engaged in a trade or business in the United States, persons who have ceased to be U.S. citizens or to be taxed as resident aliens or individual non-U.S. stockholders present in the United States for 183 days or more during a taxable year. This discussion also does not address any aspects of U.S. estate or gift tax or foreign, state or local tax. This discussion assumes that our stockholders hold their shares of our common stock as capital assets for U.S. federal income tax purposes (generally, assets held for investment). No ruling has been or will be sought from the IRS regarding any matter discussed herein.</w:t>
      </w:r>
    </w:p>
    <w:p>
      <w:pPr>
        <w:spacing w:after="0" w:line="171" w:lineRule="exact"/>
        <w:rPr>
          <w:sz w:val="20"/>
          <w:szCs w:val="20"/>
          <w:color w:val="auto"/>
        </w:rPr>
      </w:pPr>
    </w:p>
    <w:p>
      <w:pPr>
        <w:ind w:left="420" w:right="260" w:firstLine="417"/>
        <w:spacing w:after="0" w:line="263" w:lineRule="auto"/>
        <w:rPr>
          <w:sz w:val="20"/>
          <w:szCs w:val="20"/>
          <w:color w:val="auto"/>
        </w:rPr>
      </w:pPr>
      <w:r>
        <w:rPr>
          <w:rFonts w:ascii="Arial" w:cs="Arial" w:eastAsia="Arial" w:hAnsi="Arial"/>
          <w:sz w:val="17"/>
          <w:szCs w:val="17"/>
          <w:color w:val="auto"/>
        </w:rPr>
        <w:t>This discussion does not discuss the consequences of an investment in our preferred stock, subscription rights, debt securities or warrants representing rights to purchase shares of our preferred stock, common stock, or debt securities. The U.S. federal income tax consequences of such an investment in the relevant prospectus supplement.</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 “U.S. stockholder” is generally a beneficial owner of shares of our common stock that is for U.S. federal income tax purposes:</w:t>
      </w:r>
    </w:p>
    <w:p>
      <w:pPr>
        <w:spacing w:after="0" w:line="124" w:lineRule="exact"/>
        <w:rPr>
          <w:sz w:val="20"/>
          <w:szCs w:val="20"/>
          <w:color w:val="auto"/>
        </w:rPr>
      </w:pPr>
    </w:p>
    <w:p>
      <w:pPr>
        <w:ind w:left="1340" w:hanging="418"/>
        <w:spacing w:after="0"/>
        <w:tabs>
          <w:tab w:leader="none" w:pos="1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123" w:lineRule="exact"/>
        <w:rPr>
          <w:rFonts w:ascii="Arial" w:cs="Arial" w:eastAsia="Arial" w:hAnsi="Arial"/>
          <w:sz w:val="17"/>
          <w:szCs w:val="17"/>
          <w:color w:val="auto"/>
        </w:rPr>
      </w:pPr>
    </w:p>
    <w:p>
      <w:pPr>
        <w:ind w:left="1340" w:right="20" w:hanging="418"/>
        <w:spacing w:after="0" w:line="275" w:lineRule="auto"/>
        <w:tabs>
          <w:tab w:leader="none" w:pos="1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corporation or other entity classified as a corporation for U.S. tax purposes created or organized in or under the laws of the United States, any state therein or the District of Columbia;</w:t>
      </w:r>
    </w:p>
    <w:p>
      <w:pPr>
        <w:spacing w:after="0" w:line="75" w:lineRule="exact"/>
        <w:rPr>
          <w:rFonts w:ascii="Arial" w:cs="Arial" w:eastAsia="Arial" w:hAnsi="Arial"/>
          <w:sz w:val="17"/>
          <w:szCs w:val="17"/>
          <w:color w:val="auto"/>
        </w:rPr>
      </w:pPr>
    </w:p>
    <w:p>
      <w:pPr>
        <w:ind w:left="1340" w:hanging="418"/>
        <w:spacing w:after="0"/>
        <w:tabs>
          <w:tab w:leader="none" w:pos="1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23" w:lineRule="exact"/>
        <w:rPr>
          <w:rFonts w:ascii="Arial" w:cs="Arial" w:eastAsia="Arial" w:hAnsi="Arial"/>
          <w:sz w:val="17"/>
          <w:szCs w:val="17"/>
          <w:color w:val="auto"/>
        </w:rPr>
      </w:pPr>
    </w:p>
    <w:p>
      <w:pPr>
        <w:ind w:left="1340" w:right="60" w:hanging="418"/>
        <w:spacing w:after="0" w:line="344" w:lineRule="auto"/>
        <w:tabs>
          <w:tab w:leader="none" w:pos="13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 trust if a court within the United States is able to exercise primary jurisdiction over the administration of the trust and one or more U.S. persons have authority to control all substantial decisions of the trust (or a trust that has made a valid election to be treated as a U.S. trust).</w:t>
      </w:r>
    </w:p>
    <w:p>
      <w:pPr>
        <w:spacing w:after="0" w:line="11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 “non-U.S. stockholder” generally is a beneficial owner of shares of our common stock other than a U.S. stockholder.</w:t>
      </w:r>
    </w:p>
    <w:p>
      <w:pPr>
        <w:spacing w:after="0" w:line="213" w:lineRule="exact"/>
        <w:rPr>
          <w:sz w:val="20"/>
          <w:szCs w:val="20"/>
          <w:color w:val="auto"/>
        </w:rPr>
      </w:pPr>
    </w:p>
    <w:p>
      <w:pPr>
        <w:ind w:left="420" w:right="240" w:firstLine="417"/>
        <w:spacing w:after="0" w:line="304" w:lineRule="auto"/>
        <w:rPr>
          <w:sz w:val="20"/>
          <w:szCs w:val="20"/>
          <w:color w:val="auto"/>
        </w:rPr>
      </w:pPr>
      <w:r>
        <w:rPr>
          <w:rFonts w:ascii="Arial" w:cs="Arial" w:eastAsia="Arial" w:hAnsi="Arial"/>
          <w:sz w:val="15"/>
          <w:szCs w:val="15"/>
          <w:color w:val="auto"/>
        </w:rPr>
        <w:t>If a partnership or other entity classified as a partnership, for U.S. federal income tax purposes, holds our shares, the U.S. tax treatment of the partnership and each partner generally depends on the status of the partner, the activities of the partnership and certain determinations made at the partner level. A partnership (and any partner in such partnership) considering an investment in our common stock should consult its own tax advisers regarding the U.S. federal income tax consequences of the acquisition, ownership and disposition of shares by the partnership.</w:t>
      </w:r>
    </w:p>
    <w:p>
      <w:pPr>
        <w:spacing w:after="0" w:line="148" w:lineRule="exact"/>
        <w:rPr>
          <w:sz w:val="20"/>
          <w:szCs w:val="20"/>
          <w:color w:val="auto"/>
        </w:rPr>
      </w:pPr>
    </w:p>
    <w:p>
      <w:pPr>
        <w:ind w:left="420" w:right="20" w:firstLine="417"/>
        <w:spacing w:after="0" w:line="259" w:lineRule="auto"/>
        <w:rPr>
          <w:sz w:val="20"/>
          <w:szCs w:val="20"/>
          <w:color w:val="auto"/>
        </w:rPr>
      </w:pPr>
      <w:r>
        <w:rPr>
          <w:rFonts w:ascii="Arial" w:cs="Arial" w:eastAsia="Arial" w:hAnsi="Arial"/>
          <w:sz w:val="17"/>
          <w:szCs w:val="17"/>
          <w:i w:val="1"/>
          <w:iCs w:val="1"/>
          <w:color w:val="auto"/>
        </w:rPr>
        <w:t>Tax matters are very complicated and the tax consequences to an investor of an investment in our shares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820"/>
          </w:cols>
          <w:pgMar w:left="320" w:top="443" w:right="75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Taxation of the Company</w:t>
      </w:r>
    </w:p>
    <w:p>
      <w:pPr>
        <w:spacing w:after="0" w:line="115" w:lineRule="exact"/>
        <w:rPr>
          <w:sz w:val="20"/>
          <w:szCs w:val="20"/>
          <w:color w:val="auto"/>
        </w:rPr>
      </w:pPr>
    </w:p>
    <w:p>
      <w:pPr>
        <w:ind w:left="420" w:right="520" w:firstLine="417"/>
        <w:spacing w:after="0" w:line="344" w:lineRule="auto"/>
        <w:rPr>
          <w:sz w:val="20"/>
          <w:szCs w:val="20"/>
          <w:color w:val="auto"/>
        </w:rPr>
      </w:pPr>
      <w:r>
        <w:rPr>
          <w:rFonts w:ascii="Arial" w:cs="Arial" w:eastAsia="Arial" w:hAnsi="Arial"/>
          <w:sz w:val="15"/>
          <w:szCs w:val="15"/>
          <w:color w:val="auto"/>
        </w:rPr>
        <w:t>We have elected to be treated and intend to qualify each year as a RIC under Subchapter M of the Code. As a RIC, we generally do not pay corporate-level U.S. federal income taxes on any ordinary income or capital gains that we timely distribute to our stockholders as dividends.</w:t>
      </w:r>
    </w:p>
    <w:p>
      <w:pPr>
        <w:spacing w:after="0" w:line="11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To qualify as a RIC, we must, among other things:</w:t>
      </w:r>
    </w:p>
    <w:p>
      <w:pPr>
        <w:spacing w:after="0" w:line="124" w:lineRule="exact"/>
        <w:rPr>
          <w:sz w:val="20"/>
          <w:szCs w:val="20"/>
          <w:color w:val="auto"/>
        </w:rPr>
      </w:pPr>
    </w:p>
    <w:p>
      <w:pPr>
        <w:ind w:left="1340" w:right="100" w:hanging="418"/>
        <w:spacing w:after="0" w:line="259" w:lineRule="auto"/>
        <w:tabs>
          <w:tab w:leader="none" w:pos="1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derive in each taxable year at least 90% of our gross income from dividends, interest, payments with respect to certain securities loans, gains from the sale or other disposition of stock, securities or foreign currencies, other income derived with respect to our business of investing in stock, securities or currencies, or net income derived from an interest in a “qualified publicly traded partnership,” or “QPTP,” hereinafter the “90% Gross Income Test;” and</w:t>
      </w:r>
    </w:p>
    <w:p>
      <w:pPr>
        <w:spacing w:after="0" w:line="88" w:lineRule="exact"/>
        <w:rPr>
          <w:rFonts w:ascii="Arial" w:cs="Arial" w:eastAsia="Arial" w:hAnsi="Arial"/>
          <w:sz w:val="17"/>
          <w:szCs w:val="17"/>
          <w:color w:val="auto"/>
        </w:rPr>
      </w:pPr>
    </w:p>
    <w:p>
      <w:pPr>
        <w:ind w:left="1340" w:hanging="418"/>
        <w:spacing w:after="0"/>
        <w:tabs>
          <w:tab w:leader="none" w:pos="1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diversify our holdings so that, at the end of each quarter of each taxable year:</w:t>
      </w:r>
    </w:p>
    <w:p>
      <w:pPr>
        <w:spacing w:after="0" w:line="123" w:lineRule="exact"/>
        <w:rPr>
          <w:rFonts w:ascii="Arial" w:cs="Arial" w:eastAsia="Arial" w:hAnsi="Arial"/>
          <w:sz w:val="17"/>
          <w:szCs w:val="17"/>
          <w:color w:val="auto"/>
        </w:rPr>
      </w:pPr>
    </w:p>
    <w:p>
      <w:pPr>
        <w:jc w:val="both"/>
        <w:ind w:left="1760" w:right="40" w:hanging="314"/>
        <w:spacing w:after="0" w:line="287" w:lineRule="auto"/>
        <w:tabs>
          <w:tab w:leader="none" w:pos="17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at least 50% of the value of our total assets is represented by cash and cash items, U.S. Government securities, the securities of other RICs and other securities, with other securities limited, in respect of any one issuer, to an amount not greater than 5% of the value of our total assets and not more than 10% of the outstanding voting securities of such issuer, and</w:t>
      </w:r>
    </w:p>
    <w:p>
      <w:pPr>
        <w:spacing w:after="0" w:line="68" w:lineRule="exact"/>
        <w:rPr>
          <w:rFonts w:ascii="Arial" w:cs="Arial" w:eastAsia="Arial" w:hAnsi="Arial"/>
          <w:sz w:val="16"/>
          <w:szCs w:val="16"/>
          <w:color w:val="auto"/>
        </w:rPr>
      </w:pPr>
    </w:p>
    <w:p>
      <w:pPr>
        <w:ind w:left="1760" w:right="40" w:hanging="314"/>
        <w:spacing w:after="0" w:line="259" w:lineRule="auto"/>
        <w:tabs>
          <w:tab w:leader="none" w:pos="17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not more than 25% of the value of our total assets is invested in the securities of any issuer (other than U.S. Government securities and the securities of other regulated investment companies), the securities of any two or more issuers that we control and that are determined to be engaged in the same business or similar or related trades or businesses, or the securities of one or more QPTPs (the “Diversification Tests”).</w:t>
      </w:r>
    </w:p>
    <w:p>
      <w:pPr>
        <w:spacing w:after="0" w:line="178" w:lineRule="exact"/>
        <w:rPr>
          <w:sz w:val="20"/>
          <w:szCs w:val="20"/>
          <w:color w:val="auto"/>
        </w:rPr>
      </w:pPr>
    </w:p>
    <w:p>
      <w:pPr>
        <w:ind w:left="420" w:right="40" w:firstLine="417"/>
        <w:spacing w:after="0" w:line="294" w:lineRule="auto"/>
        <w:rPr>
          <w:sz w:val="20"/>
          <w:szCs w:val="20"/>
          <w:color w:val="auto"/>
        </w:rPr>
      </w:pPr>
      <w:r>
        <w:rPr>
          <w:rFonts w:ascii="Arial" w:cs="Arial" w:eastAsia="Arial" w:hAnsi="Arial"/>
          <w:sz w:val="15"/>
          <w:szCs w:val="15"/>
          <w:color w:val="auto"/>
        </w:rPr>
        <w:t>In the case of a RIC that furnishes capital to development corporations, there is an exception relating to the Diversification Tests described above. This exception is available only to RICs which the SEC determines to be principally engaged in the furnishing of capital to other corporations which are principally engaged in the development or exploitation of inventions, technological improvements, new processes, or products not previously generally available, which we refer to as “SEC Certification.” We have not sought SEC Certification, but it is possible that we will seek SEC Certification in future years. If we receive SEC Certification, we generally will be entitled to include, in the computation of the 50% value of our assets (described above), the value of any securities of an issuer, whether or not we own more than 10% of the outstanding voting securities of the issuer, if the basis of the securities, when added to our basis of any other securities of the issuer that we own, does not exceed 5% of the value of our total assets.</w:t>
      </w:r>
    </w:p>
    <w:p>
      <w:pPr>
        <w:spacing w:after="0" w:line="156" w:lineRule="exact"/>
        <w:rPr>
          <w:sz w:val="20"/>
          <w:szCs w:val="20"/>
          <w:color w:val="auto"/>
        </w:rPr>
      </w:pPr>
    </w:p>
    <w:p>
      <w:pPr>
        <w:ind w:left="420" w:firstLine="417"/>
        <w:spacing w:after="0" w:line="270" w:lineRule="auto"/>
        <w:rPr>
          <w:sz w:val="20"/>
          <w:szCs w:val="20"/>
          <w:color w:val="auto"/>
        </w:rPr>
      </w:pPr>
      <w:r>
        <w:rPr>
          <w:rFonts w:ascii="Arial" w:cs="Arial" w:eastAsia="Arial" w:hAnsi="Arial"/>
          <w:sz w:val="16"/>
          <w:szCs w:val="16"/>
          <w:color w:val="auto"/>
        </w:rPr>
        <w:t>As a RIC, we are generally not subject to U.S. federal income tax on investment company taxable income and net capital gains that we distribute to our stockholders in any taxable year with respect to which we distribute an amount equal to at least 90% of the sum of our (i) investment company taxable income (which includes, among other items, dividends, interest and the excess of any net realized short-term capital gains over net realized long-term capital losses and other taxable income (other than any net capital gain), reduced by deductible expenses) determined without regard to the deduction for dividends and distributions paid and (ii) net tax-exempt interest income (which is the excess of our gross tax-exempt interest income over certain disallowed deductions) (the “Annual Distribution Requirement”). We intend to distribute annually all or substantially all of such income. Generally, if we fail to meet this Annual Distribution Requirement for any taxable year, we will fail to qualify for tax treatment as a RIC for such taxable year. To the extent we meet the Annual Distribution Requirement for a taxable year, but retain our net capital gains for investment or any investment company taxable income, we are subject to U.S. federal income tax on such retained capital gains and investment company taxable income. We may choose to retain our net capital gains for investment or any investment company taxable income, and pay the associated U.S. federal corporate income tax.</w:t>
      </w:r>
    </w:p>
    <w:p>
      <w:pPr>
        <w:spacing w:after="0" w:line="11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820"/>
          </w:cols>
          <w:pgMar w:left="320" w:top="443" w:right="75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20" w:right="60" w:firstLine="417"/>
        <w:spacing w:after="0" w:line="275" w:lineRule="auto"/>
        <w:rPr>
          <w:sz w:val="20"/>
          <w:szCs w:val="20"/>
          <w:color w:val="auto"/>
        </w:rPr>
      </w:pPr>
      <w:r>
        <w:rPr>
          <w:rFonts w:ascii="Arial" w:cs="Arial" w:eastAsia="Arial" w:hAnsi="Arial"/>
          <w:sz w:val="17"/>
          <w:szCs w:val="17"/>
          <w:color w:val="auto"/>
        </w:rPr>
        <w:t>We are subject to a nondeductible 4% U.S. federal excise tax on certain of our undistributed income, unless we timely distribute (or are deemed to have timely distributed) an amount equal to the sum of:</w:t>
      </w:r>
    </w:p>
    <w:p>
      <w:pPr>
        <w:spacing w:after="0" w:line="76" w:lineRule="exact"/>
        <w:rPr>
          <w:sz w:val="20"/>
          <w:szCs w:val="20"/>
          <w:color w:val="auto"/>
        </w:rPr>
      </w:pPr>
    </w:p>
    <w:p>
      <w:pPr>
        <w:ind w:left="1340" w:hanging="418"/>
        <w:spacing w:after="0"/>
        <w:tabs>
          <w:tab w:leader="none" w:pos="1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at least 98% of our ordinary income (not taking into account any capital gains or losses) for the calendar year;</w:t>
      </w:r>
    </w:p>
    <w:p>
      <w:pPr>
        <w:spacing w:after="0" w:line="123" w:lineRule="exact"/>
        <w:rPr>
          <w:rFonts w:ascii="Arial" w:cs="Arial" w:eastAsia="Arial" w:hAnsi="Arial"/>
          <w:sz w:val="17"/>
          <w:szCs w:val="17"/>
          <w:color w:val="auto"/>
        </w:rPr>
      </w:pPr>
    </w:p>
    <w:p>
      <w:pPr>
        <w:ind w:left="1340" w:right="460" w:hanging="418"/>
        <w:spacing w:after="0" w:line="344" w:lineRule="auto"/>
        <w:tabs>
          <w:tab w:leader="none" w:pos="1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at least 98.2% of the amount by which our capital gains exceed our capital losses (adjusted for certain ordinary losses) for a one-year period generally ending on October 31 of the calendar year (unless an election is made by us to use our taxable year); and</w:t>
      </w:r>
    </w:p>
    <w:p>
      <w:pPr>
        <w:spacing w:after="0" w:line="29" w:lineRule="exact"/>
        <w:rPr>
          <w:rFonts w:ascii="Arial" w:cs="Arial" w:eastAsia="Arial" w:hAnsi="Arial"/>
          <w:sz w:val="15"/>
          <w:szCs w:val="15"/>
          <w:color w:val="auto"/>
        </w:rPr>
      </w:pPr>
    </w:p>
    <w:p>
      <w:pPr>
        <w:ind w:left="1340" w:hanging="418"/>
        <w:spacing w:after="0"/>
        <w:tabs>
          <w:tab w:leader="none" w:pos="1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certain undistributed amounts from previous years on which we paid no U.S. federal income tax.</w:t>
      </w:r>
    </w:p>
    <w:p>
      <w:pPr>
        <w:spacing w:after="0" w:line="213" w:lineRule="exact"/>
        <w:rPr>
          <w:sz w:val="20"/>
          <w:szCs w:val="20"/>
          <w:color w:val="auto"/>
        </w:rPr>
      </w:pPr>
    </w:p>
    <w:p>
      <w:pPr>
        <w:ind w:left="420" w:right="140" w:firstLine="417"/>
        <w:spacing w:after="0" w:line="288" w:lineRule="auto"/>
        <w:rPr>
          <w:sz w:val="20"/>
          <w:szCs w:val="20"/>
          <w:color w:val="auto"/>
        </w:rPr>
      </w:pPr>
      <w:r>
        <w:rPr>
          <w:rFonts w:ascii="Arial" w:cs="Arial" w:eastAsia="Arial" w:hAnsi="Arial"/>
          <w:sz w:val="15"/>
          <w:szCs w:val="15"/>
          <w:color w:val="auto"/>
        </w:rPr>
        <w:t>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“Business—Regulation—Senior Securities” in our most recently filed Annual Report on Form 10-K, as well as in subsequent filings we make with the SEC. Moreover, our ability to dispose of assets to meet our distribution requirements may be limited by (1) the illiquid nature of our portfolio and/or</w:t>
      </w:r>
    </w:p>
    <w:p>
      <w:pPr>
        <w:spacing w:after="0" w:line="1" w:lineRule="exact"/>
        <w:rPr>
          <w:sz w:val="20"/>
          <w:szCs w:val="20"/>
          <w:color w:val="auto"/>
        </w:rPr>
      </w:pPr>
    </w:p>
    <w:p>
      <w:pPr>
        <w:ind w:left="420" w:hanging="9"/>
        <w:spacing w:after="0" w:line="256" w:lineRule="auto"/>
        <w:tabs>
          <w:tab w:leader="none" w:pos="661" w:val="left"/>
        </w:tabs>
        <w:numPr>
          <w:ilvl w:val="0"/>
          <w:numId w:val="40"/>
        </w:numPr>
        <w:rPr>
          <w:rFonts w:ascii="Arial" w:cs="Arial" w:eastAsia="Arial" w:hAnsi="Arial"/>
          <w:sz w:val="17"/>
          <w:szCs w:val="17"/>
          <w:color w:val="auto"/>
        </w:rPr>
      </w:pPr>
      <w:r>
        <w:rPr>
          <w:rFonts w:ascii="Arial" w:cs="Arial" w:eastAsia="Arial" w:hAnsi="Arial"/>
          <w:sz w:val="17"/>
          <w:szCs w:val="17"/>
          <w:color w:val="auto"/>
        </w:rPr>
        <w:t>other requirements relating to our status as a RIC, including the Diversification Tests. If we dispose of assets in order to meet the Annual Distribution Requirement or to avoid the 4% U.S. federal excise tax, we may make such dispositions at times that, from an investment standpoint, are not advantageous.</w:t>
      </w:r>
    </w:p>
    <w:p>
      <w:pPr>
        <w:spacing w:after="0" w:line="181" w:lineRule="exact"/>
        <w:rPr>
          <w:sz w:val="20"/>
          <w:szCs w:val="20"/>
          <w:color w:val="auto"/>
        </w:rPr>
      </w:pPr>
    </w:p>
    <w:p>
      <w:pPr>
        <w:ind w:left="420" w:right="40" w:firstLine="417"/>
        <w:spacing w:after="0" w:line="254" w:lineRule="auto"/>
        <w:rPr>
          <w:sz w:val="20"/>
          <w:szCs w:val="20"/>
          <w:color w:val="auto"/>
        </w:rPr>
      </w:pPr>
      <w:r>
        <w:rPr>
          <w:rFonts w:ascii="Arial" w:cs="Arial" w:eastAsia="Arial" w:hAnsi="Arial"/>
          <w:sz w:val="17"/>
          <w:szCs w:val="17"/>
          <w:color w:val="auto"/>
        </w:rPr>
        <w:t>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you may receive a larger capital gain distribution than you would have received in the absence of such transactions.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Company Investments</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Certain of our investment practices are subject to special and complex U.S. federal income tax provisions that may, among other things,</w:t>
      </w:r>
    </w:p>
    <w:p>
      <w:pPr>
        <w:spacing w:after="0" w:line="32" w:lineRule="exact"/>
        <w:rPr>
          <w:sz w:val="20"/>
          <w:szCs w:val="20"/>
          <w:color w:val="auto"/>
        </w:rPr>
      </w:pPr>
    </w:p>
    <w:p>
      <w:pPr>
        <w:ind w:left="420" w:right="20" w:hanging="9"/>
        <w:spacing w:after="0" w:line="291" w:lineRule="auto"/>
        <w:tabs>
          <w:tab w:leader="none" w:pos="623" w:val="left"/>
        </w:tabs>
        <w:numPr>
          <w:ilvl w:val="0"/>
          <w:numId w:val="41"/>
        </w:numPr>
        <w:rPr>
          <w:rFonts w:ascii="Arial" w:cs="Arial" w:eastAsia="Arial" w:hAnsi="Arial"/>
          <w:sz w:val="15"/>
          <w:szCs w:val="15"/>
          <w:color w:val="auto"/>
        </w:rPr>
      </w:pPr>
      <w:r>
        <w:rPr>
          <w:rFonts w:ascii="Arial" w:cs="Arial" w:eastAsia="Arial" w:hAnsi="Arial"/>
          <w:sz w:val="15"/>
          <w:szCs w:val="15"/>
          <w:color w:val="auto"/>
        </w:rPr>
        <w:t>disallow, suspend or otherwise limit the allowance of certain losses or deductions, including the dividends received deduction, (ii) convert lower taxed long-term capital gains and qualified dividend income into higher taxed short-term capital gains or ordinary income, (iii) convert ordinary loss or a deduction into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qualify as good income for purposes of the 90% Gross Income Test. We monitor our transactions and may make certain tax elections and may be required to borrow money or dispose of securities to mitigate the effect of these rules and to prevent disqualification of us as a RIC but there can be no assurance that we will be successful in this regard.</w:t>
      </w:r>
    </w:p>
    <w:p>
      <w:pPr>
        <w:spacing w:after="0" w:line="160" w:lineRule="exact"/>
        <w:rPr>
          <w:sz w:val="20"/>
          <w:szCs w:val="20"/>
          <w:color w:val="auto"/>
        </w:rPr>
      </w:pPr>
    </w:p>
    <w:p>
      <w:pPr>
        <w:ind w:left="420" w:right="40" w:firstLine="417"/>
        <w:spacing w:after="0" w:line="280" w:lineRule="auto"/>
        <w:rPr>
          <w:sz w:val="20"/>
          <w:szCs w:val="20"/>
          <w:color w:val="auto"/>
        </w:rPr>
      </w:pPr>
      <w:r>
        <w:rPr>
          <w:rFonts w:ascii="Arial" w:cs="Arial" w:eastAsia="Arial" w:hAnsi="Arial"/>
          <w:sz w:val="16"/>
          <w:szCs w:val="16"/>
          <w:b w:val="1"/>
          <w:bCs w:val="1"/>
          <w:i w:val="1"/>
          <w:iCs w:val="1"/>
          <w:color w:val="auto"/>
        </w:rPr>
        <w:t xml:space="preserve">Debt Instruments. </w:t>
      </w:r>
      <w:r>
        <w:rPr>
          <w:rFonts w:ascii="Arial" w:cs="Arial" w:eastAsia="Arial" w:hAnsi="Arial"/>
          <w:sz w:val="16"/>
          <w:szCs w:val="16"/>
          <w:color w:val="auto"/>
        </w:rPr>
        <w:t>In certain circumstances, we may be required to recognize taxable income prior to which we receive cash. For example, if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 debt instruments that are treated under applicable tax rules as having OID (such as debt instruments with an end-of-term payment and/or PIK interest payment or, in certain cases, increasing interest rates or issued with warrants), we must include in taxable income each year a portion of the OID that accrues over the life of the obligation, regardless of whether cash representing such income is received</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840"/>
          </w:cols>
          <w:pgMar w:left="320" w:top="443" w:right="7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20" w:right="20"/>
        <w:spacing w:after="0" w:line="299" w:lineRule="auto"/>
        <w:rPr>
          <w:sz w:val="20"/>
          <w:szCs w:val="20"/>
          <w:color w:val="auto"/>
        </w:rPr>
      </w:pPr>
      <w:r>
        <w:rPr>
          <w:rFonts w:ascii="Arial" w:cs="Arial" w:eastAsia="Arial" w:hAnsi="Arial"/>
          <w:sz w:val="15"/>
          <w:szCs w:val="15"/>
          <w:color w:val="auto"/>
        </w:rPr>
        <w:t>by us in the same taxable year. We may also have to include in income other amounts that we have not yet received in cash, such as PIK interest, deferred loan origination fees that are paid after origination of the loan or are paid in non-cash compensation such as warrants or stock, or certain income with respect to equity investments in foreign corporations. Because any original issue discount or other amounts accrued will be included in our investment company taxable income for the year of accrual, we may be required to make a distribution to our stockholders in order to satisfy the Annual Distribution Requirement and to avoid the 4% U.S. federal excise tax, even though we will not have received any corresponding cash amount.</w:t>
      </w:r>
    </w:p>
    <w:p>
      <w:pPr>
        <w:spacing w:after="0" w:line="152" w:lineRule="exact"/>
        <w:rPr>
          <w:sz w:val="20"/>
          <w:szCs w:val="20"/>
          <w:color w:val="auto"/>
        </w:rPr>
      </w:pPr>
    </w:p>
    <w:p>
      <w:pPr>
        <w:jc w:val="both"/>
        <w:ind w:left="420" w:right="240" w:firstLine="417"/>
        <w:spacing w:after="0" w:line="263"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Gain or loss realized by us from the sale or exchange of warrants acquired by us as well as any loss attributable to the lapse of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warrants generally are treated as capital gain or loss. The treatment of such gain or loss as long-term or short-term generally depends on how long we held a particular warrant.</w:t>
      </w:r>
    </w:p>
    <w:p>
      <w:pPr>
        <w:spacing w:after="0" w:line="175" w:lineRule="exact"/>
        <w:rPr>
          <w:sz w:val="20"/>
          <w:szCs w:val="20"/>
          <w:color w:val="auto"/>
        </w:rPr>
      </w:pPr>
    </w:p>
    <w:p>
      <w:pPr>
        <w:ind w:left="420" w:right="120" w:firstLine="417"/>
        <w:spacing w:after="0" w:line="308" w:lineRule="auto"/>
        <w:rPr>
          <w:sz w:val="20"/>
          <w:szCs w:val="20"/>
          <w:color w:val="auto"/>
        </w:rPr>
      </w:pPr>
      <w:r>
        <w:rPr>
          <w:rFonts w:ascii="Arial" w:cs="Arial" w:eastAsia="Arial" w:hAnsi="Arial"/>
          <w:sz w:val="16"/>
          <w:szCs w:val="16"/>
          <w:b w:val="1"/>
          <w:bCs w:val="1"/>
          <w:i w:val="1"/>
          <w:iCs w:val="1"/>
          <w:color w:val="auto"/>
        </w:rPr>
        <w:t xml:space="preserve">Foreign Investments. </w:t>
      </w:r>
      <w:r>
        <w:rPr>
          <w:rFonts w:ascii="Arial" w:cs="Arial" w:eastAsia="Arial" w:hAnsi="Arial"/>
          <w:sz w:val="16"/>
          <w:szCs w:val="16"/>
          <w:color w:val="auto"/>
        </w:rPr>
        <w:t>In the event we invest in foreign securities, we may be subject to withholding and other foreign taxes with respect to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We do not expect to satisfy the requirement to pass through to our stockholders their share of the foreign taxes paid by us.</w:t>
      </w:r>
    </w:p>
    <w:p>
      <w:pPr>
        <w:spacing w:after="0" w:line="141" w:lineRule="exact"/>
        <w:rPr>
          <w:sz w:val="20"/>
          <w:szCs w:val="20"/>
          <w:color w:val="auto"/>
        </w:rPr>
      </w:pPr>
    </w:p>
    <w:p>
      <w:pPr>
        <w:ind w:left="420" w:firstLine="417"/>
        <w:spacing w:after="0" w:line="255" w:lineRule="auto"/>
        <w:rPr>
          <w:sz w:val="20"/>
          <w:szCs w:val="20"/>
          <w:color w:val="auto"/>
        </w:rPr>
      </w:pPr>
      <w:r>
        <w:rPr>
          <w:rFonts w:ascii="Arial" w:cs="Arial" w:eastAsia="Arial" w:hAnsi="Arial"/>
          <w:sz w:val="17"/>
          <w:szCs w:val="17"/>
          <w:b w:val="1"/>
          <w:bCs w:val="1"/>
          <w:i w:val="1"/>
          <w:iCs w:val="1"/>
          <w:color w:val="auto"/>
        </w:rPr>
        <w:t xml:space="preserve">Passive Foreign Investment Companies. </w:t>
      </w:r>
      <w:r>
        <w:rPr>
          <w:rFonts w:ascii="Arial" w:cs="Arial" w:eastAsia="Arial" w:hAnsi="Arial"/>
          <w:sz w:val="17"/>
          <w:szCs w:val="17"/>
          <w:color w:val="auto"/>
        </w:rPr>
        <w:t>We may invest in the stock of a foreign corporation which is classified as a “passive foreign 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(within the meaning of Section 1297 of the Code), or “PFIC.” In general, unless a special tax election has been made, we are required to pay tax at ordinary income rates on any gains and “excess distributions” with respect to PFIC stock as if such items had been realized ratably over the period during which we held the PFIC stock, plus an interest charge. Certain adverse tax consequences of a PFIC investment may be limited if we are eligible to elect alternative tax treatment with respect to such investment. No assurances can be given that any such election will be available or that, if available, we will make such an election. For these reasons, we intend to manage our holdings in passive foreign investment companies to minimize our tax liability.</w:t>
      </w:r>
    </w:p>
    <w:p>
      <w:pPr>
        <w:spacing w:after="0" w:line="182" w:lineRule="exact"/>
        <w:rPr>
          <w:sz w:val="20"/>
          <w:szCs w:val="20"/>
          <w:color w:val="auto"/>
        </w:rPr>
      </w:pPr>
    </w:p>
    <w:p>
      <w:pPr>
        <w:ind w:left="420" w:right="140" w:firstLine="417"/>
        <w:spacing w:after="0" w:line="296" w:lineRule="auto"/>
        <w:rPr>
          <w:sz w:val="20"/>
          <w:szCs w:val="20"/>
          <w:color w:val="auto"/>
        </w:rPr>
      </w:pPr>
      <w:r>
        <w:rPr>
          <w:rFonts w:ascii="Arial" w:cs="Arial" w:eastAsia="Arial" w:hAnsi="Arial"/>
          <w:sz w:val="15"/>
          <w:szCs w:val="15"/>
          <w:b w:val="1"/>
          <w:bCs w:val="1"/>
          <w:i w:val="1"/>
          <w:iCs w:val="1"/>
          <w:color w:val="auto"/>
        </w:rPr>
        <w:t xml:space="preserve">Foreign Currency Transactions. </w:t>
      </w:r>
      <w:r>
        <w:rPr>
          <w:rFonts w:ascii="Arial" w:cs="Arial" w:eastAsia="Arial" w:hAnsi="Arial"/>
          <w:sz w:val="15"/>
          <w:szCs w:val="15"/>
          <w:color w:val="auto"/>
        </w:rPr>
        <w:t>Under the Code, gains or losses attributable to fluctuations in exchange rates which occur between the time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accrue income or other receivables or accrue expenses or other liabilities denominated in a foreign currency and the time we actually collect such receivables or pay such liabilities generally are treated as ordinary income or loss. Similarly, on disposition of debt instruments and certain other instruments denominated in a foreign currency, gains or losses attributable to fluctuations if the value of the foreign currency between the date of acquisition of the instrument and the date of disposition also are treated as ordinary gain or loss. These currency fluctuations related gains and losses may increase or decrease the amount of our investment company taxable income to be distributed to our stockholders as ordinary income.</w:t>
      </w:r>
    </w:p>
    <w:p>
      <w:pPr>
        <w:spacing w:after="0" w:line="25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Failure to Qualify as a RIC</w:t>
      </w:r>
    </w:p>
    <w:p>
      <w:pPr>
        <w:spacing w:after="0" w:line="115" w:lineRule="exact"/>
        <w:rPr>
          <w:sz w:val="20"/>
          <w:szCs w:val="20"/>
          <w:color w:val="auto"/>
        </w:rPr>
      </w:pPr>
    </w:p>
    <w:p>
      <w:pPr>
        <w:ind w:left="420" w:firstLine="417"/>
        <w:spacing w:after="0" w:line="270" w:lineRule="auto"/>
        <w:rPr>
          <w:sz w:val="20"/>
          <w:szCs w:val="20"/>
          <w:color w:val="auto"/>
        </w:rPr>
      </w:pPr>
      <w:r>
        <w:rPr>
          <w:rFonts w:ascii="Arial" w:cs="Arial" w:eastAsia="Arial" w:hAnsi="Arial"/>
          <w:sz w:val="16"/>
          <w:szCs w:val="16"/>
          <w:color w:val="auto"/>
        </w:rPr>
        <w:t>If we were unable to qualify for treatment as a RIC, and if certain cure provisions described below are not available, we would be subject to tax on all of our taxable income (including our net capital gains) at regular corporate rates. We would not be able to deduct distributions to stockholders, nor would they be required to be made. Distributions, including distributions of net long-term capital gain, would generally be taxable to our stockholders as ordinary dividend income to the extent of our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our current and accumulated earnings and profits would be treated first as a return of capital to the extent of the stockholder’s tax basis, and any remaining distributions would be treated as a capital gain. If we fail to qualify as a RIC for a period greater than two taxable years, to qualify as a RIC in a subsequent year we may be subject to regular corporate tax on any net built-in gains with respect to certain of our assets (</w:t>
      </w:r>
      <w:r>
        <w:rPr>
          <w:rFonts w:ascii="Arial" w:cs="Arial" w:eastAsia="Arial" w:hAnsi="Arial"/>
          <w:sz w:val="16"/>
          <w:szCs w:val="16"/>
          <w:i w:val="1"/>
          <w:iCs w:val="1"/>
          <w:color w:val="auto"/>
        </w:rPr>
        <w:t>i.e.</w:t>
      </w:r>
      <w:r>
        <w:rPr>
          <w:rFonts w:ascii="Arial" w:cs="Arial" w:eastAsia="Arial" w:hAnsi="Arial"/>
          <w:sz w:val="16"/>
          <w:szCs w:val="16"/>
          <w:color w:val="auto"/>
        </w:rPr>
        <w:t>,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11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820"/>
          </w:cols>
          <w:pgMar w:left="320" w:top="443" w:right="75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remainder of this discussion assumes that we qualify for tax treatment as a RIC for each taxable year.</w:t>
      </w:r>
    </w:p>
    <w:p>
      <w:pPr>
        <w:spacing w:after="0" w:line="31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Taxation of U.S. stockholders</w:t>
      </w:r>
    </w:p>
    <w:p>
      <w:pPr>
        <w:spacing w:after="0" w:line="115" w:lineRule="exact"/>
        <w:rPr>
          <w:sz w:val="20"/>
          <w:szCs w:val="20"/>
          <w:color w:val="auto"/>
        </w:rPr>
      </w:pPr>
    </w:p>
    <w:p>
      <w:pPr>
        <w:ind w:left="420" w:firstLine="417"/>
        <w:spacing w:after="0" w:line="254" w:lineRule="auto"/>
        <w:rPr>
          <w:sz w:val="20"/>
          <w:szCs w:val="20"/>
          <w:color w:val="auto"/>
        </w:rPr>
      </w:pPr>
      <w:r>
        <w:rPr>
          <w:rFonts w:ascii="Arial" w:cs="Arial" w:eastAsia="Arial" w:hAnsi="Arial"/>
          <w:sz w:val="17"/>
          <w:szCs w:val="17"/>
          <w:color w:val="auto"/>
        </w:rPr>
        <w:t>Distributions by us generally are taxable to U.S. stockholders as ordinary income or capital gains. Distributions of our “investment company taxable income” (which is, generally, our net ordinary income plus realized net short-term capital gains in excess of realized net long-term capital losses) are taxable as ordinary income to U.S. stockholders to the extent of our current or accumulated earnings and profits, whether paid in cash or reinvested in additional shares of our common stock. To the extent such distributions paid by us to non-corporate stockholders (including individuals) are attributable to dividends from U.S. corporations and certain qualified foreign corporations and if certain holding period requirements are met, such distributions generally will be treated as qualified dividend income and eligible for a maximum U.S. federal tax rate of 20%. In this regard, it is anticipated that distributions paid by us will generally not be attributable to dividends and, therefore, generally will not qualify for the 20% maximum U.S. federal tax rate.</w:t>
      </w:r>
    </w:p>
    <w:p>
      <w:pPr>
        <w:spacing w:after="0" w:line="185" w:lineRule="exact"/>
        <w:rPr>
          <w:sz w:val="20"/>
          <w:szCs w:val="20"/>
          <w:color w:val="auto"/>
        </w:rPr>
      </w:pPr>
    </w:p>
    <w:p>
      <w:pPr>
        <w:ind w:left="420" w:right="20" w:firstLine="417"/>
        <w:spacing w:after="0" w:line="271" w:lineRule="auto"/>
        <w:rPr>
          <w:sz w:val="20"/>
          <w:szCs w:val="20"/>
          <w:color w:val="auto"/>
        </w:rPr>
      </w:pPr>
      <w:r>
        <w:rPr>
          <w:rFonts w:ascii="Arial" w:cs="Arial" w:eastAsia="Arial" w:hAnsi="Arial"/>
          <w:sz w:val="16"/>
          <w:szCs w:val="16"/>
          <w:color w:val="auto"/>
        </w:rPr>
        <w:t>Distributions of our net capital gain (which is generally our realized net long-term capital gains in excess of realized net short-term capital losses) properly reported by us as “capital gain dividends” will be taxable to a U.S. stockholder as long-term capital gains (currently at a maximum U.S. federal tax rate of 20%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 Stockholders receiving dividends or distributions in the form of additional shares of our common stock purchased in the market should be treated for U.S. federal income tax purposes as receiving a distribution in an amount equal to the amount of money that the stockholders receiving cash dividends or distributions will receive, and should have a cost basis in the shares received equal to such amount. Stockholders receiving dividends in newly issued shares of our common stock will be treated as receiving a distribution equal to the value of the shares received, and should have a cost basis of such amount.</w:t>
      </w:r>
    </w:p>
    <w:p>
      <w:pPr>
        <w:spacing w:after="0" w:line="171" w:lineRule="exact"/>
        <w:rPr>
          <w:sz w:val="20"/>
          <w:szCs w:val="20"/>
          <w:color w:val="auto"/>
        </w:rPr>
      </w:pPr>
    </w:p>
    <w:p>
      <w:pPr>
        <w:ind w:left="420" w:firstLine="417"/>
        <w:spacing w:after="0" w:line="270" w:lineRule="auto"/>
        <w:rPr>
          <w:sz w:val="20"/>
          <w:szCs w:val="20"/>
          <w:color w:val="auto"/>
        </w:rPr>
      </w:pPr>
      <w:r>
        <w:rPr>
          <w:rFonts w:ascii="Arial" w:cs="Arial" w:eastAsia="Arial" w:hAnsi="Arial"/>
          <w:sz w:val="16"/>
          <w:szCs w:val="16"/>
          <w:color w:val="auto"/>
        </w:rPr>
        <w:t>Although we currently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their share of the deemed distribution in income as if it had been distributed to the U.S. stockholder, and the U.S. stockholder will be entitled to claim a credit equal to their allocable share of the tax paid on the deemed distribution by us. The amount of the deemed distribution net of such tax will be added to the U.S. stockholder’s tax basis for their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71" w:lineRule="exact"/>
        <w:rPr>
          <w:sz w:val="20"/>
          <w:szCs w:val="20"/>
          <w:color w:val="auto"/>
        </w:rPr>
      </w:pPr>
    </w:p>
    <w:p>
      <w:pPr>
        <w:ind w:left="420" w:right="340" w:firstLine="417"/>
        <w:spacing w:after="0" w:line="259" w:lineRule="auto"/>
        <w:rPr>
          <w:sz w:val="20"/>
          <w:szCs w:val="20"/>
          <w:color w:val="auto"/>
        </w:rPr>
      </w:pPr>
      <w:r>
        <w:rPr>
          <w:rFonts w:ascii="Arial" w:cs="Arial" w:eastAsia="Arial" w:hAnsi="Arial"/>
          <w:sz w:val="17"/>
          <w:szCs w:val="17"/>
          <w:color w:val="auto"/>
        </w:rPr>
        <w:t>An additional 3.8% Medicare tax is imposed on certain net investment income (including ordinary dividends and capital gain distributions received from us and net gains from redemptions or other taxable dispositions of our shares) of U.S. individuals, estates, and trusts to the extent that such person’s “modified adjusted gross income” (in the case of an individual) or “adjusted gross income” (in the case of an estate or trust) exceeds certain threshold amounts.</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840"/>
          </w:cols>
          <w:pgMar w:left="320" w:top="443" w:right="7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20" w:right="20" w:firstLine="417"/>
        <w:spacing w:after="0" w:line="271" w:lineRule="auto"/>
        <w:rPr>
          <w:sz w:val="20"/>
          <w:szCs w:val="20"/>
          <w:color w:val="auto"/>
        </w:rPr>
      </w:pPr>
      <w:r>
        <w:rPr>
          <w:rFonts w:ascii="Arial" w:cs="Arial" w:eastAsia="Arial" w:hAnsi="Arial"/>
          <w:sz w:val="16"/>
          <w:szCs w:val="16"/>
          <w:color w:val="auto"/>
        </w:rPr>
        <w:t>Generally, you will be provided with a written notice each year reporting the amount of any (i) ordinary income dividends, and (ii) capital gain dividends. 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if we pay you a dividend in January which was declared in the previous October, November or December to stockholders of record on a specified date in one of these months, then the dividend will be treated for tax purposes as being paid by us and received by you on December 31 of the year in which the dividend was declared. If an investor purchases shares of our stock shortly before the record date of a distribution, the price of the shares will include the value of the distribution and the investor will be subject to tax on the distribution even though it represents a return of its investment.</w:t>
      </w:r>
    </w:p>
    <w:p>
      <w:pPr>
        <w:spacing w:after="0" w:line="175" w:lineRule="exact"/>
        <w:rPr>
          <w:sz w:val="20"/>
          <w:szCs w:val="20"/>
          <w:color w:val="auto"/>
        </w:rPr>
      </w:pPr>
    </w:p>
    <w:p>
      <w:pPr>
        <w:ind w:left="420" w:right="20" w:firstLine="417"/>
        <w:spacing w:after="0" w:line="255" w:lineRule="auto"/>
        <w:rPr>
          <w:sz w:val="20"/>
          <w:szCs w:val="20"/>
          <w:color w:val="auto"/>
        </w:rPr>
      </w:pPr>
      <w:r>
        <w:rPr>
          <w:rFonts w:ascii="Arial" w:cs="Arial" w:eastAsia="Arial" w:hAnsi="Arial"/>
          <w:sz w:val="17"/>
          <w:szCs w:val="17"/>
          <w:b w:val="1"/>
          <w:bCs w:val="1"/>
          <w:i w:val="1"/>
          <w:iCs w:val="1"/>
          <w:color w:val="auto"/>
        </w:rPr>
        <w:t xml:space="preserve">Dividend Reinvestment Plan. </w:t>
      </w:r>
      <w:r>
        <w:rPr>
          <w:rFonts w:ascii="Arial" w:cs="Arial" w:eastAsia="Arial" w:hAnsi="Arial"/>
          <w:sz w:val="17"/>
          <w:szCs w:val="17"/>
          <w:color w:val="auto"/>
        </w:rPr>
        <w:t>Under the dividend reinvestment plan, if a U.S. stockholder owns shares of common stock registered in its own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name, the U.S. stockholder will have all cash distributions automatically reinvested in additional shares of common stock unless the U.S. stockholder opts 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The U.S. stockholder will have an adjusted basis in the additional common shares purchased through the plan equal to the amount of the reinvested distribution. The additional shares will have a new holding period commencing on the day following the day on which the shares are credited to the U.S. stockholder’s account.</w:t>
      </w:r>
    </w:p>
    <w:p>
      <w:pPr>
        <w:spacing w:after="0" w:line="182" w:lineRule="exact"/>
        <w:rPr>
          <w:sz w:val="20"/>
          <w:szCs w:val="20"/>
          <w:color w:val="auto"/>
        </w:rPr>
      </w:pPr>
    </w:p>
    <w:p>
      <w:pPr>
        <w:ind w:left="420" w:right="40" w:firstLine="417"/>
        <w:spacing w:after="0" w:line="271" w:lineRule="auto"/>
        <w:rPr>
          <w:sz w:val="20"/>
          <w:szCs w:val="20"/>
          <w:color w:val="auto"/>
        </w:rPr>
      </w:pPr>
      <w:r>
        <w:rPr>
          <w:rFonts w:ascii="Arial" w:cs="Arial" w:eastAsia="Arial" w:hAnsi="Arial"/>
          <w:sz w:val="16"/>
          <w:szCs w:val="16"/>
          <w:b w:val="1"/>
          <w:bCs w:val="1"/>
          <w:i w:val="1"/>
          <w:iCs w:val="1"/>
          <w:color w:val="auto"/>
        </w:rPr>
        <w:t xml:space="preserve">Dispositions. </w:t>
      </w:r>
      <w:r>
        <w:rPr>
          <w:rFonts w:ascii="Arial" w:cs="Arial" w:eastAsia="Arial" w:hAnsi="Arial"/>
          <w:sz w:val="16"/>
          <w:szCs w:val="16"/>
          <w:color w:val="auto"/>
        </w:rPr>
        <w:t>A U.S. stockholder generally will recognize gain or loss on the sale, exchange or other taxable disposition of shares of our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in an amount equal to the difference between the U.S. stockholder’s adjusted basis in the shares disposed of and the amount realized on their disposition. Generally, gain recognized by a U.S. stockholder on the disposition of shares of our common stock will result in capital gain or loss to a U.S. stockholder, and will be a long-term capital gain or loss if the shares have been held for more than one year at the time of sale. Any loss recognized by a U.S. stockholder upon the disposition of shares of our common stock held for six months or less will be treated as a long-term capital loss to the extent of any capital gain dividends received (including amounts credited as an undistributed capital gain dividend) by the U.S. stockholder. A loss recognized by a U.S. stockholder on a disposition of shares of our common stock will be disallowed as a deduction if the U.S. stockholder acquires additional shares of our common stock (whether through the automatic reinvestment of dividends or otherwise) within a 61-day period beginning 30 days before and ending 30 days after the date that the shares are disposed. In this case, the basis of the shares acquired will be adjusted to reflect the disallowed loss.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 xml:space="preserve">Tax Shelter Reporting Regulations. </w:t>
      </w:r>
      <w:r>
        <w:rPr>
          <w:rFonts w:ascii="Arial" w:cs="Arial" w:eastAsia="Arial" w:hAnsi="Arial"/>
          <w:sz w:val="16"/>
          <w:szCs w:val="16"/>
          <w:color w:val="auto"/>
        </w:rPr>
        <w:t>Under applicable Treasury regulations, if a U.S. stockholder recognizes a loss with respect to shares of</w:t>
      </w:r>
    </w:p>
    <w:p>
      <w:pPr>
        <w:spacing w:after="0" w:line="32" w:lineRule="exact"/>
        <w:rPr>
          <w:sz w:val="20"/>
          <w:szCs w:val="20"/>
          <w:color w:val="auto"/>
        </w:rPr>
      </w:pPr>
    </w:p>
    <w:p>
      <w:pPr>
        <w:ind w:left="420"/>
        <w:spacing w:after="0" w:line="293" w:lineRule="auto"/>
        <w:rPr>
          <w:sz w:val="20"/>
          <w:szCs w:val="20"/>
          <w:color w:val="auto"/>
        </w:rPr>
      </w:pPr>
      <w:r>
        <w:rPr>
          <w:rFonts w:ascii="Arial" w:cs="Arial" w:eastAsia="Arial" w:hAnsi="Arial"/>
          <w:sz w:val="15"/>
          <w:szCs w:val="15"/>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U.S. stockholders should consult their own tax advisers to determine the applicability of these regulations in light of their individual circumstances.</w:t>
      </w:r>
    </w:p>
    <w:p>
      <w:pPr>
        <w:spacing w:after="0" w:line="156" w:lineRule="exact"/>
        <w:rPr>
          <w:sz w:val="20"/>
          <w:szCs w:val="20"/>
          <w:color w:val="auto"/>
        </w:rPr>
      </w:pPr>
    </w:p>
    <w:p>
      <w:pPr>
        <w:ind w:left="420" w:right="140" w:firstLine="417"/>
        <w:spacing w:after="0" w:line="314" w:lineRule="auto"/>
        <w:rPr>
          <w:sz w:val="20"/>
          <w:szCs w:val="20"/>
          <w:color w:val="auto"/>
        </w:rPr>
      </w:pPr>
      <w:r>
        <w:rPr>
          <w:rFonts w:ascii="Arial" w:cs="Arial" w:eastAsia="Arial" w:hAnsi="Arial"/>
          <w:sz w:val="15"/>
          <w:szCs w:val="15"/>
          <w:b w:val="1"/>
          <w:bCs w:val="1"/>
          <w:i w:val="1"/>
          <w:iCs w:val="1"/>
          <w:color w:val="auto"/>
        </w:rPr>
        <w:t xml:space="preserve">Backup Withholding. </w:t>
      </w:r>
      <w:r>
        <w:rPr>
          <w:rFonts w:ascii="Arial" w:cs="Arial" w:eastAsia="Arial" w:hAnsi="Arial"/>
          <w:sz w:val="15"/>
          <w:szCs w:val="15"/>
          <w:color w:val="auto"/>
        </w:rPr>
        <w:t>We are required in certain circumstances to backup withhold on taxable dividends or distributions paid to non-corporate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 stockholders who do not furnish us or the dividend-paying agent with their correct taxpayer identification number (in the case of individuals, their social security number) and certain certifications, or who are otherwise subject to backup withholding. Backup withholding is not an additional tax.</w:t>
      </w:r>
    </w:p>
    <w:p>
      <w:pPr>
        <w:spacing w:after="0" w:line="7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840"/>
          </w:cols>
          <w:pgMar w:left="320" w:top="443" w:right="7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20" w:right="140"/>
        <w:spacing w:after="0" w:line="275" w:lineRule="auto"/>
        <w:rPr>
          <w:sz w:val="20"/>
          <w:szCs w:val="20"/>
          <w:color w:val="auto"/>
        </w:rPr>
      </w:pPr>
      <w:r>
        <w:rPr>
          <w:rFonts w:ascii="Arial" w:cs="Arial" w:eastAsia="Arial" w:hAnsi="Arial"/>
          <w:sz w:val="17"/>
          <w:szCs w:val="17"/>
          <w:color w:val="auto"/>
        </w:rPr>
        <w:t>Any amounts withheld from payments made to you may be refunded or credited against your U.S. federal income tax liability, if any, provided that the required information is timely furnished to the IRS.</w:t>
      </w:r>
    </w:p>
    <w:p>
      <w:pPr>
        <w:spacing w:after="0" w:line="26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Taxation of non-U.S. stockholders</w:t>
      </w:r>
    </w:p>
    <w:p>
      <w:pPr>
        <w:spacing w:after="0" w:line="115" w:lineRule="exact"/>
        <w:rPr>
          <w:sz w:val="20"/>
          <w:szCs w:val="20"/>
          <w:color w:val="auto"/>
        </w:rPr>
      </w:pPr>
    </w:p>
    <w:p>
      <w:pPr>
        <w:ind w:left="420" w:right="20" w:firstLine="417"/>
        <w:spacing w:after="0" w:line="314" w:lineRule="auto"/>
        <w:rPr>
          <w:sz w:val="20"/>
          <w:szCs w:val="20"/>
          <w:color w:val="auto"/>
        </w:rPr>
      </w:pPr>
      <w:r>
        <w:rPr>
          <w:rFonts w:ascii="Arial" w:cs="Arial" w:eastAsia="Arial" w:hAnsi="Arial"/>
          <w:sz w:val="15"/>
          <w:szCs w:val="15"/>
          <w:color w:val="auto"/>
        </w:rPr>
        <w:t>The following discussion only applies to certain non-U.S. stockholders. Whether an investment in shares of our common stock is appropriate for a non-U.S. stockholder depends upon that person’s particular circumstances. An investment in shares of our common stock by a non-U.S. stockholder may have adverse tax consequences. Non-U.S. stockholders should consult their own tax advisers before investing in shares of our common stock.</w:t>
      </w:r>
    </w:p>
    <w:p>
      <w:pPr>
        <w:spacing w:after="0" w:line="141" w:lineRule="exact"/>
        <w:rPr>
          <w:sz w:val="20"/>
          <w:szCs w:val="20"/>
          <w:color w:val="auto"/>
        </w:rPr>
      </w:pPr>
    </w:p>
    <w:p>
      <w:pPr>
        <w:ind w:left="420" w:right="120" w:firstLine="417"/>
        <w:spacing w:after="0" w:line="272" w:lineRule="auto"/>
        <w:rPr>
          <w:sz w:val="20"/>
          <w:szCs w:val="20"/>
          <w:color w:val="auto"/>
        </w:rPr>
      </w:pPr>
      <w:r>
        <w:rPr>
          <w:rFonts w:ascii="Arial" w:cs="Arial" w:eastAsia="Arial" w:hAnsi="Arial"/>
          <w:sz w:val="16"/>
          <w:szCs w:val="16"/>
          <w:b w:val="1"/>
          <w:bCs w:val="1"/>
          <w:i w:val="1"/>
          <w:iCs w:val="1"/>
          <w:color w:val="auto"/>
        </w:rPr>
        <w:t xml:space="preserve">Actual and Deemed Distributions; Dispositions. </w:t>
      </w:r>
      <w:r>
        <w:rPr>
          <w:rFonts w:ascii="Arial" w:cs="Arial" w:eastAsia="Arial" w:hAnsi="Arial"/>
          <w:sz w:val="16"/>
          <w:szCs w:val="16"/>
          <w:color w:val="auto"/>
        </w:rPr>
        <w:t>Distributions of ordinary income dividends to non-U.S. stockholders, subject to the discussion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below, are generally subject to withholding of U.S. federal tax at a 30% rate (or lower rate provided by an applicable treaty) to the extent of our current or accumulated earnings and profits even if they are funded by income or gains (such as portfolio interest, short-term capital gains, or foreign-source dividend and interest income) that, if paid to a non-U.S. stockholder directly, would not be subject to withholding. If the distributions are effectively connected with a U.S. trade or business of the Non-U.S. stockholder, we will not be required to withhold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advisers.)</w:t>
      </w:r>
    </w:p>
    <w:p>
      <w:pPr>
        <w:spacing w:after="0" w:line="172" w:lineRule="exact"/>
        <w:rPr>
          <w:sz w:val="20"/>
          <w:szCs w:val="20"/>
          <w:color w:val="auto"/>
        </w:rPr>
      </w:pPr>
    </w:p>
    <w:p>
      <w:pPr>
        <w:ind w:left="420" w:firstLine="417"/>
        <w:spacing w:after="0" w:line="255" w:lineRule="auto"/>
        <w:rPr>
          <w:sz w:val="20"/>
          <w:szCs w:val="20"/>
          <w:color w:val="auto"/>
        </w:rPr>
      </w:pPr>
      <w:r>
        <w:rPr>
          <w:rFonts w:ascii="Arial" w:cs="Arial" w:eastAsia="Arial" w:hAnsi="Arial"/>
          <w:sz w:val="17"/>
          <w:szCs w:val="17"/>
          <w:color w:val="auto"/>
        </w:rPr>
        <w:t>We or the applicable withholding agent generally are not required to withhold any amounts with respect to certain distributions of (i) U.S. source interest income, and (ii) net short term capital gains in excess of net long term capital losses, in each case to the extent we properly report such distributions as “interest-related dividends” or “short-term capital gain dividends” and certain other requirements were satisfied. We anticipate that a portion of our distributions will be eligible for this exemption from withholding; however, we cannot determine what portion of our distributions (if any) will be eligible for this exception until after the end of our taxable year. No certainty can be provided that any of our distributions will be reported as eligible for this exception.</w:t>
      </w:r>
    </w:p>
    <w:p>
      <w:pPr>
        <w:spacing w:after="0" w:line="185" w:lineRule="exact"/>
        <w:rPr>
          <w:sz w:val="20"/>
          <w:szCs w:val="20"/>
          <w:color w:val="auto"/>
        </w:rPr>
      </w:pPr>
    </w:p>
    <w:p>
      <w:pPr>
        <w:ind w:left="420" w:firstLine="417"/>
        <w:spacing w:after="0" w:line="294" w:lineRule="auto"/>
        <w:rPr>
          <w:sz w:val="20"/>
          <w:szCs w:val="20"/>
          <w:color w:val="auto"/>
        </w:rPr>
      </w:pPr>
      <w:r>
        <w:rPr>
          <w:rFonts w:ascii="Arial" w:cs="Arial" w:eastAsia="Arial" w:hAnsi="Arial"/>
          <w:sz w:val="15"/>
          <w:szCs w:val="15"/>
          <w:color w:val="auto"/>
        </w:rPr>
        <w:t>If we distribute our net capital gains in the form of deemed rather than actual distributions,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is not otherwise required to obtain a U.S. taxpayer identification number or file a federal income tax return. For a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tax treaty). Accordingly, investment in shares of our common stock may not be appropriate for certain non-U.S. stockholders.</w:t>
      </w:r>
    </w:p>
    <w:p>
      <w:pPr>
        <w:spacing w:after="0" w:line="156" w:lineRule="exact"/>
        <w:rPr>
          <w:sz w:val="20"/>
          <w:szCs w:val="20"/>
          <w:color w:val="auto"/>
        </w:rPr>
      </w:pPr>
    </w:p>
    <w:p>
      <w:pPr>
        <w:ind w:left="420" w:firstLine="417"/>
        <w:spacing w:after="0" w:line="291" w:lineRule="auto"/>
        <w:rPr>
          <w:sz w:val="20"/>
          <w:szCs w:val="20"/>
          <w:color w:val="auto"/>
        </w:rPr>
      </w:pPr>
      <w:r>
        <w:rPr>
          <w:rFonts w:ascii="Arial" w:cs="Arial" w:eastAsia="Arial" w:hAnsi="Arial"/>
          <w:sz w:val="15"/>
          <w:szCs w:val="15"/>
          <w:b w:val="1"/>
          <w:bCs w:val="1"/>
          <w:i w:val="1"/>
          <w:iCs w:val="1"/>
          <w:color w:val="auto"/>
        </w:rPr>
        <w:t xml:space="preserve">Dividend Reinvestment Plan. </w:t>
      </w:r>
      <w:r>
        <w:rPr>
          <w:rFonts w:ascii="Arial" w:cs="Arial" w:eastAsia="Arial" w:hAnsi="Arial"/>
          <w:sz w:val="15"/>
          <w:szCs w:val="15"/>
          <w:color w:val="auto"/>
        </w:rPr>
        <w:t>Under our dividend reinvestment plan, if a non-U.S. stockholder owns shares of common stock registered in its own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name, the non-U.S. stockholder will have all cash distributions automatically reinvested in additional shares of common stock unless it opts out of our dividend reinvestment plan by delivering a written notice to our dividend paying agent prior to the record date of the next dividend or distribution. See “Dividend Reinvestment Plan.” If the distribution is a distribution of our investment company taxable income, is not reported by us as a short-term capital gains dividend or interest-related dividend and it is not effectively connected with a U.S. trade or business of the non-U.S. stockholder (or, if required by an applicable income tax treaty, is not attributable to a U.S. permanent establishment of the non-U.S. stockholder), the amount distributed (to the extent of our current or accumulated earnings and profits) will be subject to withholding of U.S. federal income tax at a 30% rate (or lower rate provided by an applicable treaty) and only the net after-tax amount will be reinvested in common shares. The non-U.S. stockholder will have an adjusted basis in the additional common shares purchased through the plan equal to the amount reinvested. The additional</w:t>
      </w:r>
    </w:p>
    <w:p>
      <w:pPr>
        <w:spacing w:after="0" w:line="9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820"/>
          </w:cols>
          <w:pgMar w:left="320" w:top="443" w:right="75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shares will have a new holding period commencing on the day following the day on which the shares are credited to the non-U.S. stockholder’s account.</w:t>
      </w:r>
    </w:p>
    <w:p>
      <w:pPr>
        <w:spacing w:after="0" w:line="236" w:lineRule="exact"/>
        <w:rPr>
          <w:sz w:val="20"/>
          <w:szCs w:val="20"/>
          <w:color w:val="auto"/>
        </w:rPr>
      </w:pPr>
    </w:p>
    <w:p>
      <w:pPr>
        <w:ind w:left="420" w:right="100" w:firstLine="417"/>
        <w:spacing w:after="0" w:line="277" w:lineRule="auto"/>
        <w:rPr>
          <w:sz w:val="20"/>
          <w:szCs w:val="20"/>
          <w:color w:val="auto"/>
        </w:rPr>
      </w:pPr>
      <w:r>
        <w:rPr>
          <w:rFonts w:ascii="Arial" w:cs="Arial" w:eastAsia="Arial" w:hAnsi="Arial"/>
          <w:sz w:val="16"/>
          <w:szCs w:val="16"/>
          <w:b w:val="1"/>
          <w:bCs w:val="1"/>
          <w:i w:val="1"/>
          <w:iCs w:val="1"/>
          <w:color w:val="auto"/>
        </w:rPr>
        <w:t xml:space="preserve">Backup Withholding. </w:t>
      </w:r>
      <w:r>
        <w:rPr>
          <w:rFonts w:ascii="Arial" w:cs="Arial" w:eastAsia="Arial" w:hAnsi="Arial"/>
          <w:sz w:val="16"/>
          <w:szCs w:val="16"/>
          <w:color w:val="auto"/>
        </w:rPr>
        <w:t>A non-U.S. stockholder who is a nonresident alien individual, and who is otherwise subject to withholding of federal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 will be subject to information reporting, but may not be subject to backup withholding of federal income tax on taxable dividends or distributions if the non-U.S. stockholder provides us or the dividend paying agent with an IRS Form W-8BEN, IRS Form W-8BEN-E, or an acceptable substitute form. Backup withholding is not an additional tax. Any amounts withheld from payments made to you may be refunded or credited against your U.S. federal income tax liability, if any, provided that the required information is timely furnished to the IRS.</w:t>
      </w:r>
    </w:p>
    <w:p>
      <w:pPr>
        <w:spacing w:after="0" w:line="26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Foreign Account Tax Compliance</w:t>
      </w:r>
    </w:p>
    <w:p>
      <w:pPr>
        <w:spacing w:after="0" w:line="115" w:lineRule="exact"/>
        <w:rPr>
          <w:sz w:val="20"/>
          <w:szCs w:val="20"/>
          <w:color w:val="auto"/>
        </w:rPr>
      </w:pPr>
    </w:p>
    <w:p>
      <w:pPr>
        <w:ind w:left="420" w:firstLine="417"/>
        <w:spacing w:after="0" w:line="270" w:lineRule="auto"/>
        <w:rPr>
          <w:sz w:val="20"/>
          <w:szCs w:val="20"/>
          <w:color w:val="auto"/>
        </w:rPr>
      </w:pPr>
      <w:r>
        <w:rPr>
          <w:rFonts w:ascii="Arial" w:cs="Arial" w:eastAsia="Arial" w:hAnsi="Arial"/>
          <w:sz w:val="16"/>
          <w:szCs w:val="16"/>
          <w:color w:val="auto"/>
        </w:rPr>
        <w:t>Legislation commonly referred to as the “Foreign Account Tax Compliance Act,” or “FATCA”, and the Treasury regulations promulgated thereunder, generally impose a withholding tax of 30% on certain payments of U.S. source interest, dividends and other fixed or determinable annual or periodical gains, profits, and income to foreign financial institutions (“FFIs”) unless such FFIs enter into an agreement with the U.S. Treasury to report certain required information with respect to accounts held by U.S. persons (or held by foreign entities that have U.S. persons as substantial owners), or such FFIs reside in a jurisdiction that has entered into an intergovernmental agreement with the IRS to provide such information and such FFIs comply with the terms of such intergovernmental agreement and any enabling legislation or administrative authority with respect to such intergovernmental agreement.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financial institutions unless such foreign entities certify that they do not have any greater than 10% U.S. owner or provides the withholding agent with identifying information on each greater than 10% U.S. owner. Depending on the status of a Non-U.S. Holder and the status of the intermediaries through which they hold their shares, Non-U.S. Holders could be subject to this 30% withholding tax with respect to distributions on their shares of our common stock and proceeds from the sale of their shares of our common stock. Under certain circumstances, a Non-U.S. Holder might be eligible for refunds or credits of such taxes.</w:t>
      </w:r>
    </w:p>
    <w:p>
      <w:pPr>
        <w:spacing w:after="0" w:line="171" w:lineRule="exact"/>
        <w:rPr>
          <w:sz w:val="20"/>
          <w:szCs w:val="20"/>
          <w:color w:val="auto"/>
        </w:rPr>
      </w:pPr>
    </w:p>
    <w:p>
      <w:pPr>
        <w:ind w:left="420" w:right="420" w:firstLine="417"/>
        <w:spacing w:after="0" w:line="275" w:lineRule="auto"/>
        <w:rPr>
          <w:sz w:val="20"/>
          <w:szCs w:val="20"/>
          <w:color w:val="auto"/>
        </w:rPr>
      </w:pPr>
      <w:r>
        <w:rPr>
          <w:rFonts w:ascii="Arial" w:cs="Arial" w:eastAsia="Arial" w:hAnsi="Arial"/>
          <w:sz w:val="17"/>
          <w:szCs w:val="17"/>
          <w:color w:val="auto"/>
        </w:rPr>
        <w:t>Each prospective investor is urged to consult its tax adviser regarding the applicability of FATCA and any other reporting requirements with respect to the prospective investor’s own situation, including investments through an intermediary.</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800"/>
          </w:cols>
          <w:pgMar w:left="320" w:top="443" w:right="77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DESCRIPTION OF CAPITAL STOCK</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General</w:t>
      </w:r>
    </w:p>
    <w:p>
      <w:pPr>
        <w:spacing w:after="0" w:line="115" w:lineRule="exact"/>
        <w:rPr>
          <w:sz w:val="20"/>
          <w:szCs w:val="20"/>
          <w:color w:val="auto"/>
        </w:rPr>
      </w:pPr>
    </w:p>
    <w:p>
      <w:pPr>
        <w:ind w:left="420" w:right="60" w:firstLine="417"/>
        <w:spacing w:after="0" w:line="259" w:lineRule="auto"/>
        <w:rPr>
          <w:sz w:val="20"/>
          <w:szCs w:val="20"/>
          <w:color w:val="auto"/>
        </w:rPr>
      </w:pPr>
      <w:r>
        <w:rPr>
          <w:rFonts w:ascii="Arial" w:cs="Arial" w:eastAsia="Arial" w:hAnsi="Arial"/>
          <w:sz w:val="17"/>
          <w:szCs w:val="17"/>
          <w:color w:val="auto"/>
        </w:rPr>
        <w:t>Our certificate of incorporation, as amended, or our charter, authorizes us to issue up to 25,000,000 shares, including 20,000,000 shares of common stock, par value $0.01 per share, and 5,000,000 shares of preferred stock, par value $0.01 per share. As of close of business on November 22, 2021, there were 9,848,430 and 9,680,127 shares of common stock issued and outstanding, respectively, and no shares of preferred stock issued and outstanding.</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Common Stock</w:t>
      </w:r>
    </w:p>
    <w:p>
      <w:pPr>
        <w:spacing w:after="0" w:line="115" w:lineRule="exact"/>
        <w:rPr>
          <w:sz w:val="20"/>
          <w:szCs w:val="20"/>
          <w:color w:val="auto"/>
        </w:rPr>
      </w:pPr>
    </w:p>
    <w:p>
      <w:pPr>
        <w:ind w:left="420" w:right="80" w:firstLine="417"/>
        <w:spacing w:after="0" w:line="275" w:lineRule="auto"/>
        <w:rPr>
          <w:sz w:val="20"/>
          <w:szCs w:val="20"/>
          <w:color w:val="auto"/>
        </w:rPr>
      </w:pPr>
      <w:r>
        <w:rPr>
          <w:rFonts w:ascii="Arial" w:cs="Arial" w:eastAsia="Arial" w:hAnsi="Arial"/>
          <w:sz w:val="17"/>
          <w:szCs w:val="17"/>
          <w:color w:val="auto"/>
        </w:rPr>
        <w:t>Please refer to Exhibit 4.9 to our Annual Report on Form 10-K for the fiscal year ended December 31, 2020, as filed with the SEC on March 11, 2021, which is incorporated by reference into this prospectus, for a description of our common stock.</w:t>
      </w:r>
    </w:p>
    <w:p>
      <w:pPr>
        <w:spacing w:after="0" w:line="26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Preferred Stock</w:t>
      </w:r>
    </w:p>
    <w:p>
      <w:pPr>
        <w:spacing w:after="0" w:line="115" w:lineRule="exact"/>
        <w:rPr>
          <w:sz w:val="20"/>
          <w:szCs w:val="20"/>
          <w:color w:val="auto"/>
        </w:rPr>
      </w:pPr>
    </w:p>
    <w:p>
      <w:pPr>
        <w:ind w:left="420" w:firstLine="417"/>
        <w:spacing w:after="0" w:line="257" w:lineRule="auto"/>
        <w:rPr>
          <w:sz w:val="20"/>
          <w:szCs w:val="20"/>
          <w:color w:val="auto"/>
        </w:rPr>
      </w:pPr>
      <w:r>
        <w:rPr>
          <w:rFonts w:ascii="Arial" w:cs="Arial" w:eastAsia="Arial" w:hAnsi="Arial"/>
          <w:sz w:val="17"/>
          <w:szCs w:val="17"/>
          <w:color w:val="auto"/>
        </w:rPr>
        <w:t>In addition to shares of common stock, our charter authorizes the issuance of preferred stock. We may issue preferred stock from time to time in one or more classes or series, without stockholder approval. Prior to issuance of shares of each class or series, our Board is required by Delaware law and by our charter to set the terms, preferences, conversion or other rights, voting powers, restrictions, limitations as to dividends or other distributions, qualifications and terms or conditions of redemption for each class or series. Any such an issuance must adhere to the requirements of the 1940 Act, Delaware law and any other limitations imposed by law.</w:t>
      </w:r>
    </w:p>
    <w:p>
      <w:pPr>
        <w:spacing w:after="0" w:line="11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740"/>
          </w:cols>
          <w:pgMar w:left="320" w:top="443" w:right="8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REGULATION</w:t>
      </w:r>
    </w:p>
    <w:p>
      <w:pPr>
        <w:spacing w:after="0" w:line="217" w:lineRule="exact"/>
        <w:rPr>
          <w:sz w:val="20"/>
          <w:szCs w:val="20"/>
          <w:color w:val="auto"/>
        </w:rPr>
      </w:pPr>
    </w:p>
    <w:p>
      <w:pPr>
        <w:ind w:left="420" w:right="19" w:firstLine="417"/>
        <w:spacing w:after="0" w:line="275" w:lineRule="auto"/>
        <w:rPr>
          <w:sz w:val="20"/>
          <w:szCs w:val="20"/>
          <w:color w:val="auto"/>
        </w:rPr>
      </w:pPr>
      <w:r>
        <w:rPr>
          <w:rFonts w:ascii="Arial" w:cs="Arial" w:eastAsia="Arial" w:hAnsi="Arial"/>
          <w:sz w:val="17"/>
          <w:szCs w:val="17"/>
          <w:color w:val="auto"/>
        </w:rPr>
        <w:t>We are subject to regulation as described in “Item 1. Business — Regulation” of our most recent Annual Report on Form 10-K, which is incorporated by reference herein.</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139"/>
          </w:cols>
          <w:pgMar w:left="320" w:top="443" w:right="1440"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PLAN OF DISTRIBUTION</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selling stockholders also may sell shares under Rule 144 under the Securities Act, if available, rather than under this prospectus.</w:t>
      </w:r>
    </w:p>
    <w:p>
      <w:pPr>
        <w:spacing w:after="0" w:line="213" w:lineRule="exact"/>
        <w:rPr>
          <w:sz w:val="20"/>
          <w:szCs w:val="20"/>
          <w:color w:val="auto"/>
        </w:rPr>
      </w:pPr>
    </w:p>
    <w:p>
      <w:pPr>
        <w:ind w:left="420" w:right="100"/>
        <w:spacing w:after="0" w:line="275" w:lineRule="auto"/>
        <w:rPr>
          <w:sz w:val="20"/>
          <w:szCs w:val="20"/>
          <w:color w:val="auto"/>
        </w:rPr>
      </w:pPr>
      <w:r>
        <w:rPr>
          <w:rFonts w:ascii="Arial" w:cs="Arial" w:eastAsia="Arial" w:hAnsi="Arial"/>
          <w:sz w:val="17"/>
          <w:szCs w:val="17"/>
          <w:color w:val="auto"/>
        </w:rPr>
        <w:t>The selling stockholders also may transfer our securities in other circumstances, in which case the transferees or other successors-in-interest will be the selling beneficial owners for purposes of this prospectus.</w:t>
      </w:r>
    </w:p>
    <w:p>
      <w:pPr>
        <w:spacing w:after="0" w:line="165" w:lineRule="exact"/>
        <w:rPr>
          <w:sz w:val="20"/>
          <w:szCs w:val="20"/>
          <w:color w:val="auto"/>
        </w:rPr>
      </w:pPr>
    </w:p>
    <w:p>
      <w:pPr>
        <w:ind w:left="420"/>
        <w:spacing w:after="0" w:line="273" w:lineRule="auto"/>
        <w:rPr>
          <w:sz w:val="20"/>
          <w:szCs w:val="20"/>
          <w:color w:val="auto"/>
        </w:rPr>
      </w:pPr>
      <w:r>
        <w:rPr>
          <w:rFonts w:ascii="Arial" w:cs="Arial" w:eastAsia="Arial" w:hAnsi="Arial"/>
          <w:sz w:val="16"/>
          <w:szCs w:val="16"/>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 In connection with sales of the shares of our common stock offered hereby or otherwise, the selling stockholders may enter into hedging transactions with broker-dealers, which may in turn engage in short sales of the shares of our common stock offered hereby in the course of hedging in positions they assume. The selling stockholders may also sell shares of our common stock offered hereby short and deliver shares of our common stock covered by this prospectus to close out short positions and to return borrowed shares in connection with such short sales. The selling stockholders may also loan or pledge securities offered hereby to broker-dealers that in turn may sell such securities.</w:t>
      </w:r>
    </w:p>
    <w:p>
      <w:pPr>
        <w:spacing w:after="0" w:line="170" w:lineRule="exact"/>
        <w:rPr>
          <w:sz w:val="20"/>
          <w:szCs w:val="20"/>
          <w:color w:val="auto"/>
        </w:rPr>
      </w:pPr>
    </w:p>
    <w:p>
      <w:pPr>
        <w:ind w:left="420" w:right="100"/>
        <w:spacing w:after="0" w:line="304" w:lineRule="auto"/>
        <w:rPr>
          <w:sz w:val="20"/>
          <w:szCs w:val="20"/>
          <w:color w:val="auto"/>
        </w:rPr>
      </w:pPr>
      <w:r>
        <w:rPr>
          <w:rFonts w:ascii="Arial" w:cs="Arial" w:eastAsia="Arial" w:hAnsi="Arial"/>
          <w:sz w:val="15"/>
          <w:szCs w:val="15"/>
          <w:color w:val="auto"/>
        </w:rPr>
        <w:t>In offering the securities covered by this prospectus, the selling stockholders and any broker-dealers who execute sales for the selling stockholders may be deemed to be “underwriters” within the meaning of the Securities Act in connection with such sales. In such case, any profits realized by the selling stockholders and the compensation of any broker-dealer may be deemed to be underwriting discounts and commissions. In no event shall any broker-dealer receive fees, commissions and markups which, in the aggregate, exceed the amount permitted by applicable regulations.</w:t>
      </w:r>
    </w:p>
    <w:p>
      <w:pPr>
        <w:spacing w:after="0" w:line="148" w:lineRule="exact"/>
        <w:rPr>
          <w:sz w:val="20"/>
          <w:szCs w:val="20"/>
          <w:color w:val="auto"/>
        </w:rPr>
      </w:pPr>
    </w:p>
    <w:p>
      <w:pPr>
        <w:ind w:left="420" w:right="20"/>
        <w:spacing w:after="0" w:line="277" w:lineRule="auto"/>
        <w:rPr>
          <w:sz w:val="20"/>
          <w:szCs w:val="20"/>
          <w:color w:val="auto"/>
        </w:rPr>
      </w:pPr>
      <w:r>
        <w:rPr>
          <w:rFonts w:ascii="Arial" w:cs="Arial" w:eastAsia="Arial" w:hAnsi="Arial"/>
          <w:sz w:val="16"/>
          <w:szCs w:val="16"/>
          <w:color w:val="auto"/>
        </w:rPr>
        <w:t>In order to comply with the securities laws of certain states, if applicable, the shares must be sold in such jurisdictions only through registered or licensed brokers or dealers. The selling stockholders have informed us that none of them has any agreement or understanding, directly or indirectly, with any person to distribute the securities offered hereby. If any selling stockholders notifies us that an arrangement has been entered into with a broker-dealer for the sale of shares through a block trade, special offering or secondary distribution or a purchase by a broker or dealer, we may be required to file a prospectus supplement pursuant to the applicable rules promulgated under the Securities Act.</w:t>
      </w:r>
    </w:p>
    <w:p>
      <w:pPr>
        <w:spacing w:after="0" w:line="165" w:lineRule="exact"/>
        <w:rPr>
          <w:sz w:val="20"/>
          <w:szCs w:val="20"/>
          <w:color w:val="auto"/>
        </w:rPr>
      </w:pPr>
    </w:p>
    <w:p>
      <w:pPr>
        <w:ind w:left="420" w:right="20"/>
        <w:spacing w:after="0" w:line="275" w:lineRule="auto"/>
        <w:rPr>
          <w:sz w:val="20"/>
          <w:szCs w:val="20"/>
          <w:color w:val="auto"/>
        </w:rPr>
      </w:pPr>
      <w:r>
        <w:rPr>
          <w:rFonts w:ascii="Arial" w:cs="Arial" w:eastAsia="Arial" w:hAnsi="Arial"/>
          <w:sz w:val="17"/>
          <w:szCs w:val="17"/>
          <w:color w:val="auto"/>
        </w:rPr>
        <w:t>There can be no assurance that any selling stockholders will sell any or all of the securities registered pursuant to the registration statement of which this prospectus is a part.</w:t>
      </w:r>
    </w:p>
    <w:p>
      <w:pPr>
        <w:spacing w:after="0" w:line="165" w:lineRule="exact"/>
        <w:rPr>
          <w:sz w:val="20"/>
          <w:szCs w:val="20"/>
          <w:color w:val="auto"/>
        </w:rPr>
      </w:pPr>
    </w:p>
    <w:p>
      <w:pPr>
        <w:ind w:left="420" w:right="180"/>
        <w:spacing w:after="0" w:line="257" w:lineRule="auto"/>
        <w:rPr>
          <w:sz w:val="20"/>
          <w:szCs w:val="20"/>
          <w:color w:val="auto"/>
        </w:rPr>
      </w:pPr>
      <w:r>
        <w:rPr>
          <w:rFonts w:ascii="Arial" w:cs="Arial" w:eastAsia="Arial" w:hAnsi="Arial"/>
          <w:sz w:val="17"/>
          <w:szCs w:val="17"/>
          <w:color w:val="auto"/>
        </w:rPr>
        <w:t>We have advised the selling stockholders that the anti-manipulation rules of Regulation M under the Exchange Act may apply to sales of shares of our common stock in the market and to the activities of the selling stockholders and their affiliates. In addition, we will make copies of this prospectus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0" w:lineRule="exact"/>
        <w:rPr>
          <w:sz w:val="20"/>
          <w:szCs w:val="20"/>
          <w:color w:val="auto"/>
        </w:rPr>
      </w:pPr>
    </w:p>
    <w:p>
      <w:pPr>
        <w:ind w:left="420" w:right="60"/>
        <w:spacing w:after="0" w:line="299" w:lineRule="auto"/>
        <w:rPr>
          <w:sz w:val="20"/>
          <w:szCs w:val="20"/>
          <w:color w:val="auto"/>
        </w:rPr>
      </w:pPr>
      <w:r>
        <w:rPr>
          <w:rFonts w:ascii="Arial" w:cs="Arial" w:eastAsia="Arial" w:hAnsi="Arial"/>
          <w:sz w:val="15"/>
          <w:szCs w:val="15"/>
          <w:color w:val="auto"/>
        </w:rPr>
        <w:t>We agreed to use our best efforts to keep the registration statement of which this prospectus is a part continuously effective, supplemented and amended as required by the Securities Act, in order to permit this prospectus to be usable by the selling stockholders for a period from the date the registration statement becomes effective to, and including, the date upon which no registrable securities are outstanding and constitute “restricted securities” (as defined in Rule 144 under the Securities Act). We have agreed to pay all costs, expenses and fees relating to the registration of the securities covered by this prospectus. The selling stockholders will bear all commissions and discounts, if any, attributable to the sale of the securities.</w:t>
      </w:r>
    </w:p>
    <w:p>
      <w:pPr>
        <w:spacing w:after="0" w:line="8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820"/>
          </w:cols>
          <w:pgMar w:left="320" w:top="443" w:right="75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SELLING STOCKHOLDERS</w:t>
      </w:r>
    </w:p>
    <w:p>
      <w:pPr>
        <w:spacing w:after="0" w:line="217" w:lineRule="exact"/>
        <w:rPr>
          <w:sz w:val="20"/>
          <w:szCs w:val="20"/>
          <w:color w:val="auto"/>
        </w:rPr>
      </w:pPr>
    </w:p>
    <w:p>
      <w:pPr>
        <w:ind w:left="420" w:right="120"/>
        <w:spacing w:after="0" w:line="308" w:lineRule="auto"/>
        <w:rPr>
          <w:sz w:val="20"/>
          <w:szCs w:val="20"/>
          <w:color w:val="auto"/>
        </w:rPr>
      </w:pPr>
      <w:r>
        <w:rPr>
          <w:rFonts w:ascii="Arial" w:cs="Arial" w:eastAsia="Arial" w:hAnsi="Arial"/>
          <w:sz w:val="16"/>
          <w:szCs w:val="16"/>
          <w:color w:val="auto"/>
        </w:rPr>
        <w:t>This prospectus relates to 576,899 shares being offered for resale on behalf of the selling stockholders identified below. We are registering the shares to permit the selling stockholders to resell the shares when and as they deem appropriate. The following table sets forth:</w:t>
      </w:r>
    </w:p>
    <w:p>
      <w:pPr>
        <w:spacing w:after="0" w:line="52" w:lineRule="exact"/>
        <w:rPr>
          <w:sz w:val="20"/>
          <w:szCs w:val="20"/>
          <w:color w:val="auto"/>
        </w:rPr>
      </w:pPr>
    </w:p>
    <w:p>
      <w:pPr>
        <w:ind w:left="1340" w:hanging="418"/>
        <w:spacing w:after="0"/>
        <w:tabs>
          <w:tab w:leader="none" w:pos="1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name of the selling stockholders;</w:t>
      </w:r>
    </w:p>
    <w:p>
      <w:pPr>
        <w:spacing w:after="0" w:line="123" w:lineRule="exact"/>
        <w:rPr>
          <w:rFonts w:ascii="Arial" w:cs="Arial" w:eastAsia="Arial" w:hAnsi="Arial"/>
          <w:sz w:val="17"/>
          <w:szCs w:val="17"/>
          <w:color w:val="auto"/>
        </w:rPr>
      </w:pPr>
    </w:p>
    <w:p>
      <w:pPr>
        <w:ind w:left="1340" w:right="220" w:hanging="418"/>
        <w:spacing w:after="0" w:line="275" w:lineRule="auto"/>
        <w:tabs>
          <w:tab w:leader="none" w:pos="1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number and percent of shares of our common stock that the selling stockholders beneficially owned prior to the offering for resale of the shares under this registration statement;</w:t>
      </w:r>
    </w:p>
    <w:p>
      <w:pPr>
        <w:spacing w:after="0" w:line="75" w:lineRule="exact"/>
        <w:rPr>
          <w:rFonts w:ascii="Arial" w:cs="Arial" w:eastAsia="Arial" w:hAnsi="Arial"/>
          <w:sz w:val="17"/>
          <w:szCs w:val="17"/>
          <w:color w:val="auto"/>
        </w:rPr>
      </w:pPr>
    </w:p>
    <w:p>
      <w:pPr>
        <w:ind w:left="1340" w:right="600" w:hanging="418"/>
        <w:spacing w:after="0" w:line="344" w:lineRule="auto"/>
        <w:tabs>
          <w:tab w:leader="none" w:pos="13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number of shares of our common stock that may be offered for resale for the account of the stockholders under this registration statement, some or all of which shares may be sold pursuant to this prospectus and any prospectus supplement; and</w:t>
      </w:r>
    </w:p>
    <w:p>
      <w:pPr>
        <w:spacing w:after="0" w:line="29" w:lineRule="exact"/>
        <w:rPr>
          <w:rFonts w:ascii="Arial" w:cs="Arial" w:eastAsia="Arial" w:hAnsi="Arial"/>
          <w:sz w:val="15"/>
          <w:szCs w:val="15"/>
          <w:color w:val="auto"/>
        </w:rPr>
      </w:pPr>
    </w:p>
    <w:p>
      <w:pPr>
        <w:ind w:left="1340" w:right="300" w:hanging="418"/>
        <w:spacing w:after="0" w:line="275" w:lineRule="auto"/>
        <w:tabs>
          <w:tab w:leader="none" w:pos="1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number and percent of shares of our common stock to be beneficially owned by the selling stockholders after an offering under this registration statement (assuming all of the offered resale shares are sold by the selling stockholder).</w:t>
      </w:r>
    </w:p>
    <w:p>
      <w:pPr>
        <w:spacing w:after="0" w:line="165" w:lineRule="exact"/>
        <w:rPr>
          <w:sz w:val="20"/>
          <w:szCs w:val="20"/>
          <w:color w:val="auto"/>
        </w:rPr>
      </w:pPr>
    </w:p>
    <w:p>
      <w:pPr>
        <w:ind w:left="420" w:right="240"/>
        <w:spacing w:after="0" w:line="280" w:lineRule="auto"/>
        <w:rPr>
          <w:sz w:val="20"/>
          <w:szCs w:val="20"/>
          <w:color w:val="auto"/>
        </w:rPr>
      </w:pPr>
      <w:r>
        <w:rPr>
          <w:rFonts w:ascii="Arial" w:cs="Arial" w:eastAsia="Arial" w:hAnsi="Arial"/>
          <w:sz w:val="16"/>
          <w:szCs w:val="16"/>
          <w:color w:val="auto"/>
        </w:rPr>
        <w:t>The number of shares in the column “Number of Shares Being Offered” represents all of the shares that each selling stockholder may offer under this registration statement. We do not know how long a selling stockholder will hold the shares before selling them or how many shares it will sell and we currently have no agreements, arrangements or understandings with the stockholder regarding the sale of any of the shares under this registration statement. The shares offered by this prospectus may be offered from time to time by the selling stockholder listed below.</w:t>
      </w:r>
    </w:p>
    <w:p>
      <w:pPr>
        <w:spacing w:after="0" w:line="164" w:lineRule="exact"/>
        <w:rPr>
          <w:sz w:val="20"/>
          <w:szCs w:val="20"/>
          <w:color w:val="auto"/>
        </w:rPr>
      </w:pPr>
    </w:p>
    <w:p>
      <w:pPr>
        <w:ind w:left="420" w:right="240"/>
        <w:spacing w:after="0" w:line="263" w:lineRule="auto"/>
        <w:rPr>
          <w:sz w:val="20"/>
          <w:szCs w:val="20"/>
          <w:color w:val="auto"/>
        </w:rPr>
      </w:pPr>
      <w:r>
        <w:rPr>
          <w:rFonts w:ascii="Arial" w:cs="Arial" w:eastAsia="Arial" w:hAnsi="Arial"/>
          <w:sz w:val="17"/>
          <w:szCs w:val="17"/>
          <w:color w:val="auto"/>
        </w:rPr>
        <w:t>This table is prepared solely based on information supplied to us by the listed stockholder and any public documents filed with the SEC, and assumes the sale of all of the resale shares. For the purposes of calculating percentages of beneficial ownership, as of the close of business on November 22, 2021.</w:t>
      </w:r>
    </w:p>
    <w:p>
      <w:pPr>
        <w:spacing w:after="0" w:line="17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80" w:type="dxa"/>
            <w:vAlign w:val="bottom"/>
            <w:gridSpan w:val="4"/>
            <w:vMerge w:val="restart"/>
          </w:tcPr>
          <w:p>
            <w:pPr>
              <w:jc w:val="right"/>
              <w:ind w:right="675"/>
              <w:spacing w:after="0"/>
              <w:rPr>
                <w:sz w:val="20"/>
                <w:szCs w:val="20"/>
                <w:color w:val="auto"/>
              </w:rPr>
            </w:pPr>
            <w:r>
              <w:rPr>
                <w:rFonts w:ascii="Arial" w:cs="Arial" w:eastAsia="Arial" w:hAnsi="Arial"/>
                <w:sz w:val="14"/>
                <w:szCs w:val="14"/>
                <w:b w:val="1"/>
                <w:bCs w:val="1"/>
                <w:color w:val="auto"/>
                <w:w w:val="94"/>
              </w:rPr>
              <w:t>Shares Beneficially Owned</w:t>
            </w: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Number of</w:t>
            </w:r>
          </w:p>
        </w:tc>
        <w:tc>
          <w:tcPr>
            <w:tcW w:w="19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4"/>
              </w:rPr>
              <w:t>Shares Beneficially Owned</w:t>
            </w: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4200" w:type="dxa"/>
            <w:vAlign w:val="bottom"/>
          </w:tcPr>
          <w:p>
            <w:pPr>
              <w:spacing w:after="0"/>
              <w:rPr>
                <w:sz w:val="6"/>
                <w:szCs w:val="6"/>
                <w:color w:val="auto"/>
              </w:rPr>
            </w:pPr>
          </w:p>
        </w:tc>
        <w:tc>
          <w:tcPr>
            <w:tcW w:w="2480" w:type="dxa"/>
            <w:vAlign w:val="bottom"/>
            <w:gridSpan w:val="4"/>
            <w:vMerge w:val="continue"/>
          </w:tcPr>
          <w:p>
            <w:pPr>
              <w:spacing w:after="0"/>
              <w:rPr>
                <w:sz w:val="6"/>
                <w:szCs w:val="6"/>
                <w:color w:val="auto"/>
              </w:rPr>
            </w:pPr>
          </w:p>
        </w:tc>
        <w:tc>
          <w:tcPr>
            <w:tcW w:w="1120" w:type="dxa"/>
            <w:vAlign w:val="bottom"/>
            <w:gridSpan w:val="2"/>
            <w:vMerge w:val="restart"/>
          </w:tcPr>
          <w:p>
            <w:pPr>
              <w:jc w:val="center"/>
              <w:ind w:right="460"/>
              <w:spacing w:after="0" w:line="141" w:lineRule="exact"/>
              <w:rPr>
                <w:sz w:val="20"/>
                <w:szCs w:val="20"/>
                <w:color w:val="auto"/>
              </w:rPr>
            </w:pPr>
            <w:r>
              <w:rPr>
                <w:rFonts w:ascii="Arial" w:cs="Arial" w:eastAsia="Arial" w:hAnsi="Arial"/>
                <w:sz w:val="14"/>
                <w:szCs w:val="14"/>
                <w:b w:val="1"/>
                <w:bCs w:val="1"/>
                <w:color w:val="auto"/>
                <w:w w:val="81"/>
              </w:rPr>
              <w:t>Shares</w:t>
            </w:r>
          </w:p>
        </w:tc>
        <w:tc>
          <w:tcPr>
            <w:tcW w:w="19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700" w:type="dxa"/>
            <w:vAlign w:val="bottom"/>
          </w:tcPr>
          <w:p>
            <w:pPr>
              <w:spacing w:after="0"/>
              <w:rPr>
                <w:sz w:val="5"/>
                <w:szCs w:val="5"/>
                <w:color w:val="auto"/>
              </w:rPr>
            </w:pPr>
          </w:p>
        </w:tc>
        <w:tc>
          <w:tcPr>
            <w:tcW w:w="4200" w:type="dxa"/>
            <w:vAlign w:val="bottom"/>
          </w:tcPr>
          <w:p>
            <w:pPr>
              <w:spacing w:after="0"/>
              <w:rPr>
                <w:sz w:val="5"/>
                <w:szCs w:val="5"/>
                <w:color w:val="auto"/>
              </w:rPr>
            </w:pPr>
          </w:p>
        </w:tc>
        <w:tc>
          <w:tcPr>
            <w:tcW w:w="2480" w:type="dxa"/>
            <w:vAlign w:val="bottom"/>
            <w:gridSpan w:val="4"/>
            <w:vMerge w:val="restart"/>
          </w:tcPr>
          <w:p>
            <w:pPr>
              <w:jc w:val="right"/>
              <w:ind w:right="955"/>
              <w:spacing w:after="0"/>
              <w:rPr>
                <w:sz w:val="20"/>
                <w:szCs w:val="20"/>
                <w:color w:val="auto"/>
              </w:rPr>
            </w:pPr>
            <w:r>
              <w:rPr>
                <w:rFonts w:ascii="Arial" w:cs="Arial" w:eastAsia="Arial" w:hAnsi="Arial"/>
                <w:sz w:val="14"/>
                <w:szCs w:val="14"/>
                <w:b w:val="1"/>
                <w:bCs w:val="1"/>
                <w:color w:val="auto"/>
              </w:rPr>
              <w:t>Prior to Offering</w:t>
            </w:r>
          </w:p>
        </w:tc>
        <w:tc>
          <w:tcPr>
            <w:tcW w:w="1120" w:type="dxa"/>
            <w:vAlign w:val="bottom"/>
            <w:gridSpan w:val="2"/>
            <w:vMerge w:val="continue"/>
          </w:tcPr>
          <w:p>
            <w:pPr>
              <w:spacing w:after="0"/>
              <w:rPr>
                <w:sz w:val="5"/>
                <w:szCs w:val="5"/>
                <w:color w:val="auto"/>
              </w:rPr>
            </w:pPr>
          </w:p>
        </w:tc>
        <w:tc>
          <w:tcPr>
            <w:tcW w:w="192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97"/>
        </w:trPr>
        <w:tc>
          <w:tcPr>
            <w:tcW w:w="7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480" w:type="dxa"/>
            <w:vAlign w:val="bottom"/>
            <w:gridSpan w:val="4"/>
            <w:vMerge w:val="continue"/>
          </w:tcPr>
          <w:p>
            <w:pPr>
              <w:spacing w:after="0"/>
              <w:rPr>
                <w:sz w:val="8"/>
                <w:szCs w:val="8"/>
                <w:color w:val="auto"/>
              </w:rPr>
            </w:pPr>
          </w:p>
        </w:tc>
        <w:tc>
          <w:tcPr>
            <w:tcW w:w="1120" w:type="dxa"/>
            <w:vAlign w:val="bottom"/>
            <w:gridSpan w:val="2"/>
            <w:vMerge w:val="restart"/>
          </w:tcPr>
          <w:p>
            <w:pPr>
              <w:jc w:val="center"/>
              <w:ind w:right="460"/>
              <w:spacing w:after="0" w:line="141" w:lineRule="exact"/>
              <w:rPr>
                <w:sz w:val="20"/>
                <w:szCs w:val="20"/>
                <w:color w:val="auto"/>
              </w:rPr>
            </w:pPr>
            <w:r>
              <w:rPr>
                <w:rFonts w:ascii="Arial" w:cs="Arial" w:eastAsia="Arial" w:hAnsi="Arial"/>
                <w:sz w:val="14"/>
                <w:szCs w:val="14"/>
                <w:b w:val="1"/>
                <w:bCs w:val="1"/>
                <w:color w:val="auto"/>
                <w:w w:val="87"/>
              </w:rPr>
              <w:t>Being</w:t>
            </w:r>
          </w:p>
        </w:tc>
        <w:tc>
          <w:tcPr>
            <w:tcW w:w="1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3"/>
              </w:rPr>
              <w:t>Stockholder</w:t>
            </w:r>
          </w:p>
        </w:tc>
        <w:tc>
          <w:tcPr>
            <w:tcW w:w="4200" w:type="dxa"/>
            <w:vAlign w:val="bottom"/>
            <w:vMerge w:val="restart"/>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4200" w:type="dxa"/>
            <w:vAlign w:val="bottom"/>
            <w:vMerge w:val="continue"/>
          </w:tcPr>
          <w:p>
            <w:pPr>
              <w:spacing w:after="0"/>
              <w:rPr>
                <w:sz w:val="14"/>
                <w:szCs w:val="14"/>
                <w:color w:val="auto"/>
              </w:rPr>
            </w:pPr>
          </w:p>
        </w:tc>
        <w:tc>
          <w:tcPr>
            <w:tcW w:w="128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rPr>
              <w:t>Number</w:t>
            </w:r>
          </w:p>
        </w:tc>
        <w:tc>
          <w:tcPr>
            <w:tcW w:w="1200" w:type="dxa"/>
            <w:vAlign w:val="bottom"/>
            <w:gridSpan w:val="2"/>
          </w:tcPr>
          <w:p>
            <w:pPr>
              <w:jc w:val="right"/>
              <w:ind w:right="595"/>
              <w:spacing w:after="0" w:line="148" w:lineRule="exact"/>
              <w:rPr>
                <w:sz w:val="20"/>
                <w:szCs w:val="20"/>
                <w:color w:val="auto"/>
              </w:rPr>
            </w:pPr>
            <w:r>
              <w:rPr>
                <w:rFonts w:ascii="Arial" w:cs="Arial" w:eastAsia="Arial" w:hAnsi="Arial"/>
                <w:sz w:val="14"/>
                <w:szCs w:val="14"/>
                <w:b w:val="1"/>
                <w:bCs w:val="1"/>
                <w:color w:val="auto"/>
                <w:w w:val="97"/>
              </w:rPr>
              <w:t>Percent</w:t>
            </w:r>
          </w:p>
        </w:tc>
        <w:tc>
          <w:tcPr>
            <w:tcW w:w="112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2"/>
              </w:rPr>
              <w:t>Offered</w:t>
            </w:r>
          </w:p>
        </w:tc>
        <w:tc>
          <w:tcPr>
            <w:tcW w:w="122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rPr>
              <w:t>Number</w:t>
            </w:r>
          </w:p>
        </w:tc>
        <w:tc>
          <w:tcPr>
            <w:tcW w:w="70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0"/>
        </w:trPr>
        <w:tc>
          <w:tcPr>
            <w:tcW w:w="4900" w:type="dxa"/>
            <w:vAlign w:val="bottom"/>
            <w:tcBorders>
              <w:top w:val="single" w:sz="8" w:color="CCEEFF"/>
            </w:tcBorders>
            <w:gridSpan w:val="2"/>
            <w:shd w:val="clear" w:color="auto" w:fill="CCEEFF"/>
          </w:tcPr>
          <w:p>
            <w:pPr>
              <w:spacing w:after="0" w:line="190" w:lineRule="exact"/>
              <w:rPr>
                <w:sz w:val="20"/>
                <w:szCs w:val="20"/>
                <w:color w:val="auto"/>
              </w:rPr>
            </w:pPr>
            <w:r>
              <w:rPr>
                <w:rFonts w:ascii="Arial" w:cs="Arial" w:eastAsia="Arial" w:hAnsi="Arial"/>
                <w:sz w:val="17"/>
                <w:szCs w:val="17"/>
                <w:color w:val="auto"/>
              </w:rPr>
              <w:t>Repertoire Master Fund LP</w:t>
            </w:r>
          </w:p>
        </w:tc>
        <w:tc>
          <w:tcPr>
            <w:tcW w:w="780" w:type="dxa"/>
            <w:vAlign w:val="bottom"/>
            <w:tcBorders>
              <w:top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200,000</w:t>
            </w:r>
          </w:p>
        </w:tc>
        <w:tc>
          <w:tcPr>
            <w:tcW w:w="5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2.1</w:t>
            </w:r>
          </w:p>
        </w:tc>
        <w:tc>
          <w:tcPr>
            <w:tcW w:w="600" w:type="dxa"/>
            <w:vAlign w:val="bottom"/>
            <w:tcBorders>
              <w:top w:val="single" w:sz="8" w:color="CCEEFF"/>
            </w:tcBorders>
            <w:shd w:val="clear" w:color="auto" w:fill="CCEEFF"/>
          </w:tcPr>
          <w:p>
            <w:pPr>
              <w:jc w:val="right"/>
              <w:ind w:right="375"/>
              <w:spacing w:after="0" w:line="190" w:lineRule="exact"/>
              <w:rPr>
                <w:sz w:val="20"/>
                <w:szCs w:val="20"/>
                <w:color w:val="auto"/>
              </w:rPr>
            </w:pPr>
            <w:r>
              <w:rPr>
                <w:rFonts w:ascii="Arial" w:cs="Arial" w:eastAsia="Arial" w:hAnsi="Arial"/>
                <w:sz w:val="17"/>
                <w:szCs w:val="17"/>
                <w:color w:val="auto"/>
                <w:w w:val="79"/>
              </w:rPr>
              <w:t>%</w:t>
            </w:r>
          </w:p>
        </w:tc>
        <w:tc>
          <w:tcPr>
            <w:tcW w:w="640" w:type="dxa"/>
            <w:vAlign w:val="bottom"/>
            <w:tcBorders>
              <w:top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200,000</w:t>
            </w:r>
          </w:p>
        </w:tc>
        <w:tc>
          <w:tcPr>
            <w:tcW w:w="4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0</w:t>
            </w:r>
          </w:p>
        </w:tc>
        <w:tc>
          <w:tcPr>
            <w:tcW w:w="5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00" w:type="dxa"/>
            <w:vAlign w:val="bottom"/>
            <w:gridSpan w:val="2"/>
          </w:tcPr>
          <w:p>
            <w:pPr>
              <w:spacing w:after="0"/>
              <w:rPr>
                <w:sz w:val="20"/>
                <w:szCs w:val="20"/>
                <w:color w:val="auto"/>
              </w:rPr>
            </w:pPr>
            <w:r>
              <w:rPr>
                <w:rFonts w:ascii="Arial" w:cs="Arial" w:eastAsia="Arial" w:hAnsi="Arial"/>
                <w:sz w:val="17"/>
                <w:szCs w:val="17"/>
                <w:color w:val="auto"/>
              </w:rPr>
              <w:t>Wellscroft Investments, LLC</w:t>
            </w: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25,000</w:t>
            </w:r>
          </w:p>
        </w:tc>
        <w:tc>
          <w:tcPr>
            <w:tcW w:w="1200" w:type="dxa"/>
            <w:vAlign w:val="bottom"/>
            <w:gridSpan w:val="2"/>
          </w:tcPr>
          <w:p>
            <w:pPr>
              <w:jc w:val="right"/>
              <w:ind w:right="515"/>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25,000</w:t>
            </w: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4"/>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Punch Micro Cap Partners, LLC</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182,500</w:t>
            </w:r>
          </w:p>
        </w:tc>
        <w:tc>
          <w:tcPr>
            <w:tcW w:w="1200" w:type="dxa"/>
            <w:vAlign w:val="bottom"/>
            <w:gridSpan w:val="2"/>
            <w:shd w:val="clear" w:color="auto" w:fill="CCEEFF"/>
          </w:tcPr>
          <w:p>
            <w:pPr>
              <w:jc w:val="right"/>
              <w:ind w:right="375"/>
              <w:spacing w:after="0"/>
              <w:rPr>
                <w:sz w:val="20"/>
                <w:szCs w:val="20"/>
                <w:color w:val="auto"/>
              </w:rPr>
            </w:pPr>
            <w:r>
              <w:rPr>
                <w:rFonts w:ascii="Arial" w:cs="Arial" w:eastAsia="Arial" w:hAnsi="Arial"/>
                <w:sz w:val="17"/>
                <w:szCs w:val="17"/>
                <w:color w:val="auto"/>
              </w:rPr>
              <w:t>1.9%</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100,000</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82,500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900" w:type="dxa"/>
            <w:vAlign w:val="bottom"/>
            <w:gridSpan w:val="2"/>
          </w:tcPr>
          <w:p>
            <w:pPr>
              <w:spacing w:after="0"/>
              <w:rPr>
                <w:sz w:val="20"/>
                <w:szCs w:val="20"/>
                <w:color w:val="auto"/>
              </w:rPr>
            </w:pPr>
            <w:r>
              <w:rPr>
                <w:rFonts w:ascii="Arial" w:cs="Arial" w:eastAsia="Arial" w:hAnsi="Arial"/>
                <w:sz w:val="17"/>
                <w:szCs w:val="17"/>
                <w:color w:val="auto"/>
              </w:rPr>
              <w:t>Tannenbaum Strategic Credit LLC</w:t>
            </w: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120,000</w:t>
            </w:r>
          </w:p>
        </w:tc>
        <w:tc>
          <w:tcPr>
            <w:tcW w:w="1200" w:type="dxa"/>
            <w:vAlign w:val="bottom"/>
            <w:gridSpan w:val="2"/>
          </w:tcPr>
          <w:p>
            <w:pPr>
              <w:jc w:val="right"/>
              <w:ind w:right="375"/>
              <w:spacing w:after="0"/>
              <w:rPr>
                <w:sz w:val="20"/>
                <w:szCs w:val="20"/>
                <w:color w:val="auto"/>
              </w:rPr>
            </w:pPr>
            <w:r>
              <w:rPr>
                <w:rFonts w:ascii="Arial" w:cs="Arial" w:eastAsia="Arial" w:hAnsi="Arial"/>
                <w:sz w:val="17"/>
                <w:szCs w:val="17"/>
                <w:color w:val="auto"/>
              </w:rPr>
              <w:t>1.2%</w:t>
            </w: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120,000</w:t>
            </w: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4"/>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Clayton Capital Appreciation Fund, L.P.</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50,000</w:t>
            </w:r>
          </w:p>
        </w:tc>
        <w:tc>
          <w:tcPr>
            <w:tcW w:w="1200" w:type="dxa"/>
            <w:vAlign w:val="bottom"/>
            <w:gridSpan w:val="2"/>
            <w:shd w:val="clear" w:color="auto" w:fill="CCEEFF"/>
          </w:tcPr>
          <w:p>
            <w:pPr>
              <w:jc w:val="right"/>
              <w:ind w:right="515"/>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50,000</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4"/>
        </w:trPr>
        <w:tc>
          <w:tcPr>
            <w:tcW w:w="4900" w:type="dxa"/>
            <w:vAlign w:val="bottom"/>
            <w:gridSpan w:val="2"/>
          </w:tcPr>
          <w:p>
            <w:pPr>
              <w:spacing w:after="0"/>
              <w:rPr>
                <w:sz w:val="20"/>
                <w:szCs w:val="20"/>
                <w:color w:val="auto"/>
              </w:rPr>
            </w:pPr>
            <w:r>
              <w:rPr>
                <w:rFonts w:ascii="Arial" w:cs="Arial" w:eastAsia="Arial" w:hAnsi="Arial"/>
                <w:sz w:val="17"/>
                <w:szCs w:val="17"/>
                <w:color w:val="auto"/>
              </w:rPr>
              <w:t>Indaba Capital Management, L.P.**</w:t>
            </w: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61,852</w:t>
            </w:r>
          </w:p>
        </w:tc>
        <w:tc>
          <w:tcPr>
            <w:tcW w:w="1200" w:type="dxa"/>
            <w:vAlign w:val="bottom"/>
            <w:gridSpan w:val="2"/>
          </w:tcPr>
          <w:p>
            <w:pPr>
              <w:jc w:val="right"/>
              <w:ind w:right="515"/>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61,852</w:t>
            </w: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4"/>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LibreMax Capital, LLC</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14,517</w:t>
            </w:r>
          </w:p>
        </w:tc>
        <w:tc>
          <w:tcPr>
            <w:tcW w:w="1200" w:type="dxa"/>
            <w:vAlign w:val="bottom"/>
            <w:gridSpan w:val="2"/>
            <w:shd w:val="clear" w:color="auto" w:fill="CCEEFF"/>
          </w:tcPr>
          <w:p>
            <w:pPr>
              <w:jc w:val="right"/>
              <w:ind w:right="515"/>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14,517</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7"/>
                <w:szCs w:val="17"/>
                <w:color w:val="auto"/>
              </w:rPr>
              <w:t>LibreMax SC LLC</w:t>
            </w: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5,530</w:t>
            </w:r>
          </w:p>
        </w:tc>
        <w:tc>
          <w:tcPr>
            <w:tcW w:w="1200" w:type="dxa"/>
            <w:vAlign w:val="bottom"/>
            <w:gridSpan w:val="2"/>
          </w:tcPr>
          <w:p>
            <w:pPr>
              <w:jc w:val="right"/>
              <w:ind w:right="515"/>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5,530</w:t>
            </w: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Indicates beneficial ownership of less than 1% of the total outstanding common stock.</w:t>
      </w:r>
    </w:p>
    <w:p>
      <w:pPr>
        <w:spacing w:after="0" w:line="20" w:lineRule="exact"/>
        <w:rPr>
          <w:sz w:val="20"/>
          <w:szCs w:val="20"/>
          <w:color w:val="auto"/>
        </w:rPr>
      </w:pPr>
    </w:p>
    <w:p>
      <w:pPr>
        <w:ind w:left="620" w:right="20" w:hanging="209"/>
        <w:spacing w:after="0" w:line="252" w:lineRule="auto"/>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securities in the table above are held directly by Indaba Capital Fund, L.P. (“Indaba Fund”). Indaba Capital Management, L.P. (“Indaba Management”) is Indaba Fund’s investment manager. Pursuant to an Investment Management Agreement, Indaba Fund and its general partner have delegated all voting and investment power over securities held by Indaba Fund to Indaba Management and, accordingly, Indaba Management may be deemed to have beneficial ownership of such securities. IC GP, LLC, as the general partner of Indaba Management, and Derek Schrier, as Managing Member of IC GP, LLC, may be deemed to exercise voting and investment power over and have beneficial ownership of the securities held by Indaba Fund. Indaba Fund specifically disclaims beneficial ownership of the securities in the table above that are directly held by it by virtue of its inability to vote or dispose of such securities as a result of the delegation of voting and investment power to Indaba Management. The business address of Indaba Fund, Indaba</w:t>
      </w:r>
    </w:p>
    <w:p>
      <w:pPr>
        <w:spacing w:after="0" w:line="12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840"/>
          </w:cols>
          <w:pgMar w:left="320" w:top="443" w:right="7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620" w:right="240"/>
        <w:spacing w:after="0" w:line="275" w:lineRule="auto"/>
        <w:rPr>
          <w:sz w:val="20"/>
          <w:szCs w:val="20"/>
          <w:color w:val="auto"/>
        </w:rPr>
      </w:pPr>
      <w:r>
        <w:rPr>
          <w:rFonts w:ascii="Arial" w:cs="Arial" w:eastAsia="Arial" w:hAnsi="Arial"/>
          <w:sz w:val="17"/>
          <w:szCs w:val="17"/>
          <w:color w:val="auto"/>
        </w:rPr>
        <w:t>Management, IC GP, LLC, and Mr. Schrier is c/o Indaba Capital Management, L.P., 1 Letterman Drive, Building D, Suite DM700, San Francisco, CA 94129.</w:t>
      </w:r>
    </w:p>
    <w:p>
      <w:pPr>
        <w:spacing w:after="0" w:line="165" w:lineRule="exact"/>
        <w:rPr>
          <w:sz w:val="20"/>
          <w:szCs w:val="20"/>
          <w:color w:val="auto"/>
        </w:rPr>
      </w:pPr>
    </w:p>
    <w:p>
      <w:pPr>
        <w:ind w:left="420"/>
        <w:spacing w:after="0" w:line="263" w:lineRule="auto"/>
        <w:rPr>
          <w:sz w:val="20"/>
          <w:szCs w:val="20"/>
          <w:color w:val="auto"/>
        </w:rPr>
      </w:pPr>
      <w:r>
        <w:rPr>
          <w:rFonts w:ascii="Arial" w:cs="Arial" w:eastAsia="Arial" w:hAnsi="Arial"/>
          <w:sz w:val="17"/>
          <w:szCs w:val="17"/>
          <w:color w:val="auto"/>
        </w:rPr>
        <w:t>Shares of our common stock sold by the selling stockholders will generally be freely tradable. Sales of substantial amounts of our common stock, including by the selling stockholders, or the availability of such common stock for sale, whether or not sold, could adversely affect the prevailing market prices for our common stock.</w:t>
      </w:r>
    </w:p>
    <w:p>
      <w:pPr>
        <w:spacing w:after="0" w:line="11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820"/>
          </w:cols>
          <w:pgMar w:left="320" w:top="443" w:right="75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779"/>
        <w:spacing w:after="0"/>
        <w:rPr>
          <w:sz w:val="20"/>
          <w:szCs w:val="20"/>
          <w:color w:val="auto"/>
        </w:rPr>
      </w:pPr>
      <w:r>
        <w:rPr>
          <w:rFonts w:ascii="Arial" w:cs="Arial" w:eastAsia="Arial" w:hAnsi="Arial"/>
          <w:sz w:val="17"/>
          <w:szCs w:val="17"/>
          <w:b w:val="1"/>
          <w:bCs w:val="1"/>
          <w:color w:val="auto"/>
        </w:rPr>
        <w:t>CUSTODIAN, TRANSFER AND DIVIDEND PAYING AGENT AND REGISTRAR</w:t>
      </w:r>
    </w:p>
    <w:p>
      <w:pPr>
        <w:spacing w:after="0" w:line="217" w:lineRule="exact"/>
        <w:rPr>
          <w:sz w:val="20"/>
          <w:szCs w:val="20"/>
          <w:color w:val="auto"/>
        </w:rPr>
      </w:pPr>
    </w:p>
    <w:p>
      <w:pPr>
        <w:ind w:left="420" w:firstLine="417"/>
        <w:spacing w:after="0" w:line="280" w:lineRule="auto"/>
        <w:rPr>
          <w:sz w:val="20"/>
          <w:szCs w:val="20"/>
          <w:color w:val="auto"/>
        </w:rPr>
      </w:pPr>
      <w:r>
        <w:rPr>
          <w:rFonts w:ascii="Arial" w:cs="Arial" w:eastAsia="Arial" w:hAnsi="Arial"/>
          <w:sz w:val="16"/>
          <w:szCs w:val="16"/>
          <w:color w:val="auto"/>
        </w:rPr>
        <w:t>PTMN’s investment securities are held under a custody agreement with U.S. Bank National Association. The address of the custodian is U.S. Bank National Association, Corporate Trust Services, One Federal Street, 3rd Floor, Boston, MA 02110. The transfer agent and registrar for PTMN Common Stock, American Stock Transfer &amp; Trust Company, acts as PTMN’s transfer agent, dividend paying and reinvestment agent for PTMN Common Stock. The principal business address of the transfer agent is 59 Maiden Lane, New York, New York 10038.</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480"/>
          </w:cols>
          <w:pgMar w:left="320" w:top="443" w:right="109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BROKERAGE ALLOCATION AND OTHER PRACTICES</w:t>
      </w:r>
    </w:p>
    <w:p>
      <w:pPr>
        <w:spacing w:after="0" w:line="217" w:lineRule="exact"/>
        <w:rPr>
          <w:sz w:val="20"/>
          <w:szCs w:val="20"/>
          <w:color w:val="auto"/>
        </w:rPr>
      </w:pPr>
    </w:p>
    <w:p>
      <w:pPr>
        <w:ind w:left="420" w:firstLine="417"/>
        <w:spacing w:after="0" w:line="254" w:lineRule="auto"/>
        <w:rPr>
          <w:sz w:val="20"/>
          <w:szCs w:val="20"/>
          <w:color w:val="auto"/>
        </w:rPr>
      </w:pPr>
      <w:r>
        <w:rPr>
          <w:rFonts w:ascii="Arial" w:cs="Arial" w:eastAsia="Arial" w:hAnsi="Arial"/>
          <w:sz w:val="17"/>
          <w:szCs w:val="17"/>
          <w:color w:val="auto"/>
        </w:rPr>
        <w:t>Since PTMN generally acquires and disposes of PTMN’s investments in privately negotiated transactions, PTMN infrequently uses brokers in the normal course of its business. Subject to policies established by the PTMN Board, PTMN generally does not execute transactions through any particular broker or dealer, but seeks to obtain the best net results for PTMN, taking into account such factors as price (including the applicable brokerage commission or dealer spread), size of order, difficulty of execution, operational facilities of the firm and the firm’s risk and skill in positioning blocks of securities. While PTMN generally seeks reasonably competitive trade execution costs, PTMN does not necessarily pay the lowest spread or commission available. Subject to applicable legal requirements, PTMN may select a broker based partly upon brokerage or research services provided to PTMN. In return for such services, PTMN may pay a higher commission than other brokers would charge if PTMN determines in good faith that such commission is reasonable in relation to the services provided, and PTMN’s management and employees are authorized to pay such commission under these circumstances.</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800"/>
          </w:cols>
          <w:pgMar w:left="320" w:top="443" w:right="77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LEGAL MATTERS</w:t>
      </w:r>
    </w:p>
    <w:p>
      <w:pPr>
        <w:spacing w:after="0" w:line="21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legality of the securities offered hereby will be passed upon for the Company by Dechert LLP.</w:t>
      </w:r>
    </w:p>
    <w:p>
      <w:pPr>
        <w:spacing w:after="0" w:line="200" w:lineRule="exact"/>
        <w:rPr>
          <w:sz w:val="20"/>
          <w:szCs w:val="20"/>
          <w:color w:val="auto"/>
        </w:rPr>
      </w:pPr>
    </w:p>
    <w:p>
      <w:pPr>
        <w:spacing w:after="0" w:line="21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EXPERTS</w:t>
      </w:r>
    </w:p>
    <w:p>
      <w:pPr>
        <w:spacing w:after="0" w:line="217" w:lineRule="exact"/>
        <w:rPr>
          <w:sz w:val="20"/>
          <w:szCs w:val="20"/>
          <w:color w:val="auto"/>
        </w:rPr>
      </w:pPr>
    </w:p>
    <w:p>
      <w:pPr>
        <w:jc w:val="both"/>
        <w:ind w:left="420" w:right="100" w:firstLine="417"/>
        <w:spacing w:after="0" w:line="304" w:lineRule="auto"/>
        <w:rPr>
          <w:sz w:val="20"/>
          <w:szCs w:val="20"/>
          <w:color w:val="auto"/>
        </w:rPr>
      </w:pPr>
      <w:r>
        <w:rPr>
          <w:rFonts w:ascii="Arial" w:cs="Arial" w:eastAsia="Arial" w:hAnsi="Arial"/>
          <w:sz w:val="15"/>
          <w:szCs w:val="15"/>
          <w:color w:val="auto"/>
        </w:rPr>
        <w:t>The consolidated financial statements of Portman Ridge Finance Corporation appearing in Portman Ridge Finance Corporation’s Annual Report on Form 10-K as of and for the years ended December 31, 2020 and 2019, have been audited by KPMG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48" w:lineRule="exact"/>
        <w:rPr>
          <w:sz w:val="20"/>
          <w:szCs w:val="20"/>
          <w:color w:val="auto"/>
        </w:rPr>
      </w:pPr>
    </w:p>
    <w:p>
      <w:pPr>
        <w:ind w:left="420" w:right="100" w:firstLine="417"/>
        <w:spacing w:after="0" w:line="257" w:lineRule="auto"/>
        <w:rPr>
          <w:sz w:val="20"/>
          <w:szCs w:val="20"/>
          <w:color w:val="auto"/>
        </w:rPr>
      </w:pPr>
      <w:r>
        <w:rPr>
          <w:rFonts w:ascii="Arial" w:cs="Arial" w:eastAsia="Arial" w:hAnsi="Arial"/>
          <w:sz w:val="17"/>
          <w:szCs w:val="17"/>
          <w:color w:val="auto"/>
        </w:rPr>
        <w:t>The consolidated financial statements of PTMN and its subsidiaries for the year ended December 31, 2018 appearing in PTMN’s Annual Report on Form 10-K for the year ended December 31, 2020 have been audited by Ernst &amp; Young LLP, independent registered public accounting firm, located at One Manhattan West, New York, NY 10001,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0" w:lineRule="exact"/>
        <w:rPr>
          <w:sz w:val="20"/>
          <w:szCs w:val="20"/>
          <w:color w:val="auto"/>
        </w:rPr>
      </w:pPr>
    </w:p>
    <w:p>
      <w:pPr>
        <w:ind w:left="420" w:firstLine="417"/>
        <w:spacing w:after="0" w:line="280" w:lineRule="auto"/>
        <w:rPr>
          <w:sz w:val="20"/>
          <w:szCs w:val="20"/>
          <w:color w:val="auto"/>
        </w:rPr>
      </w:pPr>
      <w:r>
        <w:rPr>
          <w:rFonts w:ascii="Arial" w:cs="Arial" w:eastAsia="Arial" w:hAnsi="Arial"/>
          <w:sz w:val="16"/>
          <w:szCs w:val="16"/>
          <w:color w:val="auto"/>
        </w:rPr>
        <w:t>The consolidated financial statements of Harvest Capital Credit Corporation (“HCAP”) at December 31, 2020 and 2019 and for each of the two years in the period ended December 31, 2020, incorporated by reference into this prospectus, have been audited by RSM US LLP located at 151 W 42nd Street, 19th Floor, New York, NY 10036, as set forth in their report therein. Such consolidated financial statements are incorporated herein by reference in reliance upon such report given on the authority of such firm as experts in accounting and auditing.</w:t>
      </w:r>
    </w:p>
    <w:p>
      <w:pPr>
        <w:spacing w:after="0" w:line="164" w:lineRule="exact"/>
        <w:rPr>
          <w:sz w:val="20"/>
          <w:szCs w:val="20"/>
          <w:color w:val="auto"/>
        </w:rPr>
      </w:pPr>
    </w:p>
    <w:p>
      <w:pPr>
        <w:ind w:left="420" w:firstLine="417"/>
        <w:spacing w:after="0" w:line="280" w:lineRule="auto"/>
        <w:rPr>
          <w:sz w:val="20"/>
          <w:szCs w:val="20"/>
          <w:color w:val="auto"/>
        </w:rPr>
      </w:pPr>
      <w:r>
        <w:rPr>
          <w:rFonts w:ascii="Arial" w:cs="Arial" w:eastAsia="Arial" w:hAnsi="Arial"/>
          <w:sz w:val="16"/>
          <w:szCs w:val="16"/>
          <w:color w:val="auto"/>
        </w:rPr>
        <w:t>The consolidated financial statements of Harvest Capital Credit Corporation for the year ended December 31, 2018 incorporated in this prospectus by reference to Harvest Capital Credit Corporation’s annual report on Form 10-K for the year ended December 31, 2020 have been so incorporated in reliance on the report of PricewaterhouseCoopers LLP, an independent registered public accounting firm, located at 405 Howard Street, Suite 600, San Francisco, CA 94105, given on the authority of such firm as experts in accounting and auditing.</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820"/>
          </w:cols>
          <w:pgMar w:left="320" w:top="443" w:right="75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INCORPORATION BY REFERENCE</w:t>
      </w:r>
    </w:p>
    <w:p>
      <w:pPr>
        <w:spacing w:after="0" w:line="217" w:lineRule="exact"/>
        <w:rPr>
          <w:sz w:val="20"/>
          <w:szCs w:val="20"/>
          <w:color w:val="auto"/>
        </w:rPr>
      </w:pPr>
    </w:p>
    <w:p>
      <w:pPr>
        <w:ind w:left="420" w:right="100" w:firstLine="417"/>
        <w:spacing w:after="0" w:line="257" w:lineRule="auto"/>
        <w:rPr>
          <w:sz w:val="20"/>
          <w:szCs w:val="20"/>
          <w:color w:val="auto"/>
        </w:rPr>
      </w:pPr>
      <w:r>
        <w:rPr>
          <w:rFonts w:ascii="Arial" w:cs="Arial" w:eastAsia="Arial" w:hAnsi="Arial"/>
          <w:sz w:val="17"/>
          <w:szCs w:val="17"/>
          <w:color w:val="auto"/>
        </w:rPr>
        <w:t>This prospectus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be part of this prospectus, and later information that we file with the SEC will automatically update and may supersede information in this prospectus, any accompanying prospectus supplement and information previously filed with the SEC.</w:t>
      </w:r>
    </w:p>
    <w:p>
      <w:pPr>
        <w:spacing w:after="0" w:line="180" w:lineRule="exact"/>
        <w:rPr>
          <w:sz w:val="20"/>
          <w:szCs w:val="20"/>
          <w:color w:val="auto"/>
        </w:rPr>
      </w:pPr>
    </w:p>
    <w:p>
      <w:pPr>
        <w:ind w:left="420" w:firstLine="417"/>
        <w:spacing w:after="0" w:line="273" w:lineRule="auto"/>
        <w:rPr>
          <w:sz w:val="20"/>
          <w:szCs w:val="20"/>
          <w:color w:val="auto"/>
        </w:rPr>
      </w:pPr>
      <w:r>
        <w:rPr>
          <w:rFonts w:ascii="Arial" w:cs="Arial" w:eastAsia="Arial" w:hAnsi="Arial"/>
          <w:sz w:val="16"/>
          <w:szCs w:val="16"/>
          <w:color w:val="auto"/>
        </w:rPr>
        <w:t>We incorporate by reference into this prospectus the documents listed below that we have previously filed with the SEC, and any reports and other documents we subsequently file pursuant to Section 13(a), 13(c), 14 or 15(d) of the Exchange Act prior to the termination of the offering of the securities covered by this prospectus, including all such filings we may file with the SEC after the date of the initial filing of the registration statement of which this prospectus is part and prior to its effectiveness, will also be incorporated by reference into this prospectus and deemed to be part of this prospectus from the date of the filing of such reports and documents; provided, however, that information “furnished” under Item 2.02 or Item 7.01 of Form 8-K, or other information “furnished” to the SEC, which is not deemed filed is not and will not be incorporated by reference in this prospectus and any accompanying prospectus supplement:</w:t>
      </w:r>
    </w:p>
    <w:p>
      <w:pPr>
        <w:spacing w:after="0" w:line="81" w:lineRule="exact"/>
        <w:rPr>
          <w:sz w:val="20"/>
          <w:szCs w:val="20"/>
          <w:color w:val="auto"/>
        </w:rPr>
      </w:pPr>
    </w:p>
    <w:p>
      <w:pPr>
        <w:ind w:left="1340" w:hanging="418"/>
        <w:spacing w:after="0"/>
        <w:tabs>
          <w:tab w:leader="none" w:pos="1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our Annual Report on </w:t>
      </w:r>
      <w:hyperlink r:id="rId114">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2020, filed with the SEC on March 11, 2021;</w:t>
      </w:r>
    </w:p>
    <w:p>
      <w:pPr>
        <w:spacing w:after="0" w:line="123" w:lineRule="exact"/>
        <w:rPr>
          <w:rFonts w:ascii="Arial" w:cs="Arial" w:eastAsia="Arial" w:hAnsi="Arial"/>
          <w:sz w:val="17"/>
          <w:szCs w:val="17"/>
          <w:color w:val="auto"/>
        </w:rPr>
      </w:pPr>
    </w:p>
    <w:p>
      <w:pPr>
        <w:ind w:left="1340" w:right="120" w:hanging="418"/>
        <w:spacing w:after="0" w:line="344" w:lineRule="auto"/>
        <w:tabs>
          <w:tab w:leader="none" w:pos="13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 xml:space="preserve">our Quarterly Report on Form 10-Q for the quarter ended March 31, 2021, filed with the SEC on </w:t>
      </w:r>
      <w:hyperlink r:id="rId115">
        <w:r>
          <w:rPr>
            <w:rFonts w:ascii="Arial" w:cs="Arial" w:eastAsia="Arial" w:hAnsi="Arial"/>
            <w:sz w:val="15"/>
            <w:szCs w:val="15"/>
            <w:u w:val="single" w:color="auto"/>
            <w:color w:val="0000EE"/>
          </w:rPr>
          <w:t>May 6, 2021</w:t>
        </w:r>
      </w:hyperlink>
      <w:r>
        <w:rPr>
          <w:rFonts w:ascii="Arial" w:cs="Arial" w:eastAsia="Arial" w:hAnsi="Arial"/>
          <w:sz w:val="15"/>
          <w:szCs w:val="15"/>
          <w:color w:val="auto"/>
        </w:rPr>
        <w:t xml:space="preserve">, for the quarter ended June 30, 2021 filed with the SEC on </w:t>
      </w:r>
      <w:hyperlink r:id="rId116">
        <w:r>
          <w:rPr>
            <w:rFonts w:ascii="Arial" w:cs="Arial" w:eastAsia="Arial" w:hAnsi="Arial"/>
            <w:sz w:val="15"/>
            <w:szCs w:val="15"/>
            <w:u w:val="single" w:color="auto"/>
            <w:color w:val="0000EE"/>
          </w:rPr>
          <w:t>August 5, 2021</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for the quarter ended September 30, 2021 filed with the SEC on </w:t>
      </w:r>
      <w:hyperlink r:id="rId117">
        <w:r>
          <w:rPr>
            <w:rFonts w:ascii="Arial" w:cs="Arial" w:eastAsia="Arial" w:hAnsi="Arial"/>
            <w:sz w:val="15"/>
            <w:szCs w:val="15"/>
            <w:u w:val="single" w:color="auto"/>
            <w:color w:val="0000EE"/>
          </w:rPr>
          <w:t>November 4, 2021</w:t>
        </w:r>
      </w:hyperlink>
      <w:r>
        <w:rPr>
          <w:rFonts w:ascii="Arial" w:cs="Arial" w:eastAsia="Arial" w:hAnsi="Arial"/>
          <w:sz w:val="15"/>
          <w:szCs w:val="15"/>
          <w:color w:val="auto"/>
        </w:rPr>
        <w:t>;</w:t>
      </w:r>
    </w:p>
    <w:p>
      <w:pPr>
        <w:spacing w:after="0" w:line="29" w:lineRule="exact"/>
        <w:rPr>
          <w:rFonts w:ascii="Arial" w:cs="Arial" w:eastAsia="Arial" w:hAnsi="Arial"/>
          <w:sz w:val="15"/>
          <w:szCs w:val="15"/>
          <w:color w:val="auto"/>
        </w:rPr>
      </w:pPr>
    </w:p>
    <w:p>
      <w:pPr>
        <w:ind w:left="1340" w:hanging="418"/>
        <w:spacing w:after="0"/>
        <w:tabs>
          <w:tab w:leader="none" w:pos="1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our Definitive Proxy Statement on Schedule 14A, filed with the SEC on </w:t>
      </w:r>
      <w:hyperlink r:id="rId118">
        <w:r>
          <w:rPr>
            <w:rFonts w:ascii="Arial" w:cs="Arial" w:eastAsia="Arial" w:hAnsi="Arial"/>
            <w:sz w:val="17"/>
            <w:szCs w:val="17"/>
            <w:u w:val="single" w:color="auto"/>
            <w:color w:val="0000EE"/>
          </w:rPr>
          <w:t>April 23, 2021</w:t>
        </w:r>
      </w:hyperlink>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left="1340" w:right="120" w:hanging="418"/>
        <w:spacing w:after="0" w:line="344" w:lineRule="auto"/>
        <w:tabs>
          <w:tab w:leader="none" w:pos="1340" w:val="left"/>
        </w:tabs>
        <w:numPr>
          <w:ilvl w:val="0"/>
          <w:numId w:val="44"/>
        </w:numPr>
        <w:rPr>
          <w:rFonts w:ascii="Arial" w:cs="Arial" w:eastAsia="Arial" w:hAnsi="Arial"/>
          <w:sz w:val="15"/>
          <w:szCs w:val="15"/>
          <w:color w:val="0000EE"/>
        </w:rPr>
      </w:pPr>
      <w:hyperlink r:id="rId119">
        <w:r>
          <w:rPr>
            <w:rFonts w:ascii="Arial" w:cs="Arial" w:eastAsia="Arial" w:hAnsi="Arial"/>
            <w:sz w:val="15"/>
            <w:szCs w:val="15"/>
            <w:color w:val="auto"/>
          </w:rPr>
          <w:t xml:space="preserve">our Current Reports on Form 8-K, filed with the SEC on </w:t>
        </w:r>
        <w:r>
          <w:rPr>
            <w:rFonts w:ascii="Arial" w:cs="Arial" w:eastAsia="Arial" w:hAnsi="Arial"/>
            <w:sz w:val="15"/>
            <w:szCs w:val="15"/>
            <w:u w:val="single" w:color="auto"/>
            <w:color w:val="0000EE"/>
          </w:rPr>
          <w:t>January 11, 2021</w:t>
        </w:r>
        <w:r>
          <w:rPr>
            <w:rFonts w:ascii="Arial" w:cs="Arial" w:eastAsia="Arial" w:hAnsi="Arial"/>
            <w:sz w:val="15"/>
            <w:szCs w:val="15"/>
            <w:color w:val="auto"/>
          </w:rPr>
          <w:t xml:space="preserve">, </w:t>
        </w:r>
        <w:r>
          <w:rPr>
            <w:rFonts w:ascii="Arial" w:cs="Arial" w:eastAsia="Arial" w:hAnsi="Arial"/>
            <w:sz w:val="15"/>
            <w:szCs w:val="15"/>
            <w:u w:val="single" w:color="auto"/>
            <w:color w:val="0000EE"/>
          </w:rPr>
          <w:t>January 12, 2021</w:t>
        </w:r>
        <w:r>
          <w:rPr>
            <w:rFonts w:ascii="Arial" w:cs="Arial" w:eastAsia="Arial" w:hAnsi="Arial"/>
            <w:sz w:val="15"/>
            <w:szCs w:val="15"/>
            <w:color w:val="auto"/>
          </w:rPr>
          <w:t xml:space="preserve">, </w:t>
        </w:r>
        <w:r>
          <w:rPr>
            <w:rFonts w:ascii="Arial" w:cs="Arial" w:eastAsia="Arial" w:hAnsi="Arial"/>
            <w:sz w:val="15"/>
            <w:szCs w:val="15"/>
            <w:u w:val="single" w:color="auto"/>
            <w:color w:val="0000EE"/>
          </w:rPr>
          <w:t>March 16, 2021</w:t>
        </w:r>
        <w:r>
          <w:rPr>
            <w:rFonts w:ascii="Arial" w:cs="Arial" w:eastAsia="Arial" w:hAnsi="Arial"/>
            <w:sz w:val="15"/>
            <w:szCs w:val="15"/>
            <w:color w:val="auto"/>
          </w:rPr>
          <w:t xml:space="preserve">, </w:t>
        </w:r>
        <w:r>
          <w:rPr>
            <w:rFonts w:ascii="Arial" w:cs="Arial" w:eastAsia="Arial" w:hAnsi="Arial"/>
            <w:sz w:val="15"/>
            <w:szCs w:val="15"/>
            <w:u w:val="single" w:color="auto"/>
            <w:color w:val="0000EE"/>
          </w:rPr>
          <w:t>May 3, 2021</w:t>
        </w:r>
        <w:r>
          <w:rPr>
            <w:rFonts w:ascii="Arial" w:cs="Arial" w:eastAsia="Arial" w:hAnsi="Arial"/>
            <w:sz w:val="15"/>
            <w:szCs w:val="15"/>
            <w:color w:val="auto"/>
          </w:rPr>
          <w:t xml:space="preserve">, </w:t>
        </w:r>
        <w:r>
          <w:rPr>
            <w:rFonts w:ascii="Arial" w:cs="Arial" w:eastAsia="Arial" w:hAnsi="Arial"/>
            <w:sz w:val="15"/>
            <w:szCs w:val="15"/>
            <w:u w:val="single" w:color="auto"/>
            <w:color w:val="0000EE"/>
          </w:rPr>
          <w:t>May 12,</w:t>
        </w:r>
      </w:hyperlink>
      <w:r>
        <w:rPr>
          <w:rFonts w:ascii="Arial" w:cs="Arial" w:eastAsia="Arial" w:hAnsi="Arial"/>
          <w:sz w:val="15"/>
          <w:szCs w:val="15"/>
          <w:color w:val="auto"/>
        </w:rPr>
        <w:t xml:space="preserve"> </w:t>
      </w:r>
      <w:hyperlink r:id="rId119">
        <w:r>
          <w:rPr>
            <w:rFonts w:ascii="Arial" w:cs="Arial" w:eastAsia="Arial" w:hAnsi="Arial"/>
            <w:sz w:val="15"/>
            <w:szCs w:val="15"/>
            <w:u w:val="single" w:color="auto"/>
            <w:color w:val="0000EE"/>
          </w:rPr>
          <w:t>2021</w:t>
        </w:r>
        <w:r>
          <w:rPr>
            <w:rFonts w:ascii="Arial" w:cs="Arial" w:eastAsia="Arial" w:hAnsi="Arial"/>
            <w:sz w:val="15"/>
            <w:szCs w:val="15"/>
            <w:color w:val="000000"/>
          </w:rPr>
          <w:t>,</w:t>
        </w:r>
        <w:r>
          <w:rPr>
            <w:rFonts w:ascii="Arial" w:cs="Arial" w:eastAsia="Arial" w:hAnsi="Arial"/>
            <w:sz w:val="15"/>
            <w:szCs w:val="15"/>
            <w:color w:val="0000EE"/>
          </w:rPr>
          <w:t xml:space="preserve"> </w:t>
        </w:r>
      </w:hyperlink>
      <w:hyperlink r:id="rId120">
        <w:r>
          <w:rPr>
            <w:rFonts w:ascii="Arial" w:cs="Arial" w:eastAsia="Arial" w:hAnsi="Arial"/>
            <w:sz w:val="15"/>
            <w:szCs w:val="15"/>
            <w:u w:val="single" w:color="auto"/>
            <w:color w:val="0000EE"/>
          </w:rPr>
          <w:t>June 8, 2021</w:t>
        </w:r>
      </w:hyperlink>
      <w:hyperlink r:id="rId119">
        <w:r>
          <w:rPr>
            <w:rFonts w:ascii="Arial" w:cs="Arial" w:eastAsia="Arial" w:hAnsi="Arial"/>
            <w:sz w:val="15"/>
            <w:szCs w:val="15"/>
            <w:color w:val="000000"/>
          </w:rPr>
          <w:t>,</w:t>
        </w:r>
        <w:r>
          <w:rPr>
            <w:rFonts w:ascii="Arial" w:cs="Arial" w:eastAsia="Arial" w:hAnsi="Arial"/>
            <w:sz w:val="15"/>
            <w:szCs w:val="15"/>
            <w:color w:val="0000EE"/>
          </w:rPr>
          <w:t xml:space="preserve"> </w:t>
        </w:r>
      </w:hyperlink>
      <w:hyperlink r:id="rId121">
        <w:r>
          <w:rPr>
            <w:rFonts w:ascii="Arial" w:cs="Arial" w:eastAsia="Arial" w:hAnsi="Arial"/>
            <w:sz w:val="15"/>
            <w:szCs w:val="15"/>
            <w:u w:val="single" w:color="auto"/>
            <w:color w:val="0000EE"/>
          </w:rPr>
          <w:t>June 10, 2021</w:t>
        </w:r>
      </w:hyperlink>
      <w:hyperlink r:id="rId119">
        <w:r>
          <w:rPr>
            <w:rFonts w:ascii="Arial" w:cs="Arial" w:eastAsia="Arial" w:hAnsi="Arial"/>
            <w:sz w:val="15"/>
            <w:szCs w:val="15"/>
            <w:color w:val="000000"/>
          </w:rPr>
          <w:t>,</w:t>
        </w:r>
        <w:r>
          <w:rPr>
            <w:rFonts w:ascii="Arial" w:cs="Arial" w:eastAsia="Arial" w:hAnsi="Arial"/>
            <w:sz w:val="15"/>
            <w:szCs w:val="15"/>
            <w:color w:val="0000EE"/>
          </w:rPr>
          <w:t xml:space="preserve"> </w:t>
        </w:r>
      </w:hyperlink>
      <w:hyperlink r:id="rId122">
        <w:r>
          <w:rPr>
            <w:rFonts w:ascii="Arial" w:cs="Arial" w:eastAsia="Arial" w:hAnsi="Arial"/>
            <w:sz w:val="15"/>
            <w:szCs w:val="15"/>
            <w:u w:val="single" w:color="auto"/>
            <w:color w:val="0000EE"/>
          </w:rPr>
          <w:t>June 24, 2021</w:t>
        </w:r>
      </w:hyperlink>
      <w:hyperlink r:id="rId119">
        <w:r>
          <w:rPr>
            <w:rFonts w:ascii="Arial" w:cs="Arial" w:eastAsia="Arial" w:hAnsi="Arial"/>
            <w:sz w:val="15"/>
            <w:szCs w:val="15"/>
            <w:color w:val="000000"/>
          </w:rPr>
          <w:t>,</w:t>
        </w:r>
        <w:r>
          <w:rPr>
            <w:rFonts w:ascii="Arial" w:cs="Arial" w:eastAsia="Arial" w:hAnsi="Arial"/>
            <w:sz w:val="15"/>
            <w:szCs w:val="15"/>
            <w:color w:val="0000EE"/>
          </w:rPr>
          <w:t xml:space="preserve"> </w:t>
        </w:r>
      </w:hyperlink>
      <w:hyperlink r:id="rId123">
        <w:r>
          <w:rPr>
            <w:rFonts w:ascii="Arial" w:cs="Arial" w:eastAsia="Arial" w:hAnsi="Arial"/>
            <w:sz w:val="15"/>
            <w:szCs w:val="15"/>
            <w:u w:val="single" w:color="auto"/>
            <w:color w:val="0000EE"/>
          </w:rPr>
          <w:t>July 6, 2021</w:t>
        </w:r>
      </w:hyperlink>
      <w:hyperlink r:id="rId119">
        <w:r>
          <w:rPr>
            <w:rFonts w:ascii="Arial" w:cs="Arial" w:eastAsia="Arial" w:hAnsi="Arial"/>
            <w:sz w:val="15"/>
            <w:szCs w:val="15"/>
            <w:color w:val="000000"/>
          </w:rPr>
          <w:t>,</w:t>
        </w:r>
        <w:r>
          <w:rPr>
            <w:rFonts w:ascii="Arial" w:cs="Arial" w:eastAsia="Arial" w:hAnsi="Arial"/>
            <w:sz w:val="15"/>
            <w:szCs w:val="15"/>
            <w:color w:val="0000EE"/>
          </w:rPr>
          <w:t xml:space="preserve"> </w:t>
        </w:r>
      </w:hyperlink>
      <w:hyperlink r:id="rId124">
        <w:r>
          <w:rPr>
            <w:rFonts w:ascii="Arial" w:cs="Arial" w:eastAsia="Arial" w:hAnsi="Arial"/>
            <w:sz w:val="15"/>
            <w:szCs w:val="15"/>
            <w:u w:val="single" w:color="auto"/>
            <w:color w:val="0000EE"/>
          </w:rPr>
          <w:t>July 21, 2021</w:t>
        </w:r>
      </w:hyperlink>
      <w:hyperlink r:id="rId119">
        <w:r>
          <w:rPr>
            <w:rFonts w:ascii="Arial" w:cs="Arial" w:eastAsia="Arial" w:hAnsi="Arial"/>
            <w:sz w:val="15"/>
            <w:szCs w:val="15"/>
            <w:color w:val="000000"/>
          </w:rPr>
          <w:t>,</w:t>
        </w:r>
        <w:r>
          <w:rPr>
            <w:rFonts w:ascii="Arial" w:cs="Arial" w:eastAsia="Arial" w:hAnsi="Arial"/>
            <w:sz w:val="15"/>
            <w:szCs w:val="15"/>
            <w:color w:val="0000EE"/>
          </w:rPr>
          <w:t xml:space="preserve"> </w:t>
        </w:r>
      </w:hyperlink>
      <w:hyperlink r:id="rId125">
        <w:r>
          <w:rPr>
            <w:rFonts w:ascii="Arial" w:cs="Arial" w:eastAsia="Arial" w:hAnsi="Arial"/>
            <w:sz w:val="15"/>
            <w:szCs w:val="15"/>
            <w:u w:val="single" w:color="auto"/>
            <w:color w:val="0000EE"/>
          </w:rPr>
          <w:t>August 23, 2021</w:t>
        </w:r>
      </w:hyperlink>
      <w:hyperlink r:id="rId119">
        <w:r>
          <w:rPr>
            <w:rFonts w:ascii="Arial" w:cs="Arial" w:eastAsia="Arial" w:hAnsi="Arial"/>
            <w:sz w:val="15"/>
            <w:szCs w:val="15"/>
            <w:color w:val="000000"/>
          </w:rPr>
          <w:t>,</w:t>
        </w:r>
        <w:r>
          <w:rPr>
            <w:rFonts w:ascii="Arial" w:cs="Arial" w:eastAsia="Arial" w:hAnsi="Arial"/>
            <w:sz w:val="15"/>
            <w:szCs w:val="15"/>
            <w:color w:val="0000EE"/>
          </w:rPr>
          <w:t xml:space="preserve"> </w:t>
        </w:r>
      </w:hyperlink>
      <w:hyperlink r:id="rId126">
        <w:r>
          <w:rPr>
            <w:rFonts w:ascii="Arial" w:cs="Arial" w:eastAsia="Arial" w:hAnsi="Arial"/>
            <w:sz w:val="15"/>
            <w:szCs w:val="15"/>
            <w:u w:val="single" w:color="auto"/>
            <w:color w:val="0000EE"/>
          </w:rPr>
          <w:t xml:space="preserve">August 26, 2021 </w:t>
        </w:r>
      </w:hyperlink>
      <w:hyperlink r:id="rId119">
        <w:r>
          <w:rPr>
            <w:rFonts w:ascii="Arial" w:cs="Arial" w:eastAsia="Arial" w:hAnsi="Arial"/>
            <w:sz w:val="15"/>
            <w:szCs w:val="15"/>
            <w:color w:val="000000"/>
          </w:rPr>
          <w:t>and</w:t>
        </w:r>
        <w:r>
          <w:rPr>
            <w:rFonts w:ascii="Arial" w:cs="Arial" w:eastAsia="Arial" w:hAnsi="Arial"/>
            <w:sz w:val="15"/>
            <w:szCs w:val="15"/>
            <w:color w:val="0000EE"/>
          </w:rPr>
          <w:t xml:space="preserve"> </w:t>
        </w:r>
      </w:hyperlink>
      <w:hyperlink r:id="rId127">
        <w:r>
          <w:rPr>
            <w:rFonts w:ascii="Arial" w:cs="Arial" w:eastAsia="Arial" w:hAnsi="Arial"/>
            <w:sz w:val="15"/>
            <w:szCs w:val="15"/>
            <w:u w:val="single" w:color="auto"/>
            <w:color w:val="0000EE"/>
          </w:rPr>
          <w:t>October 26, 2021</w:t>
        </w:r>
      </w:hyperlink>
      <w:r>
        <w:rPr>
          <w:rFonts w:ascii="Arial" w:cs="Arial" w:eastAsia="Arial" w:hAnsi="Arial"/>
          <w:sz w:val="15"/>
          <w:szCs w:val="15"/>
          <w:color w:val="000000"/>
        </w:rPr>
        <w:t>;</w:t>
      </w:r>
    </w:p>
    <w:p>
      <w:pPr>
        <w:spacing w:after="0" w:line="29" w:lineRule="exact"/>
        <w:rPr>
          <w:rFonts w:ascii="Arial" w:cs="Arial" w:eastAsia="Arial" w:hAnsi="Arial"/>
          <w:sz w:val="15"/>
          <w:szCs w:val="15"/>
          <w:color w:val="0000EE"/>
        </w:rPr>
      </w:pPr>
    </w:p>
    <w:p>
      <w:pPr>
        <w:ind w:left="1340" w:right="60" w:hanging="418"/>
        <w:spacing w:after="0" w:line="275" w:lineRule="auto"/>
        <w:tabs>
          <w:tab w:leader="none" w:pos="1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audited financial statements of Harvest Capital Credit Corporation included in Harvest Capital Credit Corporation’s Form 10-K for the year ended December 31, 2020, filed with the SEC on </w:t>
      </w:r>
      <w:hyperlink r:id="rId128">
        <w:r>
          <w:rPr>
            <w:rFonts w:ascii="Arial" w:cs="Arial" w:eastAsia="Arial" w:hAnsi="Arial"/>
            <w:sz w:val="17"/>
            <w:szCs w:val="17"/>
            <w:u w:val="single" w:color="auto"/>
            <w:color w:val="0000EE"/>
          </w:rPr>
          <w:t>March 12, 2021</w:t>
        </w:r>
      </w:hyperlink>
      <w:r>
        <w:rPr>
          <w:rFonts w:ascii="Arial" w:cs="Arial" w:eastAsia="Arial" w:hAnsi="Arial"/>
          <w:sz w:val="17"/>
          <w:szCs w:val="17"/>
          <w:color w:val="auto"/>
        </w:rPr>
        <w:t>;</w:t>
      </w:r>
    </w:p>
    <w:p>
      <w:pPr>
        <w:spacing w:after="0" w:line="75" w:lineRule="exact"/>
        <w:rPr>
          <w:rFonts w:ascii="Arial" w:cs="Arial" w:eastAsia="Arial" w:hAnsi="Arial"/>
          <w:sz w:val="17"/>
          <w:szCs w:val="17"/>
          <w:color w:val="auto"/>
        </w:rPr>
      </w:pPr>
    </w:p>
    <w:p>
      <w:pPr>
        <w:ind w:left="1340" w:right="140" w:hanging="418"/>
        <w:spacing w:after="0" w:line="275" w:lineRule="auto"/>
        <w:tabs>
          <w:tab w:leader="none" w:pos="1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unaudited financial statements of Harvest Capital Credit Corporation included in Harvest Capital Credit Corporation’s Form 10-Q for the quarter ended March 31, 2021, filed with the SEC on </w:t>
      </w:r>
      <w:hyperlink r:id="rId129">
        <w:r>
          <w:rPr>
            <w:rFonts w:ascii="Arial" w:cs="Arial" w:eastAsia="Arial" w:hAnsi="Arial"/>
            <w:sz w:val="17"/>
            <w:szCs w:val="17"/>
            <w:u w:val="single" w:color="auto"/>
            <w:color w:val="0000EE"/>
          </w:rPr>
          <w:t>May 7, 2021</w:t>
        </w:r>
      </w:hyperlink>
      <w:r>
        <w:rPr>
          <w:rFonts w:ascii="Arial" w:cs="Arial" w:eastAsia="Arial" w:hAnsi="Arial"/>
          <w:sz w:val="17"/>
          <w:szCs w:val="17"/>
          <w:color w:val="auto"/>
        </w:rPr>
        <w:t>; and</w:t>
      </w:r>
    </w:p>
    <w:p>
      <w:pPr>
        <w:spacing w:after="0" w:line="75" w:lineRule="exact"/>
        <w:rPr>
          <w:rFonts w:ascii="Arial" w:cs="Arial" w:eastAsia="Arial" w:hAnsi="Arial"/>
          <w:sz w:val="17"/>
          <w:szCs w:val="17"/>
          <w:color w:val="auto"/>
        </w:rPr>
      </w:pPr>
    </w:p>
    <w:p>
      <w:pPr>
        <w:ind w:left="1340" w:right="800" w:hanging="418"/>
        <w:spacing w:after="0" w:line="275" w:lineRule="auto"/>
        <w:tabs>
          <w:tab w:leader="none" w:pos="1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description of shares of our common stock contained in a registration statement filed pursuant to the Exchange Act and any amendment or report filed for the purpose of updating such description.</w:t>
      </w:r>
    </w:p>
    <w:p>
      <w:pPr>
        <w:spacing w:after="0" w:line="165" w:lineRule="exact"/>
        <w:rPr>
          <w:rFonts w:ascii="Arial" w:cs="Arial" w:eastAsia="Arial" w:hAnsi="Arial"/>
          <w:sz w:val="17"/>
          <w:szCs w:val="17"/>
          <w:color w:val="auto"/>
        </w:rPr>
      </w:pPr>
    </w:p>
    <w:p>
      <w:pPr>
        <w:ind w:left="820"/>
        <w:spacing w:after="0"/>
        <w:rPr>
          <w:sz w:val="20"/>
          <w:szCs w:val="20"/>
          <w:color w:val="auto"/>
        </w:rPr>
      </w:pPr>
      <w:r>
        <w:rPr>
          <w:rFonts w:ascii="Arial" w:cs="Arial" w:eastAsia="Arial" w:hAnsi="Arial"/>
          <w:sz w:val="17"/>
          <w:szCs w:val="17"/>
          <w:color w:val="auto"/>
        </w:rPr>
        <w:t>To obtain copies of these filings, see “Available Information.”</w:t>
      </w:r>
    </w:p>
    <w:p>
      <w:pPr>
        <w:spacing w:after="0" w:line="149" w:lineRule="exact"/>
        <w:rPr>
          <w:rFonts w:ascii="Arial" w:cs="Arial" w:eastAsia="Arial" w:hAnsi="Arial"/>
          <w:sz w:val="17"/>
          <w:szCs w:val="17"/>
          <w:color w:val="auto"/>
        </w:rPr>
      </w:pPr>
    </w:p>
    <w:p>
      <w:pPr>
        <w:jc w:val="center"/>
        <w:ind w:right="-4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820"/>
          </w:cols>
          <w:pgMar w:left="320" w:top="443" w:right="7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AVAILABLE INFORMATION</w:t>
      </w:r>
    </w:p>
    <w:p>
      <w:pPr>
        <w:spacing w:after="0" w:line="217" w:lineRule="exact"/>
        <w:rPr>
          <w:sz w:val="20"/>
          <w:szCs w:val="20"/>
          <w:color w:val="auto"/>
        </w:rPr>
      </w:pPr>
    </w:p>
    <w:p>
      <w:pPr>
        <w:ind w:left="420" w:firstLine="417"/>
        <w:spacing w:after="0" w:line="255" w:lineRule="auto"/>
        <w:rPr>
          <w:sz w:val="20"/>
          <w:szCs w:val="20"/>
          <w:color w:val="auto"/>
        </w:rPr>
      </w:pPr>
      <w:r>
        <w:rPr>
          <w:rFonts w:ascii="Arial" w:cs="Arial" w:eastAsia="Arial" w:hAnsi="Arial"/>
          <w:sz w:val="17"/>
          <w:szCs w:val="17"/>
          <w:color w:val="auto"/>
        </w:rPr>
        <w:t>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or incorporated by reference as an exhibit is qualified in all respects by such exhibit.</w:t>
      </w:r>
    </w:p>
    <w:p>
      <w:pPr>
        <w:spacing w:after="0" w:line="182" w:lineRule="exact"/>
        <w:rPr>
          <w:sz w:val="20"/>
          <w:szCs w:val="20"/>
          <w:color w:val="auto"/>
        </w:rPr>
      </w:pPr>
    </w:p>
    <w:p>
      <w:pPr>
        <w:ind w:left="420" w:right="20" w:firstLine="417"/>
        <w:spacing w:after="0" w:line="299" w:lineRule="auto"/>
        <w:rPr>
          <w:sz w:val="20"/>
          <w:szCs w:val="20"/>
          <w:color w:val="auto"/>
        </w:rPr>
      </w:pPr>
      <w:r>
        <w:rPr>
          <w:rFonts w:ascii="Arial" w:cs="Arial" w:eastAsia="Arial" w:hAnsi="Arial"/>
          <w:sz w:val="15"/>
          <w:szCs w:val="15"/>
          <w:color w:val="auto"/>
        </w:rPr>
        <w:t xml:space="preserve">We file with or submit to the SEC annual, quarterly and current reports, proxy statements and other information meeting the informational requirements of the Exchange Act. The SEC maintains a website that contains reports, proxy and information statements and other information filed electronically by us with the SEC, which are available free of charge at </w:t>
      </w:r>
      <w:r>
        <w:rPr>
          <w:rFonts w:ascii="Arial" w:cs="Arial" w:eastAsia="Arial" w:hAnsi="Arial"/>
          <w:sz w:val="15"/>
          <w:szCs w:val="15"/>
          <w:i w:val="1"/>
          <w:iCs w:val="1"/>
          <w:color w:val="auto"/>
        </w:rPr>
        <w:t>www.sec.gov</w:t>
      </w:r>
      <w:r>
        <w:rPr>
          <w:rFonts w:ascii="Arial" w:cs="Arial" w:eastAsia="Arial" w:hAnsi="Arial"/>
          <w:sz w:val="15"/>
          <w:szCs w:val="15"/>
          <w:color w:val="auto"/>
        </w:rPr>
        <w:t xml:space="preserve">. This information is also available free of charge by contacting us by telephone at (212) 891-2880 or on our website at </w:t>
      </w:r>
      <w:r>
        <w:rPr>
          <w:rFonts w:ascii="Arial" w:cs="Arial" w:eastAsia="Arial" w:hAnsi="Arial"/>
          <w:sz w:val="15"/>
          <w:szCs w:val="15"/>
          <w:i w:val="1"/>
          <w:iCs w:val="1"/>
          <w:color w:val="auto"/>
        </w:rPr>
        <w:t>www.portmanridge.com</w:t>
      </w:r>
      <w:r>
        <w:rPr>
          <w:rFonts w:ascii="Arial" w:cs="Arial" w:eastAsia="Arial" w:hAnsi="Arial"/>
          <w:sz w:val="15"/>
          <w:szCs w:val="15"/>
          <w:color w:val="auto"/>
        </w:rPr>
        <w:t>. Information contained on our website is not incorporated by reference into this prospectus or any prospectus supplement, and you should not consider that information to be part of this prospectus or any prospectus supplement.</w:t>
      </w:r>
    </w:p>
    <w:p>
      <w:pPr>
        <w:spacing w:after="0" w:line="152" w:lineRule="exact"/>
        <w:rPr>
          <w:sz w:val="20"/>
          <w:szCs w:val="20"/>
          <w:color w:val="auto"/>
        </w:rPr>
      </w:pPr>
    </w:p>
    <w:p>
      <w:pPr>
        <w:ind w:left="420" w:right="300" w:firstLine="417"/>
        <w:spacing w:after="0" w:line="344" w:lineRule="auto"/>
        <w:rPr>
          <w:sz w:val="20"/>
          <w:szCs w:val="20"/>
          <w:color w:val="auto"/>
        </w:rPr>
      </w:pPr>
      <w:r>
        <w:rPr>
          <w:rFonts w:ascii="Arial" w:cs="Arial" w:eastAsia="Arial" w:hAnsi="Arial"/>
          <w:sz w:val="15"/>
          <w:szCs w:val="15"/>
          <w:color w:val="auto"/>
        </w:rPr>
        <w:t>You can request a copy of any of our SEC filings (other than exhibits, unless the exhibits are specifically incorporated by reference into these documents), including those incorporated by reference herein, at no cost, by writing or telephoning us at the following address or telephone number:</w:t>
      </w:r>
    </w:p>
    <w:p>
      <w:pPr>
        <w:spacing w:after="0" w:line="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Portman Ridge Finance Corporation</w:t>
      </w:r>
    </w:p>
    <w:p>
      <w:pPr>
        <w:spacing w:after="0" w:line="2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650 Madison Avenue, 23</w:t>
      </w:r>
      <w:r>
        <w:rPr>
          <w:rFonts w:ascii="Arial" w:cs="Arial" w:eastAsia="Arial" w:hAnsi="Arial"/>
          <w:sz w:val="14"/>
          <w:szCs w:val="14"/>
          <w:color w:val="auto"/>
        </w:rPr>
        <w:t>rd</w:t>
      </w:r>
      <w:r>
        <w:rPr>
          <w:rFonts w:ascii="Arial" w:cs="Arial" w:eastAsia="Arial" w:hAnsi="Arial"/>
          <w:sz w:val="17"/>
          <w:szCs w:val="17"/>
          <w:color w:val="auto"/>
        </w:rPr>
        <w:t xml:space="preserve"> Floor</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New York, New York 10022</w:t>
      </w:r>
    </w:p>
    <w:p>
      <w:pPr>
        <w:spacing w:after="0" w:line="9" w:lineRule="exact"/>
        <w:rPr>
          <w:sz w:val="20"/>
          <w:szCs w:val="20"/>
          <w:color w:val="auto"/>
        </w:rPr>
      </w:pPr>
    </w:p>
    <w:p>
      <w:pPr>
        <w:jc w:val="both"/>
        <w:ind w:left="5100" w:right="4660" w:hanging="8"/>
        <w:spacing w:after="0" w:line="328" w:lineRule="auto"/>
        <w:tabs>
          <w:tab w:leader="none" w:pos="5497" w:val="left"/>
        </w:tabs>
        <w:numPr>
          <w:ilvl w:val="0"/>
          <w:numId w:val="45"/>
        </w:numPr>
        <w:rPr>
          <w:rFonts w:ascii="Arial" w:cs="Arial" w:eastAsia="Arial" w:hAnsi="Arial"/>
          <w:sz w:val="15"/>
          <w:szCs w:val="15"/>
          <w:color w:val="auto"/>
        </w:rPr>
      </w:pPr>
      <w:r>
        <w:rPr>
          <w:rFonts w:ascii="Arial" w:cs="Arial" w:eastAsia="Arial" w:hAnsi="Arial"/>
          <w:sz w:val="15"/>
          <w:szCs w:val="15"/>
          <w:color w:val="auto"/>
        </w:rPr>
        <w:t>891-2880 Attn: Secretary</w:t>
      </w:r>
    </w:p>
    <w:p>
      <w:pPr>
        <w:spacing w:after="0" w:line="6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820"/>
          </w:cols>
          <w:pgMar w:left="320" w:top="443" w:right="75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224790</wp:posOffset>
            </wp:positionV>
            <wp:extent cx="6620510" cy="241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6620510" cy="24130"/>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281940</wp:posOffset>
            </wp:positionV>
            <wp:extent cx="66205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6620510" cy="825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400"/>
        <w:spacing w:after="0"/>
        <w:rPr>
          <w:sz w:val="20"/>
          <w:szCs w:val="20"/>
          <w:color w:val="auto"/>
        </w:rPr>
      </w:pPr>
      <w:r>
        <w:rPr>
          <w:rFonts w:ascii="Arial" w:cs="Arial" w:eastAsia="Arial" w:hAnsi="Arial"/>
          <w:sz w:val="37"/>
          <w:szCs w:val="37"/>
          <w:b w:val="1"/>
          <w:bCs w:val="1"/>
          <w:color w:val="auto"/>
        </w:rPr>
        <w:t>Portman Ridge Finance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920"/>
        <w:spacing w:after="0"/>
        <w:rPr>
          <w:sz w:val="20"/>
          <w:szCs w:val="20"/>
          <w:color w:val="auto"/>
        </w:rPr>
      </w:pPr>
      <w:r>
        <w:rPr>
          <w:rFonts w:ascii="Arial" w:cs="Arial" w:eastAsia="Arial" w:hAnsi="Arial"/>
          <w:sz w:val="24"/>
          <w:szCs w:val="24"/>
          <w:b w:val="1"/>
          <w:bCs w:val="1"/>
          <w:color w:val="auto"/>
        </w:rPr>
        <w:t>576,899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1582420</wp:posOffset>
            </wp:positionV>
            <wp:extent cx="13957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226695</wp:posOffset>
            </wp:positionV>
            <wp:extent cx="13957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1395730" cy="825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2044065</wp:posOffset>
            </wp:positionV>
            <wp:extent cx="66205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6620510" cy="825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2101215</wp:posOffset>
            </wp:positionV>
            <wp:extent cx="6620510" cy="241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6620510" cy="24130"/>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type w:val="continuous"/>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PORTMAN RIDGE FINANCE CORPORATION</w:t>
      </w:r>
    </w:p>
    <w:p>
      <w:pPr>
        <w:spacing w:after="0" w:line="21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PART C</w:t>
      </w:r>
    </w:p>
    <w:p>
      <w:pPr>
        <w:spacing w:after="0" w:line="213"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OTHER INFORMATION</w:t>
      </w:r>
    </w:p>
    <w:p>
      <w:pPr>
        <w:spacing w:after="0" w:line="316"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Item 25. Financial Statements and Exhibits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 Financial statements</w:t>
      </w:r>
    </w:p>
    <w:p>
      <w:pPr>
        <w:spacing w:after="0" w:line="213" w:lineRule="exact"/>
        <w:rPr>
          <w:sz w:val="20"/>
          <w:szCs w:val="20"/>
          <w:color w:val="auto"/>
        </w:rPr>
      </w:pPr>
    </w:p>
    <w:p>
      <w:pPr>
        <w:ind w:left="420" w:right="3520" w:firstLine="417"/>
        <w:spacing w:after="0" w:line="259" w:lineRule="auto"/>
        <w:rPr>
          <w:sz w:val="20"/>
          <w:szCs w:val="20"/>
          <w:color w:val="auto"/>
        </w:rPr>
      </w:pPr>
      <w:r>
        <w:rPr>
          <w:rFonts w:ascii="Arial" w:cs="Arial" w:eastAsia="Arial" w:hAnsi="Arial"/>
          <w:sz w:val="17"/>
          <w:szCs w:val="17"/>
          <w:color w:val="auto"/>
        </w:rPr>
        <w:t>The unaudited consolidated financial statements of Portman Ridge Finance Corporation as of September 30, 2021 and for each of the nine months ended September 30, 2021 and 2020 have been incorporated by reference in this registration statement in “Part A—Information Required in a Prospectus.”</w:t>
      </w:r>
    </w:p>
    <w:p>
      <w:pPr>
        <w:spacing w:after="0" w:line="178" w:lineRule="exact"/>
        <w:rPr>
          <w:sz w:val="20"/>
          <w:szCs w:val="20"/>
          <w:color w:val="auto"/>
        </w:rPr>
      </w:pPr>
    </w:p>
    <w:p>
      <w:pPr>
        <w:jc w:val="both"/>
        <w:ind w:left="420" w:right="100" w:firstLine="417"/>
        <w:spacing w:after="0" w:line="263" w:lineRule="auto"/>
        <w:rPr>
          <w:sz w:val="20"/>
          <w:szCs w:val="20"/>
          <w:color w:val="auto"/>
        </w:rPr>
      </w:pPr>
      <w:r>
        <w:rPr>
          <w:rFonts w:ascii="Arial" w:cs="Arial" w:eastAsia="Arial" w:hAnsi="Arial"/>
          <w:sz w:val="17"/>
          <w:szCs w:val="17"/>
          <w:color w:val="auto"/>
        </w:rPr>
        <w:t>The consolidated financial statements of Portman Ridge Finance Corporation appearing in Portman Ridge Finance Corporation’s Annual Report on Form 10-K for the year ended December 31, 2020, have been incorporated herein by reference in this registration statement in “Part A-Information Required in a Prospectus.”</w:t>
      </w:r>
    </w:p>
    <w:p>
      <w:pPr>
        <w:spacing w:after="0" w:line="175" w:lineRule="exact"/>
        <w:rPr>
          <w:sz w:val="20"/>
          <w:szCs w:val="20"/>
          <w:color w:val="auto"/>
        </w:rPr>
      </w:pPr>
    </w:p>
    <w:p>
      <w:pPr>
        <w:ind w:left="420" w:right="3140" w:firstLine="417"/>
        <w:spacing w:after="0" w:line="314" w:lineRule="auto"/>
        <w:rPr>
          <w:sz w:val="20"/>
          <w:szCs w:val="20"/>
          <w:color w:val="auto"/>
        </w:rPr>
      </w:pPr>
      <w:r>
        <w:rPr>
          <w:rFonts w:ascii="Arial" w:cs="Arial" w:eastAsia="Arial" w:hAnsi="Arial"/>
          <w:sz w:val="15"/>
          <w:szCs w:val="15"/>
          <w:color w:val="auto"/>
        </w:rPr>
        <w:t>The unaudited consolidated financial statements of Harvest Capital Credit Corporation as of March 31, 2021 and for each of the three months ended March 31, 2021 and 2020 have been incorporated by reference in this registration statement in “Part A—Information Required in a Prospectus.”</w:t>
      </w:r>
    </w:p>
    <w:p>
      <w:pPr>
        <w:spacing w:after="0" w:line="141" w:lineRule="exact"/>
        <w:rPr>
          <w:sz w:val="20"/>
          <w:szCs w:val="20"/>
          <w:color w:val="auto"/>
        </w:rPr>
      </w:pPr>
    </w:p>
    <w:p>
      <w:pPr>
        <w:ind w:left="420" w:right="40" w:firstLine="417"/>
        <w:spacing w:after="0" w:line="263" w:lineRule="auto"/>
        <w:rPr>
          <w:sz w:val="20"/>
          <w:szCs w:val="20"/>
          <w:color w:val="auto"/>
        </w:rPr>
      </w:pPr>
      <w:r>
        <w:rPr>
          <w:rFonts w:ascii="Arial" w:cs="Arial" w:eastAsia="Arial" w:hAnsi="Arial"/>
          <w:sz w:val="17"/>
          <w:szCs w:val="17"/>
          <w:color w:val="auto"/>
        </w:rPr>
        <w:t>The consolidated financial statements of Harvest Capital Credit Corporation appearing in Harvest Capital Credit Corporation’s Annual Report on Form 10-K for the year ended December 31, 2020, have been incorporated herein by reference in this registration statement in “Part A-Information Required in a Prospectus.”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(2) Exhibits</w:t>
      </w:r>
    </w:p>
    <w:p>
      <w:pPr>
        <w:spacing w:after="0" w:line="239" w:lineRule="exact"/>
        <w:rPr>
          <w:sz w:val="20"/>
          <w:szCs w:val="20"/>
          <w:color w:val="auto"/>
        </w:rPr>
      </w:pPr>
    </w:p>
    <w:p>
      <w:pPr>
        <w:ind w:left="1100" w:hanging="679"/>
        <w:spacing w:after="0" w:line="275" w:lineRule="auto"/>
        <w:tabs>
          <w:tab w:leader="none" w:pos="1080" w:val="left"/>
        </w:tabs>
        <w:rPr>
          <w:rFonts w:ascii="Arial" w:cs="Arial" w:eastAsia="Arial" w:hAnsi="Arial"/>
          <w:sz w:val="17"/>
          <w:szCs w:val="17"/>
          <w:u w:val="single" w:color="auto"/>
          <w:color w:val="0000EE"/>
        </w:rPr>
      </w:pPr>
      <w:r>
        <w:rPr>
          <w:rFonts w:ascii="Arial" w:cs="Arial" w:eastAsia="Arial" w:hAnsi="Arial"/>
          <w:sz w:val="17"/>
          <w:szCs w:val="17"/>
          <w:color w:val="auto"/>
        </w:rPr>
        <w:t>(a)(1)</w:t>
      </w:r>
      <w:r>
        <w:rPr>
          <w:sz w:val="20"/>
          <w:szCs w:val="20"/>
          <w:color w:val="auto"/>
        </w:rPr>
        <w:tab/>
      </w:r>
      <w:hyperlink r:id="rId139">
        <w:r>
          <w:rPr>
            <w:rFonts w:ascii="Arial" w:cs="Arial" w:eastAsia="Arial" w:hAnsi="Arial"/>
            <w:sz w:val="17"/>
            <w:szCs w:val="17"/>
            <w:u w:val="single" w:color="auto"/>
            <w:color w:val="0000EE"/>
          </w:rPr>
          <w:t>Form of Certificate of Incorporation of the Company (incorporated by reference to Exhibit A of the Pre-Effective Amendment No. 1 on Form</w:t>
        </w:r>
      </w:hyperlink>
      <w:r>
        <w:rPr>
          <w:rFonts w:ascii="Arial" w:cs="Arial" w:eastAsia="Arial" w:hAnsi="Arial"/>
          <w:sz w:val="17"/>
          <w:szCs w:val="17"/>
          <w:u w:val="single" w:color="auto"/>
          <w:color w:val="0000EE"/>
        </w:rPr>
        <w:t xml:space="preserve"> </w:t>
      </w:r>
      <w:hyperlink r:id="rId139">
        <w:r>
          <w:rPr>
            <w:rFonts w:ascii="Arial" w:cs="Arial" w:eastAsia="Arial" w:hAnsi="Arial"/>
            <w:sz w:val="17"/>
            <w:szCs w:val="17"/>
            <w:u w:val="single" w:color="auto"/>
            <w:color w:val="0000EE"/>
          </w:rPr>
          <w:t>N-2 filed on October 6, 2006).</w:t>
        </w:r>
      </w:hyperlink>
    </w:p>
    <w:p>
      <w:pPr>
        <w:spacing w:after="0" w:line="63" w:lineRule="exact"/>
        <w:rPr>
          <w:sz w:val="20"/>
          <w:szCs w:val="20"/>
          <w:color w:val="auto"/>
        </w:rPr>
      </w:pPr>
    </w:p>
    <w:p>
      <w:pPr>
        <w:ind w:left="420"/>
        <w:spacing w:after="0"/>
        <w:tabs>
          <w:tab w:leader="none" w:pos="1080" w:val="left"/>
        </w:tabs>
        <w:rPr>
          <w:rFonts w:ascii="Arial" w:cs="Arial" w:eastAsia="Arial" w:hAnsi="Arial"/>
          <w:sz w:val="17"/>
          <w:szCs w:val="17"/>
          <w:u w:val="single" w:color="auto"/>
          <w:color w:val="0000EE"/>
        </w:rPr>
      </w:pPr>
      <w:r>
        <w:rPr>
          <w:rFonts w:ascii="Arial" w:cs="Arial" w:eastAsia="Arial" w:hAnsi="Arial"/>
          <w:sz w:val="17"/>
          <w:szCs w:val="17"/>
          <w:color w:val="auto"/>
        </w:rPr>
        <w:t>(a)(2)</w:t>
      </w:r>
      <w:r>
        <w:rPr>
          <w:sz w:val="20"/>
          <w:szCs w:val="20"/>
          <w:color w:val="auto"/>
        </w:rPr>
        <w:tab/>
      </w:r>
      <w:hyperlink r:id="rId140">
        <w:r>
          <w:rPr>
            <w:rFonts w:ascii="Arial" w:cs="Arial" w:eastAsia="Arial" w:hAnsi="Arial"/>
            <w:sz w:val="17"/>
            <w:szCs w:val="17"/>
            <w:u w:val="single" w:color="auto"/>
            <w:color w:val="0000EE"/>
          </w:rPr>
          <w:t>Certificate of Amendment (incorporated by reference to Exhibit 3.1 of the Current Report on Form 8-K filed April 2, 2019).</w:t>
        </w:r>
      </w:hyperlink>
    </w:p>
    <w:p>
      <w:pPr>
        <w:spacing w:after="0" w:line="111" w:lineRule="exact"/>
        <w:rPr>
          <w:sz w:val="20"/>
          <w:szCs w:val="20"/>
          <w:color w:val="auto"/>
        </w:rPr>
      </w:pPr>
    </w:p>
    <w:p>
      <w:pPr>
        <w:ind w:left="1100" w:right="440" w:hanging="679"/>
        <w:spacing w:after="0" w:line="308" w:lineRule="auto"/>
        <w:tabs>
          <w:tab w:leader="none" w:pos="1080" w:val="left"/>
        </w:tabs>
        <w:rPr>
          <w:rFonts w:ascii="Arial" w:cs="Arial" w:eastAsia="Arial" w:hAnsi="Arial"/>
          <w:sz w:val="16"/>
          <w:szCs w:val="16"/>
          <w:u w:val="single" w:color="auto"/>
          <w:color w:val="0000EE"/>
        </w:rPr>
      </w:pPr>
      <w:r>
        <w:rPr>
          <w:rFonts w:ascii="Arial" w:cs="Arial" w:eastAsia="Arial" w:hAnsi="Arial"/>
          <w:sz w:val="16"/>
          <w:szCs w:val="16"/>
          <w:color w:val="auto"/>
        </w:rPr>
        <w:t>(a)(3)</w:t>
      </w:r>
      <w:r>
        <w:rPr>
          <w:sz w:val="20"/>
          <w:szCs w:val="20"/>
          <w:color w:val="auto"/>
        </w:rPr>
        <w:tab/>
      </w:r>
      <w:hyperlink r:id="rId141">
        <w:r>
          <w:rPr>
            <w:rFonts w:ascii="Arial" w:cs="Arial" w:eastAsia="Arial" w:hAnsi="Arial"/>
            <w:sz w:val="16"/>
            <w:szCs w:val="16"/>
            <w:u w:val="single" w:color="auto"/>
            <w:color w:val="0000EE"/>
          </w:rPr>
          <w:t>Certificate of Amendment to Certificate of Incorporation of Portman Ridge Finance Corporation (the Reverse Stock Split Certificate of</w:t>
        </w:r>
      </w:hyperlink>
      <w:r>
        <w:rPr>
          <w:rFonts w:ascii="Arial" w:cs="Arial" w:eastAsia="Arial" w:hAnsi="Arial"/>
          <w:sz w:val="16"/>
          <w:szCs w:val="16"/>
          <w:u w:val="single" w:color="auto"/>
          <w:color w:val="0000EE"/>
        </w:rPr>
        <w:t xml:space="preserve"> </w:t>
      </w:r>
      <w:hyperlink r:id="rId141">
        <w:r>
          <w:rPr>
            <w:rFonts w:ascii="Arial" w:cs="Arial" w:eastAsia="Arial" w:hAnsi="Arial"/>
            <w:sz w:val="16"/>
            <w:szCs w:val="16"/>
            <w:u w:val="single" w:color="auto"/>
            <w:color w:val="0000EE"/>
          </w:rPr>
          <w:t>Amendment) (incorporated by reference to Exhibit 3.1 of the Current Report on Form 8-K filed August 26, 2021).</w:t>
        </w:r>
      </w:hyperlink>
    </w:p>
    <w:p>
      <w:pPr>
        <w:spacing w:after="0" w:line="39" w:lineRule="exact"/>
        <w:rPr>
          <w:sz w:val="20"/>
          <w:szCs w:val="20"/>
          <w:color w:val="auto"/>
        </w:rPr>
      </w:pPr>
    </w:p>
    <w:p>
      <w:pPr>
        <w:ind w:left="1100" w:right="700" w:hanging="679"/>
        <w:spacing w:after="0" w:line="308" w:lineRule="auto"/>
        <w:tabs>
          <w:tab w:leader="none" w:pos="1080" w:val="left"/>
        </w:tabs>
        <w:rPr>
          <w:rFonts w:ascii="Arial" w:cs="Arial" w:eastAsia="Arial" w:hAnsi="Arial"/>
          <w:sz w:val="16"/>
          <w:szCs w:val="16"/>
          <w:u w:val="single" w:color="auto"/>
          <w:color w:val="0000EE"/>
        </w:rPr>
      </w:pPr>
      <w:r>
        <w:rPr>
          <w:rFonts w:ascii="Arial" w:cs="Arial" w:eastAsia="Arial" w:hAnsi="Arial"/>
          <w:sz w:val="16"/>
          <w:szCs w:val="16"/>
          <w:color w:val="auto"/>
        </w:rPr>
        <w:t>(a)(4)</w:t>
      </w:r>
      <w:r>
        <w:rPr>
          <w:sz w:val="20"/>
          <w:szCs w:val="20"/>
          <w:color w:val="auto"/>
        </w:rPr>
        <w:tab/>
      </w:r>
      <w:hyperlink r:id="rId142">
        <w:r>
          <w:rPr>
            <w:rFonts w:ascii="Arial" w:cs="Arial" w:eastAsia="Arial" w:hAnsi="Arial"/>
            <w:sz w:val="16"/>
            <w:szCs w:val="16"/>
            <w:u w:val="single" w:color="auto"/>
            <w:color w:val="0000EE"/>
          </w:rPr>
          <w:t>Certificate of Amendment to Certificate of Incorporation of Portman Ridge Finance Corporation (the decrease Shares Certificate of</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Amendment) (incorporated by reference to Exhibit 3.2 of the Current Report on Form 8-K filed August 26, 2021).</w:t>
        </w:r>
      </w:hyperlink>
    </w:p>
    <w:p>
      <w:pPr>
        <w:spacing w:after="0" w:line="39" w:lineRule="exact"/>
        <w:rPr>
          <w:sz w:val="20"/>
          <w:szCs w:val="20"/>
          <w:color w:val="auto"/>
        </w:rPr>
      </w:pPr>
    </w:p>
    <w:p>
      <w:pPr>
        <w:ind w:left="1100" w:hanging="689"/>
        <w:spacing w:after="0" w:line="275" w:lineRule="auto"/>
        <w:tabs>
          <w:tab w:leader="none" w:pos="1100" w:val="left"/>
        </w:tabs>
        <w:numPr>
          <w:ilvl w:val="0"/>
          <w:numId w:val="46"/>
        </w:numPr>
        <w:rPr>
          <w:rFonts w:ascii="Arial" w:cs="Arial" w:eastAsia="Arial" w:hAnsi="Arial"/>
          <w:sz w:val="17"/>
          <w:szCs w:val="17"/>
          <w:u w:val="single" w:color="auto"/>
          <w:color w:val="0000EE"/>
        </w:rPr>
      </w:pPr>
      <w:hyperlink r:id="rId143">
        <w:r>
          <w:rPr>
            <w:rFonts w:ascii="Arial" w:cs="Arial" w:eastAsia="Arial" w:hAnsi="Arial"/>
            <w:sz w:val="17"/>
            <w:szCs w:val="17"/>
            <w:u w:val="single" w:color="auto"/>
            <w:color w:val="0000EE"/>
          </w:rPr>
          <w:t>Third Amended and Restated Bylaws of Portman Ridge Finance Corporation, dated as of July 20, 2021 (previously filed as Exhibit 3.1 to the</w:t>
        </w:r>
      </w:hyperlink>
      <w:r>
        <w:rPr>
          <w:rFonts w:ascii="Arial" w:cs="Arial" w:eastAsia="Arial" w:hAnsi="Arial"/>
          <w:sz w:val="17"/>
          <w:szCs w:val="17"/>
          <w:u w:val="single" w:color="auto"/>
          <w:color w:val="0000EE"/>
        </w:rPr>
        <w:t xml:space="preserve"> </w:t>
      </w:r>
      <w:hyperlink r:id="rId143">
        <w:r>
          <w:rPr>
            <w:rFonts w:ascii="Arial" w:cs="Arial" w:eastAsia="Arial" w:hAnsi="Arial"/>
            <w:sz w:val="17"/>
            <w:szCs w:val="17"/>
            <w:u w:val="single" w:color="auto"/>
            <w:color w:val="0000EE"/>
          </w:rPr>
          <w:t>Company’s Current Report on Form 8-K filed on July 21, 2017 and herein incorporated by reference).</w:t>
        </w:r>
      </w:hyperlink>
    </w:p>
    <w:p>
      <w:pPr>
        <w:spacing w:after="0" w:line="63" w:lineRule="exact"/>
        <w:rPr>
          <w:rFonts w:ascii="Arial" w:cs="Arial" w:eastAsia="Arial" w:hAnsi="Arial"/>
          <w:sz w:val="17"/>
          <w:szCs w:val="17"/>
          <w:u w:val="single" w:color="auto"/>
          <w:color w:val="0000EE"/>
        </w:rPr>
      </w:pPr>
    </w:p>
    <w:p>
      <w:pPr>
        <w:ind w:left="1100" w:hanging="689"/>
        <w:spacing w:after="0"/>
        <w:tabs>
          <w:tab w:leader="none" w:pos="11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49" w:lineRule="exact"/>
        <w:rPr>
          <w:rFonts w:ascii="Arial" w:cs="Arial" w:eastAsia="Arial" w:hAnsi="Arial"/>
          <w:sz w:val="17"/>
          <w:szCs w:val="17"/>
          <w:color w:val="auto"/>
        </w:rPr>
      </w:pPr>
    </w:p>
    <w:p>
      <w:pPr>
        <w:jc w:val="center"/>
        <w:ind w:right="-479"/>
        <w:spacing w:after="0"/>
        <w:rPr>
          <w:sz w:val="20"/>
          <w:szCs w:val="20"/>
          <w:color w:val="auto"/>
        </w:rPr>
      </w:pPr>
      <w:r>
        <w:rPr>
          <w:rFonts w:ascii="Arial" w:cs="Arial" w:eastAsia="Arial" w:hAnsi="Arial"/>
          <w:sz w:val="17"/>
          <w:szCs w:val="17"/>
          <w:color w:val="auto"/>
        </w:rPr>
        <w:t>C-1</w:t>
      </w:r>
    </w:p>
    <w:p>
      <w:pPr>
        <w:sectPr>
          <w:pgSz w:w="11900" w:h="16838" w:orient="portrait"/>
          <w:cols w:equalWidth="0" w:num="1">
            <w:col w:w="10760"/>
          </w:cols>
          <w:pgMar w:left="320" w:top="443" w:right="81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1220" w:right="800" w:hanging="799"/>
        <w:spacing w:after="0" w:line="275"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(d)(1)</w:t>
      </w:r>
      <w:r>
        <w:rPr>
          <w:sz w:val="20"/>
          <w:szCs w:val="20"/>
          <w:color w:val="auto"/>
        </w:rPr>
        <w:tab/>
      </w:r>
      <w:hyperlink r:id="rId145">
        <w:r>
          <w:rPr>
            <w:rFonts w:ascii="Arial" w:cs="Arial" w:eastAsia="Arial" w:hAnsi="Arial"/>
            <w:sz w:val="17"/>
            <w:szCs w:val="17"/>
            <w:u w:val="single" w:color="auto"/>
            <w:color w:val="0000EE"/>
          </w:rPr>
          <w:t>Specimen certificate of the Company’s common stock, par value $0.01 per share (incorporated by reference to Exhibit D.1 of the</w:t>
        </w:r>
      </w:hyperlink>
      <w:r>
        <w:rPr>
          <w:rFonts w:ascii="Arial" w:cs="Arial" w:eastAsia="Arial" w:hAnsi="Arial"/>
          <w:sz w:val="17"/>
          <w:szCs w:val="17"/>
          <w:u w:val="single" w:color="auto"/>
          <w:color w:val="0000EE"/>
        </w:rPr>
        <w:t xml:space="preserve"> </w:t>
      </w:r>
      <w:hyperlink r:id="rId145">
        <w:r>
          <w:rPr>
            <w:rFonts w:ascii="Arial" w:cs="Arial" w:eastAsia="Arial" w:hAnsi="Arial"/>
            <w:sz w:val="17"/>
            <w:szCs w:val="17"/>
            <w:u w:val="single" w:color="auto"/>
            <w:color w:val="0000EE"/>
          </w:rPr>
          <w:t>Pre-Effective Amendment No. 1 on Form N-2 filed on October 6, 2006).</w:t>
        </w:r>
      </w:hyperlink>
    </w:p>
    <w:p>
      <w:pPr>
        <w:spacing w:after="0" w:line="63" w:lineRule="exact"/>
        <w:rPr>
          <w:sz w:val="20"/>
          <w:szCs w:val="20"/>
          <w:color w:val="auto"/>
        </w:rPr>
      </w:pPr>
    </w:p>
    <w:p>
      <w:pPr>
        <w:ind w:left="1220" w:right="580" w:hanging="799"/>
        <w:spacing w:after="0" w:line="275"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(d)(2)</w:t>
      </w:r>
      <w:r>
        <w:rPr>
          <w:sz w:val="20"/>
          <w:szCs w:val="20"/>
          <w:color w:val="auto"/>
        </w:rPr>
        <w:tab/>
      </w:r>
      <w:hyperlink r:id="rId146">
        <w:r>
          <w:rPr>
            <w:rFonts w:ascii="Arial" w:cs="Arial" w:eastAsia="Arial" w:hAnsi="Arial"/>
            <w:sz w:val="17"/>
            <w:szCs w:val="17"/>
            <w:u w:val="single" w:color="auto"/>
            <w:color w:val="0000EE"/>
          </w:rPr>
          <w:t>Form of Base Indenture between the Company and U.S. Bank National Association (incorporated by reference to Exhibit D.2 of the</w:t>
        </w:r>
      </w:hyperlink>
      <w:r>
        <w:rPr>
          <w:rFonts w:ascii="Arial" w:cs="Arial" w:eastAsia="Arial" w:hAnsi="Arial"/>
          <w:sz w:val="17"/>
          <w:szCs w:val="17"/>
          <w:u w:val="single" w:color="auto"/>
          <w:color w:val="0000EE"/>
        </w:rPr>
        <w:t xml:space="preserve"> </w:t>
      </w:r>
      <w:hyperlink r:id="rId146">
        <w:r>
          <w:rPr>
            <w:rFonts w:ascii="Arial" w:cs="Arial" w:eastAsia="Arial" w:hAnsi="Arial"/>
            <w:sz w:val="17"/>
            <w:szCs w:val="17"/>
            <w:u w:val="single" w:color="auto"/>
            <w:color w:val="0000EE"/>
          </w:rPr>
          <w:t>Registration Statement in Form N-2 filed on October 3, 2012).</w:t>
        </w:r>
      </w:hyperlink>
    </w:p>
    <w:p>
      <w:pPr>
        <w:spacing w:after="0" w:line="63" w:lineRule="exact"/>
        <w:rPr>
          <w:sz w:val="20"/>
          <w:szCs w:val="20"/>
          <w:color w:val="auto"/>
        </w:rPr>
      </w:pPr>
    </w:p>
    <w:p>
      <w:pPr>
        <w:ind w:left="1220" w:hanging="799"/>
        <w:spacing w:after="0" w:line="275"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(d)(3)</w:t>
      </w:r>
      <w:r>
        <w:rPr>
          <w:sz w:val="20"/>
          <w:szCs w:val="20"/>
          <w:color w:val="auto"/>
        </w:rPr>
        <w:tab/>
      </w:r>
      <w:hyperlink r:id="rId147">
        <w:r>
          <w:rPr>
            <w:rFonts w:ascii="Arial" w:cs="Arial" w:eastAsia="Arial" w:hAnsi="Arial"/>
            <w:sz w:val="17"/>
            <w:szCs w:val="17"/>
            <w:u w:val="single" w:color="auto"/>
            <w:color w:val="0000EE"/>
          </w:rPr>
          <w:t>Statement of Eligibility of Trustee on Form T-1 (incorporated by reference to exhibit included in the Registration Statement on Form N-2, as</w:t>
        </w:r>
      </w:hyperlink>
      <w:r>
        <w:rPr>
          <w:rFonts w:ascii="Arial" w:cs="Arial" w:eastAsia="Arial" w:hAnsi="Arial"/>
          <w:sz w:val="17"/>
          <w:szCs w:val="17"/>
          <w:u w:val="single" w:color="auto"/>
          <w:color w:val="0000EE"/>
        </w:rPr>
        <w:t xml:space="preserve"> </w:t>
      </w:r>
      <w:hyperlink r:id="rId147">
        <w:r>
          <w:rPr>
            <w:rFonts w:ascii="Arial" w:cs="Arial" w:eastAsia="Arial" w:hAnsi="Arial"/>
            <w:sz w:val="17"/>
            <w:szCs w:val="17"/>
            <w:u w:val="single" w:color="auto"/>
            <w:color w:val="0000EE"/>
          </w:rPr>
          <w:t>filed on June 8, 2017 (File No. 333-218596)..</w:t>
        </w:r>
      </w:hyperlink>
    </w:p>
    <w:p>
      <w:pPr>
        <w:spacing w:after="0" w:line="63" w:lineRule="exact"/>
        <w:rPr>
          <w:sz w:val="20"/>
          <w:szCs w:val="20"/>
          <w:color w:val="auto"/>
        </w:rPr>
      </w:pPr>
    </w:p>
    <w:p>
      <w:pPr>
        <w:ind w:left="1220" w:right="220" w:hanging="799"/>
        <w:spacing w:after="0" w:line="263"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(d)(4)</w:t>
      </w:r>
      <w:r>
        <w:rPr>
          <w:sz w:val="20"/>
          <w:szCs w:val="20"/>
          <w:color w:val="auto"/>
        </w:rPr>
        <w:tab/>
      </w:r>
      <w:hyperlink r:id="rId148">
        <w:r>
          <w:rPr>
            <w:rFonts w:ascii="Arial" w:cs="Arial" w:eastAsia="Arial" w:hAnsi="Arial"/>
            <w:sz w:val="17"/>
            <w:szCs w:val="17"/>
            <w:u w:val="single" w:color="auto"/>
            <w:color w:val="0000EE"/>
          </w:rPr>
          <w:t>Third Supplemental Indenture, dated as of April 30, 2021, relating to the 4.875% Notes due 2026, by and between the Company and U.S.</w:t>
        </w:r>
      </w:hyperlink>
      <w:r>
        <w:rPr>
          <w:rFonts w:ascii="Arial" w:cs="Arial" w:eastAsia="Arial" w:hAnsi="Arial"/>
          <w:sz w:val="17"/>
          <w:szCs w:val="17"/>
          <w:u w:val="single" w:color="auto"/>
          <w:color w:val="0000EE"/>
        </w:rPr>
        <w:t xml:space="preserve"> </w:t>
      </w:r>
      <w:hyperlink r:id="rId148">
        <w:r>
          <w:rPr>
            <w:rFonts w:ascii="Arial" w:cs="Arial" w:eastAsia="Arial" w:hAnsi="Arial"/>
            <w:sz w:val="17"/>
            <w:szCs w:val="17"/>
            <w:u w:val="single" w:color="auto"/>
            <w:color w:val="0000EE"/>
          </w:rPr>
          <w:t>Bank National Association, as trustee (incorporated by reference to Exhibit 4.1 of the Company’s Current Report on Form 8-K, filed on</w:t>
        </w:r>
      </w:hyperlink>
      <w:r>
        <w:rPr>
          <w:rFonts w:ascii="Arial" w:cs="Arial" w:eastAsia="Arial" w:hAnsi="Arial"/>
          <w:sz w:val="17"/>
          <w:szCs w:val="17"/>
          <w:u w:val="single" w:color="auto"/>
          <w:color w:val="0000EE"/>
        </w:rPr>
        <w:t xml:space="preserve"> </w:t>
      </w:r>
      <w:hyperlink r:id="rId148">
        <w:r>
          <w:rPr>
            <w:rFonts w:ascii="Arial" w:cs="Arial" w:eastAsia="Arial" w:hAnsi="Arial"/>
            <w:sz w:val="17"/>
            <w:szCs w:val="17"/>
            <w:u w:val="single" w:color="auto"/>
            <w:color w:val="0000EE"/>
          </w:rPr>
          <w:t>May 3, 2021)..</w:t>
        </w:r>
      </w:hyperlink>
    </w:p>
    <w:p>
      <w:pPr>
        <w:spacing w:after="0" w:line="73" w:lineRule="exact"/>
        <w:rPr>
          <w:rFonts w:ascii="Arial" w:cs="Arial" w:eastAsia="Arial" w:hAnsi="Arial"/>
          <w:sz w:val="17"/>
          <w:szCs w:val="17"/>
          <w:u w:val="single" w:color="auto"/>
          <w:color w:val="0000EE"/>
        </w:rPr>
      </w:pPr>
    </w:p>
    <w:p>
      <w:pPr>
        <w:ind w:left="1220" w:right="140" w:hanging="799"/>
        <w:spacing w:after="0" w:line="275"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(d)(5)</w:t>
      </w:r>
      <w:r>
        <w:rPr>
          <w:sz w:val="20"/>
          <w:szCs w:val="20"/>
          <w:color w:val="auto"/>
        </w:rPr>
        <w:tab/>
      </w:r>
      <w:hyperlink r:id="rId148">
        <w:r>
          <w:rPr>
            <w:rFonts w:ascii="Arial" w:cs="Arial" w:eastAsia="Arial" w:hAnsi="Arial"/>
            <w:sz w:val="17"/>
            <w:szCs w:val="17"/>
            <w:u w:val="single" w:color="auto"/>
            <w:color w:val="0000EE"/>
          </w:rPr>
          <w:t>Form of 4.875% Notes due 2026 (previously filed as Exhibit 4.2 to the Company’s Current Report on Form 8-K, filed on May 3, 2021 and</w:t>
        </w:r>
      </w:hyperlink>
      <w:r>
        <w:rPr>
          <w:rFonts w:ascii="Arial" w:cs="Arial" w:eastAsia="Arial" w:hAnsi="Arial"/>
          <w:sz w:val="17"/>
          <w:szCs w:val="17"/>
          <w:u w:val="single" w:color="auto"/>
          <w:color w:val="0000EE"/>
        </w:rPr>
        <w:t xml:space="preserve"> </w:t>
      </w:r>
      <w:hyperlink r:id="rId148">
        <w:r>
          <w:rPr>
            <w:rFonts w:ascii="Arial" w:cs="Arial" w:eastAsia="Arial" w:hAnsi="Arial"/>
            <w:sz w:val="17"/>
            <w:szCs w:val="17"/>
            <w:u w:val="single" w:color="auto"/>
            <w:color w:val="0000EE"/>
          </w:rPr>
          <w:t>herein incorporated by reference).</w:t>
        </w:r>
      </w:hyperlink>
    </w:p>
    <w:p>
      <w:pPr>
        <w:spacing w:after="0" w:line="63" w:lineRule="exact"/>
        <w:rPr>
          <w:sz w:val="20"/>
          <w:szCs w:val="20"/>
          <w:color w:val="auto"/>
        </w:rPr>
      </w:pPr>
    </w:p>
    <w:p>
      <w:pPr>
        <w:ind w:left="420"/>
        <w:spacing w:after="0"/>
        <w:tabs>
          <w:tab w:leader="none" w:pos="1200" w:val="left"/>
        </w:tabs>
        <w:rPr>
          <w:rFonts w:ascii="Arial" w:cs="Arial" w:eastAsia="Arial" w:hAnsi="Arial"/>
          <w:sz w:val="15"/>
          <w:szCs w:val="15"/>
          <w:u w:val="single" w:color="auto"/>
          <w:color w:val="0000EE"/>
        </w:rPr>
      </w:pPr>
      <w:r>
        <w:rPr>
          <w:rFonts w:ascii="Arial" w:cs="Arial" w:eastAsia="Arial" w:hAnsi="Arial"/>
          <w:sz w:val="15"/>
          <w:szCs w:val="15"/>
          <w:color w:val="auto"/>
        </w:rPr>
        <w:t>(d)(6)</w:t>
      </w:r>
      <w:r>
        <w:rPr>
          <w:sz w:val="20"/>
          <w:szCs w:val="20"/>
          <w:color w:val="auto"/>
        </w:rPr>
        <w:tab/>
      </w:r>
      <w:hyperlink r:id="rId148">
        <w:r>
          <w:rPr>
            <w:rFonts w:ascii="Arial" w:cs="Arial" w:eastAsia="Arial" w:hAnsi="Arial"/>
            <w:sz w:val="15"/>
            <w:szCs w:val="15"/>
            <w:u w:val="single" w:color="auto"/>
            <w:color w:val="0000EE"/>
          </w:rPr>
          <w:t>Registration Rights Agreement, dated as of April 30, 2021, by and among the Company and the Purchasers (as defined therein) (previously</w:t>
        </w:r>
      </w:hyperlink>
    </w:p>
    <w:p>
      <w:pPr>
        <w:spacing w:after="0" w:line="43" w:lineRule="exact"/>
        <w:rPr>
          <w:sz w:val="20"/>
          <w:szCs w:val="20"/>
          <w:color w:val="auto"/>
        </w:rPr>
      </w:pPr>
    </w:p>
    <w:p>
      <w:pPr>
        <w:jc w:val="center"/>
        <w:ind w:right="-339"/>
        <w:spacing w:after="0"/>
        <w:rPr>
          <w:rFonts w:ascii="Arial" w:cs="Arial" w:eastAsia="Arial" w:hAnsi="Arial"/>
          <w:sz w:val="17"/>
          <w:szCs w:val="17"/>
          <w:u w:val="single" w:color="auto"/>
          <w:color w:val="0000EE"/>
        </w:rPr>
      </w:pPr>
      <w:hyperlink r:id="rId148">
        <w:r>
          <w:rPr>
            <w:rFonts w:ascii="Arial" w:cs="Arial" w:eastAsia="Arial" w:hAnsi="Arial"/>
            <w:sz w:val="17"/>
            <w:szCs w:val="17"/>
            <w:u w:val="single" w:color="auto"/>
            <w:color w:val="0000EE"/>
          </w:rPr>
          <w:t>filed as Exhibit 4.2 to the Company’s Current Report on Form 8-K filed on May 3, 2021 and herein incorporated by reference).</w:t>
        </w:r>
      </w:hyperlink>
    </w:p>
    <w:p>
      <w:pPr>
        <w:spacing w:after="0" w:line="100" w:lineRule="exact"/>
        <w:rPr>
          <w:sz w:val="20"/>
          <w:szCs w:val="20"/>
          <w:color w:val="auto"/>
        </w:rPr>
      </w:pPr>
    </w:p>
    <w:p>
      <w:pPr>
        <w:ind w:left="1220" w:right="100" w:hanging="799"/>
        <w:spacing w:after="0" w:line="344" w:lineRule="auto"/>
        <w:tabs>
          <w:tab w:leader="none" w:pos="1200" w:val="left"/>
        </w:tabs>
        <w:rPr>
          <w:rFonts w:ascii="Arial" w:cs="Arial" w:eastAsia="Arial" w:hAnsi="Arial"/>
          <w:sz w:val="15"/>
          <w:szCs w:val="15"/>
          <w:u w:val="single" w:color="auto"/>
          <w:color w:val="0000EE"/>
        </w:rPr>
      </w:pPr>
      <w:r>
        <w:rPr>
          <w:rFonts w:ascii="Arial" w:cs="Arial" w:eastAsia="Arial" w:hAnsi="Arial"/>
          <w:sz w:val="15"/>
          <w:szCs w:val="15"/>
          <w:color w:val="auto"/>
        </w:rPr>
        <w:t>(d)(7)</w:t>
      </w:r>
      <w:r>
        <w:rPr>
          <w:sz w:val="20"/>
          <w:szCs w:val="20"/>
          <w:color w:val="auto"/>
        </w:rPr>
        <w:tab/>
      </w:r>
      <w:hyperlink r:id="rId149">
        <w:r>
          <w:rPr>
            <w:rFonts w:ascii="Arial" w:cs="Arial" w:eastAsia="Arial" w:hAnsi="Arial"/>
            <w:sz w:val="15"/>
            <w:szCs w:val="15"/>
            <w:u w:val="single" w:color="auto"/>
            <w:color w:val="0000EE"/>
          </w:rPr>
          <w:t>Registration Rights Agreement, dated as of June 23, 2021, by and among the Company and the Purchasers (as defined therein) (previously</w:t>
        </w:r>
      </w:hyperlink>
      <w:r>
        <w:rPr>
          <w:rFonts w:ascii="Arial" w:cs="Arial" w:eastAsia="Arial" w:hAnsi="Arial"/>
          <w:sz w:val="15"/>
          <w:szCs w:val="15"/>
          <w:u w:val="single" w:color="auto"/>
          <w:color w:val="0000EE"/>
        </w:rPr>
        <w:t xml:space="preserve"> </w:t>
      </w:r>
      <w:hyperlink r:id="rId149">
        <w:r>
          <w:rPr>
            <w:rFonts w:ascii="Arial" w:cs="Arial" w:eastAsia="Arial" w:hAnsi="Arial"/>
            <w:sz w:val="15"/>
            <w:szCs w:val="15"/>
            <w:u w:val="single" w:color="auto"/>
            <w:color w:val="0000EE"/>
          </w:rPr>
          <w:t>filed as Exhibit 4.2 to the Company’s Current Report on Form 8-K filed on June 24, 2021 and herein incorporated by reference).</w:t>
        </w:r>
      </w:hyperlink>
    </w:p>
    <w:p>
      <w:pPr>
        <w:spacing w:after="0" w:line="17" w:lineRule="exact"/>
        <w:rPr>
          <w:sz w:val="20"/>
          <w:szCs w:val="20"/>
          <w:color w:val="auto"/>
        </w:rPr>
      </w:pPr>
    </w:p>
    <w:p>
      <w:pPr>
        <w:ind w:left="1220" w:right="240" w:hanging="799"/>
        <w:spacing w:after="0" w:line="308" w:lineRule="auto"/>
        <w:tabs>
          <w:tab w:leader="none" w:pos="1200" w:val="left"/>
        </w:tabs>
        <w:rPr>
          <w:rFonts w:ascii="Arial" w:cs="Arial" w:eastAsia="Arial" w:hAnsi="Arial"/>
          <w:sz w:val="16"/>
          <w:szCs w:val="16"/>
          <w:u w:val="single" w:color="auto"/>
          <w:color w:val="0000EE"/>
        </w:rPr>
      </w:pPr>
      <w:r>
        <w:rPr>
          <w:rFonts w:ascii="Arial" w:cs="Arial" w:eastAsia="Arial" w:hAnsi="Arial"/>
          <w:sz w:val="16"/>
          <w:szCs w:val="16"/>
          <w:color w:val="auto"/>
        </w:rPr>
        <w:t>(d)(8)</w:t>
      </w:r>
      <w:r>
        <w:rPr>
          <w:sz w:val="20"/>
          <w:szCs w:val="20"/>
          <w:color w:val="auto"/>
        </w:rPr>
        <w:tab/>
      </w:r>
      <w:hyperlink r:id="rId150">
        <w:r>
          <w:rPr>
            <w:rFonts w:ascii="Arial" w:cs="Arial" w:eastAsia="Arial" w:hAnsi="Arial"/>
            <w:sz w:val="16"/>
            <w:szCs w:val="16"/>
            <w:u w:val="single" w:color="auto"/>
            <w:color w:val="0000EE"/>
          </w:rPr>
          <w:t>Stock Purchase and Transaction Agreement, dated December 14, 2018, by and between KCAP Financial, Inc. and BC Partners Advisors</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L.P. (incorporated by reference to Exhibit 10.1 of the Current Report on Form 8-K filed on December 20, 2018).</w:t>
        </w:r>
      </w:hyperlink>
    </w:p>
    <w:p>
      <w:pPr>
        <w:spacing w:after="0" w:line="39" w:lineRule="exact"/>
        <w:rPr>
          <w:sz w:val="20"/>
          <w:szCs w:val="20"/>
          <w:color w:val="auto"/>
        </w:rPr>
      </w:pPr>
    </w:p>
    <w:p>
      <w:pPr>
        <w:ind w:left="1220" w:right="360" w:hanging="799"/>
        <w:spacing w:after="0" w:line="263"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(d)(9)</w:t>
      </w:r>
      <w:r>
        <w:rPr>
          <w:sz w:val="20"/>
          <w:szCs w:val="20"/>
          <w:color w:val="auto"/>
        </w:rPr>
        <w:tab/>
      </w:r>
      <w:hyperlink r:id="rId151">
        <w:r>
          <w:rPr>
            <w:rFonts w:ascii="Arial" w:cs="Arial" w:eastAsia="Arial" w:hAnsi="Arial"/>
            <w:sz w:val="17"/>
            <w:szCs w:val="17"/>
            <w:u w:val="single" w:color="auto"/>
            <w:color w:val="0000EE"/>
          </w:rPr>
          <w:t>Form of Voting and Support Agreement, dated December 14, 2018, by and between BC Partners Advisors L.P. and the members of the</w:t>
        </w:r>
      </w:hyperlink>
      <w:r>
        <w:rPr>
          <w:rFonts w:ascii="Arial" w:cs="Arial" w:eastAsia="Arial" w:hAnsi="Arial"/>
          <w:sz w:val="17"/>
          <w:szCs w:val="17"/>
          <w:u w:val="single" w:color="auto"/>
          <w:color w:val="0000EE"/>
        </w:rPr>
        <w:t xml:space="preserve"> </w:t>
      </w:r>
      <w:hyperlink r:id="rId151">
        <w:r>
          <w:rPr>
            <w:rFonts w:ascii="Arial" w:cs="Arial" w:eastAsia="Arial" w:hAnsi="Arial"/>
            <w:sz w:val="17"/>
            <w:szCs w:val="17"/>
            <w:u w:val="single" w:color="auto"/>
            <w:color w:val="0000EE"/>
          </w:rPr>
          <w:t>board of directors of KCAP Financial, Inc. (incorporated by reference to Exhibit 10.1 of the Current Report on Form 8-K filed on</w:t>
        </w:r>
      </w:hyperlink>
      <w:r>
        <w:rPr>
          <w:rFonts w:ascii="Arial" w:cs="Arial" w:eastAsia="Arial" w:hAnsi="Arial"/>
          <w:sz w:val="17"/>
          <w:szCs w:val="17"/>
          <w:u w:val="single" w:color="auto"/>
          <w:color w:val="0000EE"/>
        </w:rPr>
        <w:t xml:space="preserve"> </w:t>
      </w:r>
      <w:hyperlink r:id="rId151">
        <w:r>
          <w:rPr>
            <w:rFonts w:ascii="Arial" w:cs="Arial" w:eastAsia="Arial" w:hAnsi="Arial"/>
            <w:sz w:val="17"/>
            <w:szCs w:val="17"/>
            <w:u w:val="single" w:color="auto"/>
            <w:color w:val="0000EE"/>
          </w:rPr>
          <w:t>December 20, 2018).</w:t>
        </w:r>
      </w:hyperlink>
    </w:p>
    <w:p>
      <w:pPr>
        <w:spacing w:after="0" w:line="73" w:lineRule="exact"/>
        <w:rPr>
          <w:rFonts w:ascii="Arial" w:cs="Arial" w:eastAsia="Arial" w:hAnsi="Arial"/>
          <w:sz w:val="17"/>
          <w:szCs w:val="17"/>
          <w:u w:val="single" w:color="auto"/>
          <w:color w:val="0000EE"/>
        </w:rPr>
      </w:pPr>
    </w:p>
    <w:p>
      <w:pPr>
        <w:ind w:left="1220" w:right="280" w:hanging="809"/>
        <w:spacing w:after="0" w:line="275" w:lineRule="auto"/>
        <w:tabs>
          <w:tab w:leader="none" w:pos="1220" w:val="left"/>
        </w:tabs>
        <w:numPr>
          <w:ilvl w:val="0"/>
          <w:numId w:val="47"/>
        </w:numPr>
        <w:rPr>
          <w:rFonts w:ascii="Arial" w:cs="Arial" w:eastAsia="Arial" w:hAnsi="Arial"/>
          <w:sz w:val="17"/>
          <w:szCs w:val="17"/>
          <w:u w:val="single" w:color="auto"/>
          <w:color w:val="0000EE"/>
        </w:rPr>
      </w:pPr>
      <w:hyperlink r:id="rId152">
        <w:r>
          <w:rPr>
            <w:rFonts w:ascii="Arial" w:cs="Arial" w:eastAsia="Arial" w:hAnsi="Arial"/>
            <w:sz w:val="17"/>
            <w:szCs w:val="17"/>
            <w:u w:val="single" w:color="auto"/>
            <w:color w:val="0000EE"/>
          </w:rPr>
          <w:t>Form of Dividend Reinvestment Plan (incorporated by reference to Exhibit E of the Pre-Effective Amendment No. 2 of the Registration</w:t>
        </w:r>
      </w:hyperlink>
      <w:r>
        <w:rPr>
          <w:rFonts w:ascii="Arial" w:cs="Arial" w:eastAsia="Arial" w:hAnsi="Arial"/>
          <w:sz w:val="17"/>
          <w:szCs w:val="17"/>
          <w:u w:val="single" w:color="auto"/>
          <w:color w:val="0000EE"/>
        </w:rPr>
        <w:t xml:space="preserve"> </w:t>
      </w:r>
      <w:hyperlink r:id="rId152">
        <w:r>
          <w:rPr>
            <w:rFonts w:ascii="Arial" w:cs="Arial" w:eastAsia="Arial" w:hAnsi="Arial"/>
            <w:sz w:val="17"/>
            <w:szCs w:val="17"/>
            <w:u w:val="single" w:color="auto"/>
            <w:color w:val="0000EE"/>
          </w:rPr>
          <w:t>Statement on Form N-2 filed on November 20, 2006).</w:t>
        </w:r>
      </w:hyperlink>
    </w:p>
    <w:p>
      <w:pPr>
        <w:spacing w:after="0" w:line="63" w:lineRule="exact"/>
        <w:rPr>
          <w:rFonts w:ascii="Arial" w:cs="Arial" w:eastAsia="Arial" w:hAnsi="Arial"/>
          <w:sz w:val="17"/>
          <w:szCs w:val="17"/>
          <w:u w:val="single" w:color="auto"/>
          <w:color w:val="0000EE"/>
        </w:rPr>
      </w:pPr>
    </w:p>
    <w:p>
      <w:pPr>
        <w:ind w:left="1220" w:hanging="809"/>
        <w:spacing w:after="0"/>
        <w:tabs>
          <w:tab w:leader="none" w:pos="1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11" w:lineRule="exact"/>
        <w:rPr>
          <w:rFonts w:ascii="Arial" w:cs="Arial" w:eastAsia="Arial" w:hAnsi="Arial"/>
          <w:sz w:val="17"/>
          <w:szCs w:val="17"/>
          <w:color w:val="auto"/>
        </w:rPr>
      </w:pPr>
    </w:p>
    <w:p>
      <w:pPr>
        <w:ind w:left="1220" w:right="560" w:hanging="809"/>
        <w:spacing w:after="0" w:line="275" w:lineRule="auto"/>
        <w:tabs>
          <w:tab w:leader="none" w:pos="1220" w:val="left"/>
        </w:tabs>
        <w:numPr>
          <w:ilvl w:val="0"/>
          <w:numId w:val="47"/>
        </w:numPr>
        <w:rPr>
          <w:rFonts w:ascii="Arial" w:cs="Arial" w:eastAsia="Arial" w:hAnsi="Arial"/>
          <w:sz w:val="17"/>
          <w:szCs w:val="17"/>
          <w:u w:val="single" w:color="auto"/>
          <w:color w:val="0000EE"/>
        </w:rPr>
      </w:pPr>
      <w:hyperlink r:id="rId153">
        <w:r>
          <w:rPr>
            <w:rFonts w:ascii="Arial" w:cs="Arial" w:eastAsia="Arial" w:hAnsi="Arial"/>
            <w:sz w:val="17"/>
            <w:szCs w:val="17"/>
            <w:u w:val="single" w:color="auto"/>
            <w:color w:val="0000EE"/>
          </w:rPr>
          <w:t>Investment Advisory Agreement, dated April 1, 2019, by and between the Company and Sierra Crest Investment Management LLC</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(incorporated by reference to Exhibit 10.1 of the Current Report on Form 8-K filed on April 2, 2019).</w:t>
        </w:r>
      </w:hyperlink>
    </w:p>
    <w:p>
      <w:pPr>
        <w:spacing w:after="0" w:line="63" w:lineRule="exact"/>
        <w:rPr>
          <w:rFonts w:ascii="Arial" w:cs="Arial" w:eastAsia="Arial" w:hAnsi="Arial"/>
          <w:sz w:val="17"/>
          <w:szCs w:val="17"/>
          <w:u w:val="single" w:color="auto"/>
          <w:color w:val="0000EE"/>
        </w:rPr>
      </w:pPr>
    </w:p>
    <w:p>
      <w:pPr>
        <w:ind w:left="1220" w:hanging="809"/>
        <w:spacing w:after="0"/>
        <w:tabs>
          <w:tab w:leader="none" w:pos="1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11" w:lineRule="exact"/>
        <w:rPr>
          <w:rFonts w:ascii="Arial" w:cs="Arial" w:eastAsia="Arial" w:hAnsi="Arial"/>
          <w:sz w:val="17"/>
          <w:szCs w:val="17"/>
          <w:color w:val="auto"/>
        </w:rPr>
      </w:pPr>
    </w:p>
    <w:p>
      <w:pPr>
        <w:ind w:left="1220" w:hanging="809"/>
        <w:spacing w:after="0"/>
        <w:tabs>
          <w:tab w:leader="none" w:pos="1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11" w:lineRule="exact"/>
        <w:rPr>
          <w:rFonts w:ascii="Arial" w:cs="Arial" w:eastAsia="Arial" w:hAnsi="Arial"/>
          <w:sz w:val="17"/>
          <w:szCs w:val="17"/>
          <w:color w:val="auto"/>
        </w:rPr>
      </w:pPr>
    </w:p>
    <w:p>
      <w:pPr>
        <w:ind w:left="1220" w:right="300" w:hanging="809"/>
        <w:spacing w:after="0" w:line="275" w:lineRule="auto"/>
        <w:tabs>
          <w:tab w:leader="none" w:pos="1220" w:val="left"/>
        </w:tabs>
        <w:numPr>
          <w:ilvl w:val="0"/>
          <w:numId w:val="47"/>
        </w:numPr>
        <w:rPr>
          <w:rFonts w:ascii="Arial" w:cs="Arial" w:eastAsia="Arial" w:hAnsi="Arial"/>
          <w:sz w:val="17"/>
          <w:szCs w:val="17"/>
          <w:u w:val="single" w:color="auto"/>
          <w:color w:val="0000EE"/>
        </w:rPr>
      </w:pPr>
      <w:hyperlink r:id="rId154">
        <w:r>
          <w:rPr>
            <w:rFonts w:ascii="Arial" w:cs="Arial" w:eastAsia="Arial" w:hAnsi="Arial"/>
            <w:sz w:val="17"/>
            <w:szCs w:val="17"/>
            <w:u w:val="single" w:color="auto"/>
            <w:color w:val="0000EE"/>
          </w:rPr>
          <w:t>Form of Custodian Agreement (incorporated by reference to the exhibit included in Pre-Effective Amendment No. 2 to the Registration</w:t>
        </w:r>
      </w:hyperlink>
      <w:r>
        <w:rPr>
          <w:rFonts w:ascii="Arial" w:cs="Arial" w:eastAsia="Arial" w:hAnsi="Arial"/>
          <w:sz w:val="17"/>
          <w:szCs w:val="17"/>
          <w:u w:val="single" w:color="auto"/>
          <w:color w:val="0000EE"/>
        </w:rPr>
        <w:t xml:space="preserve"> </w:t>
      </w:r>
      <w:hyperlink r:id="rId154">
        <w:r>
          <w:rPr>
            <w:rFonts w:ascii="Arial" w:cs="Arial" w:eastAsia="Arial" w:hAnsi="Arial"/>
            <w:sz w:val="17"/>
            <w:szCs w:val="17"/>
            <w:u w:val="single" w:color="auto"/>
            <w:color w:val="0000EE"/>
          </w:rPr>
          <w:t>Statement on Form N-2, as filed on November 20, 2006 (File No. 333-136714)).</w:t>
        </w:r>
      </w:hyperlink>
    </w:p>
    <w:p>
      <w:pPr>
        <w:spacing w:after="0" w:line="63" w:lineRule="exact"/>
        <w:rPr>
          <w:rFonts w:ascii="Arial" w:cs="Arial" w:eastAsia="Arial" w:hAnsi="Arial"/>
          <w:sz w:val="17"/>
          <w:szCs w:val="17"/>
          <w:color w:val="auto"/>
        </w:rPr>
      </w:pPr>
    </w:p>
    <w:p>
      <w:pPr>
        <w:ind w:left="1220" w:right="560" w:hanging="799"/>
        <w:spacing w:after="0" w:line="275"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(k)(1)</w:t>
      </w:r>
      <w:r>
        <w:rPr>
          <w:sz w:val="20"/>
          <w:szCs w:val="20"/>
          <w:color w:val="auto"/>
        </w:rPr>
        <w:tab/>
      </w:r>
      <w:hyperlink r:id="rId155">
        <w:r>
          <w:rPr>
            <w:rFonts w:ascii="Arial" w:cs="Arial" w:eastAsia="Arial" w:hAnsi="Arial"/>
            <w:sz w:val="17"/>
            <w:szCs w:val="17"/>
            <w:u w:val="single" w:color="auto"/>
            <w:color w:val="0000EE"/>
          </w:rPr>
          <w:t>Administration Agreement, dated April 1, 2019, by and between the Company and BC Partners Management LLC (incorporated by</w:t>
        </w:r>
      </w:hyperlink>
      <w:r>
        <w:rPr>
          <w:rFonts w:ascii="Arial" w:cs="Arial" w:eastAsia="Arial" w:hAnsi="Arial"/>
          <w:sz w:val="17"/>
          <w:szCs w:val="17"/>
          <w:u w:val="single" w:color="auto"/>
          <w:color w:val="0000EE"/>
        </w:rPr>
        <w:t xml:space="preserve"> </w:t>
      </w:r>
      <w:hyperlink r:id="rId155">
        <w:r>
          <w:rPr>
            <w:rFonts w:ascii="Arial" w:cs="Arial" w:eastAsia="Arial" w:hAnsi="Arial"/>
            <w:sz w:val="17"/>
            <w:szCs w:val="17"/>
            <w:u w:val="single" w:color="auto"/>
            <w:color w:val="0000EE"/>
          </w:rPr>
          <w:t>reference to Exhibit 10.3 of the Current Report on Form 8-K filed on April 2, 2019).</w:t>
        </w:r>
      </w:hyperlink>
    </w:p>
    <w:p>
      <w:pPr>
        <w:spacing w:after="0" w:line="63" w:lineRule="exact"/>
        <w:rPr>
          <w:sz w:val="20"/>
          <w:szCs w:val="20"/>
          <w:color w:val="auto"/>
        </w:rPr>
      </w:pPr>
    </w:p>
    <w:p>
      <w:pPr>
        <w:ind w:left="1220" w:hanging="809"/>
        <w:spacing w:after="0"/>
        <w:tabs>
          <w:tab w:leader="none" w:pos="1220" w:val="left"/>
        </w:tabs>
        <w:numPr>
          <w:ilvl w:val="0"/>
          <w:numId w:val="48"/>
        </w:numPr>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Opinion and consent of Dechert LLP*</w:t>
        </w:r>
      </w:hyperlink>
    </w:p>
    <w:p>
      <w:pPr>
        <w:spacing w:after="0" w:line="111" w:lineRule="exact"/>
        <w:rPr>
          <w:rFonts w:ascii="Arial" w:cs="Arial" w:eastAsia="Arial" w:hAnsi="Arial"/>
          <w:sz w:val="17"/>
          <w:szCs w:val="17"/>
          <w:u w:val="single" w:color="auto"/>
          <w:color w:val="0000EE"/>
        </w:rPr>
      </w:pPr>
    </w:p>
    <w:p>
      <w:pPr>
        <w:ind w:left="1220" w:hanging="809"/>
        <w:spacing w:after="0"/>
        <w:tabs>
          <w:tab w:leader="none" w:pos="1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11" w:lineRule="exact"/>
        <w:rPr>
          <w:sz w:val="20"/>
          <w:szCs w:val="20"/>
          <w:color w:val="auto"/>
        </w:rPr>
      </w:pPr>
    </w:p>
    <w:p>
      <w:pPr>
        <w:ind w:left="420"/>
        <w:spacing w:after="0"/>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(n)(1)</w:t>
      </w:r>
      <w:r>
        <w:rPr>
          <w:sz w:val="20"/>
          <w:szCs w:val="20"/>
          <w:color w:val="auto"/>
        </w:rPr>
        <w:tab/>
      </w:r>
      <w:hyperlink w:anchor="page75">
        <w:r>
          <w:rPr>
            <w:rFonts w:ascii="Arial" w:cs="Arial" w:eastAsia="Arial" w:hAnsi="Arial"/>
            <w:sz w:val="17"/>
            <w:szCs w:val="17"/>
            <w:u w:val="single" w:color="auto"/>
            <w:color w:val="0000EE"/>
          </w:rPr>
          <w:t>Consent of KPMG LLP (Portman Ridge Finance Corporation)*</w:t>
        </w:r>
      </w:hyperlink>
    </w:p>
    <w:p>
      <w:pPr>
        <w:spacing w:after="0" w:line="111" w:lineRule="exact"/>
        <w:rPr>
          <w:sz w:val="20"/>
          <w:szCs w:val="20"/>
          <w:color w:val="auto"/>
        </w:rPr>
      </w:pPr>
    </w:p>
    <w:p>
      <w:pPr>
        <w:ind w:left="420"/>
        <w:spacing w:after="0"/>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(n)(2)</w:t>
      </w:r>
      <w:r>
        <w:rPr>
          <w:sz w:val="20"/>
          <w:szCs w:val="20"/>
          <w:color w:val="auto"/>
        </w:rPr>
        <w:tab/>
      </w:r>
      <w:hyperlink w:anchor="page76">
        <w:r>
          <w:rPr>
            <w:rFonts w:ascii="Arial" w:cs="Arial" w:eastAsia="Arial" w:hAnsi="Arial"/>
            <w:sz w:val="17"/>
            <w:szCs w:val="17"/>
            <w:u w:val="single" w:color="auto"/>
            <w:color w:val="0000EE"/>
          </w:rPr>
          <w:t>Consent of Ernst &amp; Young LLP (Portman Ridge Finance Corporation)*</w:t>
        </w:r>
      </w:hyperlink>
    </w:p>
    <w:p>
      <w:pPr>
        <w:spacing w:after="0" w:line="111" w:lineRule="exact"/>
        <w:rPr>
          <w:sz w:val="20"/>
          <w:szCs w:val="20"/>
          <w:color w:val="auto"/>
        </w:rPr>
      </w:pPr>
    </w:p>
    <w:p>
      <w:pPr>
        <w:ind w:left="420"/>
        <w:spacing w:after="0"/>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(n)(3)</w:t>
      </w:r>
      <w:r>
        <w:rPr>
          <w:sz w:val="20"/>
          <w:szCs w:val="20"/>
          <w:color w:val="auto"/>
        </w:rPr>
        <w:tab/>
      </w:r>
      <w:hyperlink w:anchor="page77">
        <w:r>
          <w:rPr>
            <w:rFonts w:ascii="Arial" w:cs="Arial" w:eastAsia="Arial" w:hAnsi="Arial"/>
            <w:sz w:val="17"/>
            <w:szCs w:val="17"/>
            <w:u w:val="single" w:color="auto"/>
            <w:color w:val="0000EE"/>
          </w:rPr>
          <w:t>Consent of RSM US LLP (Harvest Capital Credit Corporation)*</w:t>
        </w:r>
      </w:hyperlink>
    </w:p>
    <w:p>
      <w:pPr>
        <w:spacing w:after="0" w:line="111" w:lineRule="exact"/>
        <w:rPr>
          <w:sz w:val="20"/>
          <w:szCs w:val="20"/>
          <w:color w:val="auto"/>
        </w:rPr>
      </w:pPr>
    </w:p>
    <w:p>
      <w:pPr>
        <w:ind w:left="420"/>
        <w:spacing w:after="0"/>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(n)(4)</w:t>
      </w:r>
      <w:r>
        <w:rPr>
          <w:sz w:val="20"/>
          <w:szCs w:val="20"/>
          <w:color w:val="auto"/>
        </w:rPr>
        <w:tab/>
      </w:r>
      <w:hyperlink w:anchor="page78">
        <w:r>
          <w:rPr>
            <w:rFonts w:ascii="Arial" w:cs="Arial" w:eastAsia="Arial" w:hAnsi="Arial"/>
            <w:sz w:val="17"/>
            <w:szCs w:val="17"/>
            <w:u w:val="single" w:color="auto"/>
            <w:color w:val="0000EE"/>
          </w:rPr>
          <w:t>Consent of PricewaterhouseCoopers LLP (Harvest Capital Credit Corporation)*</w:t>
        </w:r>
      </w:hyperlink>
    </w:p>
    <w:p>
      <w:pPr>
        <w:spacing w:after="0" w:line="14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C-2</w:t>
      </w:r>
    </w:p>
    <w:p>
      <w:pPr>
        <w:sectPr>
          <w:pgSz w:w="11900" w:h="16838" w:orient="portrait"/>
          <w:cols w:equalWidth="0" w:num="1">
            <w:col w:w="10800"/>
          </w:cols>
          <w:pgMar w:left="320" w:top="443" w:right="77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20"/>
        <w:spacing w:after="0"/>
        <w:tabs>
          <w:tab w:leader="none" w:pos="1100" w:val="left"/>
        </w:tabs>
        <w:rPr>
          <w:rFonts w:ascii="Arial" w:cs="Arial" w:eastAsia="Arial" w:hAnsi="Arial"/>
          <w:sz w:val="17"/>
          <w:szCs w:val="17"/>
          <w:u w:val="single" w:color="auto"/>
          <w:color w:val="0000EE"/>
        </w:rPr>
      </w:pPr>
      <w:r>
        <w:rPr>
          <w:rFonts w:ascii="Arial" w:cs="Arial" w:eastAsia="Arial" w:hAnsi="Arial"/>
          <w:sz w:val="17"/>
          <w:szCs w:val="17"/>
          <w:color w:val="auto"/>
        </w:rPr>
        <w:t>(n)(5)</w:t>
      </w:r>
      <w:r>
        <w:rPr>
          <w:sz w:val="20"/>
          <w:szCs w:val="20"/>
          <w:color w:val="auto"/>
        </w:rPr>
        <w:tab/>
      </w:r>
      <w:hyperlink w:anchor="page79">
        <w:r>
          <w:rPr>
            <w:rFonts w:ascii="Arial" w:cs="Arial" w:eastAsia="Arial" w:hAnsi="Arial"/>
            <w:sz w:val="17"/>
            <w:szCs w:val="17"/>
            <w:u w:val="single" w:color="auto"/>
            <w:color w:val="0000EE"/>
          </w:rPr>
          <w:t>Report of Ernst &amp; Young LLP regarding the senior securities table contained herein (Portman Ridge Finance Corporation)*</w:t>
        </w:r>
      </w:hyperlink>
    </w:p>
    <w:p>
      <w:pPr>
        <w:spacing w:after="0" w:line="111" w:lineRule="exact"/>
        <w:rPr>
          <w:sz w:val="20"/>
          <w:szCs w:val="20"/>
          <w:color w:val="auto"/>
        </w:rPr>
      </w:pPr>
    </w:p>
    <w:p>
      <w:pPr>
        <w:ind w:left="1120" w:hanging="709"/>
        <w:spacing w:after="0"/>
        <w:tabs>
          <w:tab w:leader="none" w:pos="11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11" w:lineRule="exact"/>
        <w:rPr>
          <w:rFonts w:ascii="Arial" w:cs="Arial" w:eastAsia="Arial" w:hAnsi="Arial"/>
          <w:sz w:val="17"/>
          <w:szCs w:val="17"/>
          <w:color w:val="auto"/>
        </w:rPr>
      </w:pPr>
    </w:p>
    <w:p>
      <w:pPr>
        <w:ind w:left="1120" w:hanging="709"/>
        <w:spacing w:after="0"/>
        <w:tabs>
          <w:tab w:leader="none" w:pos="11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11" w:lineRule="exact"/>
        <w:rPr>
          <w:rFonts w:ascii="Arial" w:cs="Arial" w:eastAsia="Arial" w:hAnsi="Arial"/>
          <w:sz w:val="17"/>
          <w:szCs w:val="17"/>
          <w:color w:val="auto"/>
        </w:rPr>
      </w:pPr>
    </w:p>
    <w:p>
      <w:pPr>
        <w:ind w:left="1120" w:hanging="709"/>
        <w:spacing w:after="0"/>
        <w:tabs>
          <w:tab w:leader="none" w:pos="11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11" w:lineRule="exact"/>
        <w:rPr>
          <w:sz w:val="20"/>
          <w:szCs w:val="20"/>
          <w:color w:val="auto"/>
        </w:rPr>
      </w:pPr>
    </w:p>
    <w:p>
      <w:pPr>
        <w:ind w:left="420" w:right="8300" w:hanging="9"/>
        <w:spacing w:after="0" w:line="495" w:lineRule="auto"/>
        <w:tabs>
          <w:tab w:leader="none" w:pos="1123" w:val="left"/>
        </w:tabs>
        <w:numPr>
          <w:ilvl w:val="0"/>
          <w:numId w:val="50"/>
        </w:numPr>
        <w:rPr>
          <w:rFonts w:ascii="Arial" w:cs="Arial" w:eastAsia="Arial" w:hAnsi="Arial"/>
          <w:sz w:val="17"/>
          <w:szCs w:val="17"/>
          <w:u w:val="single" w:color="auto"/>
          <w:color w:val="0000EE"/>
        </w:rPr>
      </w:pPr>
      <w:hyperlink w:anchor="page80">
        <w:r>
          <w:rPr>
            <w:rFonts w:ascii="Arial" w:cs="Arial" w:eastAsia="Arial" w:hAnsi="Arial"/>
            <w:sz w:val="17"/>
            <w:szCs w:val="17"/>
            <w:u w:val="single" w:color="auto"/>
            <w:color w:val="0000EE"/>
          </w:rPr>
          <w:t>Power of Attorney*</w:t>
        </w:r>
      </w:hyperlink>
      <w:r>
        <w:rPr>
          <w:rFonts w:ascii="Arial" w:cs="Arial" w:eastAsia="Arial" w:hAnsi="Arial"/>
          <w:sz w:val="17"/>
          <w:szCs w:val="17"/>
          <w:u w:val="single" w:color="auto"/>
          <w:color w:val="0000EE"/>
        </w:rPr>
        <w:t xml:space="preserve"> </w:t>
      </w:r>
      <w:r>
        <w:rPr>
          <w:rFonts w:ascii="Arial" w:cs="Arial" w:eastAsia="Arial" w:hAnsi="Arial"/>
          <w:sz w:val="17"/>
          <w:szCs w:val="17"/>
          <w:color w:val="000000"/>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-292735</wp:posOffset>
            </wp:positionV>
            <wp:extent cx="7302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Item 26. Marketing Arrangements</w:t>
      </w:r>
    </w:p>
    <w:p>
      <w:pPr>
        <w:spacing w:after="0" w:line="115" w:lineRule="exact"/>
        <w:rPr>
          <w:sz w:val="20"/>
          <w:szCs w:val="20"/>
          <w:color w:val="auto"/>
        </w:rPr>
      </w:pPr>
    </w:p>
    <w:p>
      <w:pPr>
        <w:ind w:left="420" w:firstLine="417"/>
        <w:spacing w:after="0" w:line="275" w:lineRule="auto"/>
        <w:rPr>
          <w:sz w:val="20"/>
          <w:szCs w:val="20"/>
          <w:color w:val="auto"/>
        </w:rPr>
      </w:pPr>
      <w:r>
        <w:rPr>
          <w:rFonts w:ascii="Arial" w:cs="Arial" w:eastAsia="Arial" w:hAnsi="Arial"/>
          <w:sz w:val="17"/>
          <w:szCs w:val="17"/>
          <w:color w:val="auto"/>
        </w:rPr>
        <w:t>The information contained under the heading “Plan of Distribution” in the prospectus that is included in this registration statement is incorporated herein by reference.</w:t>
      </w:r>
    </w:p>
    <w:p>
      <w:pPr>
        <w:spacing w:after="0" w:line="264" w:lineRule="exact"/>
        <w:rPr>
          <w:sz w:val="20"/>
          <w:szCs w:val="20"/>
          <w:color w:val="auto"/>
        </w:rPr>
      </w:pPr>
    </w:p>
    <w:tbl>
      <w:tblPr>
        <w:tblLayout w:type="fixed"/>
        <w:tblInd w:w="420" w:type="dxa"/>
        <w:tblCellMar>
          <w:top w:w="0" w:type="dxa"/>
          <w:left w:w="0" w:type="dxa"/>
          <w:bottom w:w="0" w:type="dxa"/>
          <w:right w:w="0" w:type="dxa"/>
        </w:tblCellMar>
      </w:tblPr>
      <w:tr>
        <w:trPr>
          <w:trHeight w:val="220"/>
        </w:trPr>
        <w:tc>
          <w:tcPr>
            <w:tcW w:w="8000" w:type="dxa"/>
            <w:vAlign w:val="bottom"/>
            <w:gridSpan w:val="3"/>
          </w:tcPr>
          <w:p>
            <w:pPr>
              <w:spacing w:after="0"/>
              <w:rPr>
                <w:sz w:val="20"/>
                <w:szCs w:val="20"/>
                <w:color w:val="auto"/>
              </w:rPr>
            </w:pPr>
            <w:r>
              <w:rPr>
                <w:rFonts w:ascii="Arial" w:cs="Arial" w:eastAsia="Arial" w:hAnsi="Arial"/>
                <w:sz w:val="17"/>
                <w:szCs w:val="17"/>
                <w:b w:val="1"/>
                <w:bCs w:val="1"/>
                <w:color w:val="auto"/>
              </w:rPr>
              <w:t>Item 27. Other Expenses of Issuance and Distribution</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140" w:type="dxa"/>
            <w:vAlign w:val="bottom"/>
            <w:vMerge w:val="restart"/>
          </w:tcPr>
          <w:p>
            <w:pPr>
              <w:spacing w:after="0"/>
              <w:rPr>
                <w:sz w:val="20"/>
                <w:szCs w:val="20"/>
                <w:color w:val="auto"/>
              </w:rPr>
            </w:pPr>
          </w:p>
        </w:tc>
        <w:tc>
          <w:tcPr>
            <w:tcW w:w="520" w:type="dxa"/>
            <w:vAlign w:val="bottom"/>
            <w:vMerge w:val="restart"/>
          </w:tcPr>
          <w:p>
            <w:pPr>
              <w:spacing w:after="0"/>
              <w:rPr>
                <w:sz w:val="20"/>
                <w:szCs w:val="20"/>
                <w:color w:val="auto"/>
              </w:rPr>
            </w:pPr>
          </w:p>
        </w:tc>
        <w:tc>
          <w:tcPr>
            <w:tcW w:w="6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1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Securities and Exchange Commission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Printing expenses</w:t>
            </w: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Accounting fees and expenses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5"/>
              </w:rPr>
              <w:t>50,000**</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Legal fees and expenses</w:t>
            </w: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5"/>
              </w:rPr>
              <w:t>30,000**</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860" w:type="dxa"/>
            <w:vAlign w:val="bottom"/>
            <w:gridSpan w:val="2"/>
          </w:tcPr>
          <w:p>
            <w:pPr>
              <w:ind w:left="520"/>
              <w:spacing w:after="0"/>
              <w:rPr>
                <w:sz w:val="20"/>
                <w:szCs w:val="20"/>
                <w:color w:val="auto"/>
              </w:rPr>
            </w:pPr>
            <w:r>
              <w:rPr>
                <w:rFonts w:ascii="Arial" w:cs="Arial" w:eastAsia="Arial" w:hAnsi="Arial"/>
                <w:sz w:val="17"/>
                <w:szCs w:val="17"/>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91,323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14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7"/>
          <w:szCs w:val="17"/>
          <w:color w:val="auto"/>
        </w:rPr>
        <w:t>**</w:t>
        <w:tab/>
        <w:t>Estimated for filing purposes.</w:t>
      </w:r>
    </w:p>
    <w:p>
      <w:pPr>
        <w:spacing w:after="0" w:line="31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Item 28. Persons Controlled by or Under Common Control</w:t>
      </w:r>
    </w:p>
    <w:p>
      <w:pPr>
        <w:spacing w:after="0" w:line="115" w:lineRule="exact"/>
        <w:rPr>
          <w:sz w:val="20"/>
          <w:szCs w:val="20"/>
          <w:color w:val="auto"/>
        </w:rPr>
      </w:pPr>
    </w:p>
    <w:p>
      <w:pPr>
        <w:ind w:left="420" w:right="540" w:firstLine="417"/>
        <w:spacing w:after="0" w:line="275" w:lineRule="auto"/>
        <w:rPr>
          <w:sz w:val="20"/>
          <w:szCs w:val="20"/>
          <w:color w:val="auto"/>
        </w:rPr>
      </w:pPr>
      <w:r>
        <w:rPr>
          <w:rFonts w:ascii="Arial" w:cs="Arial" w:eastAsia="Arial" w:hAnsi="Arial"/>
          <w:sz w:val="17"/>
          <w:szCs w:val="17"/>
          <w:color w:val="auto"/>
        </w:rPr>
        <w:t>The information contained under the headings “Portman Ridge Finance Corporation,” “Management” and “Control Persons and Principal Shareholders” in this Registration Statement is incorporated herein by reference.</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C-3</w:t>
      </w:r>
    </w:p>
    <w:p>
      <w:pPr>
        <w:sectPr>
          <w:pgSz w:w="11900" w:h="16838" w:orient="portrait"/>
          <w:cols w:equalWidth="0" w:num="1">
            <w:col w:w="10760"/>
          </w:cols>
          <w:pgMar w:left="320" w:top="443" w:right="8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95"/>
        </w:trPr>
        <w:tc>
          <w:tcPr>
            <w:tcW w:w="1280" w:type="dxa"/>
            <w:vAlign w:val="bottom"/>
            <w:tcBorders>
              <w:bottom w:val="single" w:sz="8" w:color="0000EE"/>
            </w:tcBorders>
          </w:tcPr>
          <w:p>
            <w:pPr>
              <w:spacing w:after="0"/>
              <w:rPr>
                <w:rFonts w:ascii="Arial" w:cs="Arial" w:eastAsia="Arial" w:hAnsi="Arial"/>
                <w:sz w:val="17"/>
                <w:szCs w:val="17"/>
                <w:b w:val="1"/>
                <w:bCs w:val="1"/>
                <w:color w:val="0000EE"/>
                <w:w w:val="87"/>
              </w:rPr>
            </w:pPr>
            <w:hyperlink w:anchor="page4">
              <w:r>
                <w:rPr>
                  <w:rFonts w:ascii="Arial" w:cs="Arial" w:eastAsia="Arial" w:hAnsi="Arial"/>
                  <w:sz w:val="17"/>
                  <w:szCs w:val="17"/>
                  <w:b w:val="1"/>
                  <w:bCs w:val="1"/>
                  <w:color w:val="0000EE"/>
                  <w:w w:val="87"/>
                </w:rPr>
                <w:t>Table of Contents</w:t>
              </w:r>
            </w:hyperlink>
          </w:p>
        </w:tc>
        <w:tc>
          <w:tcPr>
            <w:tcW w:w="6040" w:type="dxa"/>
            <w:vAlign w:val="bottom"/>
            <w:gridSpan w:val="2"/>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3"/>
        </w:trPr>
        <w:tc>
          <w:tcPr>
            <w:tcW w:w="7320" w:type="dxa"/>
            <w:vAlign w:val="bottom"/>
            <w:gridSpan w:val="3"/>
          </w:tcPr>
          <w:p>
            <w:pPr>
              <w:ind w:left="820"/>
              <w:spacing w:after="0"/>
              <w:rPr>
                <w:sz w:val="20"/>
                <w:szCs w:val="20"/>
                <w:color w:val="auto"/>
              </w:rPr>
            </w:pPr>
            <w:r>
              <w:rPr>
                <w:rFonts w:ascii="Arial" w:cs="Arial" w:eastAsia="Arial" w:hAnsi="Arial"/>
                <w:sz w:val="17"/>
                <w:szCs w:val="17"/>
                <w:color w:val="auto"/>
              </w:rPr>
              <w:t>The following table sets forth the Company’s consolidated subsidiaries.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280" w:type="dxa"/>
            <w:vAlign w:val="bottom"/>
            <w:vMerge w:val="restart"/>
          </w:tcPr>
          <w:p>
            <w:pPr>
              <w:spacing w:after="0"/>
              <w:rPr>
                <w:sz w:val="20"/>
                <w:szCs w:val="20"/>
                <w:color w:val="auto"/>
              </w:rPr>
            </w:pPr>
          </w:p>
        </w:tc>
        <w:tc>
          <w:tcPr>
            <w:tcW w:w="800" w:type="dxa"/>
            <w:vAlign w:val="bottom"/>
            <w:vMerge w:val="restart"/>
          </w:tcPr>
          <w:p>
            <w:pPr>
              <w:spacing w:after="0"/>
              <w:rPr>
                <w:sz w:val="20"/>
                <w:szCs w:val="20"/>
                <w:color w:val="auto"/>
              </w:rPr>
            </w:pPr>
          </w:p>
        </w:tc>
        <w:tc>
          <w:tcPr>
            <w:tcW w:w="5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2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HCAP Equity Holdings, LLC (Delaware)</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Katonah Management Holdings LLC (Delaware)</w:t>
            </w:r>
          </w:p>
        </w:tc>
        <w:tc>
          <w:tcPr>
            <w:tcW w:w="184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Katonah X Management LLC (Delaware)</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Katonah 2007-I Management LLC (Delaware)</w:t>
            </w:r>
          </w:p>
        </w:tc>
        <w:tc>
          <w:tcPr>
            <w:tcW w:w="184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KCAP Management, LLC (Delaware)</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Commodore Holdings, LLC (Delaware)</w:t>
            </w:r>
          </w:p>
        </w:tc>
        <w:tc>
          <w:tcPr>
            <w:tcW w:w="184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KCAP Coastal, LLC (Delaware)</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Great Lakes KCAP Funding I, LLC (Delaware)</w:t>
            </w:r>
          </w:p>
        </w:tc>
        <w:tc>
          <w:tcPr>
            <w:tcW w:w="184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PTMN Sub Holdings LLC (Delaware)</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Great Lakes Portman Ridge Funding I, LLC (Delaware)</w:t>
            </w:r>
          </w:p>
        </w:tc>
        <w:tc>
          <w:tcPr>
            <w:tcW w:w="184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Kohlberg Capital Funding LLC I (Delaware)</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OHA Funding GP, LLC (Texas)</w:t>
            </w:r>
          </w:p>
        </w:tc>
        <w:tc>
          <w:tcPr>
            <w:tcW w:w="184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OHA Nevada, LLC (Nevada)</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OHA Funding, LP (Texas)</w:t>
            </w:r>
          </w:p>
        </w:tc>
        <w:tc>
          <w:tcPr>
            <w:tcW w:w="184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OHA Asset Holdings GP, LLC (Texas)</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OHA Asset Holdings II, LP (Texas)</w:t>
            </w:r>
          </w:p>
        </w:tc>
        <w:tc>
          <w:tcPr>
            <w:tcW w:w="184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OHA/OCI Investments, LLC (Delaware)</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OHA Investment Corporation Sub, LLC (Delaware)</w:t>
            </w:r>
          </w:p>
        </w:tc>
        <w:tc>
          <w:tcPr>
            <w:tcW w:w="184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Garrison Capital Equity Holdings I LLC (Delaware)</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Garrison Capital Equity Holdings II LLC (Delaware)</w:t>
            </w:r>
          </w:p>
        </w:tc>
        <w:tc>
          <w:tcPr>
            <w:tcW w:w="184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GIG Rooster Holdings I LLC (Delaware)</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Garrison Funding 2018-2 Ltd (Cayman Islands)</w:t>
            </w:r>
          </w:p>
        </w:tc>
        <w:tc>
          <w:tcPr>
            <w:tcW w:w="184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Garrison Funding 2018-2 LLC (Delaware)</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2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7"/>
          <w:szCs w:val="17"/>
          <w:b w:val="1"/>
          <w:bCs w:val="1"/>
          <w:color w:val="auto"/>
        </w:rPr>
        <w:t>Item 29. Number of Holders of Securities</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following table sets forth the approximate number of record holders of the Registrant’s common stock as of November 22, 2021</w:t>
      </w:r>
    </w:p>
    <w:p>
      <w:pPr>
        <w:spacing w:after="0" w:line="211"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41"/>
        </w:trPr>
        <w:tc>
          <w:tcPr>
            <w:tcW w:w="7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Title of Class</w:t>
            </w:r>
          </w:p>
        </w:tc>
        <w:tc>
          <w:tcPr>
            <w:tcW w:w="5820" w:type="dxa"/>
            <w:vAlign w:val="bottom"/>
            <w:vMerge w:val="restart"/>
          </w:tcPr>
          <w:p>
            <w:pPr>
              <w:spacing w:after="0"/>
              <w:rPr>
                <w:sz w:val="12"/>
                <w:szCs w:val="12"/>
                <w:color w:val="auto"/>
              </w:rPr>
            </w:pPr>
          </w:p>
        </w:tc>
        <w:tc>
          <w:tcPr>
            <w:tcW w:w="4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1"/>
              </w:rPr>
              <w:t>Record</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5820" w:type="dxa"/>
            <w:vAlign w:val="bottom"/>
            <w:vMerge w:val="continue"/>
          </w:tcPr>
          <w:p>
            <w:pPr>
              <w:spacing w:after="0"/>
              <w:rPr>
                <w:sz w:val="14"/>
                <w:szCs w:val="14"/>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Holders</w:t>
            </w:r>
          </w:p>
        </w:tc>
        <w:tc>
          <w:tcPr>
            <w:tcW w:w="0" w:type="dxa"/>
            <w:vAlign w:val="bottom"/>
          </w:tcPr>
          <w:p>
            <w:pPr>
              <w:spacing w:after="0"/>
              <w:rPr>
                <w:sz w:val="1"/>
                <w:szCs w:val="1"/>
                <w:color w:val="auto"/>
              </w:rPr>
            </w:pPr>
          </w:p>
        </w:tc>
      </w:tr>
      <w:tr>
        <w:trPr>
          <w:trHeight w:val="190"/>
        </w:trPr>
        <w:tc>
          <w:tcPr>
            <w:tcW w:w="6600" w:type="dxa"/>
            <w:vAlign w:val="bottom"/>
            <w:tcBorders>
              <w:top w:val="single" w:sz="8" w:color="CCEEFF"/>
            </w:tcBorders>
            <w:gridSpan w:val="2"/>
            <w:shd w:val="clear" w:color="auto" w:fill="CCEEFF"/>
          </w:tcPr>
          <w:p>
            <w:pPr>
              <w:spacing w:after="0" w:line="190" w:lineRule="exact"/>
              <w:rPr>
                <w:sz w:val="20"/>
                <w:szCs w:val="20"/>
                <w:color w:val="auto"/>
              </w:rPr>
            </w:pPr>
            <w:r>
              <w:rPr>
                <w:rFonts w:ascii="Arial" w:cs="Arial" w:eastAsia="Arial" w:hAnsi="Arial"/>
                <w:sz w:val="17"/>
                <w:szCs w:val="17"/>
                <w:color w:val="auto"/>
              </w:rPr>
              <w:t>Common Stock, $0.01 par value</w:t>
            </w:r>
          </w:p>
        </w:tc>
        <w:tc>
          <w:tcPr>
            <w:tcW w:w="480" w:type="dxa"/>
            <w:vAlign w:val="bottom"/>
            <w:tcBorders>
              <w:top w:val="single" w:sz="8" w:color="auto"/>
            </w:tcBorders>
            <w:shd w:val="clear" w:color="auto" w:fill="CCEEFF"/>
          </w:tcPr>
          <w:p>
            <w:pPr>
              <w:jc w:val="center"/>
              <w:spacing w:after="0" w:line="190" w:lineRule="exact"/>
              <w:rPr>
                <w:sz w:val="20"/>
                <w:szCs w:val="20"/>
                <w:color w:val="auto"/>
              </w:rPr>
            </w:pPr>
            <w:r>
              <w:rPr>
                <w:rFonts w:ascii="Arial" w:cs="Arial" w:eastAsia="Arial" w:hAnsi="Arial"/>
                <w:sz w:val="17"/>
                <w:szCs w:val="17"/>
                <w:color w:val="auto"/>
                <w:w w:val="84"/>
              </w:rPr>
              <w:t>57</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Item 30. Indemnification</w:t>
      </w:r>
    </w:p>
    <w:p>
      <w:pPr>
        <w:spacing w:after="0" w:line="115" w:lineRule="exact"/>
        <w:rPr>
          <w:sz w:val="20"/>
          <w:szCs w:val="20"/>
          <w:color w:val="auto"/>
        </w:rPr>
      </w:pPr>
    </w:p>
    <w:p>
      <w:pPr>
        <w:ind w:left="420" w:firstLine="417"/>
        <w:spacing w:after="0" w:line="271" w:lineRule="auto"/>
        <w:rPr>
          <w:sz w:val="20"/>
          <w:szCs w:val="20"/>
          <w:color w:val="auto"/>
        </w:rPr>
      </w:pPr>
      <w:r>
        <w:rPr>
          <w:rFonts w:ascii="Arial" w:cs="Arial" w:eastAsia="Arial" w:hAnsi="Arial"/>
          <w:sz w:val="16"/>
          <w:szCs w:val="16"/>
          <w:color w:val="auto"/>
        </w:rPr>
        <w:t>The indemnification of our officers and directors is governed by Section 145 of the DGCL, and our certificate of incorporation and bylaws. Subsection (a) of Section 145 of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(1) such person acted in good faith, (2) in a manner such person reasonably believed to be in or not opposed to the best interests of the corporation and (3) with respect to any criminal action or proceeding, such person had no reasonable cause to believe the person’s conduct was unlawful.</w:t>
      </w:r>
    </w:p>
    <w:p>
      <w:pPr>
        <w:spacing w:after="0" w:line="175" w:lineRule="exact"/>
        <w:rPr>
          <w:sz w:val="20"/>
          <w:szCs w:val="20"/>
          <w:color w:val="auto"/>
        </w:rPr>
      </w:pPr>
    </w:p>
    <w:p>
      <w:pPr>
        <w:ind w:left="420" w:right="160" w:firstLine="417"/>
        <w:spacing w:after="0" w:line="275" w:lineRule="auto"/>
        <w:rPr>
          <w:sz w:val="20"/>
          <w:szCs w:val="20"/>
          <w:color w:val="auto"/>
        </w:rPr>
      </w:pPr>
      <w:r>
        <w:rPr>
          <w:rFonts w:ascii="Arial" w:cs="Arial" w:eastAsia="Arial" w:hAnsi="Arial"/>
          <w:sz w:val="17"/>
          <w:szCs w:val="17"/>
          <w:color w:val="auto"/>
        </w:rPr>
        <w:t>Subsection (b) of Section 145 of the DGCL empowers a corporation to indemnify any person who was or is a party or is threatened to be made a party to any threatened, pending or completed action or suit by or in the</w:t>
      </w:r>
    </w:p>
    <w:p>
      <w:pPr>
        <w:spacing w:after="0" w:line="10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C-4</w:t>
      </w:r>
    </w:p>
    <w:p>
      <w:pPr>
        <w:sectPr>
          <w:pgSz w:w="11900" w:h="16838" w:orient="portrait"/>
          <w:cols w:equalWidth="0" w:num="1">
            <w:col w:w="10840"/>
          </w:cols>
          <w:pgMar w:left="320" w:top="430" w:right="7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20"/>
        <w:spacing w:after="0" w:line="293" w:lineRule="auto"/>
        <w:rPr>
          <w:sz w:val="20"/>
          <w:szCs w:val="20"/>
          <w:color w:val="auto"/>
        </w:rPr>
      </w:pPr>
      <w:r>
        <w:rPr>
          <w:rFonts w:ascii="Arial" w:cs="Arial" w:eastAsia="Arial" w:hAnsi="Arial"/>
          <w:sz w:val="15"/>
          <w:szCs w:val="15"/>
          <w:color w:val="auto"/>
        </w:rPr>
        <w:t>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the person reasonably believed to be in, or not opposed to, the best interests of the corporation, and except that no indemnification may be made in respect of any claim, issue or matter as to which such person has been adjudged to be liable to the corporation unless and only to the extent that the Delaware Court of Chancery or the court in which such action or suit was brought determines upon application that, despite the adjudication of liability but in view of all the circumstances of the case, such person is fairly and reasonably entitled to indemnity for such expenses which the Delaware Court of Chancery or such other court deems proper.</w:t>
      </w:r>
    </w:p>
    <w:p>
      <w:pPr>
        <w:spacing w:after="0" w:line="155" w:lineRule="exact"/>
        <w:rPr>
          <w:sz w:val="20"/>
          <w:szCs w:val="20"/>
          <w:color w:val="auto"/>
        </w:rPr>
      </w:pPr>
    </w:p>
    <w:p>
      <w:pPr>
        <w:ind w:left="420" w:right="60" w:firstLine="417"/>
        <w:spacing w:after="0" w:line="286" w:lineRule="auto"/>
        <w:rPr>
          <w:sz w:val="20"/>
          <w:szCs w:val="20"/>
          <w:color w:val="auto"/>
        </w:rPr>
      </w:pPr>
      <w:r>
        <w:rPr>
          <w:rFonts w:ascii="Arial" w:cs="Arial" w:eastAsia="Arial" w:hAnsi="Arial"/>
          <w:sz w:val="15"/>
          <w:szCs w:val="15"/>
          <w:color w:val="auto"/>
        </w:rPr>
        <w:t>Section 145 of the DGCL further provides that to the extent that a present or former director or officer is successful, on the merits or otherwise, in the defense of any action, suit or proceeding referred to in subsections (a) and (b) of Section 145 of the DGCL, or in defense of any claim, issue or matter therein, such person will be indemnified against expenses (including attorneys’ fees) actually and reasonably incurred by such person in connection with such action, suit or proceeding. In all cases in which indemnification is permitted under subsections (a) and (b) of Section 145 of the DGCL (unless ordered by a court), it will be made by the corporation only as authorized in the specific case upon a determination that indemnification of the present or former director, officer, employee or agent is proper in the circumstances because the applicable standard of conduct has been met by the party to be indemnified. Such determination must be made, with respect to a person who is a director or officer at the time of such determination,</w:t>
      </w:r>
    </w:p>
    <w:p>
      <w:pPr>
        <w:spacing w:after="0" w:line="4" w:lineRule="exact"/>
        <w:rPr>
          <w:sz w:val="20"/>
          <w:szCs w:val="20"/>
          <w:color w:val="auto"/>
        </w:rPr>
      </w:pPr>
    </w:p>
    <w:p>
      <w:pPr>
        <w:ind w:left="420" w:right="40" w:hanging="9"/>
        <w:spacing w:after="0" w:line="290" w:lineRule="auto"/>
        <w:tabs>
          <w:tab w:leader="none" w:pos="661" w:val="left"/>
        </w:tabs>
        <w:numPr>
          <w:ilvl w:val="0"/>
          <w:numId w:val="51"/>
        </w:numPr>
        <w:rPr>
          <w:rFonts w:ascii="Arial" w:cs="Arial" w:eastAsia="Arial" w:hAnsi="Arial"/>
          <w:sz w:val="15"/>
          <w:szCs w:val="15"/>
          <w:color w:val="auto"/>
        </w:rPr>
      </w:pPr>
      <w:r>
        <w:rPr>
          <w:rFonts w:ascii="Arial" w:cs="Arial" w:eastAsia="Arial" w:hAnsi="Arial"/>
          <w:sz w:val="15"/>
          <w:szCs w:val="15"/>
          <w:color w:val="auto"/>
        </w:rPr>
        <w:t>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 The statute authorizes the corporation to pay expenses incurred by an officer or director in advance of the final disposition of a proceeding upon receipt of an undertaking by or on behalf of the person to whom the advance will be made, to repay the advances if it is ultimately determined that he or she was not entitled to indemnification. Section 145 of the DGCL also provides that indemnification and advancement of expenses permitted under such Section are not to be exclusive of any other rights to which those seeking indemnification or advancement of expenses may be entitled under any bylaw, agreement, vote of stockholders or disinterested directors, or otherwise. Section 145 of the DGCL also authorizes the corporation to purchase and maintain liability insurance on behalf of its directors, officers, employees and agents regardless of whether the corporation would have the statutory power to indemnify such persons against the liabilities insured.</w:t>
      </w:r>
    </w:p>
    <w:p>
      <w:pPr>
        <w:spacing w:after="0" w:line="157" w:lineRule="exact"/>
        <w:rPr>
          <w:sz w:val="20"/>
          <w:szCs w:val="20"/>
          <w:color w:val="auto"/>
        </w:rPr>
      </w:pPr>
    </w:p>
    <w:p>
      <w:pPr>
        <w:ind w:left="420" w:right="80" w:firstLine="417"/>
        <w:spacing w:after="0" w:line="274" w:lineRule="auto"/>
        <w:rPr>
          <w:sz w:val="20"/>
          <w:szCs w:val="20"/>
          <w:color w:val="auto"/>
        </w:rPr>
      </w:pPr>
      <w:r>
        <w:rPr>
          <w:rFonts w:ascii="Arial" w:cs="Arial" w:eastAsia="Arial" w:hAnsi="Arial"/>
          <w:sz w:val="16"/>
          <w:szCs w:val="16"/>
          <w:color w:val="auto"/>
        </w:rPr>
        <w:t>Our certificate of incorporation provides that our directors will not be liable to us or our stockholders for monetary damages for breach of fiduciary duty as a director to the fullest extent permitted by the DGCL. Section 102(b)(7) of the DGCL provides that the personal liability of a director to a corporation or its stockholders for breach of fiduciary duty as a director may be eliminated except for liability (1) for any breach of the director’s duty of loyalty to the corporation or its stockholders, (2) for acts or omissions not in good faith or which involve intentional misconduct or a knowing violation of law, (3) under Section 174 of the DGCL, relating to unlawful payment of distributions or unlawful stock purchases or redemption of stock or (4) for any transaction from which the director derives an improper personal benefit.</w:t>
      </w:r>
    </w:p>
    <w:p>
      <w:pPr>
        <w:spacing w:after="0" w:line="171" w:lineRule="exact"/>
        <w:rPr>
          <w:sz w:val="20"/>
          <w:szCs w:val="20"/>
          <w:color w:val="auto"/>
        </w:rPr>
      </w:pPr>
    </w:p>
    <w:p>
      <w:pPr>
        <w:ind w:left="420" w:firstLine="417"/>
        <w:spacing w:after="0" w:line="255" w:lineRule="auto"/>
        <w:rPr>
          <w:sz w:val="20"/>
          <w:szCs w:val="20"/>
          <w:color w:val="auto"/>
        </w:rPr>
      </w:pPr>
      <w:r>
        <w:rPr>
          <w:rFonts w:ascii="Arial" w:cs="Arial" w:eastAsia="Arial" w:hAnsi="Arial"/>
          <w:sz w:val="17"/>
          <w:szCs w:val="17"/>
          <w:color w:val="auto"/>
        </w:rPr>
        <w:t>Under our certificate of incorporation, we fully indemnify any person who was or is involved in any actual or threatened action, suit or proceeding by reason of the fact that such person is or was one of our directors or officers. So long as we are regulated under the 1940 Act, the above indemnification and limitation of liability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w:t>
      </w:r>
    </w:p>
    <w:p>
      <w:pPr>
        <w:spacing w:after="0" w:line="11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C-5</w:t>
      </w:r>
    </w:p>
    <w:p>
      <w:pPr>
        <w:sectPr>
          <w:pgSz w:w="11900" w:h="16838" w:orient="portrait"/>
          <w:cols w:equalWidth="0" w:num="1">
            <w:col w:w="10820"/>
          </w:cols>
          <w:pgMar w:left="320" w:top="443" w:right="75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non-party directors or by independent legal counsel that the liability for which indemnification is sought did not arise out of the foregoing conduct.</w:t>
      </w:r>
    </w:p>
    <w:p>
      <w:pPr>
        <w:spacing w:after="0" w:line="225" w:lineRule="exact"/>
        <w:rPr>
          <w:sz w:val="20"/>
          <w:szCs w:val="20"/>
          <w:color w:val="auto"/>
        </w:rPr>
      </w:pPr>
    </w:p>
    <w:p>
      <w:pPr>
        <w:ind w:left="420" w:right="100" w:firstLine="417"/>
        <w:spacing w:after="0" w:line="263" w:lineRule="auto"/>
        <w:rPr>
          <w:sz w:val="20"/>
          <w:szCs w:val="20"/>
          <w:color w:val="auto"/>
        </w:rPr>
      </w:pPr>
      <w:r>
        <w:rPr>
          <w:rFonts w:ascii="Arial" w:cs="Arial" w:eastAsia="Arial" w:hAnsi="Arial"/>
          <w:sz w:val="17"/>
          <w:szCs w:val="17"/>
          <w:color w:val="auto"/>
        </w:rPr>
        <w:t>We have obtained liability insurance for our directors and officers. In addition, we have entered into indemnification agreements with each of our directors and officers in order to effect the foregoing except to the extent that such indemnification would exceed the limitations on indemnification under Section 17(h) of the 1940 Act.</w:t>
      </w:r>
    </w:p>
    <w:p>
      <w:pPr>
        <w:spacing w:after="0" w:line="175" w:lineRule="exact"/>
        <w:rPr>
          <w:sz w:val="20"/>
          <w:szCs w:val="20"/>
          <w:color w:val="auto"/>
        </w:rPr>
      </w:pPr>
    </w:p>
    <w:p>
      <w:pPr>
        <w:ind w:left="420" w:firstLine="417"/>
        <w:spacing w:after="0" w:line="293" w:lineRule="auto"/>
        <w:rPr>
          <w:sz w:val="20"/>
          <w:szCs w:val="20"/>
          <w:color w:val="auto"/>
        </w:rPr>
      </w:pPr>
      <w:r>
        <w:rPr>
          <w:rFonts w:ascii="Arial" w:cs="Arial" w:eastAsia="Arial" w:hAnsi="Arial"/>
          <w:sz w:val="15"/>
          <w:szCs w:val="15"/>
          <w:color w:val="auto"/>
        </w:rPr>
        <w:t>Pursuant to Rule 484 under the Securities Act of 1933, as amended, the Registrant furnishes the following undertaking: “Insofar as indemnification for liabilities arising under the Securities Act of 1933, as amended, may be permitted to directors, officers and controlling persons of the Company pursuant to the provisions described above, or otherwise, the Company has been advised that in the opinion of the SEC such indemnification is against public policy as expressed in the Act and is, therefore, unenforceable. In the event that a claim for indemnification against such liabilities (other than the payment by the Company of expenses incurred or paid by a director, officer or controlling person in the successful defense of an action, suit or proceeding) is asserted by a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5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Item 31. Business and Other Connections of Investment Adviser</w:t>
      </w:r>
    </w:p>
    <w:p>
      <w:pPr>
        <w:spacing w:after="0" w:line="115" w:lineRule="exact"/>
        <w:rPr>
          <w:sz w:val="20"/>
          <w:szCs w:val="20"/>
          <w:color w:val="auto"/>
        </w:rPr>
      </w:pPr>
    </w:p>
    <w:p>
      <w:pPr>
        <w:ind w:left="420" w:firstLine="417"/>
        <w:spacing w:after="0" w:line="255" w:lineRule="auto"/>
        <w:rPr>
          <w:sz w:val="20"/>
          <w:szCs w:val="20"/>
          <w:color w:val="auto"/>
        </w:rPr>
      </w:pPr>
      <w:r>
        <w:rPr>
          <w:rFonts w:ascii="Arial" w:cs="Arial" w:eastAsia="Arial" w:hAnsi="Arial"/>
          <w:sz w:val="17"/>
          <w:szCs w:val="17"/>
          <w:color w:val="auto"/>
        </w:rPr>
        <w:t>A description of any other business, profession, vocation or employment of a substantial nature in which our Adviser, and each managing director, director or executive officer of our Adviser, is or has been during the past two fiscal years, engaged in for his or her own account or in the capacity of director, officer, employee, partner or trustee, is set forth in Part A of this registration statement in the section entitled “Portfolio Management” or is otherwise incorporated by reference into Part A of this registration statement. Additional information regarding our Adviser and its officers and directors is set forth in its Form ADV, as filed with the U.S. Securities and Exchange Commission (SEC File No. 801-114566), and is incorporated herein by reference.</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Item 32. Location of Accounts and Records</w:t>
      </w:r>
    </w:p>
    <w:p>
      <w:pPr>
        <w:spacing w:after="0" w:line="115" w:lineRule="exact"/>
        <w:rPr>
          <w:sz w:val="20"/>
          <w:szCs w:val="20"/>
          <w:color w:val="auto"/>
        </w:rPr>
      </w:pPr>
    </w:p>
    <w:p>
      <w:pPr>
        <w:ind w:left="420" w:right="180" w:firstLine="417"/>
        <w:spacing w:after="0" w:line="275" w:lineRule="auto"/>
        <w:rPr>
          <w:sz w:val="20"/>
          <w:szCs w:val="20"/>
          <w:color w:val="auto"/>
        </w:rPr>
      </w:pPr>
      <w:r>
        <w:rPr>
          <w:rFonts w:ascii="Arial" w:cs="Arial" w:eastAsia="Arial" w:hAnsi="Arial"/>
          <w:sz w:val="17"/>
          <w:szCs w:val="17"/>
          <w:color w:val="auto"/>
        </w:rPr>
        <w:t>All accounts, books and other documents required to be maintained by Section 31(a) of the 1940 Act, and the rules thereunder are maintained at the offices of:</w:t>
      </w:r>
    </w:p>
    <w:p>
      <w:pPr>
        <w:spacing w:after="0" w:line="75" w:lineRule="exact"/>
        <w:rPr>
          <w:sz w:val="20"/>
          <w:szCs w:val="20"/>
          <w:color w:val="auto"/>
        </w:rPr>
      </w:pPr>
    </w:p>
    <w:p>
      <w:pPr>
        <w:ind w:left="1340" w:hanging="520"/>
        <w:spacing w:after="0"/>
        <w:tabs>
          <w:tab w:leader="none" w:pos="1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 Portman Ridge Finance Corporation, 650 Madison Avenue, 23</w:t>
      </w:r>
      <w:r>
        <w:rPr>
          <w:rFonts w:ascii="Arial" w:cs="Arial" w:eastAsia="Arial" w:hAnsi="Arial"/>
          <w:sz w:val="14"/>
          <w:szCs w:val="14"/>
          <w:color w:val="auto"/>
        </w:rPr>
        <w:t>rd</w:t>
      </w:r>
      <w:r>
        <w:rPr>
          <w:rFonts w:ascii="Arial" w:cs="Arial" w:eastAsia="Arial" w:hAnsi="Arial"/>
          <w:sz w:val="17"/>
          <w:szCs w:val="17"/>
          <w:color w:val="auto"/>
        </w:rPr>
        <w:t xml:space="preserve"> Floor, New York, New York 10022;</w:t>
      </w:r>
    </w:p>
    <w:p>
      <w:pPr>
        <w:spacing w:after="0" w:line="124" w:lineRule="exact"/>
        <w:rPr>
          <w:rFonts w:ascii="Arial" w:cs="Arial" w:eastAsia="Arial" w:hAnsi="Arial"/>
          <w:sz w:val="17"/>
          <w:szCs w:val="17"/>
          <w:color w:val="auto"/>
        </w:rPr>
      </w:pPr>
    </w:p>
    <w:p>
      <w:pPr>
        <w:ind w:left="1340" w:hanging="520"/>
        <w:spacing w:after="0"/>
        <w:tabs>
          <w:tab w:leader="none" w:pos="1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Custodian: U.S. Bank National Association, Corporate Trust Services, One Federal Street, 3rd Floor, Boston, MA 02110;</w:t>
      </w:r>
    </w:p>
    <w:p>
      <w:pPr>
        <w:spacing w:after="0" w:line="123" w:lineRule="exact"/>
        <w:rPr>
          <w:rFonts w:ascii="Arial" w:cs="Arial" w:eastAsia="Arial" w:hAnsi="Arial"/>
          <w:sz w:val="17"/>
          <w:szCs w:val="17"/>
          <w:color w:val="auto"/>
        </w:rPr>
      </w:pPr>
    </w:p>
    <w:p>
      <w:pPr>
        <w:ind w:left="1340" w:right="200" w:hanging="520"/>
        <w:spacing w:after="0" w:line="275" w:lineRule="auto"/>
        <w:tabs>
          <w:tab w:leader="none" w:pos="1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Transfer and Dividend Paying Agent and Registrar: American Stock Transfer &amp; Trust Company, LLC, 6201 15th Avenue, Brooklyn, NY 11219;</w:t>
      </w:r>
    </w:p>
    <w:p>
      <w:pPr>
        <w:spacing w:after="0" w:line="75" w:lineRule="exact"/>
        <w:rPr>
          <w:rFonts w:ascii="Arial" w:cs="Arial" w:eastAsia="Arial" w:hAnsi="Arial"/>
          <w:sz w:val="17"/>
          <w:szCs w:val="17"/>
          <w:color w:val="auto"/>
        </w:rPr>
      </w:pPr>
    </w:p>
    <w:p>
      <w:pPr>
        <w:ind w:left="1340" w:hanging="520"/>
        <w:spacing w:after="0"/>
        <w:tabs>
          <w:tab w:leader="none" w:pos="13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Registrant’s Adviser: Sierra Crest Investment Management LLC, 650 Madison Avenue, 23</w:t>
      </w:r>
      <w:r>
        <w:rPr>
          <w:rFonts w:ascii="Arial" w:cs="Arial" w:eastAsia="Arial" w:hAnsi="Arial"/>
          <w:sz w:val="12"/>
          <w:szCs w:val="12"/>
          <w:color w:val="auto"/>
        </w:rPr>
        <w:t>rd</w:t>
      </w:r>
      <w:r>
        <w:rPr>
          <w:rFonts w:ascii="Arial" w:cs="Arial" w:eastAsia="Arial" w:hAnsi="Arial"/>
          <w:sz w:val="15"/>
          <w:szCs w:val="15"/>
          <w:color w:val="auto"/>
        </w:rPr>
        <w:t xml:space="preserve"> Floor, New York, New York 10022; and</w:t>
      </w:r>
    </w:p>
    <w:p>
      <w:pPr>
        <w:spacing w:after="0" w:line="146" w:lineRule="exact"/>
        <w:rPr>
          <w:rFonts w:ascii="Arial" w:cs="Arial" w:eastAsia="Arial" w:hAnsi="Arial"/>
          <w:sz w:val="15"/>
          <w:szCs w:val="15"/>
          <w:color w:val="auto"/>
        </w:rPr>
      </w:pPr>
    </w:p>
    <w:p>
      <w:pPr>
        <w:ind w:left="1340" w:hanging="520"/>
        <w:spacing w:after="0"/>
        <w:tabs>
          <w:tab w:leader="none" w:pos="1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Administrator: BC Partners Management LLC, 650 Madison Avenue, 23</w:t>
      </w:r>
      <w:r>
        <w:rPr>
          <w:rFonts w:ascii="Arial" w:cs="Arial" w:eastAsia="Arial" w:hAnsi="Arial"/>
          <w:sz w:val="14"/>
          <w:szCs w:val="14"/>
          <w:color w:val="auto"/>
        </w:rPr>
        <w:t>rd</w:t>
      </w:r>
      <w:r>
        <w:rPr>
          <w:rFonts w:ascii="Arial" w:cs="Arial" w:eastAsia="Arial" w:hAnsi="Arial"/>
          <w:sz w:val="17"/>
          <w:szCs w:val="17"/>
          <w:color w:val="auto"/>
        </w:rPr>
        <w:t xml:space="preserve"> Floor, New York, New York 10022.</w:t>
      </w:r>
    </w:p>
    <w:p>
      <w:pPr>
        <w:spacing w:after="0" w:line="31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Item 33. Management Services</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Not applicable.</w:t>
      </w:r>
    </w:p>
    <w:p>
      <w:pPr>
        <w:spacing w:after="0" w:line="14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C-6</w:t>
      </w:r>
    </w:p>
    <w:p>
      <w:pPr>
        <w:sectPr>
          <w:pgSz w:w="11900" w:h="16838" w:orient="portrait"/>
          <w:cols w:equalWidth="0" w:num="1">
            <w:col w:w="10820"/>
          </w:cols>
          <w:pgMar w:left="320" w:top="443" w:right="75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Item 34. Undertakings</w:t>
      </w:r>
    </w:p>
    <w:p>
      <w:pPr>
        <w:spacing w:after="0" w:line="128" w:lineRule="exact"/>
        <w:rPr>
          <w:sz w:val="20"/>
          <w:szCs w:val="20"/>
          <w:color w:val="auto"/>
        </w:rPr>
      </w:pPr>
    </w:p>
    <w:p>
      <w:pPr>
        <w:ind w:left="1340" w:hanging="520"/>
        <w:spacing w:after="0"/>
        <w:tabs>
          <w:tab w:leader="none" w:pos="1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23" w:lineRule="exact"/>
        <w:rPr>
          <w:rFonts w:ascii="Arial" w:cs="Arial" w:eastAsia="Arial" w:hAnsi="Arial"/>
          <w:sz w:val="17"/>
          <w:szCs w:val="17"/>
          <w:color w:val="auto"/>
        </w:rPr>
      </w:pPr>
    </w:p>
    <w:p>
      <w:pPr>
        <w:ind w:left="1340" w:hanging="520"/>
        <w:spacing w:after="0"/>
        <w:tabs>
          <w:tab w:leader="none" w:pos="1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23" w:lineRule="exact"/>
        <w:rPr>
          <w:rFonts w:ascii="Arial" w:cs="Arial" w:eastAsia="Arial" w:hAnsi="Arial"/>
          <w:sz w:val="17"/>
          <w:szCs w:val="17"/>
          <w:color w:val="auto"/>
        </w:rPr>
      </w:pPr>
    </w:p>
    <w:p>
      <w:pPr>
        <w:ind w:left="1340" w:hanging="520"/>
        <w:spacing w:after="0"/>
        <w:tabs>
          <w:tab w:leader="none" w:pos="1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hereby undertake:</w:t>
      </w:r>
    </w:p>
    <w:p>
      <w:pPr>
        <w:spacing w:after="0" w:line="123" w:lineRule="exact"/>
        <w:rPr>
          <w:rFonts w:ascii="Arial" w:cs="Arial" w:eastAsia="Arial" w:hAnsi="Arial"/>
          <w:sz w:val="17"/>
          <w:szCs w:val="17"/>
          <w:color w:val="auto"/>
        </w:rPr>
      </w:pPr>
    </w:p>
    <w:p>
      <w:pPr>
        <w:ind w:left="1760" w:right="420" w:hanging="416"/>
        <w:spacing w:after="0" w:line="263" w:lineRule="auto"/>
        <w:tabs>
          <w:tab w:leader="none" w:pos="17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each post-effective amendment to the Registration Statement shall be deemed to be a new registration statement relating to the securities offered therein, and the offering of those securities at that time shall be deemed to be the initial bona fide offering thereof.</w:t>
      </w:r>
    </w:p>
    <w:p>
      <w:pPr>
        <w:spacing w:after="0" w:line="85" w:lineRule="exact"/>
        <w:rPr>
          <w:rFonts w:ascii="Arial" w:cs="Arial" w:eastAsia="Arial" w:hAnsi="Arial"/>
          <w:sz w:val="17"/>
          <w:szCs w:val="17"/>
          <w:color w:val="auto"/>
        </w:rPr>
      </w:pPr>
    </w:p>
    <w:p>
      <w:pPr>
        <w:ind w:left="1760" w:right="180" w:hanging="416"/>
        <w:spacing w:after="0" w:line="275" w:lineRule="auto"/>
        <w:tabs>
          <w:tab w:leader="none" w:pos="17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7"/>
          <w:szCs w:val="17"/>
          <w:color w:val="auto"/>
        </w:rPr>
      </w:pPr>
    </w:p>
    <w:p>
      <w:pPr>
        <w:ind w:left="1760" w:hanging="416"/>
        <w:spacing w:after="0"/>
        <w:tabs>
          <w:tab w:leader="none" w:pos="17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that:</w:t>
      </w:r>
    </w:p>
    <w:p>
      <w:pPr>
        <w:spacing w:after="0" w:line="123" w:lineRule="exact"/>
        <w:rPr>
          <w:rFonts w:ascii="Arial" w:cs="Arial" w:eastAsia="Arial" w:hAnsi="Arial"/>
          <w:sz w:val="17"/>
          <w:szCs w:val="17"/>
          <w:color w:val="auto"/>
        </w:rPr>
      </w:pPr>
    </w:p>
    <w:p>
      <w:pPr>
        <w:ind w:left="2280" w:hanging="515"/>
        <w:spacing w:after="0"/>
        <w:tabs>
          <w:tab w:leader="none" w:pos="2280" w:val="left"/>
        </w:tabs>
        <w:numPr>
          <w:ilvl w:val="2"/>
          <w:numId w:val="53"/>
        </w:numPr>
        <w:rPr>
          <w:rFonts w:ascii="Arial" w:cs="Arial" w:eastAsia="Arial" w:hAnsi="Arial"/>
          <w:sz w:val="17"/>
          <w:szCs w:val="17"/>
          <w:color w:val="auto"/>
        </w:rPr>
      </w:pPr>
      <w:r>
        <w:rPr>
          <w:rFonts w:ascii="Arial" w:cs="Arial" w:eastAsia="Arial" w:hAnsi="Arial"/>
          <w:sz w:val="17"/>
          <w:szCs w:val="17"/>
          <w:color w:val="auto"/>
        </w:rPr>
        <w:t>if we are relying on Rule 430B:</w:t>
      </w:r>
    </w:p>
    <w:p>
      <w:pPr>
        <w:spacing w:after="0" w:line="123" w:lineRule="exact"/>
        <w:rPr>
          <w:rFonts w:ascii="Arial" w:cs="Arial" w:eastAsia="Arial" w:hAnsi="Arial"/>
          <w:sz w:val="17"/>
          <w:szCs w:val="17"/>
          <w:color w:val="auto"/>
        </w:rPr>
      </w:pPr>
    </w:p>
    <w:p>
      <w:pPr>
        <w:ind w:left="2680" w:hanging="404"/>
        <w:spacing w:after="0" w:line="275" w:lineRule="auto"/>
        <w:tabs>
          <w:tab w:leader="none" w:pos="2680" w:val="left"/>
        </w:tabs>
        <w:numPr>
          <w:ilvl w:val="3"/>
          <w:numId w:val="53"/>
        </w:numPr>
        <w:rPr>
          <w:rFonts w:ascii="Arial" w:cs="Arial" w:eastAsia="Arial" w:hAnsi="Arial"/>
          <w:sz w:val="17"/>
          <w:szCs w:val="17"/>
          <w:color w:val="auto"/>
        </w:rPr>
      </w:pPr>
      <w:r>
        <w:rPr>
          <w:rFonts w:ascii="Arial" w:cs="Arial" w:eastAsia="Arial" w:hAnsi="Arial"/>
          <w:sz w:val="17"/>
          <w:szCs w:val="17"/>
          <w:color w:val="auto"/>
        </w:rPr>
        <w:t>each prospectus filed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7"/>
          <w:szCs w:val="17"/>
          <w:color w:val="auto"/>
        </w:rPr>
      </w:pPr>
    </w:p>
    <w:p>
      <w:pPr>
        <w:ind w:left="2680" w:right="20" w:hanging="404"/>
        <w:spacing w:after="0" w:line="269" w:lineRule="auto"/>
        <w:tabs>
          <w:tab w:leader="none" w:pos="2680" w:val="left"/>
        </w:tabs>
        <w:numPr>
          <w:ilvl w:val="3"/>
          <w:numId w:val="53"/>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89" w:lineRule="exact"/>
        <w:rPr>
          <w:rFonts w:ascii="Arial" w:cs="Arial" w:eastAsia="Arial" w:hAnsi="Arial"/>
          <w:sz w:val="16"/>
          <w:szCs w:val="16"/>
          <w:color w:val="auto"/>
        </w:rPr>
      </w:pPr>
    </w:p>
    <w:p>
      <w:pPr>
        <w:ind w:left="2280" w:right="40" w:hanging="515"/>
        <w:spacing w:after="0" w:line="271" w:lineRule="auto"/>
        <w:tabs>
          <w:tab w:leader="none" w:pos="2280" w:val="left"/>
        </w:tabs>
        <w:numPr>
          <w:ilvl w:val="2"/>
          <w:numId w:val="53"/>
        </w:numPr>
        <w:rPr>
          <w:rFonts w:ascii="Arial" w:cs="Arial" w:eastAsia="Arial" w:hAnsi="Arial"/>
          <w:sz w:val="16"/>
          <w:szCs w:val="16"/>
          <w:color w:val="auto"/>
        </w:rPr>
      </w:pPr>
      <w:r>
        <w:rPr>
          <w:rFonts w:ascii="Arial" w:cs="Arial" w:eastAsia="Arial" w:hAnsi="Arial"/>
          <w:sz w:val="16"/>
          <w:szCs w:val="16"/>
          <w:color w:val="auto"/>
        </w:rPr>
        <w:t>if we are subject to Rule 430C under the Securities Act, each prospectus filed pursuant to Rule 424(b) under the Securities Act as part of this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supersedes or modify any statement that was made in the Registration Statement or prospectus that was part of the registration statement or made in any such document immediately prior to such date of first use.</w:t>
      </w:r>
    </w:p>
    <w:p>
      <w:pPr>
        <w:spacing w:after="0" w:line="85" w:lineRule="exact"/>
        <w:rPr>
          <w:rFonts w:ascii="Arial" w:cs="Arial" w:eastAsia="Arial" w:hAnsi="Arial"/>
          <w:sz w:val="16"/>
          <w:szCs w:val="16"/>
          <w:color w:val="auto"/>
        </w:rPr>
      </w:pPr>
    </w:p>
    <w:p>
      <w:pPr>
        <w:ind w:left="1760" w:right="120" w:hanging="416"/>
        <w:spacing w:after="0" w:line="275" w:lineRule="auto"/>
        <w:tabs>
          <w:tab w:leader="none" w:pos="17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that for the purpose of determining our liability under the Securities Act to any purchaser in the initial distribution of securities, we undertake that in a primary offering of our securities pursuant</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C-7</w:t>
      </w:r>
    </w:p>
    <w:p>
      <w:pPr>
        <w:sectPr>
          <w:pgSz w:w="11900" w:h="16838" w:orient="portrait"/>
          <w:cols w:equalWidth="0" w:num="1">
            <w:col w:w="10800"/>
          </w:cols>
          <w:pgMar w:left="320" w:top="443" w:right="77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both"/>
        <w:ind w:left="1760" w:right="100"/>
        <w:spacing w:after="0" w:line="263" w:lineRule="auto"/>
        <w:rPr>
          <w:sz w:val="20"/>
          <w:szCs w:val="20"/>
          <w:color w:val="auto"/>
        </w:rPr>
      </w:pPr>
      <w:r>
        <w:rPr>
          <w:rFonts w:ascii="Arial" w:cs="Arial" w:eastAsia="Arial" w:hAnsi="Arial"/>
          <w:sz w:val="17"/>
          <w:szCs w:val="17"/>
          <w:color w:val="auto"/>
        </w:rPr>
        <w:t>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86" w:lineRule="exact"/>
        <w:rPr>
          <w:sz w:val="20"/>
          <w:szCs w:val="20"/>
          <w:color w:val="auto"/>
        </w:rPr>
      </w:pPr>
    </w:p>
    <w:p>
      <w:pPr>
        <w:ind w:left="2280" w:right="280" w:hanging="515"/>
        <w:spacing w:after="0" w:line="275" w:lineRule="auto"/>
        <w:tabs>
          <w:tab w:leader="none" w:pos="22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preliminary prospectus or prospectus of us relating to the offering required to be filed pursuant to Rule 424 under the Securities Act;</w:t>
      </w:r>
    </w:p>
    <w:p>
      <w:pPr>
        <w:spacing w:after="0" w:line="75" w:lineRule="exact"/>
        <w:rPr>
          <w:rFonts w:ascii="Arial" w:cs="Arial" w:eastAsia="Arial" w:hAnsi="Arial"/>
          <w:sz w:val="17"/>
          <w:szCs w:val="17"/>
          <w:color w:val="auto"/>
        </w:rPr>
      </w:pPr>
    </w:p>
    <w:p>
      <w:pPr>
        <w:ind w:left="2280" w:hanging="515"/>
        <w:spacing w:after="0"/>
        <w:tabs>
          <w:tab w:leader="none" w:pos="22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Free writing prospectuses relating to the offering prepared by or on behalf of us or used or referred to by us;</w:t>
      </w:r>
    </w:p>
    <w:p>
      <w:pPr>
        <w:spacing w:after="0" w:line="123" w:lineRule="exact"/>
        <w:rPr>
          <w:rFonts w:ascii="Arial" w:cs="Arial" w:eastAsia="Arial" w:hAnsi="Arial"/>
          <w:sz w:val="17"/>
          <w:szCs w:val="17"/>
          <w:color w:val="auto"/>
        </w:rPr>
      </w:pPr>
    </w:p>
    <w:p>
      <w:pPr>
        <w:ind w:left="2280" w:right="120" w:hanging="515"/>
        <w:spacing w:after="0" w:line="308" w:lineRule="auto"/>
        <w:tabs>
          <w:tab w:leader="none" w:pos="22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portion of any other free writing prospectuses or advertisement pursuant to Rule 482 under the Securities Act relating to the offering containing material information about us or our securities provided by or on behalf of us; and</w:t>
      </w:r>
    </w:p>
    <w:p>
      <w:pPr>
        <w:spacing w:after="0" w:line="51" w:lineRule="exact"/>
        <w:rPr>
          <w:rFonts w:ascii="Arial" w:cs="Arial" w:eastAsia="Arial" w:hAnsi="Arial"/>
          <w:sz w:val="16"/>
          <w:szCs w:val="16"/>
          <w:color w:val="auto"/>
        </w:rPr>
      </w:pPr>
    </w:p>
    <w:p>
      <w:pPr>
        <w:ind w:left="2280" w:hanging="515"/>
        <w:spacing w:after="0"/>
        <w:tabs>
          <w:tab w:leader="none" w:pos="22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us to the purchaser.</w:t>
      </w:r>
    </w:p>
    <w:p>
      <w:pPr>
        <w:spacing w:after="0" w:line="123" w:lineRule="exact"/>
        <w:rPr>
          <w:rFonts w:ascii="Arial" w:cs="Arial" w:eastAsia="Arial" w:hAnsi="Arial"/>
          <w:sz w:val="17"/>
          <w:szCs w:val="17"/>
          <w:color w:val="auto"/>
        </w:rPr>
      </w:pPr>
    </w:p>
    <w:p>
      <w:pPr>
        <w:ind w:left="1340" w:hanging="520"/>
        <w:spacing w:after="0"/>
        <w:tabs>
          <w:tab w:leader="none" w:pos="1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23" w:lineRule="exact"/>
        <w:rPr>
          <w:rFonts w:ascii="Arial" w:cs="Arial" w:eastAsia="Arial" w:hAnsi="Arial"/>
          <w:sz w:val="17"/>
          <w:szCs w:val="17"/>
          <w:color w:val="auto"/>
        </w:rPr>
      </w:pPr>
    </w:p>
    <w:p>
      <w:pPr>
        <w:ind w:left="1340" w:right="20" w:hanging="520"/>
        <w:spacing w:after="0" w:line="259" w:lineRule="auto"/>
        <w:tabs>
          <w:tab w:leader="none" w:pos="1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hereby undertake that, for purposes of determining any liability under the Securities Act, each filing of our annual report pursuant to Section 13(a) or Section 15(d) of the Securities Exchange Act of 1934 that is incorporated by reference into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Arial" w:cs="Arial" w:eastAsia="Arial" w:hAnsi="Arial"/>
          <w:sz w:val="17"/>
          <w:szCs w:val="17"/>
          <w:color w:val="auto"/>
        </w:rPr>
      </w:pPr>
    </w:p>
    <w:p>
      <w:pPr>
        <w:ind w:left="1340" w:hanging="520"/>
        <w:spacing w:after="0" w:line="254" w:lineRule="auto"/>
        <w:tabs>
          <w:tab w:leader="none" w:pos="1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we have been advised that in the opinion of the Commission such indemnification is against public policy as expressed in the Securities Act and is, therefore, unenforceable. In the event that a claim for indemnification against such liabilities (other than the payment by us of expenses incurred or paid by any of our directors, officers or controlling persons in the successful defense of any action, suit or proceeding) is asserted by such director, officer or controlling person in connection with the securities being registered, we undertake, unless in the opinion of our counsel the matter has been settled by controlling precedent, to submit to a court of appropriate jurisdiction the question whether such indemnification by us is against public policy as expressed in the Securities Act and we will be governed by the final adjudication of such issue.</w:t>
      </w:r>
    </w:p>
    <w:p>
      <w:pPr>
        <w:spacing w:after="0" w:line="95" w:lineRule="exact"/>
        <w:rPr>
          <w:rFonts w:ascii="Arial" w:cs="Arial" w:eastAsia="Arial" w:hAnsi="Arial"/>
          <w:sz w:val="17"/>
          <w:szCs w:val="17"/>
          <w:color w:val="auto"/>
        </w:rPr>
      </w:pPr>
    </w:p>
    <w:p>
      <w:pPr>
        <w:ind w:left="1340" w:right="220" w:hanging="520"/>
        <w:spacing w:after="0" w:line="275" w:lineRule="auto"/>
        <w:tabs>
          <w:tab w:leader="none" w:pos="1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To send by first class mail or other means designed to ensure equally prompt delivery within two business days of receipt of a written or oral request, any prospectus or Statement of Additional Information.</w:t>
      </w:r>
    </w:p>
    <w:p>
      <w:pPr>
        <w:spacing w:after="0" w:line="10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C-8</w:t>
      </w:r>
    </w:p>
    <w:p>
      <w:pPr>
        <w:sectPr>
          <w:pgSz w:w="11900" w:h="16838" w:orient="portrait"/>
          <w:cols w:equalWidth="0" w:num="1">
            <w:col w:w="10820"/>
          </w:cols>
          <w:pgMar w:left="320" w:top="443" w:right="75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SIGNATURES</w:t>
      </w:r>
    </w:p>
    <w:p>
      <w:pPr>
        <w:spacing w:after="0" w:line="217" w:lineRule="exact"/>
        <w:rPr>
          <w:sz w:val="20"/>
          <w:szCs w:val="20"/>
          <w:color w:val="auto"/>
        </w:rPr>
      </w:pPr>
    </w:p>
    <w:p>
      <w:pPr>
        <w:ind w:left="420" w:right="80" w:firstLine="417"/>
        <w:spacing w:after="0" w:line="308"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N-2 to be signed on its behalf by the undersigned, thereunto duly authorized, in The City of New York, in the State of New York, on November 23, 2021.</w:t>
      </w:r>
    </w:p>
    <w:p>
      <w:pPr>
        <w:spacing w:after="0" w:line="167"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PORTMAN RIDGE FINANCE CORPORATION</w:t>
      </w:r>
    </w:p>
    <w:p>
      <w:pPr>
        <w:spacing w:after="0" w:line="213"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By: /s/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13335</wp:posOffset>
            </wp:positionV>
            <wp:extent cx="2425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5"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Name: Edward Goldthorpe</w:t>
      </w:r>
    </w:p>
    <w:p>
      <w:pPr>
        <w:spacing w:after="0" w:line="2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Title: President and Chief Executive Officer</w:t>
      </w:r>
    </w:p>
    <w:p>
      <w:pPr>
        <w:spacing w:after="0" w:line="202" w:lineRule="exact"/>
        <w:rPr>
          <w:sz w:val="20"/>
          <w:szCs w:val="20"/>
          <w:color w:val="auto"/>
        </w:rPr>
      </w:pPr>
    </w:p>
    <w:p>
      <w:pPr>
        <w:ind w:left="420" w:firstLine="417"/>
        <w:spacing w:after="0" w:line="275" w:lineRule="auto"/>
        <w:rPr>
          <w:sz w:val="20"/>
          <w:szCs w:val="20"/>
          <w:color w:val="auto"/>
        </w:rPr>
      </w:pPr>
      <w:r>
        <w:rPr>
          <w:rFonts w:ascii="Arial" w:cs="Arial" w:eastAsia="Arial" w:hAnsi="Arial"/>
          <w:sz w:val="17"/>
          <w:szCs w:val="17"/>
          <w:color w:val="auto"/>
        </w:rPr>
        <w:t>As required by the Securities Act of 1933, this registration statement has been signed below by the following persons in the capacities and on the dates indicated:</w:t>
      </w:r>
    </w:p>
    <w:p>
      <w:pPr>
        <w:spacing w:after="0" w:line="183"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860" w:type="dxa"/>
            <w:vAlign w:val="bottom"/>
            <w:gridSpan w:val="2"/>
          </w:tcPr>
          <w:p>
            <w:pPr>
              <w:spacing w:after="0"/>
              <w:rPr>
                <w:sz w:val="14"/>
                <w:szCs w:val="14"/>
                <w:color w:val="auto"/>
              </w:rPr>
            </w:pPr>
          </w:p>
        </w:tc>
        <w:tc>
          <w:tcPr>
            <w:tcW w:w="2040" w:type="dxa"/>
            <w:vAlign w:val="bottom"/>
          </w:tcPr>
          <w:p>
            <w:pPr>
              <w:spacing w:after="0"/>
              <w:rPr>
                <w:sz w:val="14"/>
                <w:szCs w:val="14"/>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c>
          <w:tcPr>
            <w:tcW w:w="10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01"/>
        </w:trPr>
        <w:tc>
          <w:tcPr>
            <w:tcW w:w="4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7"/>
                <w:szCs w:val="17"/>
                <w:color w:val="auto"/>
                <w:w w:val="91"/>
              </w:rPr>
              <w:t>/s/ Edward Goldthorpe</w:t>
            </w:r>
          </w:p>
        </w:tc>
        <w:tc>
          <w:tcPr>
            <w:tcW w:w="4100" w:type="dxa"/>
            <w:vAlign w:val="bottom"/>
            <w:gridSpan w:val="3"/>
          </w:tcPr>
          <w:p>
            <w:pPr>
              <w:ind w:left="100"/>
              <w:spacing w:after="0"/>
              <w:rPr>
                <w:sz w:val="20"/>
                <w:szCs w:val="20"/>
                <w:color w:val="auto"/>
              </w:rPr>
            </w:pPr>
            <w:r>
              <w:rPr>
                <w:rFonts w:ascii="Arial" w:cs="Arial" w:eastAsia="Arial" w:hAnsi="Arial"/>
                <w:sz w:val="17"/>
                <w:szCs w:val="17"/>
                <w:color w:val="auto"/>
              </w:rPr>
              <w:t>President and Chief Executive Officer</w:t>
            </w:r>
          </w:p>
        </w:tc>
        <w:tc>
          <w:tcPr>
            <w:tcW w:w="1640" w:type="dxa"/>
            <w:vAlign w:val="bottom"/>
            <w:gridSpan w:val="3"/>
          </w:tcPr>
          <w:p>
            <w:pPr>
              <w:ind w:left="280"/>
              <w:spacing w:after="0"/>
              <w:rPr>
                <w:sz w:val="20"/>
                <w:szCs w:val="20"/>
                <w:color w:val="auto"/>
              </w:rPr>
            </w:pPr>
            <w:r>
              <w:rPr>
                <w:rFonts w:ascii="Arial" w:cs="Arial" w:eastAsia="Arial" w:hAnsi="Arial"/>
                <w:sz w:val="17"/>
                <w:szCs w:val="17"/>
                <w:color w:val="auto"/>
                <w:w w:val="89"/>
              </w:rPr>
              <w:t>November 23, 2021</w:t>
            </w:r>
          </w:p>
        </w:tc>
      </w:tr>
      <w:tr>
        <w:trPr>
          <w:trHeight w:val="210"/>
        </w:trPr>
        <w:tc>
          <w:tcPr>
            <w:tcW w:w="460" w:type="dxa"/>
            <w:vAlign w:val="bottom"/>
          </w:tcPr>
          <w:p>
            <w:pPr>
              <w:spacing w:after="0"/>
              <w:rPr>
                <w:sz w:val="18"/>
                <w:szCs w:val="18"/>
                <w:color w:val="auto"/>
              </w:rPr>
            </w:pPr>
          </w:p>
        </w:tc>
        <w:tc>
          <w:tcPr>
            <w:tcW w:w="3820" w:type="dxa"/>
            <w:vAlign w:val="bottom"/>
            <w:gridSpan w:val="4"/>
          </w:tcPr>
          <w:p>
            <w:pPr>
              <w:jc w:val="center"/>
              <w:ind w:right="480"/>
              <w:spacing w:after="0"/>
              <w:rPr>
                <w:sz w:val="20"/>
                <w:szCs w:val="20"/>
                <w:color w:val="auto"/>
              </w:rPr>
            </w:pPr>
            <w:r>
              <w:rPr>
                <w:rFonts w:ascii="Arial" w:cs="Arial" w:eastAsia="Arial" w:hAnsi="Arial"/>
                <w:sz w:val="17"/>
                <w:szCs w:val="17"/>
                <w:color w:val="auto"/>
                <w:w w:val="91"/>
              </w:rPr>
              <w:t>Edward Goldthorpe</w:t>
            </w:r>
          </w:p>
        </w:tc>
        <w:tc>
          <w:tcPr>
            <w:tcW w:w="4100" w:type="dxa"/>
            <w:vAlign w:val="bottom"/>
            <w:gridSpan w:val="3"/>
          </w:tcPr>
          <w:p>
            <w:pPr>
              <w:ind w:left="100"/>
              <w:spacing w:after="0"/>
              <w:rPr>
                <w:sz w:val="20"/>
                <w:szCs w:val="20"/>
                <w:color w:val="auto"/>
              </w:rPr>
            </w:pPr>
            <w:r>
              <w:rPr>
                <w:rFonts w:ascii="Arial" w:cs="Arial" w:eastAsia="Arial" w:hAnsi="Arial"/>
                <w:sz w:val="17"/>
                <w:szCs w:val="17"/>
                <w:color w:val="auto"/>
              </w:rPr>
              <w:t>(Principal Executive Officer)</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09"/>
        </w:trPr>
        <w:tc>
          <w:tcPr>
            <w:tcW w:w="4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7"/>
                <w:szCs w:val="17"/>
                <w:color w:val="auto"/>
                <w:w w:val="87"/>
              </w:rPr>
              <w:t>/s/ Jason Roos</w:t>
            </w:r>
          </w:p>
        </w:tc>
        <w:tc>
          <w:tcPr>
            <w:tcW w:w="4100" w:type="dxa"/>
            <w:vAlign w:val="bottom"/>
            <w:gridSpan w:val="3"/>
          </w:tcPr>
          <w:p>
            <w:pPr>
              <w:ind w:left="100"/>
              <w:spacing w:after="0"/>
              <w:rPr>
                <w:sz w:val="20"/>
                <w:szCs w:val="20"/>
                <w:color w:val="auto"/>
              </w:rPr>
            </w:pPr>
            <w:r>
              <w:rPr>
                <w:rFonts w:ascii="Arial" w:cs="Arial" w:eastAsia="Arial" w:hAnsi="Arial"/>
                <w:sz w:val="17"/>
                <w:szCs w:val="17"/>
                <w:color w:val="auto"/>
              </w:rPr>
              <w:t>Chief Financial Officer and Treasurer</w:t>
            </w:r>
          </w:p>
        </w:tc>
        <w:tc>
          <w:tcPr>
            <w:tcW w:w="1640" w:type="dxa"/>
            <w:vAlign w:val="bottom"/>
            <w:gridSpan w:val="3"/>
          </w:tcPr>
          <w:p>
            <w:pPr>
              <w:ind w:left="280"/>
              <w:spacing w:after="0"/>
              <w:rPr>
                <w:sz w:val="20"/>
                <w:szCs w:val="20"/>
                <w:color w:val="auto"/>
              </w:rPr>
            </w:pPr>
            <w:r>
              <w:rPr>
                <w:rFonts w:ascii="Arial" w:cs="Arial" w:eastAsia="Arial" w:hAnsi="Arial"/>
                <w:sz w:val="17"/>
                <w:szCs w:val="17"/>
                <w:color w:val="auto"/>
                <w:w w:val="89"/>
              </w:rPr>
              <w:t>November 23, 2021</w:t>
            </w:r>
          </w:p>
        </w:tc>
      </w:tr>
      <w:tr>
        <w:trPr>
          <w:trHeight w:val="210"/>
        </w:trPr>
        <w:tc>
          <w:tcPr>
            <w:tcW w:w="460" w:type="dxa"/>
            <w:vAlign w:val="bottom"/>
          </w:tcPr>
          <w:p>
            <w:pPr>
              <w:spacing w:after="0"/>
              <w:rPr>
                <w:sz w:val="18"/>
                <w:szCs w:val="18"/>
                <w:color w:val="auto"/>
              </w:rPr>
            </w:pPr>
          </w:p>
        </w:tc>
        <w:tc>
          <w:tcPr>
            <w:tcW w:w="3820" w:type="dxa"/>
            <w:vAlign w:val="bottom"/>
            <w:gridSpan w:val="4"/>
          </w:tcPr>
          <w:p>
            <w:pPr>
              <w:jc w:val="center"/>
              <w:ind w:right="480"/>
              <w:spacing w:after="0"/>
              <w:rPr>
                <w:sz w:val="20"/>
                <w:szCs w:val="20"/>
                <w:color w:val="auto"/>
              </w:rPr>
            </w:pPr>
            <w:r>
              <w:rPr>
                <w:rFonts w:ascii="Arial" w:cs="Arial" w:eastAsia="Arial" w:hAnsi="Arial"/>
                <w:sz w:val="17"/>
                <w:szCs w:val="17"/>
                <w:color w:val="auto"/>
                <w:w w:val="86"/>
              </w:rPr>
              <w:t>Jason Roos</w:t>
            </w:r>
          </w:p>
        </w:tc>
        <w:tc>
          <w:tcPr>
            <w:tcW w:w="4100" w:type="dxa"/>
            <w:vAlign w:val="bottom"/>
            <w:gridSpan w:val="3"/>
          </w:tcPr>
          <w:p>
            <w:pPr>
              <w:ind w:left="100"/>
              <w:spacing w:after="0"/>
              <w:rPr>
                <w:sz w:val="20"/>
                <w:szCs w:val="20"/>
                <w:color w:val="auto"/>
              </w:rPr>
            </w:pPr>
            <w:r>
              <w:rPr>
                <w:rFonts w:ascii="Arial" w:cs="Arial" w:eastAsia="Arial" w:hAnsi="Arial"/>
                <w:sz w:val="17"/>
                <w:szCs w:val="17"/>
                <w:color w:val="auto"/>
              </w:rPr>
              <w:t>(Principal Financial and Principal Accounting Officer)</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09"/>
        </w:trPr>
        <w:tc>
          <w:tcPr>
            <w:tcW w:w="2420" w:type="dxa"/>
            <w:vAlign w:val="bottom"/>
            <w:tcBorders>
              <w:bottom w:val="single" w:sz="8" w:color="auto"/>
            </w:tcBorders>
            <w:gridSpan w:val="3"/>
          </w:tcPr>
          <w:p>
            <w:pPr>
              <w:jc w:val="center"/>
              <w:ind w:left="1755"/>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7"/>
                <w:szCs w:val="17"/>
                <w:color w:val="auto"/>
              </w:rPr>
              <w:t>Independent Director</w:t>
            </w:r>
          </w:p>
        </w:tc>
        <w:tc>
          <w:tcPr>
            <w:tcW w:w="1640" w:type="dxa"/>
            <w:vAlign w:val="bottom"/>
            <w:gridSpan w:val="3"/>
          </w:tcPr>
          <w:p>
            <w:pPr>
              <w:ind w:left="280"/>
              <w:spacing w:after="0"/>
              <w:rPr>
                <w:sz w:val="20"/>
                <w:szCs w:val="20"/>
                <w:color w:val="auto"/>
              </w:rPr>
            </w:pPr>
            <w:r>
              <w:rPr>
                <w:rFonts w:ascii="Arial" w:cs="Arial" w:eastAsia="Arial" w:hAnsi="Arial"/>
                <w:sz w:val="17"/>
                <w:szCs w:val="17"/>
                <w:color w:val="auto"/>
                <w:w w:val="89"/>
              </w:rPr>
              <w:t>November 23, 2021</w:t>
            </w:r>
          </w:p>
        </w:tc>
      </w:tr>
      <w:tr>
        <w:trPr>
          <w:trHeight w:val="209"/>
        </w:trPr>
        <w:tc>
          <w:tcPr>
            <w:tcW w:w="460" w:type="dxa"/>
            <w:vAlign w:val="bottom"/>
          </w:tcPr>
          <w:p>
            <w:pPr>
              <w:spacing w:after="0"/>
              <w:rPr>
                <w:sz w:val="18"/>
                <w:szCs w:val="18"/>
                <w:color w:val="auto"/>
              </w:rPr>
            </w:pPr>
          </w:p>
        </w:tc>
        <w:tc>
          <w:tcPr>
            <w:tcW w:w="3820" w:type="dxa"/>
            <w:vAlign w:val="bottom"/>
            <w:gridSpan w:val="4"/>
          </w:tcPr>
          <w:p>
            <w:pPr>
              <w:jc w:val="center"/>
              <w:ind w:right="460"/>
              <w:spacing w:after="0"/>
              <w:rPr>
                <w:sz w:val="20"/>
                <w:szCs w:val="20"/>
                <w:color w:val="auto"/>
              </w:rPr>
            </w:pPr>
            <w:r>
              <w:rPr>
                <w:rFonts w:ascii="Arial" w:cs="Arial" w:eastAsia="Arial" w:hAnsi="Arial"/>
                <w:sz w:val="17"/>
                <w:szCs w:val="17"/>
                <w:color w:val="auto"/>
                <w:w w:val="92"/>
              </w:rPr>
              <w:t>Alexander Duka</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09"/>
        </w:trPr>
        <w:tc>
          <w:tcPr>
            <w:tcW w:w="2420" w:type="dxa"/>
            <w:vAlign w:val="bottom"/>
            <w:tcBorders>
              <w:bottom w:val="single" w:sz="8" w:color="auto"/>
            </w:tcBorders>
            <w:gridSpan w:val="3"/>
          </w:tcPr>
          <w:p>
            <w:pPr>
              <w:jc w:val="center"/>
              <w:ind w:left="1755"/>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7"/>
                <w:szCs w:val="17"/>
                <w:color w:val="auto"/>
              </w:rPr>
              <w:t>Independent Director</w:t>
            </w:r>
          </w:p>
        </w:tc>
        <w:tc>
          <w:tcPr>
            <w:tcW w:w="1640" w:type="dxa"/>
            <w:vAlign w:val="bottom"/>
            <w:gridSpan w:val="3"/>
          </w:tcPr>
          <w:p>
            <w:pPr>
              <w:ind w:left="280"/>
              <w:spacing w:after="0"/>
              <w:rPr>
                <w:sz w:val="20"/>
                <w:szCs w:val="20"/>
                <w:color w:val="auto"/>
              </w:rPr>
            </w:pPr>
            <w:r>
              <w:rPr>
                <w:rFonts w:ascii="Arial" w:cs="Arial" w:eastAsia="Arial" w:hAnsi="Arial"/>
                <w:sz w:val="17"/>
                <w:szCs w:val="17"/>
                <w:color w:val="auto"/>
                <w:w w:val="89"/>
              </w:rPr>
              <w:t>November 23, 2021</w:t>
            </w:r>
          </w:p>
        </w:tc>
      </w:tr>
      <w:tr>
        <w:trPr>
          <w:trHeight w:val="209"/>
        </w:trPr>
        <w:tc>
          <w:tcPr>
            <w:tcW w:w="460" w:type="dxa"/>
            <w:vAlign w:val="bottom"/>
          </w:tcPr>
          <w:p>
            <w:pPr>
              <w:spacing w:after="0"/>
              <w:rPr>
                <w:sz w:val="18"/>
                <w:szCs w:val="18"/>
                <w:color w:val="auto"/>
              </w:rPr>
            </w:pPr>
          </w:p>
        </w:tc>
        <w:tc>
          <w:tcPr>
            <w:tcW w:w="3820" w:type="dxa"/>
            <w:vAlign w:val="bottom"/>
            <w:gridSpan w:val="4"/>
          </w:tcPr>
          <w:p>
            <w:pPr>
              <w:jc w:val="center"/>
              <w:ind w:right="480"/>
              <w:spacing w:after="0"/>
              <w:rPr>
                <w:sz w:val="20"/>
                <w:szCs w:val="20"/>
                <w:color w:val="auto"/>
              </w:rPr>
            </w:pPr>
            <w:r>
              <w:rPr>
                <w:rFonts w:ascii="Arial" w:cs="Arial" w:eastAsia="Arial" w:hAnsi="Arial"/>
                <w:sz w:val="17"/>
                <w:szCs w:val="17"/>
                <w:color w:val="auto"/>
                <w:w w:val="88"/>
              </w:rPr>
              <w:t>George Grunebaum</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09"/>
        </w:trPr>
        <w:tc>
          <w:tcPr>
            <w:tcW w:w="2420" w:type="dxa"/>
            <w:vAlign w:val="bottom"/>
            <w:tcBorders>
              <w:bottom w:val="single" w:sz="8" w:color="auto"/>
            </w:tcBorders>
            <w:gridSpan w:val="3"/>
          </w:tcPr>
          <w:p>
            <w:pPr>
              <w:jc w:val="center"/>
              <w:ind w:left="1755"/>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7"/>
                <w:szCs w:val="17"/>
                <w:color w:val="auto"/>
              </w:rPr>
              <w:t>Independent Director</w:t>
            </w:r>
          </w:p>
        </w:tc>
        <w:tc>
          <w:tcPr>
            <w:tcW w:w="1640" w:type="dxa"/>
            <w:vAlign w:val="bottom"/>
            <w:gridSpan w:val="3"/>
          </w:tcPr>
          <w:p>
            <w:pPr>
              <w:ind w:left="280"/>
              <w:spacing w:after="0"/>
              <w:rPr>
                <w:sz w:val="20"/>
                <w:szCs w:val="20"/>
                <w:color w:val="auto"/>
              </w:rPr>
            </w:pPr>
            <w:r>
              <w:rPr>
                <w:rFonts w:ascii="Arial" w:cs="Arial" w:eastAsia="Arial" w:hAnsi="Arial"/>
                <w:sz w:val="17"/>
                <w:szCs w:val="17"/>
                <w:color w:val="auto"/>
                <w:w w:val="89"/>
              </w:rPr>
              <w:t>November 23, 2021</w:t>
            </w:r>
          </w:p>
        </w:tc>
      </w:tr>
      <w:tr>
        <w:trPr>
          <w:trHeight w:val="209"/>
        </w:trPr>
        <w:tc>
          <w:tcPr>
            <w:tcW w:w="460" w:type="dxa"/>
            <w:vAlign w:val="bottom"/>
          </w:tcPr>
          <w:p>
            <w:pPr>
              <w:spacing w:after="0"/>
              <w:rPr>
                <w:sz w:val="18"/>
                <w:szCs w:val="18"/>
                <w:color w:val="auto"/>
              </w:rPr>
            </w:pPr>
          </w:p>
        </w:tc>
        <w:tc>
          <w:tcPr>
            <w:tcW w:w="3820" w:type="dxa"/>
            <w:vAlign w:val="bottom"/>
            <w:gridSpan w:val="4"/>
          </w:tcPr>
          <w:p>
            <w:pPr>
              <w:jc w:val="center"/>
              <w:ind w:right="460"/>
              <w:spacing w:after="0"/>
              <w:rPr>
                <w:sz w:val="20"/>
                <w:szCs w:val="20"/>
                <w:color w:val="auto"/>
              </w:rPr>
            </w:pPr>
            <w:r>
              <w:rPr>
                <w:rFonts w:ascii="Arial" w:cs="Arial" w:eastAsia="Arial" w:hAnsi="Arial"/>
                <w:sz w:val="17"/>
                <w:szCs w:val="17"/>
                <w:color w:val="auto"/>
                <w:w w:val="91"/>
              </w:rPr>
              <w:t>Christopher Lacovara</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09"/>
        </w:trPr>
        <w:tc>
          <w:tcPr>
            <w:tcW w:w="2420" w:type="dxa"/>
            <w:vAlign w:val="bottom"/>
            <w:tcBorders>
              <w:bottom w:val="single" w:sz="8" w:color="auto"/>
            </w:tcBorders>
            <w:gridSpan w:val="3"/>
          </w:tcPr>
          <w:p>
            <w:pPr>
              <w:jc w:val="center"/>
              <w:ind w:left="1755"/>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7"/>
                <w:szCs w:val="17"/>
                <w:color w:val="auto"/>
              </w:rPr>
              <w:t>Independent Director</w:t>
            </w:r>
          </w:p>
        </w:tc>
        <w:tc>
          <w:tcPr>
            <w:tcW w:w="1640" w:type="dxa"/>
            <w:vAlign w:val="bottom"/>
            <w:gridSpan w:val="3"/>
          </w:tcPr>
          <w:p>
            <w:pPr>
              <w:ind w:left="280"/>
              <w:spacing w:after="0"/>
              <w:rPr>
                <w:sz w:val="20"/>
                <w:szCs w:val="20"/>
                <w:color w:val="auto"/>
              </w:rPr>
            </w:pPr>
            <w:r>
              <w:rPr>
                <w:rFonts w:ascii="Arial" w:cs="Arial" w:eastAsia="Arial" w:hAnsi="Arial"/>
                <w:sz w:val="17"/>
                <w:szCs w:val="17"/>
                <w:color w:val="auto"/>
                <w:w w:val="89"/>
              </w:rPr>
              <w:t>November 23, 2021</w:t>
            </w:r>
          </w:p>
        </w:tc>
      </w:tr>
      <w:tr>
        <w:trPr>
          <w:trHeight w:val="209"/>
        </w:trPr>
        <w:tc>
          <w:tcPr>
            <w:tcW w:w="460" w:type="dxa"/>
            <w:vAlign w:val="bottom"/>
          </w:tcPr>
          <w:p>
            <w:pPr>
              <w:spacing w:after="0"/>
              <w:rPr>
                <w:sz w:val="18"/>
                <w:szCs w:val="18"/>
                <w:color w:val="auto"/>
              </w:rPr>
            </w:pPr>
          </w:p>
        </w:tc>
        <w:tc>
          <w:tcPr>
            <w:tcW w:w="3820" w:type="dxa"/>
            <w:vAlign w:val="bottom"/>
            <w:gridSpan w:val="4"/>
          </w:tcPr>
          <w:p>
            <w:pPr>
              <w:jc w:val="center"/>
              <w:ind w:right="480"/>
              <w:spacing w:after="0"/>
              <w:rPr>
                <w:sz w:val="20"/>
                <w:szCs w:val="20"/>
                <w:color w:val="auto"/>
              </w:rPr>
            </w:pPr>
            <w:r>
              <w:rPr>
                <w:rFonts w:ascii="Arial" w:cs="Arial" w:eastAsia="Arial" w:hAnsi="Arial"/>
                <w:sz w:val="17"/>
                <w:szCs w:val="17"/>
                <w:color w:val="auto"/>
                <w:w w:val="91"/>
              </w:rPr>
              <w:t>Dean C. Kehler</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09"/>
        </w:trPr>
        <w:tc>
          <w:tcPr>
            <w:tcW w:w="2420" w:type="dxa"/>
            <w:vAlign w:val="bottom"/>
            <w:tcBorders>
              <w:bottom w:val="single" w:sz="8" w:color="auto"/>
            </w:tcBorders>
            <w:gridSpan w:val="3"/>
          </w:tcPr>
          <w:p>
            <w:pPr>
              <w:jc w:val="center"/>
              <w:ind w:left="1755"/>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7"/>
                <w:szCs w:val="17"/>
                <w:color w:val="auto"/>
              </w:rPr>
              <w:t>Independent Director</w:t>
            </w:r>
          </w:p>
        </w:tc>
        <w:tc>
          <w:tcPr>
            <w:tcW w:w="1640" w:type="dxa"/>
            <w:vAlign w:val="bottom"/>
            <w:gridSpan w:val="3"/>
          </w:tcPr>
          <w:p>
            <w:pPr>
              <w:ind w:left="280"/>
              <w:spacing w:after="0"/>
              <w:rPr>
                <w:sz w:val="20"/>
                <w:szCs w:val="20"/>
                <w:color w:val="auto"/>
              </w:rPr>
            </w:pPr>
            <w:r>
              <w:rPr>
                <w:rFonts w:ascii="Arial" w:cs="Arial" w:eastAsia="Arial" w:hAnsi="Arial"/>
                <w:sz w:val="17"/>
                <w:szCs w:val="17"/>
                <w:color w:val="auto"/>
                <w:w w:val="89"/>
              </w:rPr>
              <w:t>November 23, 2021</w:t>
            </w:r>
          </w:p>
        </w:tc>
      </w:tr>
      <w:tr>
        <w:trPr>
          <w:trHeight w:val="209"/>
        </w:trPr>
        <w:tc>
          <w:tcPr>
            <w:tcW w:w="460" w:type="dxa"/>
            <w:vAlign w:val="bottom"/>
          </w:tcPr>
          <w:p>
            <w:pPr>
              <w:spacing w:after="0"/>
              <w:rPr>
                <w:sz w:val="18"/>
                <w:szCs w:val="18"/>
                <w:color w:val="auto"/>
              </w:rPr>
            </w:pPr>
          </w:p>
        </w:tc>
        <w:tc>
          <w:tcPr>
            <w:tcW w:w="3820" w:type="dxa"/>
            <w:vAlign w:val="bottom"/>
            <w:gridSpan w:val="4"/>
          </w:tcPr>
          <w:p>
            <w:pPr>
              <w:jc w:val="center"/>
              <w:ind w:right="480"/>
              <w:spacing w:after="0"/>
              <w:rPr>
                <w:sz w:val="20"/>
                <w:szCs w:val="20"/>
                <w:color w:val="auto"/>
              </w:rPr>
            </w:pPr>
            <w:r>
              <w:rPr>
                <w:rFonts w:ascii="Arial" w:cs="Arial" w:eastAsia="Arial" w:hAnsi="Arial"/>
                <w:sz w:val="17"/>
                <w:szCs w:val="17"/>
                <w:color w:val="auto"/>
                <w:w w:val="87"/>
              </w:rPr>
              <w:t>Robert Warshauer</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09"/>
        </w:trPr>
        <w:tc>
          <w:tcPr>
            <w:tcW w:w="2420" w:type="dxa"/>
            <w:vAlign w:val="bottom"/>
            <w:tcBorders>
              <w:bottom w:val="single" w:sz="8" w:color="auto"/>
            </w:tcBorders>
            <w:gridSpan w:val="3"/>
          </w:tcPr>
          <w:p>
            <w:pPr>
              <w:jc w:val="center"/>
              <w:ind w:left="1755"/>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7"/>
                <w:szCs w:val="17"/>
                <w:color w:val="auto"/>
              </w:rPr>
              <w:t>Independent Director</w:t>
            </w:r>
          </w:p>
        </w:tc>
        <w:tc>
          <w:tcPr>
            <w:tcW w:w="1640" w:type="dxa"/>
            <w:vAlign w:val="bottom"/>
            <w:gridSpan w:val="3"/>
          </w:tcPr>
          <w:p>
            <w:pPr>
              <w:ind w:left="280"/>
              <w:spacing w:after="0"/>
              <w:rPr>
                <w:sz w:val="20"/>
                <w:szCs w:val="20"/>
                <w:color w:val="auto"/>
              </w:rPr>
            </w:pPr>
            <w:r>
              <w:rPr>
                <w:rFonts w:ascii="Arial" w:cs="Arial" w:eastAsia="Arial" w:hAnsi="Arial"/>
                <w:sz w:val="17"/>
                <w:szCs w:val="17"/>
                <w:color w:val="auto"/>
                <w:w w:val="89"/>
              </w:rPr>
              <w:t>November 23, 2021</w:t>
            </w:r>
          </w:p>
        </w:tc>
      </w:tr>
      <w:tr>
        <w:trPr>
          <w:trHeight w:val="209"/>
        </w:trPr>
        <w:tc>
          <w:tcPr>
            <w:tcW w:w="460" w:type="dxa"/>
            <w:vAlign w:val="bottom"/>
          </w:tcPr>
          <w:p>
            <w:pPr>
              <w:spacing w:after="0"/>
              <w:rPr>
                <w:sz w:val="18"/>
                <w:szCs w:val="18"/>
                <w:color w:val="auto"/>
              </w:rPr>
            </w:pPr>
          </w:p>
        </w:tc>
        <w:tc>
          <w:tcPr>
            <w:tcW w:w="3820" w:type="dxa"/>
            <w:vAlign w:val="bottom"/>
            <w:gridSpan w:val="4"/>
          </w:tcPr>
          <w:p>
            <w:pPr>
              <w:jc w:val="center"/>
              <w:ind w:right="480"/>
              <w:spacing w:after="0"/>
              <w:rPr>
                <w:sz w:val="20"/>
                <w:szCs w:val="20"/>
                <w:color w:val="auto"/>
              </w:rPr>
            </w:pPr>
            <w:r>
              <w:rPr>
                <w:rFonts w:ascii="Arial" w:cs="Arial" w:eastAsia="Arial" w:hAnsi="Arial"/>
                <w:sz w:val="17"/>
                <w:szCs w:val="17"/>
                <w:color w:val="auto"/>
                <w:w w:val="93"/>
              </w:rPr>
              <w:t>Matthew Westwood</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09"/>
        </w:trPr>
        <w:tc>
          <w:tcPr>
            <w:tcW w:w="2420" w:type="dxa"/>
            <w:vAlign w:val="bottom"/>
            <w:tcBorders>
              <w:bottom w:val="single" w:sz="8" w:color="auto"/>
            </w:tcBorders>
            <w:gridSpan w:val="3"/>
          </w:tcPr>
          <w:p>
            <w:pPr>
              <w:jc w:val="center"/>
              <w:ind w:left="1755"/>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7"/>
                <w:szCs w:val="17"/>
                <w:color w:val="auto"/>
              </w:rPr>
              <w:t>Independent Director</w:t>
            </w:r>
          </w:p>
        </w:tc>
        <w:tc>
          <w:tcPr>
            <w:tcW w:w="1640" w:type="dxa"/>
            <w:vAlign w:val="bottom"/>
            <w:gridSpan w:val="3"/>
          </w:tcPr>
          <w:p>
            <w:pPr>
              <w:ind w:left="280"/>
              <w:spacing w:after="0"/>
              <w:rPr>
                <w:sz w:val="20"/>
                <w:szCs w:val="20"/>
                <w:color w:val="auto"/>
              </w:rPr>
            </w:pPr>
            <w:r>
              <w:rPr>
                <w:rFonts w:ascii="Arial" w:cs="Arial" w:eastAsia="Arial" w:hAnsi="Arial"/>
                <w:sz w:val="17"/>
                <w:szCs w:val="17"/>
                <w:color w:val="auto"/>
                <w:w w:val="89"/>
              </w:rPr>
              <w:t>November 23, 2021</w:t>
            </w:r>
          </w:p>
        </w:tc>
      </w:tr>
      <w:tr>
        <w:trPr>
          <w:trHeight w:val="209"/>
        </w:trPr>
        <w:tc>
          <w:tcPr>
            <w:tcW w:w="460" w:type="dxa"/>
            <w:vAlign w:val="bottom"/>
          </w:tcPr>
          <w:p>
            <w:pPr>
              <w:spacing w:after="0"/>
              <w:rPr>
                <w:sz w:val="18"/>
                <w:szCs w:val="18"/>
                <w:color w:val="auto"/>
              </w:rPr>
            </w:pPr>
          </w:p>
        </w:tc>
        <w:tc>
          <w:tcPr>
            <w:tcW w:w="3820" w:type="dxa"/>
            <w:vAlign w:val="bottom"/>
            <w:gridSpan w:val="4"/>
          </w:tcPr>
          <w:p>
            <w:pPr>
              <w:jc w:val="center"/>
              <w:ind w:right="480"/>
              <w:spacing w:after="0"/>
              <w:rPr>
                <w:sz w:val="20"/>
                <w:szCs w:val="20"/>
                <w:color w:val="auto"/>
              </w:rPr>
            </w:pPr>
            <w:r>
              <w:rPr>
                <w:rFonts w:ascii="Arial" w:cs="Arial" w:eastAsia="Arial" w:hAnsi="Arial"/>
                <w:sz w:val="17"/>
                <w:szCs w:val="17"/>
                <w:color w:val="auto"/>
                <w:w w:val="87"/>
              </w:rPr>
              <w:t>Joseph Morea</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35"/>
        </w:trPr>
        <w:tc>
          <w:tcPr>
            <w:tcW w:w="4280" w:type="dxa"/>
            <w:vAlign w:val="bottom"/>
            <w:gridSpan w:val="5"/>
          </w:tcPr>
          <w:p>
            <w:pPr>
              <w:spacing w:after="0"/>
              <w:rPr>
                <w:sz w:val="20"/>
                <w:szCs w:val="20"/>
                <w:color w:val="auto"/>
              </w:rPr>
            </w:pPr>
            <w:r>
              <w:rPr>
                <w:rFonts w:ascii="Arial" w:cs="Arial" w:eastAsia="Arial" w:hAnsi="Arial"/>
                <w:sz w:val="17"/>
                <w:szCs w:val="17"/>
                <w:color w:val="auto"/>
              </w:rPr>
              <w:t>*By:  /s/ Jason Roos</w:t>
            </w: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8"/>
        </w:trPr>
        <w:tc>
          <w:tcPr>
            <w:tcW w:w="460" w:type="dxa"/>
            <w:vAlign w:val="bottom"/>
          </w:tcPr>
          <w:p>
            <w:pPr>
              <w:spacing w:after="0"/>
              <w:rPr>
                <w:sz w:val="17"/>
                <w:szCs w:val="17"/>
                <w:color w:val="auto"/>
              </w:rPr>
            </w:pPr>
          </w:p>
        </w:tc>
        <w:tc>
          <w:tcPr>
            <w:tcW w:w="370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Name: Jason Roos</w:t>
            </w: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Arial" w:cs="Arial" w:eastAsia="Arial" w:hAnsi="Arial"/>
                <w:sz w:val="17"/>
                <w:szCs w:val="17"/>
                <w:color w:val="auto"/>
              </w:rPr>
              <w:t>Title: Attorney-in-fact</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345"/>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gridSpan w:val="3"/>
          </w:tcPr>
          <w:p>
            <w:pPr>
              <w:ind w:left="800"/>
              <w:spacing w:after="0"/>
              <w:rPr>
                <w:sz w:val="20"/>
                <w:szCs w:val="20"/>
                <w:color w:val="auto"/>
              </w:rPr>
            </w:pPr>
            <w:r>
              <w:rPr>
                <w:rFonts w:ascii="Arial" w:cs="Arial" w:eastAsia="Arial" w:hAnsi="Arial"/>
                <w:sz w:val="17"/>
                <w:szCs w:val="17"/>
                <w:color w:val="auto"/>
              </w:rPr>
              <w:t>C-9</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700"/>
          </w:cols>
          <w:pgMar w:left="320" w:top="443" w:right="87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Exhibit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078865" cy="3651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1078865" cy="36512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260"/>
        <w:spacing w:after="0"/>
        <w:rPr>
          <w:sz w:val="20"/>
          <w:szCs w:val="20"/>
          <w:color w:val="auto"/>
        </w:rPr>
      </w:pPr>
      <w:r>
        <w:rPr>
          <w:rFonts w:ascii="Arial" w:cs="Arial" w:eastAsia="Arial" w:hAnsi="Arial"/>
          <w:sz w:val="14"/>
          <w:szCs w:val="14"/>
          <w:color w:val="auto"/>
        </w:rPr>
        <w:t>1900 K Street, NW</w:t>
      </w:r>
    </w:p>
    <w:p>
      <w:pPr>
        <w:ind w:left="6260"/>
        <w:spacing w:after="0" w:line="209" w:lineRule="auto"/>
        <w:rPr>
          <w:sz w:val="20"/>
          <w:szCs w:val="20"/>
          <w:color w:val="auto"/>
        </w:rPr>
      </w:pPr>
      <w:r>
        <w:rPr>
          <w:rFonts w:ascii="Arial" w:cs="Arial" w:eastAsia="Arial" w:hAnsi="Arial"/>
          <w:sz w:val="14"/>
          <w:szCs w:val="14"/>
          <w:color w:val="auto"/>
        </w:rPr>
        <w:t>Washington, DC 20006-1110</w:t>
      </w:r>
    </w:p>
    <w:p>
      <w:pPr>
        <w:ind w:left="6260"/>
        <w:spacing w:after="0" w:line="210" w:lineRule="auto"/>
        <w:rPr>
          <w:sz w:val="20"/>
          <w:szCs w:val="20"/>
          <w:color w:val="auto"/>
        </w:rPr>
      </w:pPr>
      <w:r>
        <w:rPr>
          <w:rFonts w:ascii="Arial" w:cs="Arial" w:eastAsia="Arial" w:hAnsi="Arial"/>
          <w:sz w:val="14"/>
          <w:szCs w:val="14"/>
          <w:color w:val="auto"/>
        </w:rPr>
        <w:t>+1 202 261 3300 Main</w:t>
      </w:r>
    </w:p>
    <w:p>
      <w:pPr>
        <w:ind w:left="6260"/>
        <w:spacing w:after="0" w:line="209" w:lineRule="auto"/>
        <w:rPr>
          <w:sz w:val="20"/>
          <w:szCs w:val="20"/>
          <w:color w:val="auto"/>
        </w:rPr>
      </w:pPr>
      <w:r>
        <w:rPr>
          <w:rFonts w:ascii="Arial" w:cs="Arial" w:eastAsia="Arial" w:hAnsi="Arial"/>
          <w:sz w:val="14"/>
          <w:szCs w:val="14"/>
          <w:color w:val="auto"/>
        </w:rPr>
        <w:t>+1 202 261 3333 Fax</w:t>
      </w:r>
    </w:p>
    <w:p>
      <w:pPr>
        <w:ind w:left="6260"/>
        <w:spacing w:after="0"/>
        <w:rPr>
          <w:sz w:val="20"/>
          <w:szCs w:val="20"/>
          <w:color w:val="auto"/>
        </w:rPr>
      </w:pPr>
      <w:r>
        <w:rPr>
          <w:rFonts w:ascii="Arial" w:cs="Arial" w:eastAsia="Arial" w:hAnsi="Arial"/>
          <w:sz w:val="14"/>
          <w:szCs w:val="14"/>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80010</wp:posOffset>
            </wp:positionV>
            <wp:extent cx="26447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264477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November 23, 2021</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Portman Ridge Finance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650 Madison Avenue, 23rd Floor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10022</w:t>
      </w:r>
    </w:p>
    <w:p>
      <w:pPr>
        <w:spacing w:after="0" w:line="228"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u w:val="single" w:color="auto"/>
          <w:color w:val="auto"/>
        </w:rPr>
        <w:t>Registration Statement on Form N-2</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3"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We have acted as counsel to Portman Ridge Finance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of a Registration Statement on Form N-2 (as amended,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with the U.S.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on the date hereof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relating to the offer and sale from time to time by the certain selling stockholders named therein of up to 576,899 shares of the Company’s common stock, $0.01 par value per share (the “</w:t>
      </w:r>
      <w:r>
        <w:rPr>
          <w:rFonts w:ascii="Arial" w:cs="Arial" w:eastAsia="Arial" w:hAnsi="Arial"/>
          <w:sz w:val="17"/>
          <w:szCs w:val="17"/>
          <w:u w:val="single" w:color="auto"/>
          <w:color w:val="auto"/>
        </w:rPr>
        <w:t>Selling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Stockholder Shares</w:t>
      </w:r>
      <w:r>
        <w:rPr>
          <w:rFonts w:ascii="Arial" w:cs="Arial" w:eastAsia="Arial" w:hAnsi="Arial"/>
          <w:sz w:val="17"/>
          <w:szCs w:val="17"/>
          <w:color w:val="auto"/>
        </w:rPr>
        <w:t>”).</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Registration Statement provides that the Selling Stockholder Shares may be offered separately or together, in amounts, at prices and on terms to be set forth in one or more supplements to the prospectus included in the Registration Statement. This opinion letter is being furnished to the Company in accordance with the requirements of Item 25 of Form N-2 under the Securities Act, and we express no opinion herein as to any matter other than as to the legality of the Selling Stockholder Shares.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w:t>
      </w:r>
    </w:p>
    <w:p>
      <w:pPr>
        <w:spacing w:after="0" w:line="89" w:lineRule="exact"/>
        <w:rPr>
          <w:sz w:val="20"/>
          <w:szCs w:val="20"/>
          <w:color w:val="auto"/>
        </w:rPr>
      </w:pPr>
    </w:p>
    <w:p>
      <w:pPr>
        <w:ind w:left="920" w:hanging="520"/>
        <w:spacing w:after="0"/>
        <w:tabs>
          <w:tab w:leader="none" w:pos="9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Registration Statement;</w:t>
      </w:r>
    </w:p>
    <w:p>
      <w:pPr>
        <w:spacing w:after="0" w:line="123" w:lineRule="exact"/>
        <w:rPr>
          <w:rFonts w:ascii="Arial" w:cs="Arial" w:eastAsia="Arial" w:hAnsi="Arial"/>
          <w:sz w:val="17"/>
          <w:szCs w:val="17"/>
          <w:color w:val="auto"/>
        </w:rPr>
      </w:pPr>
    </w:p>
    <w:p>
      <w:pPr>
        <w:ind w:left="920" w:hanging="520"/>
        <w:spacing w:after="0"/>
        <w:tabs>
          <w:tab w:leader="none" w:pos="9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Certificate of Incorporation, as amended, of the Company, as certified as of the date hereof by an officer of the Company;</w:t>
      </w:r>
    </w:p>
    <w:p>
      <w:pPr>
        <w:spacing w:after="0" w:line="123" w:lineRule="exact"/>
        <w:rPr>
          <w:rFonts w:ascii="Arial" w:cs="Arial" w:eastAsia="Arial" w:hAnsi="Arial"/>
          <w:sz w:val="17"/>
          <w:szCs w:val="17"/>
          <w:color w:val="auto"/>
        </w:rPr>
      </w:pPr>
    </w:p>
    <w:p>
      <w:pPr>
        <w:ind w:left="920" w:hanging="520"/>
        <w:spacing w:after="0"/>
        <w:tabs>
          <w:tab w:leader="none" w:pos="9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Third Amended and Restated Bylaws of the Company, as certified as of the date hereof by an officer of the Company;</w:t>
      </w:r>
    </w:p>
    <w:p>
      <w:pPr>
        <w:sectPr>
          <w:pgSz w:w="11900" w:h="16838" w:orient="portrait"/>
          <w:cols w:equalWidth="0" w:num="1">
            <w:col w:w="10420"/>
          </w:cols>
          <w:pgMar w:left="740" w:top="123" w:right="739" w:bottom="1440" w:gutter="0" w:footer="0" w:header="0"/>
        </w:sectPr>
      </w:pPr>
    </w:p>
    <w:bookmarkStart w:id="73" w:name="page74"/>
    <w:bookmarkEnd w:id="73"/>
    <w:p>
      <w:pPr>
        <w:jc w:val="right"/>
        <w:ind w:right="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November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078865" cy="3651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1078865" cy="36512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color w:val="auto"/>
        </w:rPr>
        <w:t>Page 2</w:t>
      </w:r>
    </w:p>
    <w:p>
      <w:pPr>
        <w:spacing w:after="0" w:line="394" w:lineRule="exact"/>
        <w:rPr>
          <w:sz w:val="20"/>
          <w:szCs w:val="20"/>
          <w:color w:val="auto"/>
        </w:rPr>
      </w:pPr>
    </w:p>
    <w:p>
      <w:pPr>
        <w:ind w:left="920" w:hanging="520"/>
        <w:spacing w:after="0"/>
        <w:tabs>
          <w:tab w:leader="none" w:pos="9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 certificate of good standing with respect to the Company issued by the Secretary of State of the State of Delaware as of a recent date; and</w:t>
      </w:r>
    </w:p>
    <w:p>
      <w:pPr>
        <w:spacing w:after="0" w:line="146" w:lineRule="exact"/>
        <w:rPr>
          <w:rFonts w:ascii="Arial" w:cs="Arial" w:eastAsia="Arial" w:hAnsi="Arial"/>
          <w:sz w:val="15"/>
          <w:szCs w:val="15"/>
          <w:color w:val="auto"/>
        </w:rPr>
      </w:pPr>
    </w:p>
    <w:p>
      <w:pPr>
        <w:ind w:left="920" w:right="100" w:hanging="520"/>
        <w:spacing w:after="0" w:line="308" w:lineRule="auto"/>
        <w:tabs>
          <w:tab w:leader="none" w:pos="9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resolutions of the board of directors of the Company relating to, among other things, the authorization and approval of the preparation and filing of the Registration Statement and the initial authorization and issuance of the Selling Stockholder Shares.</w:t>
      </w:r>
    </w:p>
    <w:p>
      <w:pPr>
        <w:spacing w:after="0" w:line="141" w:lineRule="exact"/>
        <w:rPr>
          <w:sz w:val="20"/>
          <w:szCs w:val="20"/>
          <w:color w:val="auto"/>
        </w:rPr>
      </w:pPr>
    </w:p>
    <w:p>
      <w:pPr>
        <w:ind w:right="200"/>
        <w:spacing w:after="0" w:line="344" w:lineRule="auto"/>
        <w:rPr>
          <w:sz w:val="20"/>
          <w:szCs w:val="20"/>
          <w:color w:val="auto"/>
        </w:rPr>
      </w:pPr>
      <w:r>
        <w:rPr>
          <w:rFonts w:ascii="Arial" w:cs="Arial" w:eastAsia="Arial" w:hAnsi="Arial"/>
          <w:sz w:val="15"/>
          <w:szCs w:val="15"/>
          <w:color w:val="auto"/>
        </w:rPr>
        <w:t>As to the facts upon which this opinion is based, we have relied, to the extent we deem proper, upon certificates of public officials and certificates and written statements of agents, officers, directors and representatives of the Company without having independently verified such factual matters.</w:t>
      </w:r>
    </w:p>
    <w:p>
      <w:pPr>
        <w:spacing w:after="0" w:line="119" w:lineRule="exact"/>
        <w:rPr>
          <w:sz w:val="20"/>
          <w:szCs w:val="20"/>
          <w:color w:val="auto"/>
        </w:rPr>
      </w:pPr>
    </w:p>
    <w:p>
      <w:pPr>
        <w:ind w:right="360"/>
        <w:spacing w:after="0" w:line="314" w:lineRule="auto"/>
        <w:rPr>
          <w:sz w:val="20"/>
          <w:szCs w:val="20"/>
          <w:color w:val="auto"/>
        </w:rPr>
      </w:pPr>
      <w:r>
        <w:rPr>
          <w:rFonts w:ascii="Arial" w:cs="Arial" w:eastAsia="Arial" w:hAnsi="Arial"/>
          <w:sz w:val="15"/>
          <w:szCs w:val="15"/>
          <w:color w:val="auto"/>
        </w:rPr>
        <w:t>In our examination, we have assumed the genuineness of all signatures, the authenticity of all documents submitted to us as original documents, the conformity to original documents of all documents submitted to us as copies, the legal capacity of all natural persons who are signatories to the documents examined by us and the legal power and authority of all persons signing on behalf of the parties to such documents.</w:t>
      </w:r>
    </w:p>
    <w:p>
      <w:pPr>
        <w:spacing w:after="0" w:line="14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On the basis of the foregoing and subject to the assumptions, qualifications and limitations set forth in this letter, we are of the opinion that the Selling Stockholder Shares are validly issued, fully paid and nonassessable.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We are members of the bar of the State of New York and the foregoing opinions are limited to the General Corporation Law of the State of Delaware.</w:t>
      </w:r>
    </w:p>
    <w:p>
      <w:pPr>
        <w:spacing w:after="0" w:line="236"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This opinion letter has been prepared for your use solely in connection with the Registration Statement. We assume no obligation to advise you of any changes in the foregoing subsequent to the effectiveness of the Registration Statement.</w:t>
      </w:r>
    </w:p>
    <w:p>
      <w:pPr>
        <w:spacing w:after="0" w:line="165" w:lineRule="exact"/>
        <w:rPr>
          <w:sz w:val="20"/>
          <w:szCs w:val="20"/>
          <w:color w:val="auto"/>
        </w:rPr>
      </w:pPr>
    </w:p>
    <w:p>
      <w:pPr>
        <w:jc w:val="both"/>
        <w:ind w:right="20"/>
        <w:spacing w:after="0" w:line="314" w:lineRule="auto"/>
        <w:rPr>
          <w:sz w:val="20"/>
          <w:szCs w:val="20"/>
          <w:color w:val="auto"/>
        </w:rPr>
      </w:pPr>
      <w:r>
        <w:rPr>
          <w:rFonts w:ascii="Arial" w:cs="Arial" w:eastAsia="Arial" w:hAnsi="Arial"/>
          <w:sz w:val="15"/>
          <w:szCs w:val="15"/>
          <w:color w:val="auto"/>
        </w:rPr>
        <w:t>We hereby consent to the filing of this opinion letter as an exhibit to the Registration Statement and to the reference to this firm under the caption “Legal Matters” in the prospectus which forms a part of the Registration Statement. In giving such consent, we do not thereby admit that we are in the category of persons whose consent is required under Section 7 of the Securities Act or the rules and regulations of the Commission thereunder.</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 Dechert LLP</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Dechert LLP</w:t>
      </w:r>
    </w:p>
    <w:p>
      <w:pPr>
        <w:sectPr>
          <w:pgSz w:w="11900" w:h="16838" w:orient="portrait"/>
          <w:cols w:equalWidth="0" w:num="1">
            <w:col w:w="10420"/>
          </w:cols>
          <w:pgMar w:left="740" w:top="268" w:right="739" w:bottom="1440" w:gutter="0" w:footer="0" w:header="0"/>
        </w:sectPr>
      </w:pPr>
    </w:p>
    <w:bookmarkStart w:id="74" w:name="page75"/>
    <w:bookmarkEnd w:id="74"/>
    <w:p>
      <w:pPr>
        <w:jc w:val="right"/>
        <w:spacing w:after="0"/>
        <w:rPr>
          <w:sz w:val="20"/>
          <w:szCs w:val="20"/>
          <w:color w:val="auto"/>
        </w:rPr>
      </w:pPr>
      <w:r>
        <w:rPr>
          <w:rFonts w:ascii="Arial" w:cs="Arial" w:eastAsia="Arial" w:hAnsi="Arial"/>
          <w:sz w:val="17"/>
          <w:szCs w:val="17"/>
          <w:b w:val="1"/>
          <w:bCs w:val="1"/>
          <w:color w:val="auto"/>
        </w:rPr>
        <w:t>Exhibit (n)(1)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7"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We consent to the incorporation by reference in the registration statement on Form N-2 of Portman Ridge Finance Corporation of our report dated March 11, 2021, with respect to the consolidated balance sheets of Portman Ridge Finance Corporation and subsidiaries, including the consolidated schedules of investments, as of December 31, 2020 and 2019, the related consolidated statements of operations, changes in net assets, and cash flows for each of the years in the two year period ended December 31, 2020, and the related notes, including the senior securities information for each of the years in the two year period ended December 31, 2020 in Note 7, and the consolidated financial highlights for each of the years in the two year period ended December 31, 2020, which report appears in the annual report on Form 10-K of Portman Ridge Finance Corporation for the year ended December 31, 2020. We also consent to the references to our firm under the headings “Senior Securities” and “Experts” in the registration statement.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November 23, 2021</w:t>
      </w:r>
    </w:p>
    <w:p>
      <w:pPr>
        <w:sectPr>
          <w:pgSz w:w="11900" w:h="16838" w:orient="portrait"/>
          <w:cols w:equalWidth="0" w:num="1">
            <w:col w:w="10420"/>
          </w:cols>
          <w:pgMar w:left="740" w:top="123" w:right="739" w:bottom="1440" w:gutter="0" w:footer="0" w:header="0"/>
        </w:sectPr>
      </w:pPr>
    </w:p>
    <w:bookmarkStart w:id="75" w:name="page76"/>
    <w:bookmarkEnd w:id="75"/>
    <w:p>
      <w:pPr>
        <w:jc w:val="right"/>
        <w:spacing w:after="0"/>
        <w:rPr>
          <w:sz w:val="20"/>
          <w:szCs w:val="20"/>
          <w:color w:val="auto"/>
        </w:rPr>
      </w:pPr>
      <w:r>
        <w:rPr>
          <w:rFonts w:ascii="Arial" w:cs="Arial" w:eastAsia="Arial" w:hAnsi="Arial"/>
          <w:sz w:val="17"/>
          <w:szCs w:val="17"/>
          <w:b w:val="1"/>
          <w:bCs w:val="1"/>
          <w:color w:val="auto"/>
        </w:rPr>
        <w:t>Exhibit (n)(2)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7"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We consent to the reference to our firm under the captions “Senior Securities”, “Experts” and “Other Information” and to the use of our reports (a) dated February 26, 2019, with respect to the consolidated financial statements of Portman Ridge Finance Corporation (formerly known as “KCAP Financial, Inc.”) the year ended December 31, 2018, and (b) dated October 15, 2019 with respect to the senior securities table as of December 31, 2018, 2017 and 2016 incorporated by reference in the Registration Statement (Form N-2) and related Prospectus of Portman Ridge Finance Corporation.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November 23, 2021</w:t>
      </w:r>
    </w:p>
    <w:p>
      <w:pPr>
        <w:sectPr>
          <w:pgSz w:w="11900" w:h="16838" w:orient="portrait"/>
          <w:cols w:equalWidth="0" w:num="1">
            <w:col w:w="10420"/>
          </w:cols>
          <w:pgMar w:left="740" w:top="123" w:right="739" w:bottom="1440" w:gutter="0" w:footer="0" w:header="0"/>
        </w:sectPr>
      </w:pPr>
    </w:p>
    <w:bookmarkStart w:id="76" w:name="page77"/>
    <w:bookmarkEnd w:id="76"/>
    <w:p>
      <w:pPr>
        <w:jc w:val="right"/>
        <w:spacing w:after="0"/>
        <w:rPr>
          <w:sz w:val="20"/>
          <w:szCs w:val="20"/>
          <w:color w:val="auto"/>
        </w:rPr>
      </w:pPr>
      <w:r>
        <w:rPr>
          <w:rFonts w:ascii="Arial" w:cs="Arial" w:eastAsia="Arial" w:hAnsi="Arial"/>
          <w:sz w:val="17"/>
          <w:szCs w:val="17"/>
          <w:b w:val="1"/>
          <w:bCs w:val="1"/>
          <w:color w:val="auto"/>
        </w:rPr>
        <w:t>Exhibit (n)(3)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7"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We consent to the incorporation by reference in this Registration Statement on Form N-2 of Portman Ridge Finance Corporation of our report dated March 12, 2021, relating to the consolidated financial statements of Harvest Capital Credit Corporation and its subsidiaries, appearing in the Annual Report on Form 10-K of Harvest Capital Credit Corporation for the year ended December 31, 2020. We also consent to the reference of our firm under the heading “Experts” in such Registration Statement.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 RSM US LLP</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November 23, 2021</w:t>
      </w:r>
    </w:p>
    <w:p>
      <w:pPr>
        <w:sectPr>
          <w:pgSz w:w="11900" w:h="16838" w:orient="portrait"/>
          <w:cols w:equalWidth="0" w:num="1">
            <w:col w:w="10420"/>
          </w:cols>
          <w:pgMar w:left="740" w:top="123" w:right="739" w:bottom="1440" w:gutter="0" w:footer="0" w:header="0"/>
        </w:sectPr>
      </w:pPr>
    </w:p>
    <w:bookmarkStart w:id="77" w:name="page78"/>
    <w:bookmarkEnd w:id="77"/>
    <w:p>
      <w:pPr>
        <w:jc w:val="right"/>
        <w:spacing w:after="0"/>
        <w:rPr>
          <w:sz w:val="20"/>
          <w:szCs w:val="20"/>
          <w:color w:val="auto"/>
        </w:rPr>
      </w:pPr>
      <w:r>
        <w:rPr>
          <w:rFonts w:ascii="Arial" w:cs="Arial" w:eastAsia="Arial" w:hAnsi="Arial"/>
          <w:sz w:val="17"/>
          <w:szCs w:val="17"/>
          <w:b w:val="1"/>
          <w:bCs w:val="1"/>
          <w:color w:val="auto"/>
        </w:rPr>
        <w:t>Exhibit (n)(4)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213"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We hereby consent to the incorporation by reference in this Registration Statement on Form N-2 of Portman Ridge Finance Corporation of our report dated March 15, 2019 relating to the financial statements of Harvest Capital Credit Corporation, which appears in Harvest Capital Credit Corporation’s Annual Report on Form 10-K for the year ended December 31, 2020. We also consent to the reference to us under the heading “Experts” in such Registration Statement.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November 23, 2021</w:t>
      </w:r>
    </w:p>
    <w:p>
      <w:pPr>
        <w:sectPr>
          <w:pgSz w:w="11900" w:h="16838" w:orient="portrait"/>
          <w:cols w:equalWidth="0" w:num="1">
            <w:col w:w="10420"/>
          </w:cols>
          <w:pgMar w:left="740" w:top="123" w:right="739" w:bottom="1440" w:gutter="0" w:footer="0" w:header="0"/>
        </w:sectPr>
      </w:pPr>
    </w:p>
    <w:bookmarkStart w:id="78" w:name="page79"/>
    <w:bookmarkEnd w:id="78"/>
    <w:p>
      <w:pPr>
        <w:jc w:val="right"/>
        <w:spacing w:after="0"/>
        <w:rPr>
          <w:sz w:val="20"/>
          <w:szCs w:val="20"/>
          <w:color w:val="auto"/>
        </w:rPr>
      </w:pPr>
      <w:r>
        <w:rPr>
          <w:rFonts w:ascii="Arial" w:cs="Arial" w:eastAsia="Arial" w:hAnsi="Arial"/>
          <w:sz w:val="17"/>
          <w:szCs w:val="17"/>
          <w:b w:val="1"/>
          <w:bCs w:val="1"/>
          <w:color w:val="auto"/>
        </w:rPr>
        <w:t>Exhibit (n)(5)</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Shareholders and Board of Directors of Portman Ridge Finance Corporation.</w:t>
      </w:r>
    </w:p>
    <w:p>
      <w:pPr>
        <w:spacing w:after="0" w:line="21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have audited, in accordance with the standards of the Public Company Accounting Oversight Board (United States) (“PCAOB”), the consolidated financial statements of Portman Ridge Finance Corporation (formerly known as “KCAP Financial, Inc.”) (the “Company”) as of and for the year ended December 31, 2018, 2017, and 2016 and have expressed unqualified opinions on those consolidated financial statements. The accompanying information on the Registration Statement under the caption Senior Securities for each of the three years in the period ended December 31, 2018 has been subjected to audit procedures performed in conjunction with our audits of Company’s financial statements. Such information included in the Senior Securities of PTMN is the responsibility of the Company’s management.</w:t>
      </w:r>
    </w:p>
    <w:p>
      <w:pPr>
        <w:spacing w:after="0" w:line="185"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Our audit procedures included determining whether the information included in the Senior Securities of PTMN reconciles to the financial statements or the underlying accounting and other records, as applicable, and performing procedures to test the completeness and accuracy of the information. In forming our opinion on the information, we evaluated whether such information, including its form and content, is presented in conformity with Section 18 of the Investment Company Act of 1940. In our opinion, the information is fairly stated, in all material respects, in relation to the consolidated financial statements as a whole.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October 15, 2019</w:t>
      </w:r>
    </w:p>
    <w:p>
      <w:pPr>
        <w:sectPr>
          <w:pgSz w:w="11900" w:h="16838" w:orient="portrait"/>
          <w:cols w:equalWidth="0" w:num="1">
            <w:col w:w="10420"/>
          </w:cols>
          <w:pgMar w:left="740" w:top="123" w:right="739" w:bottom="1440" w:gutter="0" w:footer="0" w:header="0"/>
        </w:sectPr>
      </w:pPr>
    </w:p>
    <w:bookmarkStart w:id="79" w:name="page80"/>
    <w:bookmarkEnd w:id="79"/>
    <w:p>
      <w:pPr>
        <w:jc w:val="right"/>
        <w:spacing w:after="0"/>
        <w:rPr>
          <w:sz w:val="20"/>
          <w:szCs w:val="20"/>
          <w:color w:val="auto"/>
        </w:rPr>
      </w:pPr>
      <w:r>
        <w:rPr>
          <w:rFonts w:ascii="Arial" w:cs="Arial" w:eastAsia="Arial" w:hAnsi="Arial"/>
          <w:sz w:val="17"/>
          <w:szCs w:val="17"/>
          <w:b w:val="1"/>
          <w:bCs w:val="1"/>
          <w:color w:val="auto"/>
        </w:rPr>
        <w:t>Exhibit 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17" w:lineRule="exact"/>
        <w:rPr>
          <w:sz w:val="20"/>
          <w:szCs w:val="20"/>
          <w:color w:val="auto"/>
        </w:rPr>
      </w:pPr>
    </w:p>
    <w:p>
      <w:pPr>
        <w:ind w:right="60" w:firstLine="417"/>
        <w:spacing w:after="0" w:line="271" w:lineRule="auto"/>
        <w:rPr>
          <w:sz w:val="20"/>
          <w:szCs w:val="20"/>
          <w:color w:val="auto"/>
        </w:rPr>
      </w:pPr>
      <w:r>
        <w:rPr>
          <w:rFonts w:ascii="Arial" w:cs="Arial" w:eastAsia="Arial" w:hAnsi="Arial"/>
          <w:sz w:val="16"/>
          <w:szCs w:val="16"/>
          <w:color w:val="auto"/>
        </w:rPr>
        <w:t>Each officer and director of Portman Ridge Finance Corporation whose signature appears below constitutes and appoints Jason Roos and Patrick Schafer, and each of them (with full power to each of them to act alone), as the undersigned’s true and lawful attorneys-in-fact and agents, with full power of substitution and re-substitution, for, on behalf of and in the name, place and stead of the undersigned, in any and all capacities, to sign, execute and file the registration statement on Form N-2 under the Securities Act of 1933, as amended, and any or all amendments (including, without limitation, any pre-effective amendments, post-effective amendments and supplements to the registration statement) and any additional registration statement filed pursuant to Rule 462(b), with all exhibits thereto, and any and all documents in connection therewith, with the U.S. Securities and Exchange Commission or any other regulatory authority, granting unto said attorneys-in-fact and agents, and each of them, full power and authority to do and perform each and every act and thing appropriate or necessary to be done in order to effectuate the same, as fully to all intents and purposes as the undersigned might or could do in person, hereby ratifying and confirming all that said attorneys-in-fact and agents, or any of them, or their substitute or substitutes, may lawfully do or cause to be done by virtue hereof.</w:t>
      </w:r>
    </w:p>
    <w:p>
      <w:pPr>
        <w:spacing w:after="0" w:line="171" w:lineRule="exact"/>
        <w:rPr>
          <w:sz w:val="20"/>
          <w:szCs w:val="20"/>
          <w:color w:val="auto"/>
        </w:rPr>
      </w:pPr>
    </w:p>
    <w:p>
      <w:pPr>
        <w:ind w:right="160" w:firstLine="417"/>
        <w:spacing w:after="0" w:line="275" w:lineRule="auto"/>
        <w:rPr>
          <w:sz w:val="20"/>
          <w:szCs w:val="20"/>
          <w:color w:val="auto"/>
        </w:rPr>
      </w:pPr>
      <w:r>
        <w:rPr>
          <w:rFonts w:ascii="Arial" w:cs="Arial" w:eastAsia="Arial" w:hAnsi="Arial"/>
          <w:sz w:val="17"/>
          <w:szCs w:val="17"/>
          <w:color w:val="auto"/>
        </w:rPr>
        <w:t>All past acts of an attorney-in-fact in furtherance of the foregoing are hereby ratified and confirmed. This Power of Attorney may be executed in multiple counterparts, each of which shall be deemed an original, but which taken together shall constitute one instrument.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each of the undersigned have executed this instrument as of the dates indicated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gridSpan w:val="2"/>
          </w:tcPr>
          <w:p>
            <w:pPr>
              <w:ind w:left="1660"/>
              <w:spacing w:after="0"/>
              <w:rPr>
                <w:sz w:val="20"/>
                <w:szCs w:val="20"/>
                <w:color w:val="auto"/>
              </w:rPr>
            </w:pPr>
            <w:r>
              <w:rPr>
                <w:rFonts w:ascii="Arial" w:cs="Arial" w:eastAsia="Arial" w:hAnsi="Arial"/>
                <w:sz w:val="14"/>
                <w:szCs w:val="14"/>
                <w:b w:val="1"/>
                <w:bCs w:val="1"/>
                <w:color w:val="auto"/>
                <w:w w:val="86"/>
              </w:rPr>
              <w:t>Signature</w:t>
            </w:r>
          </w:p>
        </w:tc>
        <w:tc>
          <w:tcPr>
            <w:tcW w:w="1700" w:type="dxa"/>
            <w:vAlign w:val="bottom"/>
          </w:tcPr>
          <w:p>
            <w:pPr>
              <w:spacing w:after="0"/>
              <w:rPr>
                <w:sz w:val="14"/>
                <w:szCs w:val="14"/>
                <w:color w:val="auto"/>
              </w:rPr>
            </w:pPr>
          </w:p>
        </w:tc>
        <w:tc>
          <w:tcPr>
            <w:tcW w:w="4400" w:type="dxa"/>
            <w:vAlign w:val="bottom"/>
            <w:gridSpan w:val="3"/>
          </w:tcPr>
          <w:p>
            <w:pPr>
              <w:ind w:left="226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spacing w:after="0"/>
              <w:rPr>
                <w:sz w:val="14"/>
                <w:szCs w:val="14"/>
                <w:color w:val="auto"/>
              </w:rPr>
            </w:pPr>
          </w:p>
        </w:tc>
        <w:tc>
          <w:tcPr>
            <w:tcW w:w="780" w:type="dxa"/>
            <w:vAlign w:val="bottom"/>
            <w:gridSpan w:val="2"/>
          </w:tcPr>
          <w:p>
            <w:pPr>
              <w:jc w:val="right"/>
              <w:ind w:right="415"/>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1700" w:type="dxa"/>
            <w:vAlign w:val="bottom"/>
            <w:gridSpan w:val="2"/>
            <w:vMerge w:val="restart"/>
          </w:tcPr>
          <w:p>
            <w:pPr>
              <w:spacing w:after="0"/>
              <w:rPr>
                <w:sz w:val="20"/>
                <w:szCs w:val="20"/>
                <w:color w:val="auto"/>
              </w:rPr>
            </w:pPr>
            <w:r>
              <w:rPr>
                <w:rFonts w:ascii="Arial" w:cs="Arial" w:eastAsia="Arial" w:hAnsi="Arial"/>
                <w:sz w:val="17"/>
                <w:szCs w:val="17"/>
                <w:color w:val="auto"/>
                <w:w w:val="99"/>
              </w:rPr>
              <w:t>/s/ Edward Goldthorpe</w:t>
            </w:r>
          </w:p>
        </w:tc>
        <w:tc>
          <w:tcPr>
            <w:tcW w:w="560" w:type="dxa"/>
            <w:vAlign w:val="bottom"/>
            <w:shd w:val="clear" w:color="auto" w:fill="000000"/>
          </w:tcPr>
          <w:p>
            <w:pPr>
              <w:spacing w:after="0" w:line="20" w:lineRule="exact"/>
              <w:rPr>
                <w:sz w:val="1"/>
                <w:szCs w:val="1"/>
                <w:color w:val="auto"/>
              </w:rPr>
            </w:pPr>
          </w:p>
        </w:tc>
        <w:tc>
          <w:tcPr>
            <w:tcW w:w="1700" w:type="dxa"/>
            <w:vAlign w:val="bottom"/>
            <w:vMerge w:val="restart"/>
          </w:tcPr>
          <w:p>
            <w:pPr>
              <w:spacing w:after="0" w:line="20" w:lineRule="exact"/>
              <w:rPr>
                <w:sz w:val="1"/>
                <w:szCs w:val="1"/>
                <w:color w:val="auto"/>
              </w:rPr>
            </w:pPr>
          </w:p>
        </w:tc>
        <w:tc>
          <w:tcPr>
            <w:tcW w:w="2260" w:type="dxa"/>
            <w:vAlign w:val="bottom"/>
            <w:vMerge w:val="restart"/>
          </w:tcPr>
          <w:p>
            <w:pPr>
              <w:ind w:left="100"/>
              <w:spacing w:after="0"/>
              <w:rPr>
                <w:sz w:val="20"/>
                <w:szCs w:val="20"/>
                <w:color w:val="auto"/>
              </w:rPr>
            </w:pPr>
            <w:r>
              <w:rPr>
                <w:rFonts w:ascii="Arial" w:cs="Arial" w:eastAsia="Arial" w:hAnsi="Arial"/>
                <w:sz w:val="17"/>
                <w:szCs w:val="17"/>
                <w:color w:val="auto"/>
                <w:w w:val="93"/>
              </w:rPr>
              <w:t>President and Chief Executive</w:t>
            </w:r>
          </w:p>
        </w:tc>
        <w:tc>
          <w:tcPr>
            <w:tcW w:w="2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w w:val="84"/>
              </w:rPr>
              <w:t>4, 2021</w:t>
            </w:r>
          </w:p>
        </w:tc>
        <w:tc>
          <w:tcPr>
            <w:tcW w:w="0" w:type="dxa"/>
            <w:vAlign w:val="bottom"/>
          </w:tcPr>
          <w:p>
            <w:pPr>
              <w:spacing w:after="0" w:line="20" w:lineRule="exact"/>
              <w:rPr>
                <w:sz w:val="1"/>
                <w:szCs w:val="1"/>
                <w:color w:val="auto"/>
              </w:rPr>
            </w:pPr>
          </w:p>
        </w:tc>
      </w:tr>
      <w:tr>
        <w:trPr>
          <w:trHeight w:val="197"/>
        </w:trPr>
        <w:tc>
          <w:tcPr>
            <w:tcW w:w="17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2260" w:type="dxa"/>
            <w:vAlign w:val="bottom"/>
            <w:vMerge w:val="continue"/>
          </w:tcPr>
          <w:p>
            <w:pPr>
              <w:spacing w:after="0"/>
              <w:rPr>
                <w:sz w:val="17"/>
                <w:szCs w:val="17"/>
                <w:color w:val="auto"/>
              </w:rPr>
            </w:pPr>
          </w:p>
        </w:tc>
        <w:tc>
          <w:tcPr>
            <w:tcW w:w="2140" w:type="dxa"/>
            <w:vAlign w:val="bottom"/>
            <w:gridSpan w:val="2"/>
          </w:tcPr>
          <w:p>
            <w:pPr>
              <w:spacing w:after="0"/>
              <w:rPr>
                <w:sz w:val="20"/>
                <w:szCs w:val="20"/>
                <w:color w:val="auto"/>
              </w:rPr>
            </w:pPr>
            <w:r>
              <w:rPr>
                <w:rFonts w:ascii="Arial" w:cs="Arial" w:eastAsia="Arial" w:hAnsi="Arial"/>
                <w:sz w:val="17"/>
                <w:szCs w:val="17"/>
                <w:color w:val="auto"/>
              </w:rPr>
              <w:t>Officer</w:t>
            </w:r>
          </w:p>
        </w:tc>
        <w:tc>
          <w:tcPr>
            <w:tcW w:w="1360" w:type="dxa"/>
            <w:vAlign w:val="bottom"/>
            <w:gridSpan w:val="2"/>
          </w:tcPr>
          <w:p>
            <w:pPr>
              <w:ind w:left="600"/>
              <w:spacing w:after="0"/>
              <w:rPr>
                <w:sz w:val="20"/>
                <w:szCs w:val="20"/>
                <w:color w:val="auto"/>
              </w:rPr>
            </w:pPr>
            <w:r>
              <w:rPr>
                <w:rFonts w:ascii="Arial" w:cs="Arial" w:eastAsia="Arial" w:hAnsi="Arial"/>
                <w:sz w:val="17"/>
                <w:szCs w:val="17"/>
                <w:color w:val="auto"/>
                <w:w w:val="94"/>
              </w:rPr>
              <w:t>November</w:t>
            </w: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Edward Goldthorpe</w:t>
            </w:r>
          </w:p>
        </w:tc>
        <w:tc>
          <w:tcPr>
            <w:tcW w:w="1700" w:type="dxa"/>
            <w:vAlign w:val="bottom"/>
            <w:tcBorders>
              <w:top w:val="single" w:sz="8" w:color="auto"/>
            </w:tcBorders>
          </w:tcPr>
          <w:p>
            <w:pPr>
              <w:spacing w:after="0"/>
              <w:rPr>
                <w:sz w:val="18"/>
                <w:szCs w:val="18"/>
                <w:color w:val="auto"/>
              </w:rPr>
            </w:pPr>
          </w:p>
        </w:tc>
        <w:tc>
          <w:tcPr>
            <w:tcW w:w="4400" w:type="dxa"/>
            <w:vAlign w:val="bottom"/>
            <w:gridSpan w:val="3"/>
          </w:tcPr>
          <w:p>
            <w:pPr>
              <w:ind w:left="100"/>
              <w:spacing w:after="0"/>
              <w:rPr>
                <w:sz w:val="20"/>
                <w:szCs w:val="20"/>
                <w:color w:val="auto"/>
              </w:rPr>
            </w:pPr>
            <w:r>
              <w:rPr>
                <w:rFonts w:ascii="Arial" w:cs="Arial" w:eastAsia="Arial" w:hAnsi="Arial"/>
                <w:sz w:val="17"/>
                <w:szCs w:val="17"/>
                <w:color w:val="auto"/>
              </w:rPr>
              <w:t>(Principal Executive Officer)</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22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Jason Roos</w:t>
            </w:r>
          </w:p>
        </w:tc>
        <w:tc>
          <w:tcPr>
            <w:tcW w:w="1700" w:type="dxa"/>
            <w:vAlign w:val="bottom"/>
            <w:tcBorders>
              <w:bottom w:val="single" w:sz="8" w:color="auto"/>
            </w:tcBorders>
          </w:tcPr>
          <w:p>
            <w:pPr>
              <w:spacing w:after="0"/>
              <w:rPr>
                <w:sz w:val="24"/>
                <w:szCs w:val="24"/>
                <w:color w:val="auto"/>
              </w:rPr>
            </w:pPr>
          </w:p>
        </w:tc>
        <w:tc>
          <w:tcPr>
            <w:tcW w:w="4400" w:type="dxa"/>
            <w:vAlign w:val="bottom"/>
            <w:gridSpan w:val="3"/>
          </w:tcPr>
          <w:p>
            <w:pPr>
              <w:ind w:left="100"/>
              <w:spacing w:after="0"/>
              <w:rPr>
                <w:sz w:val="20"/>
                <w:szCs w:val="20"/>
                <w:color w:val="auto"/>
              </w:rPr>
            </w:pPr>
            <w:r>
              <w:rPr>
                <w:rFonts w:ascii="Arial" w:cs="Arial" w:eastAsia="Arial" w:hAnsi="Arial"/>
                <w:sz w:val="17"/>
                <w:szCs w:val="17"/>
                <w:color w:val="auto"/>
              </w:rPr>
              <w:t>Chief Financial Officer and Treasurer</w:t>
            </w: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November 4, 2021</w:t>
            </w:r>
          </w:p>
        </w:tc>
        <w:tc>
          <w:tcPr>
            <w:tcW w:w="0" w:type="dxa"/>
            <w:vAlign w:val="bottom"/>
          </w:tcPr>
          <w:p>
            <w:pPr>
              <w:spacing w:after="0"/>
              <w:rPr>
                <w:sz w:val="1"/>
                <w:szCs w:val="1"/>
                <w:color w:val="auto"/>
              </w:rPr>
            </w:pPr>
          </w:p>
        </w:tc>
      </w:tr>
      <w:tr>
        <w:trPr>
          <w:trHeight w:val="210"/>
        </w:trPr>
        <w:tc>
          <w:tcPr>
            <w:tcW w:w="2260" w:type="dxa"/>
            <w:vAlign w:val="bottom"/>
            <w:gridSpan w:val="3"/>
          </w:tcPr>
          <w:p>
            <w:pPr>
              <w:spacing w:after="0"/>
              <w:rPr>
                <w:sz w:val="20"/>
                <w:szCs w:val="20"/>
                <w:color w:val="auto"/>
              </w:rPr>
            </w:pPr>
            <w:r>
              <w:rPr>
                <w:rFonts w:ascii="Arial" w:cs="Arial" w:eastAsia="Arial" w:hAnsi="Arial"/>
                <w:sz w:val="17"/>
                <w:szCs w:val="17"/>
                <w:color w:val="auto"/>
              </w:rPr>
              <w:t>Jason Roos</w:t>
            </w:r>
          </w:p>
        </w:tc>
        <w:tc>
          <w:tcPr>
            <w:tcW w:w="1700" w:type="dxa"/>
            <w:vAlign w:val="bottom"/>
          </w:tcPr>
          <w:p>
            <w:pPr>
              <w:spacing w:after="0"/>
              <w:rPr>
                <w:sz w:val="18"/>
                <w:szCs w:val="18"/>
                <w:color w:val="auto"/>
              </w:rPr>
            </w:pPr>
          </w:p>
        </w:tc>
        <w:tc>
          <w:tcPr>
            <w:tcW w:w="4400" w:type="dxa"/>
            <w:vAlign w:val="bottom"/>
            <w:gridSpan w:val="3"/>
          </w:tcPr>
          <w:p>
            <w:pPr>
              <w:ind w:left="100"/>
              <w:spacing w:after="0"/>
              <w:rPr>
                <w:sz w:val="20"/>
                <w:szCs w:val="20"/>
                <w:color w:val="auto"/>
              </w:rPr>
            </w:pPr>
            <w:r>
              <w:rPr>
                <w:rFonts w:ascii="Arial" w:cs="Arial" w:eastAsia="Arial" w:hAnsi="Arial"/>
                <w:sz w:val="17"/>
                <w:szCs w:val="17"/>
                <w:color w:val="auto"/>
              </w:rPr>
              <w:t>(Principal Financial and Principal Accounting Officer)</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2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Alexander Duka</w:t>
            </w:r>
          </w:p>
        </w:tc>
        <w:tc>
          <w:tcPr>
            <w:tcW w:w="1700" w:type="dxa"/>
            <w:vAlign w:val="bottom"/>
            <w:tcBorders>
              <w:bottom w:val="single" w:sz="8" w:color="auto"/>
            </w:tcBorders>
          </w:tcPr>
          <w:p>
            <w:pPr>
              <w:spacing w:after="0"/>
              <w:rPr>
                <w:sz w:val="24"/>
                <w:szCs w:val="24"/>
                <w:color w:val="auto"/>
              </w:rPr>
            </w:pPr>
          </w:p>
        </w:tc>
        <w:tc>
          <w:tcPr>
            <w:tcW w:w="4400" w:type="dxa"/>
            <w:vAlign w:val="bottom"/>
            <w:gridSpan w:val="3"/>
          </w:tcPr>
          <w:p>
            <w:pPr>
              <w:ind w:left="100"/>
              <w:spacing w:after="0"/>
              <w:rPr>
                <w:sz w:val="20"/>
                <w:szCs w:val="20"/>
                <w:color w:val="auto"/>
              </w:rPr>
            </w:pPr>
            <w:r>
              <w:rPr>
                <w:rFonts w:ascii="Arial" w:cs="Arial" w:eastAsia="Arial" w:hAnsi="Arial"/>
                <w:sz w:val="17"/>
                <w:szCs w:val="17"/>
                <w:color w:val="auto"/>
              </w:rPr>
              <w:t>Independent Director</w:t>
            </w: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November 4, 2021</w:t>
            </w:r>
          </w:p>
        </w:tc>
        <w:tc>
          <w:tcPr>
            <w:tcW w:w="0" w:type="dxa"/>
            <w:vAlign w:val="bottom"/>
          </w:tcPr>
          <w:p>
            <w:pPr>
              <w:spacing w:after="0"/>
              <w:rPr>
                <w:sz w:val="1"/>
                <w:szCs w:val="1"/>
                <w:color w:val="auto"/>
              </w:rPr>
            </w:pPr>
          </w:p>
        </w:tc>
      </w:tr>
      <w:tr>
        <w:trPr>
          <w:trHeight w:val="209"/>
        </w:trPr>
        <w:tc>
          <w:tcPr>
            <w:tcW w:w="2260" w:type="dxa"/>
            <w:vAlign w:val="bottom"/>
            <w:gridSpan w:val="3"/>
          </w:tcPr>
          <w:p>
            <w:pPr>
              <w:spacing w:after="0"/>
              <w:rPr>
                <w:sz w:val="20"/>
                <w:szCs w:val="20"/>
                <w:color w:val="auto"/>
              </w:rPr>
            </w:pPr>
            <w:r>
              <w:rPr>
                <w:rFonts w:ascii="Arial" w:cs="Arial" w:eastAsia="Arial" w:hAnsi="Arial"/>
                <w:sz w:val="17"/>
                <w:szCs w:val="17"/>
                <w:color w:val="auto"/>
              </w:rPr>
              <w:t>Alexander Duka</w:t>
            </w:r>
          </w:p>
        </w:tc>
        <w:tc>
          <w:tcPr>
            <w:tcW w:w="1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2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George Grunebaum</w:t>
            </w:r>
          </w:p>
        </w:tc>
        <w:tc>
          <w:tcPr>
            <w:tcW w:w="1700" w:type="dxa"/>
            <w:vAlign w:val="bottom"/>
            <w:tcBorders>
              <w:bottom w:val="single" w:sz="8" w:color="auto"/>
            </w:tcBorders>
          </w:tcPr>
          <w:p>
            <w:pPr>
              <w:spacing w:after="0"/>
              <w:rPr>
                <w:sz w:val="24"/>
                <w:szCs w:val="24"/>
                <w:color w:val="auto"/>
              </w:rPr>
            </w:pPr>
          </w:p>
        </w:tc>
        <w:tc>
          <w:tcPr>
            <w:tcW w:w="4400" w:type="dxa"/>
            <w:vAlign w:val="bottom"/>
            <w:gridSpan w:val="3"/>
          </w:tcPr>
          <w:p>
            <w:pPr>
              <w:ind w:left="100"/>
              <w:spacing w:after="0"/>
              <w:rPr>
                <w:sz w:val="20"/>
                <w:szCs w:val="20"/>
                <w:color w:val="auto"/>
              </w:rPr>
            </w:pPr>
            <w:r>
              <w:rPr>
                <w:rFonts w:ascii="Arial" w:cs="Arial" w:eastAsia="Arial" w:hAnsi="Arial"/>
                <w:sz w:val="17"/>
                <w:szCs w:val="17"/>
                <w:color w:val="auto"/>
              </w:rPr>
              <w:t>Independent Director</w:t>
            </w: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November 4, 2021</w:t>
            </w:r>
          </w:p>
        </w:tc>
        <w:tc>
          <w:tcPr>
            <w:tcW w:w="0" w:type="dxa"/>
            <w:vAlign w:val="bottom"/>
          </w:tcPr>
          <w:p>
            <w:pPr>
              <w:spacing w:after="0"/>
              <w:rPr>
                <w:sz w:val="1"/>
                <w:szCs w:val="1"/>
                <w:color w:val="auto"/>
              </w:rPr>
            </w:pPr>
          </w:p>
        </w:tc>
      </w:tr>
      <w:tr>
        <w:trPr>
          <w:trHeight w:val="209"/>
        </w:trPr>
        <w:tc>
          <w:tcPr>
            <w:tcW w:w="2260" w:type="dxa"/>
            <w:vAlign w:val="bottom"/>
            <w:gridSpan w:val="3"/>
          </w:tcPr>
          <w:p>
            <w:pPr>
              <w:spacing w:after="0"/>
              <w:rPr>
                <w:sz w:val="20"/>
                <w:szCs w:val="20"/>
                <w:color w:val="auto"/>
              </w:rPr>
            </w:pPr>
            <w:r>
              <w:rPr>
                <w:rFonts w:ascii="Arial" w:cs="Arial" w:eastAsia="Arial" w:hAnsi="Arial"/>
                <w:sz w:val="17"/>
                <w:szCs w:val="17"/>
                <w:color w:val="auto"/>
              </w:rPr>
              <w:t>George Grunebaum</w:t>
            </w:r>
          </w:p>
        </w:tc>
        <w:tc>
          <w:tcPr>
            <w:tcW w:w="1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2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Christopher Lacovara</w:t>
            </w:r>
          </w:p>
        </w:tc>
        <w:tc>
          <w:tcPr>
            <w:tcW w:w="1700" w:type="dxa"/>
            <w:vAlign w:val="bottom"/>
            <w:tcBorders>
              <w:bottom w:val="single" w:sz="8" w:color="auto"/>
            </w:tcBorders>
          </w:tcPr>
          <w:p>
            <w:pPr>
              <w:spacing w:after="0"/>
              <w:rPr>
                <w:sz w:val="24"/>
                <w:szCs w:val="24"/>
                <w:color w:val="auto"/>
              </w:rPr>
            </w:pPr>
          </w:p>
        </w:tc>
        <w:tc>
          <w:tcPr>
            <w:tcW w:w="4400" w:type="dxa"/>
            <w:vAlign w:val="bottom"/>
            <w:gridSpan w:val="3"/>
          </w:tcPr>
          <w:p>
            <w:pPr>
              <w:ind w:left="100"/>
              <w:spacing w:after="0"/>
              <w:rPr>
                <w:sz w:val="20"/>
                <w:szCs w:val="20"/>
                <w:color w:val="auto"/>
              </w:rPr>
            </w:pPr>
            <w:r>
              <w:rPr>
                <w:rFonts w:ascii="Arial" w:cs="Arial" w:eastAsia="Arial" w:hAnsi="Arial"/>
                <w:sz w:val="17"/>
                <w:szCs w:val="17"/>
                <w:color w:val="auto"/>
              </w:rPr>
              <w:t>Independent Director</w:t>
            </w: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November 4, 2021</w:t>
            </w:r>
          </w:p>
        </w:tc>
        <w:tc>
          <w:tcPr>
            <w:tcW w:w="0" w:type="dxa"/>
            <w:vAlign w:val="bottom"/>
          </w:tcPr>
          <w:p>
            <w:pPr>
              <w:spacing w:after="0"/>
              <w:rPr>
                <w:sz w:val="1"/>
                <w:szCs w:val="1"/>
                <w:color w:val="auto"/>
              </w:rPr>
            </w:pPr>
          </w:p>
        </w:tc>
      </w:tr>
      <w:tr>
        <w:trPr>
          <w:trHeight w:val="209"/>
        </w:trPr>
        <w:tc>
          <w:tcPr>
            <w:tcW w:w="2260" w:type="dxa"/>
            <w:vAlign w:val="bottom"/>
            <w:gridSpan w:val="3"/>
          </w:tcPr>
          <w:p>
            <w:pPr>
              <w:spacing w:after="0"/>
              <w:rPr>
                <w:sz w:val="20"/>
                <w:szCs w:val="20"/>
                <w:color w:val="auto"/>
              </w:rPr>
            </w:pPr>
            <w:r>
              <w:rPr>
                <w:rFonts w:ascii="Arial" w:cs="Arial" w:eastAsia="Arial" w:hAnsi="Arial"/>
                <w:sz w:val="17"/>
                <w:szCs w:val="17"/>
                <w:color w:val="auto"/>
              </w:rPr>
              <w:t>Christopher Lacovara</w:t>
            </w:r>
          </w:p>
        </w:tc>
        <w:tc>
          <w:tcPr>
            <w:tcW w:w="1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2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Dean C. Kehler</w:t>
            </w:r>
          </w:p>
        </w:tc>
        <w:tc>
          <w:tcPr>
            <w:tcW w:w="1700" w:type="dxa"/>
            <w:vAlign w:val="bottom"/>
            <w:tcBorders>
              <w:bottom w:val="single" w:sz="8" w:color="auto"/>
            </w:tcBorders>
          </w:tcPr>
          <w:p>
            <w:pPr>
              <w:spacing w:after="0"/>
              <w:rPr>
                <w:sz w:val="24"/>
                <w:szCs w:val="24"/>
                <w:color w:val="auto"/>
              </w:rPr>
            </w:pPr>
          </w:p>
        </w:tc>
        <w:tc>
          <w:tcPr>
            <w:tcW w:w="4400" w:type="dxa"/>
            <w:vAlign w:val="bottom"/>
            <w:gridSpan w:val="3"/>
          </w:tcPr>
          <w:p>
            <w:pPr>
              <w:ind w:left="100"/>
              <w:spacing w:after="0"/>
              <w:rPr>
                <w:sz w:val="20"/>
                <w:szCs w:val="20"/>
                <w:color w:val="auto"/>
              </w:rPr>
            </w:pPr>
            <w:r>
              <w:rPr>
                <w:rFonts w:ascii="Arial" w:cs="Arial" w:eastAsia="Arial" w:hAnsi="Arial"/>
                <w:sz w:val="17"/>
                <w:szCs w:val="17"/>
                <w:color w:val="auto"/>
              </w:rPr>
              <w:t>Independent Director</w:t>
            </w: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November 4, 2021</w:t>
            </w:r>
          </w:p>
        </w:tc>
        <w:tc>
          <w:tcPr>
            <w:tcW w:w="0" w:type="dxa"/>
            <w:vAlign w:val="bottom"/>
          </w:tcPr>
          <w:p>
            <w:pPr>
              <w:spacing w:after="0"/>
              <w:rPr>
                <w:sz w:val="1"/>
                <w:szCs w:val="1"/>
                <w:color w:val="auto"/>
              </w:rPr>
            </w:pPr>
          </w:p>
        </w:tc>
      </w:tr>
      <w:tr>
        <w:trPr>
          <w:trHeight w:val="209"/>
        </w:trPr>
        <w:tc>
          <w:tcPr>
            <w:tcW w:w="2260" w:type="dxa"/>
            <w:vAlign w:val="bottom"/>
            <w:gridSpan w:val="3"/>
          </w:tcPr>
          <w:p>
            <w:pPr>
              <w:spacing w:after="0"/>
              <w:rPr>
                <w:sz w:val="20"/>
                <w:szCs w:val="20"/>
                <w:color w:val="auto"/>
              </w:rPr>
            </w:pPr>
            <w:r>
              <w:rPr>
                <w:rFonts w:ascii="Arial" w:cs="Arial" w:eastAsia="Arial" w:hAnsi="Arial"/>
                <w:sz w:val="17"/>
                <w:szCs w:val="17"/>
                <w:color w:val="auto"/>
              </w:rPr>
              <w:t>Dean C. Kehler</w:t>
            </w:r>
          </w:p>
        </w:tc>
        <w:tc>
          <w:tcPr>
            <w:tcW w:w="1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2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Robert Warshauer</w:t>
            </w:r>
          </w:p>
        </w:tc>
        <w:tc>
          <w:tcPr>
            <w:tcW w:w="1700" w:type="dxa"/>
            <w:vAlign w:val="bottom"/>
            <w:tcBorders>
              <w:bottom w:val="single" w:sz="8" w:color="auto"/>
            </w:tcBorders>
          </w:tcPr>
          <w:p>
            <w:pPr>
              <w:spacing w:after="0"/>
              <w:rPr>
                <w:sz w:val="24"/>
                <w:szCs w:val="24"/>
                <w:color w:val="auto"/>
              </w:rPr>
            </w:pPr>
          </w:p>
        </w:tc>
        <w:tc>
          <w:tcPr>
            <w:tcW w:w="4400" w:type="dxa"/>
            <w:vAlign w:val="bottom"/>
            <w:gridSpan w:val="3"/>
          </w:tcPr>
          <w:p>
            <w:pPr>
              <w:ind w:left="100"/>
              <w:spacing w:after="0"/>
              <w:rPr>
                <w:sz w:val="20"/>
                <w:szCs w:val="20"/>
                <w:color w:val="auto"/>
              </w:rPr>
            </w:pPr>
            <w:r>
              <w:rPr>
                <w:rFonts w:ascii="Arial" w:cs="Arial" w:eastAsia="Arial" w:hAnsi="Arial"/>
                <w:sz w:val="17"/>
                <w:szCs w:val="17"/>
                <w:color w:val="auto"/>
              </w:rPr>
              <w:t>Independent Director</w:t>
            </w: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November 4, 2021</w:t>
            </w:r>
          </w:p>
        </w:tc>
        <w:tc>
          <w:tcPr>
            <w:tcW w:w="0" w:type="dxa"/>
            <w:vAlign w:val="bottom"/>
          </w:tcPr>
          <w:p>
            <w:pPr>
              <w:spacing w:after="0"/>
              <w:rPr>
                <w:sz w:val="1"/>
                <w:szCs w:val="1"/>
                <w:color w:val="auto"/>
              </w:rPr>
            </w:pPr>
          </w:p>
        </w:tc>
      </w:tr>
      <w:tr>
        <w:trPr>
          <w:trHeight w:val="209"/>
        </w:trPr>
        <w:tc>
          <w:tcPr>
            <w:tcW w:w="2260" w:type="dxa"/>
            <w:vAlign w:val="bottom"/>
            <w:gridSpan w:val="3"/>
          </w:tcPr>
          <w:p>
            <w:pPr>
              <w:spacing w:after="0"/>
              <w:rPr>
                <w:sz w:val="20"/>
                <w:szCs w:val="20"/>
                <w:color w:val="auto"/>
              </w:rPr>
            </w:pPr>
            <w:r>
              <w:rPr>
                <w:rFonts w:ascii="Arial" w:cs="Arial" w:eastAsia="Arial" w:hAnsi="Arial"/>
                <w:sz w:val="17"/>
                <w:szCs w:val="17"/>
                <w:color w:val="auto"/>
              </w:rPr>
              <w:t>Robert Warshauer</w:t>
            </w:r>
          </w:p>
        </w:tc>
        <w:tc>
          <w:tcPr>
            <w:tcW w:w="1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2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Matthew Westwood</w:t>
            </w:r>
          </w:p>
        </w:tc>
        <w:tc>
          <w:tcPr>
            <w:tcW w:w="1700" w:type="dxa"/>
            <w:vAlign w:val="bottom"/>
            <w:tcBorders>
              <w:bottom w:val="single" w:sz="8" w:color="auto"/>
            </w:tcBorders>
          </w:tcPr>
          <w:p>
            <w:pPr>
              <w:spacing w:after="0"/>
              <w:rPr>
                <w:sz w:val="24"/>
                <w:szCs w:val="24"/>
                <w:color w:val="auto"/>
              </w:rPr>
            </w:pPr>
          </w:p>
        </w:tc>
        <w:tc>
          <w:tcPr>
            <w:tcW w:w="4400" w:type="dxa"/>
            <w:vAlign w:val="bottom"/>
            <w:gridSpan w:val="3"/>
          </w:tcPr>
          <w:p>
            <w:pPr>
              <w:ind w:left="100"/>
              <w:spacing w:after="0"/>
              <w:rPr>
                <w:sz w:val="20"/>
                <w:szCs w:val="20"/>
                <w:color w:val="auto"/>
              </w:rPr>
            </w:pPr>
            <w:r>
              <w:rPr>
                <w:rFonts w:ascii="Arial" w:cs="Arial" w:eastAsia="Arial" w:hAnsi="Arial"/>
                <w:sz w:val="17"/>
                <w:szCs w:val="17"/>
                <w:color w:val="auto"/>
              </w:rPr>
              <w:t>Independent Director</w:t>
            </w: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November 4, 2021</w:t>
            </w:r>
          </w:p>
        </w:tc>
        <w:tc>
          <w:tcPr>
            <w:tcW w:w="0" w:type="dxa"/>
            <w:vAlign w:val="bottom"/>
          </w:tcPr>
          <w:p>
            <w:pPr>
              <w:spacing w:after="0"/>
              <w:rPr>
                <w:sz w:val="1"/>
                <w:szCs w:val="1"/>
                <w:color w:val="auto"/>
              </w:rPr>
            </w:pPr>
          </w:p>
        </w:tc>
      </w:tr>
      <w:tr>
        <w:trPr>
          <w:trHeight w:val="209"/>
        </w:trPr>
        <w:tc>
          <w:tcPr>
            <w:tcW w:w="2260" w:type="dxa"/>
            <w:vAlign w:val="bottom"/>
            <w:gridSpan w:val="3"/>
          </w:tcPr>
          <w:p>
            <w:pPr>
              <w:spacing w:after="0"/>
              <w:rPr>
                <w:sz w:val="20"/>
                <w:szCs w:val="20"/>
                <w:color w:val="auto"/>
              </w:rPr>
            </w:pPr>
            <w:r>
              <w:rPr>
                <w:rFonts w:ascii="Arial" w:cs="Arial" w:eastAsia="Arial" w:hAnsi="Arial"/>
                <w:sz w:val="17"/>
                <w:szCs w:val="17"/>
                <w:color w:val="auto"/>
              </w:rPr>
              <w:t>Matthew Westwood</w:t>
            </w:r>
          </w:p>
        </w:tc>
        <w:tc>
          <w:tcPr>
            <w:tcW w:w="1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2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Joseph Morea</w:t>
            </w:r>
          </w:p>
        </w:tc>
        <w:tc>
          <w:tcPr>
            <w:tcW w:w="1700" w:type="dxa"/>
            <w:vAlign w:val="bottom"/>
            <w:tcBorders>
              <w:bottom w:val="single" w:sz="8" w:color="auto"/>
            </w:tcBorders>
          </w:tcPr>
          <w:p>
            <w:pPr>
              <w:spacing w:after="0"/>
              <w:rPr>
                <w:sz w:val="24"/>
                <w:szCs w:val="24"/>
                <w:color w:val="auto"/>
              </w:rPr>
            </w:pPr>
          </w:p>
        </w:tc>
        <w:tc>
          <w:tcPr>
            <w:tcW w:w="4400" w:type="dxa"/>
            <w:vAlign w:val="bottom"/>
            <w:gridSpan w:val="3"/>
          </w:tcPr>
          <w:p>
            <w:pPr>
              <w:ind w:left="100"/>
              <w:spacing w:after="0"/>
              <w:rPr>
                <w:sz w:val="20"/>
                <w:szCs w:val="20"/>
                <w:color w:val="auto"/>
              </w:rPr>
            </w:pPr>
            <w:r>
              <w:rPr>
                <w:rFonts w:ascii="Arial" w:cs="Arial" w:eastAsia="Arial" w:hAnsi="Arial"/>
                <w:sz w:val="17"/>
                <w:szCs w:val="17"/>
                <w:color w:val="auto"/>
              </w:rPr>
              <w:t>Independent Director</w:t>
            </w: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November 4, 2021</w:t>
            </w:r>
          </w:p>
        </w:tc>
        <w:tc>
          <w:tcPr>
            <w:tcW w:w="0" w:type="dxa"/>
            <w:vAlign w:val="bottom"/>
          </w:tcPr>
          <w:p>
            <w:pPr>
              <w:spacing w:after="0"/>
              <w:rPr>
                <w:sz w:val="1"/>
                <w:szCs w:val="1"/>
                <w:color w:val="auto"/>
              </w:rPr>
            </w:pPr>
          </w:p>
        </w:tc>
      </w:tr>
      <w:tr>
        <w:trPr>
          <w:trHeight w:val="209"/>
        </w:trPr>
        <w:tc>
          <w:tcPr>
            <w:tcW w:w="2260" w:type="dxa"/>
            <w:vAlign w:val="bottom"/>
            <w:gridSpan w:val="3"/>
          </w:tcPr>
          <w:p>
            <w:pPr>
              <w:spacing w:after="0"/>
              <w:rPr>
                <w:sz w:val="20"/>
                <w:szCs w:val="20"/>
                <w:color w:val="auto"/>
              </w:rPr>
            </w:pPr>
            <w:r>
              <w:rPr>
                <w:rFonts w:ascii="Arial" w:cs="Arial" w:eastAsia="Arial" w:hAnsi="Arial"/>
                <w:sz w:val="17"/>
                <w:szCs w:val="17"/>
                <w:color w:val="auto"/>
              </w:rPr>
              <w:t>Joseph Morea</w:t>
            </w:r>
          </w:p>
        </w:tc>
        <w:tc>
          <w:tcPr>
            <w:tcW w:w="1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420"/>
      </w:cols>
      <w:pgMar w:left="740" w:top="123"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decimal"/>
      <w:start w:val="650"/>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decimal"/>
      <w:start w:val="25"/>
    </w:lvl>
  </w:abstractNum>
  <w:abstractNum w:abstractNumId="21">
    <w:nsid w:val="51EAD36B"/>
    <w:multiLevelType w:val="hybridMultilevel"/>
    <w:lvl w:ilvl="0">
      <w:lvlJc w:val="left"/>
      <w:lvlText w:val="(%1)"/>
      <w:numFmt w:val="decimal"/>
      <w:start w:val="25"/>
    </w:lvl>
  </w:abstractNum>
  <w:abstractNum w:abstractNumId="22">
    <w:nsid w:val="2D517796"/>
    <w:multiLevelType w:val="hybridMultilevel"/>
    <w:lvl w:ilvl="0">
      <w:lvlJc w:val="left"/>
      <w:lvlText w:val="1"/>
      <w:numFmt w:val="bullet"/>
      <w:start w:val="1"/>
    </w:lvl>
  </w:abstractNum>
  <w:abstractNum w:abstractNumId="23">
    <w:nsid w:val="580BD78F"/>
    <w:multiLevelType w:val="hybridMultilevel"/>
    <w:lvl w:ilvl="0">
      <w:lvlJc w:val="left"/>
      <w:lvlText w:val="2"/>
      <w:numFmt w:val="bullet"/>
      <w:start w:val="1"/>
    </w:lvl>
  </w:abstractNum>
  <w:abstractNum w:abstractNumId="24">
    <w:nsid w:val="153EA438"/>
    <w:multiLevelType w:val="hybridMultilevel"/>
    <w:lvl w:ilvl="0">
      <w:lvlJc w:val="left"/>
      <w:lvlText w:val="%1"/>
      <w:numFmt w:val="decimal"/>
      <w:start w:val="10"/>
    </w:lvl>
  </w:abstractNum>
  <w:abstractNum w:abstractNumId="25">
    <w:nsid w:val="3855585C"/>
    <w:multiLevelType w:val="hybridMultilevel"/>
    <w:lvl w:ilvl="0">
      <w:lvlJc w:val="left"/>
      <w:lvlText w:val="%1"/>
      <w:numFmt w:val="decimal"/>
      <w:start w:val="21"/>
    </w:lvl>
  </w:abstractNum>
  <w:abstractNum w:abstractNumId="26">
    <w:nsid w:val="70A64E2A"/>
    <w:multiLevelType w:val="hybridMultilevel"/>
    <w:lvl w:ilvl="0">
      <w:lvlJc w:val="left"/>
      <w:lvlText w:val="%1"/>
      <w:numFmt w:val="decimal"/>
      <w:start w:val="23"/>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2"/>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lvl w:ilvl="1">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decimal"/>
      <w:start w:val="2"/>
    </w:lvl>
  </w:abstractNum>
  <w:abstractNum w:abstractNumId="40">
    <w:nsid w:val="684A481A"/>
    <w:multiLevelType w:val="hybridMultilevel"/>
    <w:lvl w:ilvl="0">
      <w:lvlJc w:val="left"/>
      <w:lvlText w:val="(%1)"/>
      <w:numFmt w:val="lowerRoman"/>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1)"/>
      <w:numFmt w:val="decimal"/>
      <w:start w:val="212"/>
    </w:lvl>
  </w:abstractNum>
  <w:abstractNum w:abstractNumId="45">
    <w:nsid w:val="79A1DEAA"/>
    <w:multiLevelType w:val="hybridMultilevel"/>
    <w:lvl w:ilvl="0">
      <w:lvlJc w:val="left"/>
      <w:lvlText w:val="(%1)"/>
      <w:numFmt w:val="lowerLetter"/>
      <w:start w:val="2"/>
    </w:lvl>
  </w:abstractNum>
  <w:abstractNum w:abstractNumId="46">
    <w:nsid w:val="75C6C33A"/>
    <w:multiLevelType w:val="hybridMultilevel"/>
    <w:lvl w:ilvl="0">
      <w:lvlJc w:val="left"/>
      <w:lvlText w:val="(%1)"/>
      <w:numFmt w:val="lowerLetter"/>
      <w:start w:val="5"/>
    </w:lvl>
  </w:abstractNum>
  <w:abstractNum w:abstractNumId="47">
    <w:nsid w:val="12E685FB"/>
    <w:multiLevelType w:val="hybridMultilevel"/>
    <w:lvl w:ilvl="0">
      <w:lvlJc w:val="left"/>
      <w:lvlText w:val="(%1)"/>
      <w:numFmt w:val="lowerLetter"/>
      <w:start w:val="12"/>
    </w:lvl>
  </w:abstractNum>
  <w:abstractNum w:abstractNumId="48">
    <w:nsid w:val="70C6A529"/>
    <w:multiLevelType w:val="hybridMultilevel"/>
    <w:lvl w:ilvl="0">
      <w:lvlJc w:val="left"/>
      <w:lvlText w:val="(%1)"/>
      <w:numFmt w:val="lowerLetter"/>
      <w:start w:val="15"/>
    </w:lvl>
  </w:abstractNum>
  <w:abstractNum w:abstractNumId="49">
    <w:nsid w:val="520EEDD1"/>
    <w:multiLevelType w:val="hybridMultilevel"/>
    <w:lvl w:ilvl="0">
      <w:lvlJc w:val="left"/>
      <w:lvlText w:val="(%1)"/>
      <w:numFmt w:val="lowerLetter"/>
      <w:start w:val="20"/>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53">
    <w:nsid w:val="649BB77C"/>
    <w:multiLevelType w:val="hybridMultilevel"/>
    <w:lvl w:ilvl="0">
      <w:lvlJc w:val="left"/>
      <w:lvlText w:val="%1"/>
      <w:numFmt w:val="decimal"/>
      <w:start w:val="1"/>
    </w:lvl>
    <w:lvl w:ilvl="1">
      <w:lvlJc w:val="left"/>
      <w:lvlText w:val="(%2)"/>
      <w:numFmt w:val="decimal"/>
      <w:start w:val="1"/>
    </w:lvl>
  </w:abstractNum>
  <w:abstractNum w:abstractNumId="54">
    <w:nsid w:val="275AC794"/>
    <w:multiLevelType w:val="hybridMultilevel"/>
    <w:lvl w:ilvl="0">
      <w:lvlJc w:val="left"/>
      <w:lvlText w:val="%1."/>
      <w:numFmt w:val="decimal"/>
      <w:start w:val="4"/>
    </w:lvl>
    <w:lvl w:ilvl="1">
      <w:lvlJc w:val="left"/>
      <w:lvlText w:val="%2"/>
      <w:numFmt w:val="decimal"/>
      <w:start w:val="1"/>
    </w:lvl>
  </w:abstractNum>
  <w:abstractNum w:abstractNumId="55">
    <w:nsid w:val="39386575"/>
    <w:multiLevelType w:val="hybridMultilevel"/>
    <w:lvl w:ilvl="0">
      <w:lvlJc w:val="left"/>
      <w:lvlText w:val="(%1)"/>
      <w:numFmt w:val="lowerRoman"/>
      <w:start w:val="1"/>
    </w:lvl>
  </w:abstractNum>
  <w:abstractNum w:abstractNumId="56">
    <w:nsid w:val="1CF10FD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44"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jpeg"/><Relationship Id="rId166"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jpeg"/><Relationship Id="rId114" Type="http://schemas.openxmlformats.org/officeDocument/2006/relationships/hyperlink" Target="http://www.sec.gov/Archives/edgar/data/1372807/000156459021012529/ptmn-10k_20201231.htm" TargetMode="External"/><Relationship Id="rId115" Type="http://schemas.openxmlformats.org/officeDocument/2006/relationships/hyperlink" Target="http://www.sec.gov/Archives/edgar/data/1372807/000156459021025084/ptmn-10q_20210331.htm" TargetMode="External"/><Relationship Id="rId116" Type="http://schemas.openxmlformats.org/officeDocument/2006/relationships/hyperlink" Target="http://www.sec.gov/Archives/edgar/data/1372807/000156459021041632/ptmn-10q_20210630.htm" TargetMode="External"/><Relationship Id="rId117" Type="http://schemas.openxmlformats.org/officeDocument/2006/relationships/hyperlink" Target="http://www.sec.gov/Archives/edgar/data/1372807/000095017021003075/ptmn_10-q_shell.htm" TargetMode="External"/><Relationship Id="rId118" Type="http://schemas.openxmlformats.org/officeDocument/2006/relationships/hyperlink" Target="http://www.sec.gov/Archives/edgar/data/1372807/000119312521128298/d151256ddef14a.htm" TargetMode="External"/><Relationship Id="rId119" Type="http://schemas.openxmlformats.org/officeDocument/2006/relationships/hyperlink" Target="http://www.sec.gov/Archives/edgar/data/1372807/000119312521159256/d136297d8k.htm" TargetMode="External"/><Relationship Id="rId120" Type="http://schemas.openxmlformats.org/officeDocument/2006/relationships/hyperlink" Target="http://www.sec.gov/Archives/edgar/data/1372807/000119312521185443/d81546d8k.htm" TargetMode="External"/><Relationship Id="rId121" Type="http://schemas.openxmlformats.org/officeDocument/2006/relationships/hyperlink" Target="http://www.sec.gov/Archives/edgar/data/1372807/000119312521186945/d176074d8k.htm" TargetMode="External"/><Relationship Id="rId122" Type="http://schemas.openxmlformats.org/officeDocument/2006/relationships/hyperlink" Target="http://www.sec.gov/Archives/edgar/data/1372807/000119312521197921/d121071d8k.htm" TargetMode="External"/><Relationship Id="rId123" Type="http://schemas.openxmlformats.org/officeDocument/2006/relationships/hyperlink" Target="http://www.sec.gov/Archives/edgar/data/1372807/000119312521208771/d28913d8k.htm" TargetMode="External"/><Relationship Id="rId124" Type="http://schemas.openxmlformats.org/officeDocument/2006/relationships/hyperlink" Target="http://www.sec.gov/Archives/edgar/data/1372807/000119312521220662/d298619d8k.htm" TargetMode="External"/><Relationship Id="rId125" Type="http://schemas.openxmlformats.org/officeDocument/2006/relationships/hyperlink" Target="http://www.sec.gov/Archives/edgar/data/1372807/000119312521253461/d44513d8k.htm" TargetMode="External"/><Relationship Id="rId126" Type="http://schemas.openxmlformats.org/officeDocument/2006/relationships/hyperlink" Target="http://www.sec.gov/Archives/edgar/data/1372807/000119312521256995/d210335d8k.htm" TargetMode="External"/><Relationship Id="rId127" Type="http://schemas.openxmlformats.org/officeDocument/2006/relationships/hyperlink" Target="http://www.sec.gov/Archives/edgar/data/1372807/000119312521308153/d232815d8k.htm" TargetMode="External"/><Relationship Id="rId128" Type="http://schemas.openxmlformats.org/officeDocument/2006/relationships/hyperlink" Target="http://www.sec.gov/Archives/edgar/data/0001559909/000155990921000005/hcapdecember31202012-31x20.htm" TargetMode="External"/><Relationship Id="rId129" Type="http://schemas.openxmlformats.org/officeDocument/2006/relationships/hyperlink" Target="http://www.sec.gov/Archives/edgar/data/0001559909/000155990921000011/hcap10-qmarch31021q1x2110xq.htm" TargetMode="External"/><Relationship Id="rId139" Type="http://schemas.openxmlformats.org/officeDocument/2006/relationships/hyperlink" Target="http://www.sec.gov/Archives/edgar/data/1372807/000119312506204545/dex99a.htm" TargetMode="External"/><Relationship Id="rId140" Type="http://schemas.openxmlformats.org/officeDocument/2006/relationships/hyperlink" Target="http://www.sec.gov/Archives/edgar/data/1372807/000114420419017514/tv517653_ex3-1.htm" TargetMode="External"/><Relationship Id="rId141" Type="http://schemas.openxmlformats.org/officeDocument/2006/relationships/hyperlink" Target="http://www.sec.gov/Archives/edgar/data/1372807/000119312521256995/d210335dex31.htm" TargetMode="External"/><Relationship Id="rId142" Type="http://schemas.openxmlformats.org/officeDocument/2006/relationships/hyperlink" Target="http://www.sec.gov/Archives/edgar/data/1372807/000119312521256995/d210335dex32.htm" TargetMode="External"/><Relationship Id="rId143" Type="http://schemas.openxmlformats.org/officeDocument/2006/relationships/hyperlink" Target="http://www.sec.gov/Archives/edgar/data/1372807/000119312521220662/d298619dex31.htm" TargetMode="External"/><Relationship Id="rId145" Type="http://schemas.openxmlformats.org/officeDocument/2006/relationships/hyperlink" Target="http://www.sec.gov/Archives/edgar/data/1372807/000119312506204545/dex99d1.htm" TargetMode="External"/><Relationship Id="rId146" Type="http://schemas.openxmlformats.org/officeDocument/2006/relationships/hyperlink" Target="http://www.sec.gov/Archives/edgar/data/1372807/000114420412054349/v323537_ex99d3.htm" TargetMode="External"/><Relationship Id="rId147" Type="http://schemas.openxmlformats.org/officeDocument/2006/relationships/hyperlink" Target="http://www.sec.gov/Archives/edgar/data/1372807/000114420417031717/v467849_exd-3.htm" TargetMode="External"/><Relationship Id="rId148" Type="http://schemas.openxmlformats.org/officeDocument/2006/relationships/hyperlink" Target="http://www.sec.gov/Archives/edgar/data/1372807/000119312521147534/d308157dex41.htm" TargetMode="External"/><Relationship Id="rId149" Type="http://schemas.openxmlformats.org/officeDocument/2006/relationships/hyperlink" Target="http://www.sec.gov/Archives/edgar/data/1372807/000119312521197921/d121071dex43.htm" TargetMode="External"/><Relationship Id="rId150" Type="http://schemas.openxmlformats.org/officeDocument/2006/relationships/hyperlink" Target="http://www.sec.gov/Archives/edgar/data/1372807/000114420418065744/tv509583_ex10-1.htm" TargetMode="External"/><Relationship Id="rId151" Type="http://schemas.openxmlformats.org/officeDocument/2006/relationships/hyperlink" Target="http://www.sec.gov/Archives/edgar/data/1372807/000114420418065744/tv509583_ex10-2.htm" TargetMode="External"/><Relationship Id="rId152" Type="http://schemas.openxmlformats.org/officeDocument/2006/relationships/hyperlink" Target="http://www.sec.gov/Archives/edgar/data/1372807/000119312506238694/dex99e.htm" TargetMode="External"/><Relationship Id="rId153" Type="http://schemas.openxmlformats.org/officeDocument/2006/relationships/hyperlink" Target="http://www.sec.gov/Archives/edgar/data/1372807/000114420419017514/tv517653_ex10-1.htm" TargetMode="External"/><Relationship Id="rId154" Type="http://schemas.openxmlformats.org/officeDocument/2006/relationships/hyperlink" Target="http://www.sec.gov/Archives/edgar/data/1372807/000119312506238694/dex99j.htm" TargetMode="External"/><Relationship Id="rId155" Type="http://schemas.openxmlformats.org/officeDocument/2006/relationships/hyperlink" Target="http://www.sec.gov/Archives/edgar/data/1372807/000114420419017514/tv517653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2021-11-23T16:33:29Z</dcterms:created>
  <dcterms:modified xsi:type="dcterms:W3CDTF">2021-11-23T16:33:29Z</dcterms:modified>
</cp:coreProperties>
</file>