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8" w:lineRule="exact"/>
        <w:rPr>
          <w:sz w:val="24"/>
          <w:szCs w:val="24"/>
          <w:color w:val="auto"/>
        </w:rPr>
      </w:pPr>
    </w:p>
    <w:p>
      <w:pPr>
        <w:ind w:left="3880" w:right="1600" w:hanging="3872"/>
        <w:spacing w:after="0" w:line="319" w:lineRule="auto"/>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454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6"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814-00735</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191"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38" w:orient="portrait"/>
          <w:cols w:equalWidth="0" w:num="2">
            <w:col w:w="7320" w:space="720"/>
            <w:col w:w="3200"/>
          </w:cols>
          <w:pgMar w:left="320" w:top="332" w:right="339" w:bottom="1440" w:gutter="0" w:footer="0" w:header="0"/>
          <w:type w:val="continuous"/>
        </w:sectPr>
      </w:pPr>
    </w:p>
    <w:p>
      <w:pPr>
        <w:spacing w:after="0" w:line="11"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55" w:lineRule="exact"/>
        <w:rPr>
          <w:sz w:val="24"/>
          <w:szCs w:val="24"/>
          <w:color w:val="auto"/>
        </w:rPr>
      </w:pPr>
    </w:p>
    <w:p>
      <w:pPr>
        <w:sectPr>
          <w:pgSz w:w="11900" w:h="16838" w:orient="portrait"/>
          <w:cols w:equalWidth="0" w:num="2">
            <w:col w:w="7040" w:space="720"/>
            <w:col w:w="3480"/>
          </w:cols>
          <w:pgMar w:left="320" w:top="33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332" w:right="339" w:bottom="1440" w:gutter="0" w:footer="0" w:header="0"/>
          <w:type w:val="continuous"/>
        </w:sectPr>
      </w:pP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700" w:type="dxa"/>
            <w:vAlign w:val="bottom"/>
          </w:tcPr>
          <w:p>
            <w:pPr>
              <w:spacing w:after="0"/>
              <w:rPr>
                <w:sz w:val="17"/>
                <w:szCs w:val="17"/>
                <w:color w:val="auto"/>
              </w:rPr>
            </w:pPr>
          </w:p>
        </w:tc>
        <w:tc>
          <w:tcPr>
            <w:tcW w:w="3800" w:type="dxa"/>
            <w:vAlign w:val="bottom"/>
            <w:gridSpan w:val="5"/>
          </w:tcPr>
          <w:p>
            <w:pPr>
              <w:ind w:left="60"/>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740" w:type="dxa"/>
            <w:vAlign w:val="bottom"/>
          </w:tcPr>
          <w:p>
            <w:pPr>
              <w:spacing w:after="0"/>
              <w:rPr>
                <w:sz w:val="17"/>
                <w:szCs w:val="17"/>
                <w:color w:val="auto"/>
              </w:rPr>
            </w:pPr>
          </w:p>
        </w:tc>
      </w:tr>
      <w:tr>
        <w:trPr>
          <w:trHeight w:val="213"/>
        </w:trPr>
        <w:tc>
          <w:tcPr>
            <w:tcW w:w="3700" w:type="dxa"/>
            <w:vAlign w:val="bottom"/>
          </w:tcPr>
          <w:p>
            <w:pPr>
              <w:jc w:val="center"/>
              <w:ind w:left="739"/>
              <w:spacing w:after="0"/>
              <w:rPr>
                <w:sz w:val="20"/>
                <w:szCs w:val="20"/>
                <w:color w:val="auto"/>
              </w:rPr>
            </w:pPr>
            <w:r>
              <w:rPr>
                <w:rFonts w:ascii="Arial" w:cs="Arial" w:eastAsia="Arial" w:hAnsi="Arial"/>
                <w:sz w:val="16"/>
                <w:szCs w:val="16"/>
                <w:b w:val="1"/>
                <w:bCs w:val="1"/>
                <w:color w:val="auto"/>
                <w:w w:val="87"/>
              </w:rPr>
              <w:t>Title of each class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3"/>
          </w:tcPr>
          <w:p>
            <w:pPr>
              <w:jc w:val="center"/>
              <w:ind w:right="840"/>
              <w:spacing w:after="0"/>
              <w:rPr>
                <w:sz w:val="20"/>
                <w:szCs w:val="20"/>
                <w:color w:val="auto"/>
              </w:rPr>
            </w:pPr>
            <w:r>
              <w:rPr>
                <w:rFonts w:ascii="Arial" w:cs="Arial" w:eastAsia="Arial" w:hAnsi="Arial"/>
                <w:sz w:val="16"/>
                <w:szCs w:val="16"/>
                <w:b w:val="1"/>
                <w:bCs w:val="1"/>
                <w:color w:val="auto"/>
                <w:w w:val="92"/>
              </w:rPr>
              <w:t>Trading Symbol(s)</w:t>
            </w:r>
          </w:p>
        </w:tc>
        <w:tc>
          <w:tcPr>
            <w:tcW w:w="3740" w:type="dxa"/>
            <w:vAlign w:val="bottom"/>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3700" w:type="dxa"/>
            <w:vAlign w:val="bottom"/>
            <w:tcBorders>
              <w:top w:val="single" w:sz="8" w:color="auto"/>
            </w:tcBorders>
          </w:tcPr>
          <w:p>
            <w:pPr>
              <w:jc w:val="center"/>
              <w:ind w:left="73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PTMN</w:t>
            </w: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bl>
    <w:p>
      <w:pPr>
        <w:spacing w:after="0" w:line="256" w:lineRule="exact"/>
        <w:rPr>
          <w:sz w:val="24"/>
          <w:szCs w:val="24"/>
          <w:color w:val="auto"/>
        </w:rPr>
      </w:pPr>
    </w:p>
    <w:p>
      <w:pPr>
        <w:ind w:right="20"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ind w:right="400" w:firstLine="3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6" w:lineRule="exact"/>
        <w:rPr>
          <w:sz w:val="24"/>
          <w:szCs w:val="24"/>
          <w:color w:val="auto"/>
        </w:rPr>
      </w:pPr>
    </w:p>
    <w:p>
      <w:pPr>
        <w:ind w:right="220"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6"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The number of outstanding shares of common stock of the registrant as of August 4, 2021 was 91,257,044.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532765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60" w:type="dxa"/>
            <w:vAlign w:val="bottom"/>
            <w:gridSpan w:val="16"/>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60" w:type="dxa"/>
            <w:vAlign w:val="bottom"/>
            <w:gridSpan w:val="16"/>
            <w:shd w:val="clear" w:color="auto" w:fill="CCEEFF"/>
          </w:tcPr>
          <w:p>
            <w:pPr>
              <w:jc w:val="center"/>
              <w:ind w:right="234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June 30, 2021 (unaudited) and December 31,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for the three and six months ended June 30,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Net Assets (unaudited) for the six months ended June 30,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six months ended June 30,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Schedules of Investments as of June 30, 2021 (unaudited) and December 31,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Financial Highlights (unaudited) for the six months ended June 30,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 (unaudited)</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Management’s Discussion and Analysis of Financial Condition and Results of Operations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Quantitative and Qualitative Disclosures About Market Risk</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Changes in and Disagreements with Accountants on Accounting and Financial Disclosure</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Controls and Procedures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20" w:type="dxa"/>
            <w:vAlign w:val="bottom"/>
            <w:gridSpan w:val="15"/>
            <w:shd w:val="clear" w:color="auto" w:fill="CCEEFF"/>
          </w:tcPr>
          <w:p>
            <w:pPr>
              <w:jc w:val="center"/>
              <w:ind w:right="3560"/>
              <w:spacing w:after="0" w:line="176" w:lineRule="exact"/>
              <w:rPr>
                <w:rFonts w:ascii="Arial" w:cs="Arial" w:eastAsia="Arial" w:hAnsi="Arial"/>
                <w:sz w:val="18"/>
                <w:szCs w:val="18"/>
                <w:b w:val="1"/>
                <w:bCs w:val="1"/>
                <w:color w:val="0000EE"/>
                <w:w w:val="97"/>
              </w:rPr>
            </w:pPr>
            <w:hyperlink w:anchor="page110">
              <w:r>
                <w:rPr>
                  <w:rFonts w:ascii="Arial" w:cs="Arial" w:eastAsia="Arial" w:hAnsi="Arial"/>
                  <w:sz w:val="18"/>
                  <w:szCs w:val="18"/>
                  <w:b w:val="1"/>
                  <w:bCs w:val="1"/>
                  <w:color w:val="0000EE"/>
                  <w:w w:val="97"/>
                </w:rPr>
                <w:t>Part II. Other Information</w:t>
              </w:r>
            </w:hyperlink>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Legal Proceedings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Risk Factors</w:t>
              </w:r>
            </w:hyperlink>
          </w:p>
        </w:tc>
        <w:tc>
          <w:tcPr>
            <w:tcW w:w="7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Unregistered Sales of Equity Securities and Use of Proceeds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Defaults Upon Senior Securities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Mine Safety Disclosures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Other Information</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Exhibits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0" w:type="dxa"/>
            <w:vAlign w:val="bottom"/>
            <w:gridSpan w:val="2"/>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720" w:type="dxa"/>
            <w:vAlign w:val="bottom"/>
            <w:tcBorders>
              <w:top w:val="single" w:sz="8" w:color="CCEEFF"/>
            </w:tcBorders>
            <w:gridSpan w:val="12"/>
          </w:tcPr>
          <w:p>
            <w:pPr>
              <w:ind w:left="444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21" w:lineRule="exact"/>
        <w:rPr>
          <w:sz w:val="20"/>
          <w:szCs w:val="20"/>
          <w:color w:val="auto"/>
        </w:rPr>
      </w:pPr>
    </w:p>
    <w:p>
      <w:pPr>
        <w:ind w:right="120" w:firstLine="374"/>
        <w:spacing w:after="0" w:line="279" w:lineRule="auto"/>
        <w:rPr>
          <w:sz w:val="20"/>
          <w:szCs w:val="20"/>
          <w:color w:val="auto"/>
        </w:rPr>
      </w:pPr>
      <w:r>
        <w:rPr>
          <w:rFonts w:ascii="Arial" w:cs="Arial" w:eastAsia="Arial" w:hAnsi="Arial"/>
          <w:sz w:val="17"/>
          <w:szCs w:val="17"/>
          <w:color w:val="auto"/>
        </w:rPr>
        <w:t>In this Quarterly Report on Form 10-Q, the “Company”, “Portman Ridge”, “we”, “us” and “our” refer to Portman Ridge Finance Corporation and its wholly-owned subsidiaries, Garrison Funding 2018-2 Ltd. (“GF CLO 2018-2”), Great Lakes KCAP Funding I LLC, Great Lakes Portman Ridge Funding, LLC, OHA Investment Sub, LLC, OHA Asset Holdings II, LP, Kohlberg Capital Funding I LLC, KCAP Senior Funding I, LLC KCAP Senior Funding I Holdings, LLC, Harvest Equity Holdings, LLC and HCAP ICC, LLC unless the context otherwise requires.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02"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2020,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26"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11" w:lineRule="exact"/>
        <w:rPr>
          <w:rFonts w:ascii="Arial" w:cs="Arial" w:eastAsia="Arial" w:hAnsi="Arial"/>
          <w:sz w:val="18"/>
          <w:szCs w:val="18"/>
          <w:color w:val="auto"/>
        </w:rPr>
      </w:pPr>
    </w:p>
    <w:p>
      <w:pPr>
        <w:jc w:val="both"/>
        <w:ind w:left="740" w:right="4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 or the operations of our portfolio companies;</w:t>
      </w:r>
    </w:p>
    <w:p>
      <w:pPr>
        <w:spacing w:after="0" w:line="14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available liquidity, cash resources and working capital;</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2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Adviser to attract and retain highly talented professionals;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Adviser and its affiliates;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legal, tax, and regulatory changes on us and our portfolio companies;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duration and effects of the COVID-19 pandemic on us and our portfolio companies;</w:t>
      </w:r>
    </w:p>
    <w:p>
      <w:pPr>
        <w:spacing w:after="0" w:line="211"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impact of the COVID-19 pandemic,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14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11"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2020.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(amortized cost: 2021 - $410,719,636; 2020 - $392,932,411)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419,647,553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404,860,855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8"/>
                <w:szCs w:val="18"/>
                <w:color w:val="auto"/>
              </w:rPr>
              <w:t>CLO Fund Securities managed by non-affiliates (amortized cost: 2021 - $34,561,828; 2020 -</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17,064,290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 (cost: 2021 - $30,344,541; 2020 - $24,593,639)</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22,386,600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Asset Manager Affiliates (cost: 2021 - $17,791,230; 2020 - $17,791,230)</w:t>
            </w:r>
          </w:p>
        </w:tc>
        <w:tc>
          <w:tcPr>
            <w:tcW w:w="26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Joint Ventures (cost: 2021 - $66,062,400; 2020 - $54,932,458)</w:t>
            </w: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61,069,876</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620" w:type="dxa"/>
            <w:vAlign w:val="bottom"/>
          </w:tcPr>
          <w:p>
            <w:pPr>
              <w:spacing w:after="0" w:line="195" w:lineRule="exact"/>
              <w:rPr>
                <w:sz w:val="20"/>
                <w:szCs w:val="20"/>
                <w:color w:val="auto"/>
              </w:rPr>
            </w:pPr>
            <w:r>
              <w:rPr>
                <w:rFonts w:ascii="Arial" w:cs="Arial" w:eastAsia="Arial" w:hAnsi="Arial"/>
                <w:sz w:val="18"/>
                <w:szCs w:val="18"/>
                <w:color w:val="auto"/>
              </w:rPr>
              <w:t>Total Investments at Fair Value, excluding derivatives (cost: 2021 - $559,479,635; 2020 -</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$535,977,551)</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520,168,319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487,737,449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65,655,197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47,617,658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75,913,411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3,964,058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Receivable for unsettled trades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7,863,142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25,107,598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affiliates</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483,220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3,761,436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649,513,030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600,178,421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2020 - $1,058,351)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2018-2 Secured Notes (net of discount of: 2021-$1,491,277; 2020 - $2,444,512)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162,371,420</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w w:val="98"/>
              </w:rPr>
              <w:t>4.875% Notes Due 2026 (net of discount of: 2021-$2,374,942; 2020 - $0, net of offering costs of:</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2021-$945,249; 2020 - $0)</w:t>
            </w: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104,679,809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2021-$914,855; 2020 - $1,097,815)</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68,156,043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48,223,083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28,750,000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Derivative liabilities, net (cost: 2021 - $30,609; 2020 - $30,609)</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1,802,675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Payable for unsettled trades</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1,369,754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3,689,638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2,146,231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Due to affiliates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1,926,429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1,374,739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payable</w:t>
            </w: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6,016,720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5,243,869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380,908,719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383,914,558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w w:val="91"/>
              </w:rPr>
              <w:t>Common stock, par value $0.01 per share, 100,000,000 common shares authorized; 92,670,027 issued,</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w w:val="94"/>
              </w:rPr>
              <w:t>and 91,740,765 outstanding at June 30, 2021, and 76,093,492 issued, and 75,164,230 outstanding at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917,408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680,857,172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638,459,548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(413,170,269)</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(422,947,327)</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268,604,311</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216,263,863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649,513,030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600,178,421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5"/>
                <w:szCs w:val="15"/>
                <w:b w:val="1"/>
                <w:bCs w:val="1"/>
                <w:color w:val="auto"/>
              </w:rPr>
              <w:t>For the Three Months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5"/>
                <w:szCs w:val="15"/>
                <w:b w:val="1"/>
                <w:bCs w:val="1"/>
                <w:color w:val="auto"/>
              </w:rPr>
              <w:t>For the Six Months</w:t>
            </w:r>
          </w:p>
        </w:tc>
        <w:tc>
          <w:tcPr>
            <w:tcW w:w="0" w:type="dxa"/>
            <w:vAlign w:val="bottom"/>
          </w:tcPr>
          <w:p>
            <w:pPr>
              <w:spacing w:after="0"/>
              <w:rPr>
                <w:sz w:val="1"/>
                <w:szCs w:val="1"/>
                <w:color w:val="auto"/>
              </w:rPr>
            </w:pPr>
          </w:p>
        </w:tc>
      </w:tr>
      <w:tr>
        <w:trPr>
          <w:trHeight w:val="179"/>
        </w:trPr>
        <w:tc>
          <w:tcPr>
            <w:tcW w:w="5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Ended June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5"/>
                <w:szCs w:val="15"/>
                <w:b w:val="1"/>
                <w:bCs w:val="1"/>
                <w:color w:val="auto"/>
              </w:rPr>
              <w:t>Ended June 30,</w:t>
            </w:r>
          </w:p>
        </w:tc>
        <w:tc>
          <w:tcPr>
            <w:tcW w:w="0" w:type="dxa"/>
            <w:vAlign w:val="bottom"/>
          </w:tcPr>
          <w:p>
            <w:pPr>
              <w:spacing w:after="0"/>
              <w:rPr>
                <w:sz w:val="1"/>
                <w:szCs w:val="1"/>
                <w:color w:val="auto"/>
              </w:rPr>
            </w:pPr>
          </w:p>
        </w:tc>
      </w:tr>
      <w:tr>
        <w:trPr>
          <w:trHeight w:val="169"/>
        </w:trPr>
        <w:tc>
          <w:tcPr>
            <w:tcW w:w="54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4"/>
              <w:spacing w:after="0" w:line="169" w:lineRule="exact"/>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4"/>
              <w:spacing w:after="0" w:line="169" w:lineRule="exact"/>
              <w:rPr>
                <w:sz w:val="20"/>
                <w:szCs w:val="20"/>
                <w:color w:val="auto"/>
              </w:rPr>
            </w:pPr>
            <w:r>
              <w:rPr>
                <w:rFonts w:ascii="Arial" w:cs="Arial" w:eastAsia="Arial" w:hAnsi="Arial"/>
                <w:sz w:val="15"/>
                <w:szCs w:val="15"/>
                <w:b w:val="1"/>
                <w:bCs w:val="1"/>
                <w:color w:val="auto"/>
                <w:w w:val="89"/>
              </w:rPr>
              <w:t>2020</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line="169" w:lineRule="exact"/>
              <w:rPr>
                <w:sz w:val="20"/>
                <w:szCs w:val="20"/>
                <w:color w:val="auto"/>
              </w:rPr>
            </w:pPr>
            <w:r>
              <w:rPr>
                <w:rFonts w:ascii="Arial" w:cs="Arial" w:eastAsia="Arial" w:hAnsi="Arial"/>
                <w:sz w:val="15"/>
                <w:szCs w:val="15"/>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4"/>
              <w:spacing w:after="0" w:line="169" w:lineRule="exact"/>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17,258,911</w:t>
            </w:r>
          </w:p>
        </w:tc>
        <w:tc>
          <w:tcPr>
            <w:tcW w:w="14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4,813,517</w:t>
            </w: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31,345,386</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9,393,299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744,815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381,528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1,876,413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690,897</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Interest from short-term investments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15,279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832,867</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1,906,361</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845,387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87,718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1,462,643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204,961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 Joint Ventures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2,530,198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1,000,883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4,569,464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2,578,019</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Capital structuring service fees</w:t>
            </w:r>
          </w:p>
        </w:tc>
        <w:tc>
          <w:tcPr>
            <w:tcW w:w="3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165,841</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197,381</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595,808</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279,285</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21,545,152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7,313,894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39,849,714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15,068,101</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Management fees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1,914,338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1,008,384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3,706,902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2,020,074</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Performance-based incentive fees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2,299,858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454,874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4,393,477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556,880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3,526,586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2,394,870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6,907,083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4,744,941</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695,745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527,317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2,190,173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1,370,946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199,808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177,154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376,962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300,904</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718,285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430,265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1,331,657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891,265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3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479,790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175,998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1,020,203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374,273</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9,834,410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5,168,862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19,926,457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10,259,283</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(454,874)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(556,880)</w:t>
            </w:r>
          </w:p>
        </w:tc>
        <w:tc>
          <w:tcPr>
            <w:tcW w:w="0" w:type="dxa"/>
            <w:vAlign w:val="bottom"/>
          </w:tcPr>
          <w:p>
            <w:pPr>
              <w:spacing w:after="0"/>
              <w:rPr>
                <w:sz w:val="1"/>
                <w:szCs w:val="1"/>
                <w:color w:val="auto"/>
              </w:rPr>
            </w:pPr>
          </w:p>
        </w:tc>
      </w:tr>
      <w:tr>
        <w:trPr>
          <w:trHeight w:val="169"/>
        </w:trPr>
        <w:tc>
          <w:tcPr>
            <w:tcW w:w="54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Expenses</w:t>
            </w:r>
          </w:p>
        </w:tc>
        <w:tc>
          <w:tcPr>
            <w:tcW w:w="38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9,834,410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4,713,988</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19,926,457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9,702,403</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11,710,742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2,599,906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19,923,257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5,365,698</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5"/>
                <w:szCs w:val="15"/>
                <w:b w:val="1"/>
                <w:bCs w:val="1"/>
                <w:color w:val="auto"/>
              </w:rPr>
              <w:t>Realized And Unrealized Gains (Losses) On Investments: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realized (losses) gains from investment transactions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(2,355,735)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(881,615)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(7,441,523)</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(1,929,762)</w:t>
            </w: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Net change in unrealized appreciation (depreciation) on:</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Debt securities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(760,741)</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2,279,932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(3,000,527)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(8,498,305)</w:t>
            </w:r>
          </w:p>
        </w:tc>
        <w:tc>
          <w:tcPr>
            <w:tcW w:w="0" w:type="dxa"/>
            <w:vAlign w:val="bottom"/>
          </w:tcPr>
          <w:p>
            <w:pPr>
              <w:spacing w:after="0"/>
              <w:rPr>
                <w:sz w:val="1"/>
                <w:szCs w:val="1"/>
                <w:color w:val="auto"/>
              </w:rPr>
            </w:pPr>
          </w:p>
        </w:tc>
      </w:tr>
      <w:tr>
        <w:trPr>
          <w:trHeight w:val="175"/>
        </w:trPr>
        <w:tc>
          <w:tcPr>
            <w:tcW w:w="5460" w:type="dxa"/>
            <w:vAlign w:val="bottom"/>
          </w:tcPr>
          <w:p>
            <w:pPr>
              <w:ind w:left="500"/>
              <w:spacing w:after="0"/>
              <w:rPr>
                <w:sz w:val="20"/>
                <w:szCs w:val="20"/>
                <w:color w:val="auto"/>
              </w:rPr>
            </w:pPr>
            <w:r>
              <w:rPr>
                <w:rFonts w:ascii="Arial" w:cs="Arial" w:eastAsia="Arial" w:hAnsi="Arial"/>
                <w:sz w:val="15"/>
                <w:szCs w:val="15"/>
                <w:color w:val="auto"/>
              </w:rPr>
              <w:t>Equity securities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1,341,777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351,925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2,690,821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74,018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96"/>
              </w:rPr>
              <w:t>(2,579,187)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(13,741,461)</w:t>
            </w:r>
          </w:p>
        </w:tc>
        <w:tc>
          <w:tcPr>
            <w:tcW w:w="0" w:type="dxa"/>
            <w:vAlign w:val="bottom"/>
          </w:tcPr>
          <w:p>
            <w:pPr>
              <w:spacing w:after="0"/>
              <w:rPr>
                <w:sz w:val="1"/>
                <w:szCs w:val="1"/>
                <w:color w:val="auto"/>
              </w:rPr>
            </w:pPr>
          </w:p>
        </w:tc>
      </w:tr>
      <w:tr>
        <w:trPr>
          <w:trHeight w:val="175"/>
        </w:trPr>
        <w:tc>
          <w:tcPr>
            <w:tcW w:w="5460" w:type="dxa"/>
            <w:vAlign w:val="bottom"/>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1,745,569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(283,864)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8,647,720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(855,293)</w:t>
            </w: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(617,515)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2,308,479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590,770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(5,800,718)</w:t>
            </w:r>
          </w:p>
        </w:tc>
        <w:tc>
          <w:tcPr>
            <w:tcW w:w="0" w:type="dxa"/>
            <w:vAlign w:val="bottom"/>
          </w:tcPr>
          <w:p>
            <w:pPr>
              <w:spacing w:after="0"/>
              <w:rPr>
                <w:sz w:val="1"/>
                <w:szCs w:val="1"/>
                <w:color w:val="auto"/>
              </w:rPr>
            </w:pPr>
          </w:p>
        </w:tc>
      </w:tr>
      <w:tr>
        <w:trPr>
          <w:trHeight w:val="175"/>
        </w:trPr>
        <w:tc>
          <w:tcPr>
            <w:tcW w:w="5460" w:type="dxa"/>
            <w:vAlign w:val="bottom"/>
          </w:tcPr>
          <w:p>
            <w:pPr>
              <w:ind w:left="500"/>
              <w:spacing w:after="0"/>
              <w:rPr>
                <w:sz w:val="20"/>
                <w:szCs w:val="20"/>
                <w:color w:val="auto"/>
              </w:rPr>
            </w:pPr>
            <w:r>
              <w:rPr>
                <w:rFonts w:ascii="Arial" w:cs="Arial" w:eastAsia="Arial" w:hAnsi="Arial"/>
                <w:sz w:val="15"/>
                <w:szCs w:val="15"/>
                <w:color w:val="auto"/>
              </w:rPr>
              <w:t>Derivatives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(219,712)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(512,346)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(694,057)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(537,983)</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1,489,378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1,564,939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8,234,727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(29,359,742)</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60"/>
              <w:spacing w:after="0"/>
              <w:rPr>
                <w:sz w:val="20"/>
                <w:szCs w:val="20"/>
                <w:color w:val="auto"/>
              </w:rPr>
            </w:pPr>
            <w:r>
              <w:rPr>
                <w:rFonts w:ascii="Arial" w:cs="Arial" w:eastAsia="Arial" w:hAnsi="Arial"/>
                <w:sz w:val="15"/>
                <w:szCs w:val="15"/>
                <w:color w:val="auto"/>
              </w:rPr>
              <w:t>Net realized and unrealized appreciation (depreciation) on investments</w:t>
            </w: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(866,357)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683,324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793,204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(31,289,504)</w:t>
            </w:r>
          </w:p>
        </w:tc>
        <w:tc>
          <w:tcPr>
            <w:tcW w:w="0" w:type="dxa"/>
            <w:vAlign w:val="bottom"/>
          </w:tcPr>
          <w:p>
            <w:pPr>
              <w:spacing w:after="0"/>
              <w:rPr>
                <w:sz w:val="1"/>
                <w:szCs w:val="1"/>
                <w:color w:val="auto"/>
              </w:rPr>
            </w:pPr>
          </w:p>
        </w:tc>
      </w:tr>
      <w:tr>
        <w:trPr>
          <w:trHeight w:val="20"/>
        </w:trPr>
        <w:tc>
          <w:tcPr>
            <w:tcW w:w="54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Realized (losses) gains on extinguishments of Debt</w:t>
            </w: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(1,834,963)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154,571</w:t>
            </w:r>
          </w:p>
        </w:tc>
        <w:tc>
          <w:tcPr>
            <w:tcW w:w="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5"/>
                <w:szCs w:val="15"/>
                <w:b w:val="1"/>
                <w:bCs w:val="1"/>
                <w:color w:val="auto"/>
              </w:rPr>
              <w:t>Net Increase (Decrease) In Stockholders’ Equity Resulting From Operations</w:t>
            </w: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6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10,844,385</w:t>
            </w:r>
          </w:p>
        </w:tc>
        <w:tc>
          <w:tcPr>
            <w:tcW w:w="140" w:type="dxa"/>
            <w:vAlign w:val="bottom"/>
          </w:tcPr>
          <w:p>
            <w:pPr>
              <w:spacing w:after="0"/>
              <w:rPr>
                <w:sz w:val="18"/>
                <w:szCs w:val="18"/>
                <w:color w:val="auto"/>
              </w:rPr>
            </w:pPr>
          </w:p>
        </w:tc>
        <w:tc>
          <w:tcPr>
            <w:tcW w:w="4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3,283,694</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18,881,498</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(25,769,235)</w:t>
            </w:r>
          </w:p>
        </w:tc>
        <w:tc>
          <w:tcPr>
            <w:tcW w:w="0" w:type="dxa"/>
            <w:vAlign w:val="bottom"/>
          </w:tcPr>
          <w:p>
            <w:pPr>
              <w:spacing w:after="0"/>
              <w:rPr>
                <w:sz w:val="1"/>
                <w:szCs w:val="1"/>
                <w:color w:val="auto"/>
              </w:rPr>
            </w:pPr>
          </w:p>
        </w:tc>
      </w:tr>
      <w:tr>
        <w:trPr>
          <w:trHeight w:val="142"/>
        </w:trPr>
        <w:tc>
          <w:tcPr>
            <w:tcW w:w="5460" w:type="dxa"/>
            <w:vAlign w:val="bottom"/>
            <w:tcBorders>
              <w:top w:val="single" w:sz="8" w:color="CFF0FC"/>
            </w:tcBorders>
            <w:shd w:val="clear" w:color="auto" w:fill="CFF0FC"/>
          </w:tcPr>
          <w:p>
            <w:pPr>
              <w:ind w:left="260"/>
              <w:spacing w:after="0" w:line="143" w:lineRule="exact"/>
              <w:rPr>
                <w:sz w:val="20"/>
                <w:szCs w:val="20"/>
                <w:color w:val="auto"/>
              </w:rPr>
            </w:pPr>
            <w:r>
              <w:rPr>
                <w:rFonts w:ascii="Arial" w:cs="Arial" w:eastAsia="Arial" w:hAnsi="Arial"/>
                <w:sz w:val="15"/>
                <w:szCs w:val="15"/>
                <w:color w:val="auto"/>
                <w:w w:val="98"/>
              </w:rPr>
              <w:t>Net Increase (Decrease) In Stockholders' Equity Resulting from Operations per</w:t>
            </w:r>
          </w:p>
        </w:tc>
        <w:tc>
          <w:tcPr>
            <w:tcW w:w="3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Common Share:</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500"/>
              <w:spacing w:after="0"/>
              <w:rPr>
                <w:sz w:val="20"/>
                <w:szCs w:val="20"/>
                <w:color w:val="auto"/>
              </w:rPr>
            </w:pPr>
            <w:r>
              <w:rPr>
                <w:rFonts w:ascii="Arial" w:cs="Arial" w:eastAsia="Arial" w:hAnsi="Arial"/>
                <w:sz w:val="15"/>
                <w:szCs w:val="15"/>
                <w:color w:val="auto"/>
              </w:rPr>
              <w:t>Basic:</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0.14</w:t>
            </w:r>
          </w:p>
        </w:tc>
        <w:tc>
          <w:tcPr>
            <w:tcW w:w="14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0.07</w:t>
            </w: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0.24</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0.14</w:t>
            </w:r>
          </w:p>
        </w:tc>
        <w:tc>
          <w:tcPr>
            <w:tcW w:w="1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0.07</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0.24</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175"/>
        </w:trPr>
        <w:tc>
          <w:tcPr>
            <w:tcW w:w="5460" w:type="dxa"/>
            <w:vAlign w:val="bottom"/>
          </w:tcPr>
          <w:p>
            <w:pPr>
              <w:ind w:left="260"/>
              <w:spacing w:after="0"/>
              <w:rPr>
                <w:sz w:val="20"/>
                <w:szCs w:val="20"/>
                <w:color w:val="auto"/>
              </w:rPr>
            </w:pPr>
            <w:r>
              <w:rPr>
                <w:rFonts w:ascii="Arial" w:cs="Arial" w:eastAsia="Arial" w:hAnsi="Arial"/>
                <w:sz w:val="15"/>
                <w:szCs w:val="15"/>
                <w:color w:val="auto"/>
              </w:rPr>
              <w:t>Net Investment Income Per Common Share:</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0.15</w:t>
            </w:r>
          </w:p>
        </w:tc>
        <w:tc>
          <w:tcPr>
            <w:tcW w:w="1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0.25</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0.12</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tcPr>
          <w:p>
            <w:pPr>
              <w:ind w:left="500"/>
              <w:spacing w:after="0"/>
              <w:rPr>
                <w:sz w:val="20"/>
                <w:szCs w:val="20"/>
                <w:color w:val="auto"/>
              </w:rPr>
            </w:pPr>
            <w:r>
              <w:rPr>
                <w:rFonts w:ascii="Arial" w:cs="Arial" w:eastAsia="Arial" w:hAnsi="Arial"/>
                <w:sz w:val="15"/>
                <w:szCs w:val="15"/>
                <w:color w:val="auto"/>
              </w:rPr>
              <w:t>Diluted:</w:t>
            </w: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0.15</w:t>
            </w:r>
          </w:p>
        </w:tc>
        <w:tc>
          <w:tcPr>
            <w:tcW w:w="14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0.25</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0.12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77,471,692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0"/>
              </w:rPr>
              <w:t>44,610,714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79,743,607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44,716,953</w:t>
            </w: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6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77,471,692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0"/>
              </w:rPr>
              <w:t>44,610,714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79,743,607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44,716,953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r>
        <w:rPr>
          <w:rFonts w:ascii="Arial" w:cs="Arial" w:eastAsia="Arial" w:hAnsi="Arial"/>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3"/>
              </w:rPr>
              <w:t>For the 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19,923,257</w:t>
            </w:r>
          </w:p>
        </w:tc>
        <w:tc>
          <w:tcPr>
            <w:tcW w:w="16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5,365,698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(7,441,523)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(1,929,762)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Realized (losses) gains from extinguishments of debt</w:t>
            </w:r>
          </w:p>
        </w:tc>
        <w:tc>
          <w:tcPr>
            <w:tcW w:w="2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(1,834,963)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8,234,727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(29,359,742)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18,881,498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(25,769,235)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2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(9,104,441)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(5,373,565)</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229,008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repurchases</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(379,904)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(407,325)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Private placement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4,019,598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HCAP purchase (net of offering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38,694,689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42,563,391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at beginning of period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216,263,863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152,198,570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268,604,311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120,713,655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at end of period</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91,740,765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44,495,221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020" w:right="2520" w:hanging="3012"/>
        <w:spacing w:after="0" w:line="536" w:lineRule="auto"/>
        <w:tabs>
          <w:tab w:leader="none" w:pos="363"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9 "Stockholders' Equity" for additional information on changes in components of Stockholders' Equity See accompanying notes to unaudited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0" w:type="dxa"/>
            <w:vAlign w:val="bottom"/>
            <w:gridSpan w:val="5"/>
          </w:tcPr>
          <w:p>
            <w:pPr>
              <w:jc w:val="right"/>
              <w:ind w:right="900"/>
              <w:spacing w:after="0"/>
              <w:rPr>
                <w:sz w:val="20"/>
                <w:szCs w:val="20"/>
                <w:color w:val="auto"/>
              </w:rPr>
            </w:pPr>
            <w:r>
              <w:rPr>
                <w:rFonts w:ascii="Arial" w:cs="Arial" w:eastAsia="Arial" w:hAnsi="Arial"/>
                <w:sz w:val="13"/>
                <w:szCs w:val="13"/>
                <w:b w:val="1"/>
                <w:bCs w:val="1"/>
                <w:color w:val="auto"/>
              </w:rPr>
              <w:t>For the Six Months Ended June 30,</w:t>
            </w:r>
          </w:p>
        </w:tc>
      </w:tr>
      <w:tr>
        <w:trPr>
          <w:trHeight w:val="142"/>
        </w:trPr>
        <w:tc>
          <w:tcPr>
            <w:tcW w:w="768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142"/>
        </w:trPr>
        <w:tc>
          <w:tcPr>
            <w:tcW w:w="76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ACTIVITIES: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260"/>
              <w:spacing w:after="0" w:line="149" w:lineRule="exact"/>
              <w:rPr>
                <w:sz w:val="20"/>
                <w:szCs w:val="20"/>
                <w:color w:val="auto"/>
              </w:rPr>
            </w:pPr>
            <w:r>
              <w:rPr>
                <w:rFonts w:ascii="Arial" w:cs="Arial" w:eastAsia="Arial" w:hAnsi="Arial"/>
                <w:sz w:val="13"/>
                <w:szCs w:val="13"/>
                <w:color w:val="auto"/>
              </w:rPr>
              <w:t>Net (decrease) increase in stockholders' equity resulting from operations</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18,881,498</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(25,769,235)</w:t>
            </w:r>
          </w:p>
        </w:tc>
      </w:tr>
      <w:tr>
        <w:trPr>
          <w:trHeight w:val="134"/>
        </w:trPr>
        <w:tc>
          <w:tcPr>
            <w:tcW w:w="76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6"/>
              </w:rPr>
              <w:t>Adjustments to reconcile net (decrease) increase in stockholders' equity resulting from operations to net cash (used in) provided by in</w:t>
            </w: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operations: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Net realized (gains) losses on investment transactions</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7,441,523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1,929,762</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Net change in unrealized (depreciation) appreciation from investments</w:t>
            </w: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(8,234,727)</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29,359,742</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Purchases of investments</w:t>
            </w:r>
          </w:p>
        </w:tc>
        <w:tc>
          <w:tcPr>
            <w:tcW w:w="36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(120,866,659)</w:t>
            </w: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(85,231,291)</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Proceeds from sales and redemptions of investments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159,737,677</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54,700,182</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Net accretion of investments</w:t>
            </w:r>
          </w:p>
        </w:tc>
        <w:tc>
          <w:tcPr>
            <w:tcW w:w="36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(17,228,898)</w:t>
            </w: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(3,391,343)</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Amortization of debt issuance costs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438,869</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467,162</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Realized gains on extinguishments of debt</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1,834,963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(154,571)</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Net payment-in-kind interest income</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1,381,413</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(193,147)</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Cash consideration net of cash acquired from mergers</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13,581,062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(Increase) decrease in operating assets: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Receivable for unsettled trades</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17,244,456</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14,917,045</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Interest and dividends receivable</w:t>
            </w: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(1,422,966)</w:t>
            </w: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(541,677)</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Due from affiliates</w:t>
            </w:r>
          </w:p>
        </w:tc>
        <w:tc>
          <w:tcPr>
            <w:tcW w:w="36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(126,052)</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302,787</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Other assets</w:t>
            </w: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(5,385,102)</w:t>
            </w: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(529,310)</w:t>
            </w:r>
          </w:p>
        </w:tc>
      </w:tr>
      <w:tr>
        <w:trPr>
          <w:trHeight w:val="148"/>
        </w:trPr>
        <w:tc>
          <w:tcPr>
            <w:tcW w:w="7680" w:type="dxa"/>
            <w:vAlign w:val="bottom"/>
          </w:tcPr>
          <w:p>
            <w:pPr>
              <w:ind w:left="260"/>
              <w:spacing w:after="0" w:line="149" w:lineRule="exact"/>
              <w:rPr>
                <w:sz w:val="20"/>
                <w:szCs w:val="20"/>
                <w:color w:val="auto"/>
              </w:rPr>
            </w:pPr>
            <w:r>
              <w:rPr>
                <w:rFonts w:ascii="Arial" w:cs="Arial" w:eastAsia="Arial" w:hAnsi="Arial"/>
                <w:sz w:val="13"/>
                <w:szCs w:val="13"/>
                <w:color w:val="auto"/>
              </w:rPr>
              <w:t>Increase (decrease) in operating liabilities: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Payable for unsettled trades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1,369,754</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7,366,263</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Accrued interest payable</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1,056,700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795,513</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Management and incentive fees payable</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772,851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(68,596)</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Due to affiliates</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551,690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(370,252)</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Accounts payable and accrued expenses</w:t>
            </w: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4,945,330</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599,525</w:t>
            </w:r>
          </w:p>
        </w:tc>
        <w:tc>
          <w:tcPr>
            <w:tcW w:w="120" w:type="dxa"/>
            <w:vAlign w:val="bottom"/>
            <w:shd w:val="clear" w:color="auto" w:fill="CFF0FC"/>
          </w:tcPr>
          <w:p>
            <w:pPr>
              <w:spacing w:after="0"/>
              <w:rPr>
                <w:sz w:val="12"/>
                <w:szCs w:val="12"/>
                <w:color w:val="auto"/>
              </w:rPr>
            </w:pPr>
          </w:p>
        </w:tc>
      </w:tr>
      <w:tr>
        <w:trPr>
          <w:trHeight w:val="142"/>
        </w:trPr>
        <w:tc>
          <w:tcPr>
            <w:tcW w:w="7680" w:type="dxa"/>
            <w:vAlign w:val="bottom"/>
            <w:tcBorders>
              <w:bottom w:val="single" w:sz="8" w:color="CFF0FC"/>
            </w:tcBorders>
          </w:tcPr>
          <w:p>
            <w:pPr>
              <w:ind w:left="740"/>
              <w:spacing w:after="0" w:line="142" w:lineRule="exact"/>
              <w:rPr>
                <w:sz w:val="20"/>
                <w:szCs w:val="20"/>
                <w:color w:val="auto"/>
              </w:rPr>
            </w:pPr>
            <w:r>
              <w:rPr>
                <w:rFonts w:ascii="Arial" w:cs="Arial" w:eastAsia="Arial" w:hAnsi="Arial"/>
                <w:sz w:val="13"/>
                <w:szCs w:val="13"/>
                <w:color w:val="auto"/>
              </w:rPr>
              <w:t>Net cash used in operating activities</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75,973,382</w:t>
            </w: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(5,811,441)</w:t>
            </w:r>
          </w:p>
        </w:tc>
        <w:tc>
          <w:tcPr>
            <w:tcW w:w="120" w:type="dxa"/>
            <w:vAlign w:val="bottom"/>
            <w:tcBorders>
              <w:bottom w:val="single" w:sz="8" w:color="CFF0FC"/>
            </w:tcBorders>
          </w:tcPr>
          <w:p>
            <w:pPr>
              <w:spacing w:after="0"/>
              <w:rPr>
                <w:sz w:val="12"/>
                <w:szCs w:val="12"/>
                <w:color w:val="auto"/>
              </w:rPr>
            </w:pPr>
          </w:p>
        </w:tc>
      </w:tr>
      <w:tr>
        <w:trPr>
          <w:trHeight w:val="142"/>
        </w:trPr>
        <w:tc>
          <w:tcPr>
            <w:tcW w:w="76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FINANCING ACTIVITIES: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Debt issuance costs</w:t>
            </w:r>
          </w:p>
        </w:tc>
        <w:tc>
          <w:tcPr>
            <w:tcW w:w="36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(962,232)</w:t>
            </w: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(1,342)</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Private placement</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4,019,598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Stock repurchase program</w:t>
            </w:r>
          </w:p>
        </w:tc>
        <w:tc>
          <w:tcPr>
            <w:tcW w:w="36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(379,904)</w:t>
            </w: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(407,325)</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Distributions to stockholders</w:t>
            </w: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(8,875,433)</w:t>
            </w: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Arial" w:cs="Arial" w:eastAsia="Arial" w:hAnsi="Arial"/>
                <w:sz w:val="13"/>
                <w:szCs w:val="13"/>
                <w:color w:val="auto"/>
              </w:rPr>
              <w:t>(5,308,355)</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Repurchase of 6.125% Notes Due 2022</w:t>
            </w:r>
          </w:p>
        </w:tc>
        <w:tc>
          <w:tcPr>
            <w:tcW w:w="36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Arial" w:cs="Arial" w:eastAsia="Arial" w:hAnsi="Arial"/>
                <w:sz w:val="13"/>
                <w:szCs w:val="13"/>
                <w:color w:val="auto"/>
              </w:rPr>
              <w:t>(76,725,975)</w:t>
            </w: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(513,382)</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Repayment of 2018-2 Secured Notes</w:t>
            </w:r>
          </w:p>
        </w:tc>
        <w:tc>
          <w:tcPr>
            <w:tcW w:w="36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Arial" w:cs="Arial" w:eastAsia="Arial" w:hAnsi="Arial"/>
                <w:sz w:val="13"/>
                <w:szCs w:val="13"/>
                <w:color w:val="auto"/>
              </w:rPr>
              <w:t>(88,000,000)</w:t>
            </w:r>
          </w:p>
        </w:tc>
        <w:tc>
          <w:tcPr>
            <w:tcW w:w="3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Issuance of 4.875% Notes Due 2026</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105,570,000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Borrowings from Revolving Credit Facilities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19,750,000</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47,250,000</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Repayment of Revolving Credit Facilities</w:t>
            </w:r>
          </w:p>
        </w:tc>
        <w:tc>
          <w:tcPr>
            <w:tcW w:w="360" w:type="dxa"/>
            <w:vAlign w:val="bottom"/>
          </w:tcPr>
          <w:p>
            <w:pPr>
              <w:spacing w:after="0"/>
              <w:rPr>
                <w:sz w:val="12"/>
                <w:szCs w:val="12"/>
                <w:color w:val="auto"/>
              </w:rPr>
            </w:pPr>
          </w:p>
        </w:tc>
        <w:tc>
          <w:tcPr>
            <w:tcW w:w="1500" w:type="dxa"/>
            <w:vAlign w:val="bottom"/>
            <w:gridSpan w:val="2"/>
          </w:tcPr>
          <w:p>
            <w:pPr>
              <w:jc w:val="right"/>
              <w:ind w:right="300"/>
              <w:spacing w:after="0" w:line="14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Arial" w:cs="Arial" w:eastAsia="Arial" w:hAnsi="Arial"/>
                <w:sz w:val="13"/>
                <w:szCs w:val="13"/>
                <w:color w:val="auto"/>
              </w:rPr>
              <w:t>(28,500,000)</w:t>
            </w:r>
          </w:p>
        </w:tc>
      </w:tr>
      <w:tr>
        <w:trPr>
          <w:trHeight w:val="142"/>
        </w:trPr>
        <w:tc>
          <w:tcPr>
            <w:tcW w:w="768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(45,603,946)</w:t>
            </w: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12,519,595</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7680" w:type="dxa"/>
            <w:vAlign w:val="bottom"/>
          </w:tcPr>
          <w:p>
            <w:pPr>
              <w:spacing w:after="0" w:line="142" w:lineRule="exact"/>
              <w:rPr>
                <w:sz w:val="20"/>
                <w:szCs w:val="20"/>
                <w:color w:val="auto"/>
              </w:rPr>
            </w:pPr>
            <w:r>
              <w:rPr>
                <w:rFonts w:ascii="Arial" w:cs="Arial" w:eastAsia="Arial" w:hAnsi="Arial"/>
                <w:sz w:val="13"/>
                <w:szCs w:val="13"/>
                <w:color w:val="auto"/>
              </w:rPr>
              <w:t>CHANGE IN CASH AND RESTRICTED CASH</w:t>
            </w:r>
          </w:p>
        </w:tc>
        <w:tc>
          <w:tcPr>
            <w:tcW w:w="3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30,369,436</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6,708,154</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rPr>
              <w:t>CASH AND RESTRICTED CASH, BEGINNING OF PERIOD</w:t>
            </w: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82,903,419</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5,104,355</w:t>
            </w:r>
          </w:p>
        </w:tc>
        <w:tc>
          <w:tcPr>
            <w:tcW w:w="120" w:type="dxa"/>
            <w:vAlign w:val="bottom"/>
            <w:shd w:val="clear" w:color="auto" w:fill="CFF0FC"/>
          </w:tcPr>
          <w:p>
            <w:pPr>
              <w:spacing w:after="0"/>
              <w:rPr>
                <w:sz w:val="12"/>
                <w:szCs w:val="12"/>
                <w:color w:val="auto"/>
              </w:rPr>
            </w:pPr>
          </w:p>
        </w:tc>
      </w:tr>
      <w:tr>
        <w:trPr>
          <w:trHeight w:val="182"/>
        </w:trPr>
        <w:tc>
          <w:tcPr>
            <w:tcW w:w="76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RESTRICTED CASH, END OF PERIOD</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113,272,855</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11,812,509</w:t>
            </w:r>
          </w:p>
        </w:tc>
        <w:tc>
          <w:tcPr>
            <w:tcW w:w="120" w:type="dxa"/>
            <w:vAlign w:val="bottom"/>
            <w:tcBorders>
              <w:bottom w:val="single" w:sz="8" w:color="CFF0FC"/>
            </w:tcBorders>
          </w:tcPr>
          <w:p>
            <w:pPr>
              <w:spacing w:after="0"/>
              <w:rPr>
                <w:sz w:val="15"/>
                <w:szCs w:val="15"/>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Amounts per balance sheet:</w:t>
            </w: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Cash and cash equivalents</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65,655,197</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414,159</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Restricted cash</w:t>
            </w: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47,617,658</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11,398,350</w:t>
            </w:r>
          </w:p>
        </w:tc>
        <w:tc>
          <w:tcPr>
            <w:tcW w:w="120" w:type="dxa"/>
            <w:vAlign w:val="bottom"/>
            <w:shd w:val="clear" w:color="auto" w:fill="CFF0FC"/>
          </w:tcPr>
          <w:p>
            <w:pPr>
              <w:spacing w:after="0"/>
              <w:rPr>
                <w:sz w:val="12"/>
                <w:szCs w:val="12"/>
                <w:color w:val="auto"/>
              </w:rPr>
            </w:pPr>
          </w:p>
        </w:tc>
      </w:tr>
      <w:tr>
        <w:trPr>
          <w:trHeight w:val="182"/>
        </w:trPr>
        <w:tc>
          <w:tcPr>
            <w:tcW w:w="768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Cash and Restricted cash</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113,272,855</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11,812,509</w:t>
            </w:r>
          </w:p>
        </w:tc>
        <w:tc>
          <w:tcPr>
            <w:tcW w:w="120" w:type="dxa"/>
            <w:vAlign w:val="bottom"/>
            <w:tcBorders>
              <w:bottom w:val="single" w:sz="8" w:color="CFF0FC"/>
            </w:tcBorders>
          </w:tcPr>
          <w:p>
            <w:pPr>
              <w:spacing w:after="0"/>
              <w:rPr>
                <w:sz w:val="15"/>
                <w:szCs w:val="15"/>
                <w:color w:val="auto"/>
              </w:rPr>
            </w:pPr>
          </w:p>
        </w:tc>
      </w:tr>
      <w:tr>
        <w:trPr>
          <w:trHeight w:val="129"/>
        </w:trPr>
        <w:tc>
          <w:tcPr>
            <w:tcW w:w="76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Supplemental Information:</w:t>
            </w: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Interest paid during the period</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5,411,514</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3,471,476</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Dividends paid during the period under the dividend reinvestment plan</w:t>
            </w: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229,008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65,210</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spacing w:after="0" w:line="149" w:lineRule="exact"/>
              <w:rPr>
                <w:sz w:val="20"/>
                <w:szCs w:val="20"/>
                <w:color w:val="auto"/>
              </w:rPr>
            </w:pPr>
            <w:r>
              <w:rPr>
                <w:rFonts w:ascii="Arial" w:cs="Arial" w:eastAsia="Arial" w:hAnsi="Arial"/>
                <w:sz w:val="13"/>
                <w:szCs w:val="13"/>
                <w:color w:val="auto"/>
              </w:rPr>
              <w:t>Supplemental non-cash information:</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260"/>
              <w:spacing w:after="0" w:line="149" w:lineRule="exact"/>
              <w:rPr>
                <w:sz w:val="20"/>
                <w:szCs w:val="20"/>
                <w:color w:val="auto"/>
              </w:rPr>
            </w:pPr>
            <w:r>
              <w:rPr>
                <w:rFonts w:ascii="Arial" w:cs="Arial" w:eastAsia="Arial" w:hAnsi="Arial"/>
                <w:sz w:val="13"/>
                <w:szCs w:val="13"/>
                <w:color w:val="auto"/>
              </w:rPr>
              <w:t>Acquisitions: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380"/>
              <w:spacing w:after="0" w:line="149" w:lineRule="exact"/>
              <w:rPr>
                <w:sz w:val="20"/>
                <w:szCs w:val="20"/>
                <w:color w:val="auto"/>
              </w:rPr>
            </w:pPr>
            <w:r>
              <w:rPr>
                <w:rFonts w:ascii="Arial" w:cs="Arial" w:eastAsia="Arial" w:hAnsi="Arial"/>
                <w:sz w:val="13"/>
                <w:szCs w:val="13"/>
                <w:color w:val="auto"/>
              </w:rPr>
              <w:t>Non-cash assets acquired</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Investments, at cost</w:t>
            </w: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53,811,838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Interest receivable</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431,454</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Other assets</w:t>
            </w: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2,664,932</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768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non-cash assets purchased</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56,908,224</w:t>
            </w: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r>
      <w:tr>
        <w:trPr>
          <w:trHeight w:val="142"/>
        </w:trPr>
        <w:tc>
          <w:tcPr>
            <w:tcW w:w="7680" w:type="dxa"/>
            <w:vAlign w:val="bottom"/>
            <w:shd w:val="clear" w:color="auto" w:fill="CFF0FC"/>
          </w:tcPr>
          <w:p>
            <w:pPr>
              <w:ind w:left="380"/>
              <w:spacing w:after="0" w:line="142" w:lineRule="exact"/>
              <w:rPr>
                <w:sz w:val="20"/>
                <w:szCs w:val="20"/>
                <w:color w:val="auto"/>
              </w:rPr>
            </w:pPr>
            <w:r>
              <w:rPr>
                <w:rFonts w:ascii="Arial" w:cs="Arial" w:eastAsia="Arial" w:hAnsi="Arial"/>
                <w:sz w:val="13"/>
                <w:szCs w:val="13"/>
                <w:color w:val="auto"/>
              </w:rPr>
              <w:t>Liabilities assumed</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500"/>
              <w:spacing w:after="0" w:line="149" w:lineRule="exact"/>
              <w:rPr>
                <w:sz w:val="20"/>
                <w:szCs w:val="20"/>
                <w:color w:val="auto"/>
              </w:rPr>
            </w:pPr>
            <w:r>
              <w:rPr>
                <w:rFonts w:ascii="Arial" w:cs="Arial" w:eastAsia="Arial" w:hAnsi="Arial"/>
                <w:sz w:val="13"/>
                <w:szCs w:val="13"/>
                <w:color w:val="auto"/>
              </w:rPr>
              <w:t>Debt</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28,750,000</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shd w:val="clear" w:color="auto" w:fill="CFF0FC"/>
          </w:tcPr>
          <w:p>
            <w:pPr>
              <w:ind w:left="500"/>
              <w:spacing w:after="0" w:line="149" w:lineRule="exact"/>
              <w:rPr>
                <w:sz w:val="20"/>
                <w:szCs w:val="20"/>
                <w:color w:val="auto"/>
              </w:rPr>
            </w:pPr>
            <w:r>
              <w:rPr>
                <w:rFonts w:ascii="Arial" w:cs="Arial" w:eastAsia="Arial" w:hAnsi="Arial"/>
                <w:sz w:val="13"/>
                <w:szCs w:val="13"/>
                <w:color w:val="auto"/>
              </w:rPr>
              <w:t>Accounts payable and accrued expenses</w:t>
            </w: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1,644,600</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768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liabilities assumed</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30,394,600</w:t>
            </w:r>
          </w:p>
        </w:tc>
        <w:tc>
          <w:tcPr>
            <w:tcW w:w="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tcPr>
          <w:p>
            <w:pPr>
              <w:spacing w:after="0"/>
              <w:rPr>
                <w:sz w:val="12"/>
                <w:szCs w:val="12"/>
                <w:color w:val="auto"/>
              </w:rPr>
            </w:pPr>
          </w:p>
        </w:tc>
      </w:tr>
      <w:tr>
        <w:trPr>
          <w:trHeight w:val="142"/>
        </w:trPr>
        <w:tc>
          <w:tcPr>
            <w:tcW w:w="7680" w:type="dxa"/>
            <w:vAlign w:val="bottom"/>
            <w:shd w:val="clear" w:color="auto" w:fill="CFF0FC"/>
          </w:tcPr>
          <w:p>
            <w:pPr>
              <w:ind w:left="380"/>
              <w:spacing w:after="0" w:line="142" w:lineRule="exact"/>
              <w:rPr>
                <w:sz w:val="20"/>
                <w:szCs w:val="20"/>
                <w:color w:val="auto"/>
              </w:rPr>
            </w:pPr>
            <w:r>
              <w:rPr>
                <w:rFonts w:ascii="Arial" w:cs="Arial" w:eastAsia="Arial" w:hAnsi="Arial"/>
                <w:sz w:val="13"/>
                <w:szCs w:val="13"/>
                <w:color w:val="auto"/>
              </w:rPr>
              <w:t>Issuance of common stock</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37,063,461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7680" w:type="dxa"/>
            <w:vAlign w:val="bottom"/>
          </w:tcPr>
          <w:p>
            <w:pPr>
              <w:ind w:left="380"/>
              <w:spacing w:after="0" w:line="149" w:lineRule="exact"/>
              <w:rPr>
                <w:sz w:val="20"/>
                <w:szCs w:val="20"/>
                <w:color w:val="auto"/>
              </w:rPr>
            </w:pPr>
            <w:r>
              <w:rPr>
                <w:rFonts w:ascii="Arial" w:cs="Arial" w:eastAsia="Arial" w:hAnsi="Arial"/>
                <w:sz w:val="13"/>
                <w:szCs w:val="13"/>
                <w:color w:val="auto"/>
              </w:rPr>
              <w:t>Deemed capital contribution from affiliates</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line="149" w:lineRule="exact"/>
              <w:rPr>
                <w:sz w:val="20"/>
                <w:szCs w:val="20"/>
                <w:color w:val="auto"/>
              </w:rPr>
            </w:pPr>
            <w:r>
              <w:rPr>
                <w:rFonts w:ascii="Arial" w:cs="Arial" w:eastAsia="Arial" w:hAnsi="Arial"/>
                <w:sz w:val="13"/>
                <w:szCs w:val="13"/>
                <w:color w:val="auto"/>
              </w:rPr>
              <w:t>2,150,000</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40"/>
              <w:spacing w:after="0" w:line="149" w:lineRule="exact"/>
              <w:rPr>
                <w:sz w:val="20"/>
                <w:szCs w:val="20"/>
                <w:color w:val="auto"/>
              </w:rPr>
            </w:pPr>
            <w:r>
              <w:rPr>
                <w:rFonts w:ascii="Arial" w:cs="Arial" w:eastAsia="Arial" w:hAnsi="Arial"/>
                <w:sz w:val="13"/>
                <w:szCs w:val="13"/>
                <w:color w:val="auto"/>
              </w:rPr>
              <w:t>—</w:t>
            </w:r>
          </w:p>
        </w:tc>
      </w:tr>
      <w:tr>
        <w:trPr>
          <w:trHeight w:val="148"/>
        </w:trPr>
        <w:tc>
          <w:tcPr>
            <w:tcW w:w="7680" w:type="dxa"/>
            <w:vAlign w:val="bottom"/>
            <w:shd w:val="clear" w:color="auto" w:fill="CFF0FC"/>
          </w:tcPr>
          <w:p>
            <w:pPr>
              <w:ind w:left="380"/>
              <w:spacing w:after="0" w:line="149" w:lineRule="exact"/>
              <w:rPr>
                <w:sz w:val="20"/>
                <w:szCs w:val="20"/>
                <w:color w:val="auto"/>
              </w:rPr>
            </w:pPr>
            <w:r>
              <w:rPr>
                <w:rFonts w:ascii="Arial" w:cs="Arial" w:eastAsia="Arial" w:hAnsi="Arial"/>
                <w:sz w:val="13"/>
                <w:szCs w:val="13"/>
                <w:color w:val="auto"/>
              </w:rPr>
              <w:t>Transaction costs</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881,226</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FF0FC"/>
          </w:tcPr>
          <w:p>
            <w:pPr>
              <w:jc w:val="right"/>
              <w:ind w:right="140"/>
              <w:spacing w:after="0" w:line="149" w:lineRule="exact"/>
              <w:rPr>
                <w:sz w:val="20"/>
                <w:szCs w:val="20"/>
                <w:color w:val="auto"/>
              </w:rPr>
            </w:pPr>
            <w:r>
              <w:rPr>
                <w:rFonts w:ascii="Arial" w:cs="Arial" w:eastAsia="Arial" w:hAnsi="Arial"/>
                <w:sz w:val="13"/>
                <w:szCs w:val="13"/>
                <w:color w:val="auto"/>
              </w:rPr>
              <w:t>—</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9"/>
              </w:rPr>
              <w:t>Initial</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20" w:type="dxa"/>
            <w:vAlign w:val="bottom"/>
            <w:gridSpan w:val="2"/>
          </w:tcPr>
          <w:p>
            <w:pPr>
              <w:ind w:left="80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2"/>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right"/>
              <w:ind w:right="15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1A Smart Start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100" w:type="dxa"/>
            <w:vAlign w:val="bottom"/>
            <w:tcBorders>
              <w:top w:val="single" w:sz="8" w:color="CFF0FC"/>
            </w:tcBorders>
            <w:shd w:val="clear" w:color="auto" w:fill="CFF0FC"/>
          </w:tcPr>
          <w:p>
            <w:pPr>
              <w:spacing w:after="0"/>
              <w:rPr>
                <w:sz w:val="11"/>
                <w:szCs w:val="11"/>
                <w:color w:val="auto"/>
              </w:rPr>
            </w:pPr>
          </w:p>
        </w:tc>
        <w:tc>
          <w:tcPr>
            <w:tcW w:w="278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Non-durable</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w w:val="87"/>
              </w:rPr>
              <w:t>5.8%</w:t>
            </w:r>
          </w:p>
        </w:tc>
        <w:tc>
          <w:tcPr>
            <w:tcW w:w="26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100"/>
              <w:spacing w:after="0"/>
              <w:rPr>
                <w:sz w:val="20"/>
                <w:szCs w:val="20"/>
                <w:color w:val="auto"/>
              </w:rPr>
            </w:pPr>
            <w:r>
              <w:rPr>
                <w:rFonts w:ascii="Arial" w:cs="Arial" w:eastAsia="Arial" w:hAnsi="Arial"/>
                <w:sz w:val="13"/>
                <w:szCs w:val="13"/>
                <w:color w:val="auto"/>
              </w:rPr>
              <w:t>Floor 1.00% , Due 8/27</w:t>
            </w: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10/28/2020  $</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2,084,276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1,847,113</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2,089,487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3600" w:type="dxa"/>
            <w:vAlign w:val="bottom"/>
            <w:gridSpan w:val="5"/>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Delayed Draw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Banking, Finance, Insurance &amp; Real Estate</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w w:val="87"/>
              </w:rPr>
              <w:t>5.0%</w:t>
            </w:r>
          </w:p>
        </w:tc>
        <w:tc>
          <w:tcPr>
            <w:tcW w:w="26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2,852,556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2,852,556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2,885,360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3600" w:type="dxa"/>
            <w:vAlign w:val="bottom"/>
            <w:gridSpan w:val="5"/>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Banking, Finance, Insurance &amp; Real Estate</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w w:val="87"/>
              </w:rPr>
              <w:t>5.0%</w:t>
            </w:r>
          </w:p>
        </w:tc>
        <w:tc>
          <w:tcPr>
            <w:tcW w:w="26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2,520,115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2,520,115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2,549,096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AIS Holdco,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w w:val="87"/>
              </w:rPr>
              <w:t>5.2%</w:t>
            </w:r>
          </w:p>
        </w:tc>
        <w:tc>
          <w:tcPr>
            <w:tcW w:w="26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(0.19%) + 5.00%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8/25</w:t>
            </w:r>
          </w:p>
        </w:tc>
        <w:tc>
          <w:tcPr>
            <w:tcW w:w="2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2,528,268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2,081,132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2,468,601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AMCP Pet Holdings, Inc.</w:t>
            </w:r>
          </w:p>
        </w:tc>
        <w:tc>
          <w:tcPr>
            <w:tcW w:w="3600" w:type="dxa"/>
            <w:vAlign w:val="bottom"/>
            <w:gridSpan w:val="5"/>
            <w:shd w:val="clear" w:color="auto" w:fill="CFF0FC"/>
          </w:tcPr>
          <w:p>
            <w:pPr>
              <w:spacing w:after="0" w:line="126"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Delayed Draw Term Loan</w:t>
            </w: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w w:val="87"/>
              </w:rPr>
              <w:t>1.0%</w:t>
            </w:r>
          </w:p>
        </w:tc>
        <w:tc>
          <w:tcPr>
            <w:tcW w:w="26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(18,142)</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3600" w:type="dxa"/>
            <w:vAlign w:val="bottom"/>
            <w:gridSpan w:val="5"/>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w w:val="87"/>
              </w:rPr>
              <w:t>7.3%</w:t>
            </w:r>
          </w:p>
        </w:tc>
        <w:tc>
          <w:tcPr>
            <w:tcW w:w="26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100"/>
              <w:spacing w:after="0"/>
              <w:rPr>
                <w:sz w:val="20"/>
                <w:szCs w:val="20"/>
                <w:color w:val="auto"/>
              </w:rPr>
            </w:pPr>
            <w:r>
              <w:rPr>
                <w:rFonts w:ascii="Arial" w:cs="Arial" w:eastAsia="Arial" w:hAnsi="Arial"/>
                <w:sz w:val="13"/>
                <w:szCs w:val="13"/>
                <w:color w:val="auto"/>
              </w:rPr>
              <w:t>Floor 1.00% , Due 10/26</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4,975,000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4,884,746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4,950,125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3600" w:type="dxa"/>
            <w:vAlign w:val="bottom"/>
            <w:gridSpan w:val="5"/>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(8)(13)(21)(23) </w:t>
            </w:r>
            <w:r>
              <w:rPr>
                <w:rFonts w:ascii="Arial" w:cs="Arial" w:eastAsia="Arial" w:hAnsi="Arial"/>
                <w:sz w:val="12"/>
                <w:szCs w:val="12"/>
                <w:color w:val="auto"/>
              </w:rPr>
              <w:t>Senior Secured Loan — Revolving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w w:val="87"/>
              </w:rPr>
              <w:t>7.3%</w:t>
            </w:r>
          </w:p>
        </w:tc>
        <w:tc>
          <w:tcPr>
            <w:tcW w:w="26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231,746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Analogic Corporation</w:t>
            </w:r>
          </w:p>
        </w:tc>
        <w:tc>
          <w:tcPr>
            <w:tcW w:w="3600" w:type="dxa"/>
            <w:vAlign w:val="bottom"/>
            <w:gridSpan w:val="5"/>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(8)(13)(14)(23) </w:t>
            </w:r>
            <w:r>
              <w:rPr>
                <w:rFonts w:ascii="Arial" w:cs="Arial" w:eastAsia="Arial" w:hAnsi="Arial"/>
                <w:sz w:val="12"/>
                <w:szCs w:val="12"/>
                <w:color w:val="auto"/>
              </w:rPr>
              <w:t>Senior Secured Loan — Revolver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w w:val="87"/>
              </w:rPr>
              <w:t>0.5%</w:t>
            </w:r>
          </w:p>
        </w:tc>
        <w:tc>
          <w:tcPr>
            <w:tcW w:w="26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6/23</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(7,078)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Analogic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w w:val="87"/>
              </w:rPr>
              <w:t>6.3%</w:t>
            </w:r>
          </w:p>
        </w:tc>
        <w:tc>
          <w:tcPr>
            <w:tcW w:w="26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100"/>
              <w:spacing w:after="0"/>
              <w:rPr>
                <w:sz w:val="20"/>
                <w:szCs w:val="20"/>
                <w:color w:val="auto"/>
              </w:rPr>
            </w:pPr>
            <w:r>
              <w:rPr>
                <w:rFonts w:ascii="Arial" w:cs="Arial" w:eastAsia="Arial" w:hAnsi="Arial"/>
                <w:sz w:val="13"/>
                <w:szCs w:val="13"/>
                <w:color w:val="auto"/>
              </w:rPr>
              <w:t>Floor 1.00% , Due 6/24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3,537,852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3,152,028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3,414,027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Ancile Solutions,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w w:val="87"/>
              </w:rPr>
              <w:t>8.0%</w:t>
            </w:r>
          </w:p>
        </w:tc>
        <w:tc>
          <w:tcPr>
            <w:tcW w:w="26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3.0% PIK, 3 Month Libor (1.00%)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100"/>
              <w:spacing w:after="0"/>
              <w:rPr>
                <w:sz w:val="20"/>
                <w:szCs w:val="20"/>
                <w:color w:val="auto"/>
              </w:rPr>
            </w:pPr>
            <w:r>
              <w:rPr>
                <w:rFonts w:ascii="Arial" w:cs="Arial" w:eastAsia="Arial" w:hAnsi="Arial"/>
                <w:sz w:val="13"/>
                <w:szCs w:val="13"/>
                <w:color w:val="auto"/>
              </w:rPr>
              <w:t>7.00%; Libor Floor 1.00% , Due 6/26</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6/11/2021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6,792,300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6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CFF0FC"/>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Anthem Sports &amp; Entertainment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298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20" w:type="dxa"/>
            <w:vAlign w:val="bottom"/>
            <w:vMerge w:val="continue"/>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Media: Broadcasting &amp; Subscription</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7.8% Cash, 2.8% PIK, 3 Month Libor (1.00%) + 6.75%;</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857,613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756,720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827,682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Anthem Sports &amp; Entertainment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Media: Broadcasting &amp; Subscription</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w:t>
            </w:r>
          </w:p>
        </w:tc>
        <w:tc>
          <w:tcPr>
            <w:tcW w:w="3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6"/>
              </w:rPr>
              <w:t>10.5%</w:t>
            </w:r>
          </w:p>
        </w:tc>
        <w:tc>
          <w:tcPr>
            <w:tcW w:w="276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5"/>
              </w:rPr>
              <w:t>Cash, 3 Month Libor (1.00%) + 9.50%;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3,299,408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3,221,862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3,184,259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Anthem Sports &amp; Entertainment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(8)(13)(21)</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Revolving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Media: Broadcasting &amp; Subscription</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(23)</w:t>
            </w:r>
          </w:p>
        </w:tc>
        <w:tc>
          <w:tcPr>
            <w:tcW w:w="3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6"/>
              </w:rPr>
              <w:t>10.5%</w:t>
            </w:r>
          </w:p>
        </w:tc>
        <w:tc>
          <w:tcPr>
            <w:tcW w:w="276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5"/>
              </w:rPr>
              <w:t>Cash, 3 Month Libor (1.00%) + 9.50%;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9/24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208,333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181,711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Athos Merger Sub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w w:val="97"/>
              </w:rPr>
              <w:t>5.1% Cash, 1 Month Libor (0.10%) + 5.00% , Due 7/26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1,322,375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1,153,483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1,322,375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Back Porch International,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(8)(13)(24)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6"/>
              </w:rPr>
              <w:t>12.5%</w:t>
            </w:r>
          </w:p>
        </w:tc>
        <w:tc>
          <w:tcPr>
            <w:tcW w:w="27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1.0% PIK, 1 Month Libor (2.25%) +</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10.25%; Libor Floor 2.25% , Due 3/24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5,815,855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5,432,830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5,815,855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BJ Services,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Out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6"/>
              </w:rPr>
              <w:t>8.5% Cash, 3 Month Libor (1.50%) + 7.00%;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1.50%</w:t>
            </w: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1/23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2,213,311</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2,181,033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2,213,311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w w:val="97"/>
              </w:rPr>
              <w:t>Banking, Finance, Insurance &amp; Real Estate</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6"/>
              </w:rPr>
              <w:t>6.3% Cash, 6 Month Libor (1.00%) + 5.25%;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12/24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2,895,000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2,894,145</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Bristol Hospice</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Delayed Draw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(21)(23)</w:t>
            </w: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 Cash, Due 12/26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(7,503)</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(2,055)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Bristol Hospice</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Unitranche</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Healthcare &amp; Pharmaceuticals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w:t>
            </w:r>
          </w:p>
        </w:tc>
        <w:tc>
          <w:tcPr>
            <w:tcW w:w="3100" w:type="dxa"/>
            <w:vAlign w:val="bottom"/>
            <w:gridSpan w:val="3"/>
            <w:shd w:val="clear" w:color="auto" w:fill="CFF0FC"/>
          </w:tcPr>
          <w:p>
            <w:pPr>
              <w:spacing w:after="0" w:line="143" w:lineRule="exact"/>
              <w:rPr>
                <w:sz w:val="20"/>
                <w:szCs w:val="20"/>
                <w:color w:val="auto"/>
              </w:rPr>
            </w:pPr>
            <w:r>
              <w:rPr>
                <w:rFonts w:ascii="Arial" w:cs="Arial" w:eastAsia="Arial" w:hAnsi="Arial"/>
                <w:sz w:val="13"/>
                <w:szCs w:val="13"/>
                <w:color w:val="auto"/>
                <w:w w:val="96"/>
              </w:rPr>
              <w:t>6.3% Cash, 1 Month Libor (1.00%) + 5.25%;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12/26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2,167,192</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2,127,626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2,161,774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C.P. Converters,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Seventh Amendment Acquisition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Chemicals, Plastics &amp; Rubber</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Loan</w:t>
            </w:r>
          </w:p>
        </w:tc>
        <w:tc>
          <w:tcPr>
            <w:tcW w:w="2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6"/>
              </w:rPr>
              <w:t>7.5% Cash, 3 Month Libor (1.00%) + 6.50%;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3"/>
                <w:szCs w:val="13"/>
                <w:color w:val="auto"/>
                <w:w w:val="86"/>
              </w:rPr>
              <w:t>1.00%</w:t>
            </w: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Due 6/23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2,925,000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2,876,765</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2023 Extended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5.5% Cash, 9.0% PIK, 6 Month Libor (1.00%) + 4.50%;</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1.00% , Due 8/23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1,695,718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1,554,170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1,665,339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6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60" w:type="dxa"/>
            <w:vAlign w:val="bottom"/>
            <w:gridSpan w:val="2"/>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Centric Brands Inc.</w:t>
            </w:r>
          </w:p>
        </w:tc>
        <w:tc>
          <w:tcPr>
            <w:tcW w:w="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60" w:type="dxa"/>
            <w:vAlign w:val="bottom"/>
            <w:tcBorders>
              <w:top w:val="single" w:sz="8" w:color="CFF0FC"/>
            </w:tcBorders>
            <w:shd w:val="clear" w:color="auto" w:fill="CFF0FC"/>
          </w:tcPr>
          <w:p>
            <w:pPr>
              <w:spacing w:after="0"/>
              <w:rPr>
                <w:sz w:val="11"/>
                <w:szCs w:val="11"/>
                <w:color w:val="auto"/>
              </w:rPr>
            </w:pPr>
          </w:p>
        </w:tc>
        <w:tc>
          <w:tcPr>
            <w:tcW w:w="31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4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Machinery (Non-Agrclt/Constr/Electr)</w:t>
            </w: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10.0% PIK, Due 10/25</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8,405,426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6,870,868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7,791,830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0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Centric Brands Inc.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3300" w:type="dxa"/>
            <w:vAlign w:val="bottom"/>
            <w:gridSpan w:val="4"/>
            <w:shd w:val="clear" w:color="auto" w:fill="CFF0FC"/>
          </w:tcPr>
          <w:p>
            <w:pPr>
              <w:ind w:left="60"/>
              <w:spacing w:after="0" w:line="126" w:lineRule="exact"/>
              <w:rPr>
                <w:sz w:val="20"/>
                <w:szCs w:val="20"/>
                <w:color w:val="auto"/>
              </w:rPr>
            </w:pPr>
            <w:r>
              <w:rPr>
                <w:rFonts w:ascii="Arial" w:cs="Arial" w:eastAsia="Arial" w:hAnsi="Arial"/>
                <w:sz w:val="13"/>
                <w:szCs w:val="13"/>
                <w:color w:val="auto"/>
              </w:rPr>
              <w:t>Senior Secured Loan — Revolver</w:t>
            </w: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0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Machinery (Non-Agrclt/Constr/Electr)</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40" w:type="dxa"/>
            <w:vAlign w:val="bottom"/>
            <w:gridSpan w:val="2"/>
            <w:shd w:val="clear" w:color="auto" w:fill="CFF0FC"/>
          </w:tcPr>
          <w:p>
            <w:pPr>
              <w:ind w:left="60"/>
              <w:spacing w:after="0" w:line="143" w:lineRule="exact"/>
              <w:rPr>
                <w:sz w:val="20"/>
                <w:szCs w:val="20"/>
                <w:color w:val="auto"/>
              </w:rPr>
            </w:pPr>
            <w:r>
              <w:rPr>
                <w:rFonts w:ascii="Arial" w:cs="Arial" w:eastAsia="Arial" w:hAnsi="Arial"/>
                <w:sz w:val="13"/>
                <w:szCs w:val="13"/>
                <w:color w:val="auto"/>
                <w:w w:val="87"/>
              </w:rPr>
              <w:t>6.5%</w:t>
            </w:r>
          </w:p>
        </w:tc>
        <w:tc>
          <w:tcPr>
            <w:tcW w:w="296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Cash, 6 Month Libor (1.00%) + 5.50%; Libor Floor</w:t>
            </w: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1.00% , Due 10/24</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377,160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317,055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377,160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Consumer</w:t>
            </w:r>
          </w:p>
        </w:tc>
        <w:tc>
          <w:tcPr>
            <w:tcW w:w="5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87"/>
              </w:rPr>
              <w:t>5.3%</w:t>
            </w:r>
          </w:p>
        </w:tc>
        <w:tc>
          <w:tcPr>
            <w:tcW w:w="29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+ 4.25%;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1.00% , Due 5/23</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3,840,200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3,836,548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3,835,592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Circustrix Holdings,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5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87"/>
              </w:rPr>
              <w:t>6.5%</w:t>
            </w:r>
          </w:p>
        </w:tc>
        <w:tc>
          <w:tcPr>
            <w:tcW w:w="29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2.5% PIK, 1 Month Libor (1.00%) + 5.50%;</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Libor Floor 1.00% , Due 7/23</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1/29/2021</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576,652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576,652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0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Circustrix Holdings,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3300" w:type="dxa"/>
            <w:vAlign w:val="bottom"/>
            <w:gridSpan w:val="4"/>
            <w:shd w:val="clear" w:color="auto" w:fill="CFF0FC"/>
          </w:tcPr>
          <w:p>
            <w:pPr>
              <w:ind w:left="60"/>
              <w:spacing w:after="0" w:line="126" w:lineRule="exact"/>
              <w:rPr>
                <w:sz w:val="20"/>
                <w:szCs w:val="20"/>
                <w:color w:val="auto"/>
              </w:rPr>
            </w:pPr>
            <w:r>
              <w:rPr>
                <w:rFonts w:ascii="Arial" w:cs="Arial" w:eastAsia="Arial" w:hAnsi="Arial"/>
                <w:sz w:val="13"/>
                <w:szCs w:val="13"/>
                <w:color w:val="auto"/>
              </w:rPr>
              <w:t>Senior Secured Loan — Delayed Draw Term Loan</w:t>
            </w: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8"/>
              </w:rPr>
              <w:t>Banking, Finance, Insurance &amp; Real Estate</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7"/>
              </w:rPr>
              <w:t>6.5%</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2.5% PIK, Due 7/23</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1/11/2021</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465,404</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465,404</w:t>
            </w: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465,404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Circustrix Holdings,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5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87"/>
              </w:rPr>
              <w:t>6.5%</w:t>
            </w:r>
          </w:p>
        </w:tc>
        <w:tc>
          <w:tcPr>
            <w:tcW w:w="29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2.5% PIK, 1 Month Libor (1.00%) + 5.50%;</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Libor Floor 1.00% , Due 1/22</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6,583,331</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4,729,000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5,547,115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Coastal Screen and Rail,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(8)(13)(23)</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Revolver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Construction &amp; Building</w:t>
            </w:r>
          </w:p>
        </w:tc>
        <w:tc>
          <w:tcPr>
            <w:tcW w:w="5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7"/>
              </w:rPr>
              <w:t>8.2%</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3 Month Libor (0.15%) + 8.00% , Due 7/22</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93,745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Coastal Screen and Rail,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(8)(13)(24)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Construction &amp; Building</w:t>
            </w: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10.5% Cash, 1.5% PIK, Due 1/23</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7,079,184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6,612,621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7,079,184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Convergeone Holdings Corp.</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Electronics</w:t>
            </w:r>
          </w:p>
        </w:tc>
        <w:tc>
          <w:tcPr>
            <w:tcW w:w="5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7"/>
              </w:rPr>
              <w:t>5.1%</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(0.10%) + 5.00% , Due 1/26</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2,156,993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1,773,926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2,137,871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Datalink,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(8)(13)(14)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5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87"/>
              </w:rPr>
              <w:t>7.3%</w:t>
            </w:r>
          </w:p>
        </w:tc>
        <w:tc>
          <w:tcPr>
            <w:tcW w:w="29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+ 6.25%; Libor Floor</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300" w:type="dxa"/>
            <w:vAlign w:val="bottom"/>
            <w:gridSpan w:val="4"/>
            <w:shd w:val="clear" w:color="auto" w:fill="CFF0FC"/>
          </w:tcPr>
          <w:p>
            <w:pPr>
              <w:ind w:left="60"/>
              <w:spacing w:after="0"/>
              <w:rPr>
                <w:sz w:val="20"/>
                <w:szCs w:val="20"/>
                <w:color w:val="auto"/>
              </w:rPr>
            </w:pPr>
            <w:r>
              <w:rPr>
                <w:rFonts w:ascii="Arial" w:cs="Arial" w:eastAsia="Arial" w:hAnsi="Arial"/>
                <w:sz w:val="13"/>
                <w:szCs w:val="13"/>
                <w:color w:val="auto"/>
              </w:rPr>
              <w:t>1.00% , Due 11/26</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11/23/2020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2,900,625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2,828,603</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2,900,625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Datalink, LLC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w w:val="98"/>
              </w:rPr>
              <w:t>(8)(13)(23)</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w w:val="99"/>
              </w:rPr>
              <w:t>Senior Secured Loan — Delayed Draw Term Loan (First</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5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60"/>
              <w:spacing w:after="0" w:line="135" w:lineRule="exact"/>
              <w:rPr>
                <w:sz w:val="20"/>
                <w:szCs w:val="20"/>
                <w:color w:val="auto"/>
              </w:rPr>
            </w:pPr>
            <w:r>
              <w:rPr>
                <w:rFonts w:ascii="Arial" w:cs="Arial" w:eastAsia="Arial" w:hAnsi="Arial"/>
                <w:sz w:val="13"/>
                <w:szCs w:val="13"/>
                <w:color w:val="auto"/>
                <w:w w:val="89"/>
              </w:rPr>
              <w:t>Lien)</w:t>
            </w:r>
          </w:p>
        </w:tc>
        <w:tc>
          <w:tcPr>
            <w:tcW w:w="2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7"/>
              </w:rPr>
              <w:t>1.0%</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11/26</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11/23/2020</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(12,988)</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6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DCert Buyer, Inc.</w:t>
            </w:r>
          </w:p>
        </w:tc>
        <w:tc>
          <w:tcPr>
            <w:tcW w:w="54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300" w:type="dxa"/>
            <w:vAlign w:val="bottom"/>
            <w:gridSpan w:val="4"/>
            <w:shd w:val="clear" w:color="auto" w:fill="CFF0FC"/>
          </w:tcPr>
          <w:p>
            <w:pPr>
              <w:ind w:left="60"/>
              <w:spacing w:after="0" w:line="134" w:lineRule="exact"/>
              <w:rPr>
                <w:sz w:val="20"/>
                <w:szCs w:val="20"/>
                <w:color w:val="auto"/>
              </w:rPr>
            </w:pPr>
            <w:r>
              <w:rPr>
                <w:rFonts w:ascii="Arial" w:cs="Arial" w:eastAsia="Arial" w:hAnsi="Arial"/>
                <w:sz w:val="13"/>
                <w:szCs w:val="13"/>
                <w:color w:val="auto"/>
              </w:rPr>
              <w:t>Senior Secured Loan — Term Loan (Second Lien)</w:t>
            </w: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5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7"/>
              </w:rPr>
              <w:t>7.1%</w:t>
            </w:r>
          </w:p>
        </w:tc>
        <w:tc>
          <w:tcPr>
            <w:tcW w:w="29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(0.10%) + 7.00% , Due 2/29</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3/16/2021</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5,386,572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5,463,018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580" w:type="dxa"/>
            <w:vAlign w:val="bottom"/>
          </w:tcPr>
          <w:p>
            <w:pPr>
              <w:spacing w:after="0"/>
              <w:rPr>
                <w:sz w:val="11"/>
                <w:szCs w:val="11"/>
                <w:color w:val="auto"/>
              </w:rPr>
            </w:pPr>
          </w:p>
        </w:tc>
        <w:tc>
          <w:tcPr>
            <w:tcW w:w="31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580" w:type="dxa"/>
            <w:vAlign w:val="bottom"/>
          </w:tcPr>
          <w:p>
            <w:pPr>
              <w:spacing w:after="0"/>
              <w:rPr>
                <w:sz w:val="13"/>
                <w:szCs w:val="13"/>
                <w:color w:val="auto"/>
              </w:rPr>
            </w:pPr>
          </w:p>
        </w:tc>
        <w:tc>
          <w:tcPr>
            <w:tcW w:w="3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CFF0FC"/>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Borders>
              <w:right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Deliver Buyer,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298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w w:val="95"/>
              </w:rPr>
              <w:t>Senior Secured Loan — Incremental Term Loan (First</w:t>
            </w:r>
          </w:p>
        </w:tc>
        <w:tc>
          <w:tcPr>
            <w:tcW w:w="120" w:type="dxa"/>
            <w:vAlign w:val="bottom"/>
            <w:vMerge w:val="continue"/>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tcBorders>
              <w:right w:val="single" w:sz="8" w:color="CFF0FC"/>
            </w:tcBorders>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tcBorders>
              <w:right w:val="single" w:sz="8" w:color="CFF0FC"/>
            </w:tcBorders>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7.3% Cash, 3 Month Libor (1.00%) + 6.25%;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right w:val="single" w:sz="8" w:color="CFF0FC"/>
            </w:tcBorders>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4,743,852</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4,687,831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4,714,440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w w:val="90"/>
              </w:rPr>
              <w:t>Digitran Innovations B.V. (Pomeroy Solutions Holding</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(3)(13)</w:t>
            </w: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EUR Term Loan A</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continue"/>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continue"/>
            <w:shd w:val="clear" w:color="auto" w:fill="CFF0FC"/>
          </w:tcPr>
          <w:p>
            <w:pPr>
              <w:spacing w:after="0"/>
              <w:rPr>
                <w:sz w:val="5"/>
                <w:szCs w:val="5"/>
                <w:color w:val="auto"/>
              </w:rPr>
            </w:pP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5.0% PIK, Due 7/25</w:t>
            </w: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Borders>
              <w:bottom w:val="single" w:sz="8" w:color="CFF0FC"/>
              <w:right w:val="single" w:sz="8" w:color="CFF0FC"/>
            </w:tcBorders>
            <w:shd w:val="clear" w:color="auto" w:fill="CFF0FC"/>
          </w:tcPr>
          <w:p>
            <w:pPr>
              <w:ind w:left="140"/>
              <w:spacing w:after="0" w:line="129" w:lineRule="exact"/>
              <w:rPr>
                <w:sz w:val="20"/>
                <w:szCs w:val="20"/>
                <w:color w:val="auto"/>
              </w:rPr>
            </w:pPr>
            <w:r>
              <w:rPr>
                <w:rFonts w:ascii="Arial" w:cs="Arial" w:eastAsia="Arial" w:hAnsi="Arial"/>
                <w:sz w:val="13"/>
                <w:szCs w:val="13"/>
                <w:color w:val="auto"/>
              </w:rPr>
              <w:t>High Tech Industries</w:t>
            </w:r>
          </w:p>
        </w:tc>
        <w:tc>
          <w:tcPr>
            <w:tcW w:w="580" w:type="dxa"/>
            <w:vAlign w:val="bottom"/>
            <w:tcBorders>
              <w:bottom w:val="single" w:sz="8" w:color="CFF0FC"/>
              <w:right w:val="single" w:sz="8" w:color="CFF0FC"/>
            </w:tcBorders>
            <w:shd w:val="clear" w:color="auto" w:fill="CFF0FC"/>
          </w:tcPr>
          <w:p>
            <w:pPr>
              <w:spacing w:after="0"/>
              <w:rPr>
                <w:sz w:val="11"/>
                <w:szCs w:val="11"/>
                <w:color w:val="auto"/>
              </w:rPr>
            </w:pPr>
          </w:p>
        </w:tc>
        <w:tc>
          <w:tcPr>
            <w:tcW w:w="31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5/11/2020</w:t>
            </w: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261,136</w:t>
            </w:r>
          </w:p>
        </w:tc>
        <w:tc>
          <w:tcPr>
            <w:tcW w:w="2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282,691</w:t>
            </w:r>
          </w:p>
        </w:tc>
        <w:tc>
          <w:tcPr>
            <w:tcW w:w="2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270,971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w w:val="90"/>
              </w:rPr>
              <w:t>Digitran Innovations B.V. (Pomeroy Solutions Holding</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Senior Term Loan A</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continue"/>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continue"/>
            <w:shd w:val="clear" w:color="auto" w:fill="CFF0FC"/>
          </w:tcPr>
          <w:p>
            <w:pPr>
              <w:spacing w:after="0"/>
              <w:rPr>
                <w:sz w:val="5"/>
                <w:szCs w:val="5"/>
                <w:color w:val="auto"/>
              </w:rPr>
            </w:pP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5.0% PIK, Due 5/25</w:t>
            </w: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Borders>
              <w:bottom w:val="single" w:sz="8" w:color="CFF0FC"/>
              <w:right w:val="single" w:sz="8" w:color="CFF0FC"/>
            </w:tcBorders>
            <w:shd w:val="clear" w:color="auto" w:fill="CFF0FC"/>
          </w:tcPr>
          <w:p>
            <w:pPr>
              <w:ind w:left="140"/>
              <w:spacing w:after="0" w:line="129" w:lineRule="exact"/>
              <w:rPr>
                <w:sz w:val="20"/>
                <w:szCs w:val="20"/>
                <w:color w:val="auto"/>
              </w:rPr>
            </w:pPr>
            <w:r>
              <w:rPr>
                <w:rFonts w:ascii="Arial" w:cs="Arial" w:eastAsia="Arial" w:hAnsi="Arial"/>
                <w:sz w:val="13"/>
                <w:szCs w:val="13"/>
                <w:color w:val="auto"/>
              </w:rPr>
              <w:t>High Tech Industries</w:t>
            </w:r>
          </w:p>
        </w:tc>
        <w:tc>
          <w:tcPr>
            <w:tcW w:w="580" w:type="dxa"/>
            <w:vAlign w:val="bottom"/>
            <w:tcBorders>
              <w:bottom w:val="single" w:sz="8" w:color="CFF0FC"/>
              <w:right w:val="single" w:sz="8" w:color="CFF0FC"/>
            </w:tcBorders>
            <w:shd w:val="clear" w:color="auto" w:fill="CFF0FC"/>
          </w:tcPr>
          <w:p>
            <w:pPr>
              <w:spacing w:after="0"/>
              <w:rPr>
                <w:sz w:val="11"/>
                <w:szCs w:val="11"/>
                <w:color w:val="auto"/>
              </w:rPr>
            </w:pPr>
          </w:p>
        </w:tc>
        <w:tc>
          <w:tcPr>
            <w:tcW w:w="31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5/29/2020</w:t>
            </w: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1,504,629</w:t>
            </w:r>
          </w:p>
        </w:tc>
        <w:tc>
          <w:tcPr>
            <w:tcW w:w="2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1,156,047</w:t>
            </w:r>
          </w:p>
        </w:tc>
        <w:tc>
          <w:tcPr>
            <w:tcW w:w="2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1,166,088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w w:val="90"/>
              </w:rPr>
              <w:t>Digitran Innovations B.V. (Pomeroy Solutions Holding</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(5)(8)(13)</w:t>
            </w: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Senior Term Loan B</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continue"/>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continue"/>
            <w:shd w:val="clear" w:color="auto" w:fill="CFF0FC"/>
          </w:tcPr>
          <w:p>
            <w:pPr>
              <w:spacing w:after="0"/>
              <w:rPr>
                <w:sz w:val="5"/>
                <w:szCs w:val="5"/>
                <w:color w:val="auto"/>
              </w:rPr>
            </w:pP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7.0% PIK, Due 5/25</w:t>
            </w: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Borders>
              <w:bottom w:val="single" w:sz="8" w:color="CFF0FC"/>
              <w:right w:val="single" w:sz="8" w:color="CFF0FC"/>
            </w:tcBorders>
            <w:shd w:val="clear" w:color="auto" w:fill="CFF0FC"/>
          </w:tcPr>
          <w:p>
            <w:pPr>
              <w:ind w:left="140"/>
              <w:spacing w:after="0" w:line="129" w:lineRule="exact"/>
              <w:rPr>
                <w:sz w:val="20"/>
                <w:szCs w:val="20"/>
                <w:color w:val="auto"/>
              </w:rPr>
            </w:pPr>
            <w:r>
              <w:rPr>
                <w:rFonts w:ascii="Arial" w:cs="Arial" w:eastAsia="Arial" w:hAnsi="Arial"/>
                <w:sz w:val="13"/>
                <w:szCs w:val="13"/>
                <w:color w:val="auto"/>
              </w:rPr>
              <w:t>High Tech Industries</w:t>
            </w:r>
          </w:p>
        </w:tc>
        <w:tc>
          <w:tcPr>
            <w:tcW w:w="580" w:type="dxa"/>
            <w:vAlign w:val="bottom"/>
            <w:tcBorders>
              <w:bottom w:val="single" w:sz="8" w:color="CFF0FC"/>
              <w:right w:val="single" w:sz="8" w:color="CFF0FC"/>
            </w:tcBorders>
            <w:shd w:val="clear" w:color="auto" w:fill="CFF0FC"/>
          </w:tcPr>
          <w:p>
            <w:pPr>
              <w:spacing w:after="0"/>
              <w:rPr>
                <w:sz w:val="11"/>
                <w:szCs w:val="11"/>
                <w:color w:val="auto"/>
              </w:rPr>
            </w:pPr>
          </w:p>
        </w:tc>
        <w:tc>
          <w:tcPr>
            <w:tcW w:w="31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5/29/2020</w:t>
            </w: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1,537,702</w:t>
            </w:r>
          </w:p>
        </w:tc>
        <w:tc>
          <w:tcPr>
            <w:tcW w:w="2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1,189,120</w:t>
            </w:r>
          </w:p>
        </w:tc>
        <w:tc>
          <w:tcPr>
            <w:tcW w:w="2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422,868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w w:val="90"/>
              </w:rPr>
              <w:t>Digitran Innovations B.V. (Pomeroy Solutions Holding</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Super Senior Term Loan B</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restart"/>
            <w:shd w:val="clear" w:color="auto" w:fill="CFF0FC"/>
          </w:tcPr>
          <w:p>
            <w:pPr>
              <w:spacing w:after="0" w:line="135" w:lineRule="exact"/>
              <w:rPr>
                <w:sz w:val="20"/>
                <w:szCs w:val="20"/>
                <w:color w:val="auto"/>
              </w:rPr>
            </w:pPr>
            <w:r>
              <w:rPr>
                <w:rFonts w:ascii="Arial" w:cs="Arial" w:eastAsia="Arial" w:hAnsi="Arial"/>
                <w:sz w:val="13"/>
                <w:szCs w:val="13"/>
                <w:color w:val="auto"/>
              </w:rPr>
              <w:t>Company, Inc.)</w:t>
            </w: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continue"/>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40" w:type="dxa"/>
            <w:vAlign w:val="bottom"/>
            <w:tcBorders>
              <w:right w:val="single" w:sz="8" w:color="CFF0FC"/>
            </w:tcBorders>
            <w:vMerge w:val="continue"/>
            <w:shd w:val="clear" w:color="auto" w:fill="CFF0FC"/>
          </w:tcPr>
          <w:p>
            <w:pPr>
              <w:spacing w:after="0"/>
              <w:rPr>
                <w:sz w:val="5"/>
                <w:szCs w:val="5"/>
                <w:color w:val="auto"/>
              </w:rPr>
            </w:pPr>
          </w:p>
        </w:tc>
        <w:tc>
          <w:tcPr>
            <w:tcW w:w="580" w:type="dxa"/>
            <w:vAlign w:val="bottom"/>
            <w:tcBorders>
              <w:right w:val="single" w:sz="8" w:color="CFF0FC"/>
            </w:tcBorders>
            <w:shd w:val="clear" w:color="auto" w:fill="CFF0FC"/>
          </w:tcPr>
          <w:p>
            <w:pPr>
              <w:spacing w:after="0"/>
              <w:rPr>
                <w:sz w:val="5"/>
                <w:szCs w:val="5"/>
                <w:color w:val="auto"/>
              </w:rPr>
            </w:pPr>
          </w:p>
        </w:tc>
        <w:tc>
          <w:tcPr>
            <w:tcW w:w="310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2.0% Cash, 7.0% PIK, Due 5/25</w:t>
            </w:r>
          </w:p>
        </w:tc>
        <w:tc>
          <w:tcPr>
            <w:tcW w:w="9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Borders>
              <w:bottom w:val="single" w:sz="8" w:color="CFF0FC"/>
              <w:right w:val="single" w:sz="8" w:color="CFF0FC"/>
            </w:tcBorders>
            <w:shd w:val="clear" w:color="auto" w:fill="CFF0FC"/>
          </w:tcPr>
          <w:p>
            <w:pPr>
              <w:ind w:left="140"/>
              <w:spacing w:after="0" w:line="129" w:lineRule="exact"/>
              <w:rPr>
                <w:sz w:val="20"/>
                <w:szCs w:val="20"/>
                <w:color w:val="auto"/>
              </w:rPr>
            </w:pPr>
            <w:r>
              <w:rPr>
                <w:rFonts w:ascii="Arial" w:cs="Arial" w:eastAsia="Arial" w:hAnsi="Arial"/>
                <w:sz w:val="13"/>
                <w:szCs w:val="13"/>
                <w:color w:val="auto"/>
              </w:rPr>
              <w:t>High Tech Industries</w:t>
            </w:r>
          </w:p>
        </w:tc>
        <w:tc>
          <w:tcPr>
            <w:tcW w:w="580" w:type="dxa"/>
            <w:vAlign w:val="bottom"/>
            <w:tcBorders>
              <w:bottom w:val="single" w:sz="8" w:color="CFF0FC"/>
              <w:right w:val="single" w:sz="8" w:color="CFF0FC"/>
            </w:tcBorders>
            <w:shd w:val="clear" w:color="auto" w:fill="CFF0FC"/>
          </w:tcPr>
          <w:p>
            <w:pPr>
              <w:spacing w:after="0"/>
              <w:rPr>
                <w:sz w:val="11"/>
                <w:szCs w:val="11"/>
                <w:color w:val="auto"/>
              </w:rPr>
            </w:pPr>
          </w:p>
        </w:tc>
        <w:tc>
          <w:tcPr>
            <w:tcW w:w="31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5/29/2020</w:t>
            </w:r>
          </w:p>
        </w:tc>
        <w:tc>
          <w:tcPr>
            <w:tcW w:w="1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1,011,807</w:t>
            </w:r>
          </w:p>
        </w:tc>
        <w:tc>
          <w:tcPr>
            <w:tcW w:w="24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997,460</w:t>
            </w:r>
          </w:p>
        </w:tc>
        <w:tc>
          <w:tcPr>
            <w:tcW w:w="22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1,001,689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40" w:type="dxa"/>
            <w:vAlign w:val="bottom"/>
            <w:tcBorders>
              <w:right w:val="single" w:sz="8" w:color="CFF0FC"/>
            </w:tcBorders>
            <w:shd w:val="clear" w:color="auto" w:fill="CFF0FC"/>
          </w:tcPr>
          <w:p>
            <w:pPr>
              <w:spacing w:after="0" w:line="126" w:lineRule="exact"/>
              <w:rPr>
                <w:sz w:val="20"/>
                <w:szCs w:val="20"/>
                <w:color w:val="auto"/>
              </w:rPr>
            </w:pPr>
            <w:r>
              <w:rPr>
                <w:rFonts w:ascii="Arial" w:cs="Arial" w:eastAsia="Arial" w:hAnsi="Arial"/>
                <w:sz w:val="13"/>
                <w:szCs w:val="13"/>
                <w:color w:val="auto"/>
              </w:rPr>
              <w:t>Drilling Info Holdings,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Initial Term Loan (First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(21)</w:t>
            </w: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4.4% Cash, 1 Month Libor (0.10%) + 4.25% , 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826,486</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826,486</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818,882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40" w:type="dxa"/>
            <w:vAlign w:val="bottom"/>
            <w:tcBorders>
              <w:right w:val="single" w:sz="8" w:color="CFF0FC"/>
            </w:tcBorders>
            <w:shd w:val="clear" w:color="auto" w:fill="CFF0FC"/>
          </w:tcPr>
          <w:p>
            <w:pPr>
              <w:spacing w:after="0" w:line="126" w:lineRule="exact"/>
              <w:rPr>
                <w:sz w:val="20"/>
                <w:szCs w:val="20"/>
                <w:color w:val="auto"/>
              </w:rPr>
            </w:pPr>
            <w:r>
              <w:rPr>
                <w:rFonts w:ascii="Arial" w:cs="Arial" w:eastAsia="Arial" w:hAnsi="Arial"/>
                <w:sz w:val="13"/>
                <w:szCs w:val="13"/>
                <w:color w:val="auto"/>
              </w:rPr>
              <w:t>Drilling Info Holdings,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2020 Term Loan (First Lien)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(21)</w:t>
            </w: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4.6% Cash, 1 Month Libor (0.10%) + 4.50% , 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987,500</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983,809</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987,105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Electronics for Imaging,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31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Electronics</w:t>
            </w: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5.1% Cash, 1 Month Libor (0.10%) + 5.00% , Due 7/26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2,170,716</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1,679,041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2,074,238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ELO Touch Solutions,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31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5"/>
              </w:rPr>
              <w:t>6.6% Cash, 1 Month Libor (0.10%) + 6.50% , Due 12/25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2,526,621</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2,186,960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2,535,048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Emtec,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31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tcBorders>
              <w:right w:val="single" w:sz="8" w:color="CFF0FC"/>
            </w:tcBorders>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580" w:type="dxa"/>
            <w:vAlign w:val="bottom"/>
            <w:tcBorders>
              <w:right w:val="single" w:sz="8" w:color="CFF0FC"/>
            </w:tcBorders>
            <w:shd w:val="clear" w:color="auto" w:fill="CFF0FC"/>
          </w:tcPr>
          <w:p>
            <w:pPr>
              <w:spacing w:after="0"/>
              <w:rPr>
                <w:sz w:val="11"/>
                <w:szCs w:val="11"/>
                <w:color w:val="auto"/>
              </w:rPr>
            </w:pPr>
          </w:p>
        </w:tc>
        <w:tc>
          <w:tcPr>
            <w:tcW w:w="310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3"/>
              </w:rPr>
              <w:t>10.0% Cash, 1 Month Libor (1.50%) + 8.50%;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right w:val="single" w:sz="8" w:color="CFF0FC"/>
            </w:tcBorders>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1.50% , Due 8/21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2,395,175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2,330,488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2,394,216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Emtec, Inc.</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(5)(8)(13)</w:t>
            </w:r>
          </w:p>
        </w:tc>
        <w:tc>
          <w:tcPr>
            <w:tcW w:w="31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10.3% PIK, Due 8/21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1,825,309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1,635,531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1,796,652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tcBorders>
              <w:right w:val="single" w:sz="8" w:color="CFF0FC"/>
            </w:tcBorders>
            <w:shd w:val="clear" w:color="auto" w:fill="CFF0FC"/>
          </w:tcPr>
          <w:p>
            <w:pPr>
              <w:spacing w:after="0" w:line="134" w:lineRule="exact"/>
              <w:rPr>
                <w:sz w:val="20"/>
                <w:szCs w:val="20"/>
                <w:color w:val="auto"/>
              </w:rPr>
            </w:pPr>
            <w:r>
              <w:rPr>
                <w:rFonts w:ascii="Arial" w:cs="Arial" w:eastAsia="Arial" w:hAnsi="Arial"/>
                <w:sz w:val="13"/>
                <w:szCs w:val="13"/>
                <w:color w:val="auto"/>
              </w:rPr>
              <w:t>Energy Acquisition Lp</w:t>
            </w:r>
          </w:p>
        </w:tc>
        <w:tc>
          <w:tcPr>
            <w:tcW w:w="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(14)</w:t>
            </w:r>
          </w:p>
        </w:tc>
        <w:tc>
          <w:tcPr>
            <w:tcW w:w="310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Electronics</w:t>
            </w: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7"/>
              </w:rPr>
              <w:t>4.4% Cash, 1 Month Libor (0.10%) + 4.25% , Due 6/25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4,796,795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3,970,438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4,748,827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80" w:type="dxa"/>
            <w:vAlign w:val="bottom"/>
            <w:gridSpan w:val="2"/>
          </w:tcPr>
          <w:p>
            <w:pPr>
              <w:ind w:left="880"/>
              <w:spacing w:after="0" w:line="135" w:lineRule="exact"/>
              <w:rPr>
                <w:sz w:val="20"/>
                <w:szCs w:val="20"/>
                <w:color w:val="auto"/>
              </w:rPr>
            </w:pPr>
            <w:r>
              <w:rPr>
                <w:rFonts w:ascii="Arial" w:cs="Arial" w:eastAsia="Arial" w:hAnsi="Arial"/>
                <w:sz w:val="13"/>
                <w:szCs w:val="13"/>
                <w:b w:val="1"/>
                <w:bCs w:val="1"/>
                <w:color w:val="auto"/>
              </w:rPr>
              <w:t>Investment</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2"/>
          </w:tcPr>
          <w:p>
            <w:pPr>
              <w:ind w:left="46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340" w:type="dxa"/>
            <w:vAlign w:val="bottom"/>
            <w:gridSpan w:val="2"/>
          </w:tcPr>
          <w:p>
            <w:pPr>
              <w:ind w:left="300"/>
              <w:spacing w:after="0"/>
              <w:rPr>
                <w:sz w:val="20"/>
                <w:szCs w:val="20"/>
                <w:color w:val="auto"/>
              </w:rPr>
            </w:pPr>
            <w:r>
              <w:rPr>
                <w:rFonts w:ascii="Arial" w:cs="Arial" w:eastAsia="Arial" w:hAnsi="Arial"/>
                <w:sz w:val="13"/>
                <w:szCs w:val="13"/>
                <w:b w:val="1"/>
                <w:bCs w:val="1"/>
                <w:color w:val="auto"/>
              </w:rPr>
              <w:t>Principal</w:t>
            </w: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w w:val="95"/>
              </w:rPr>
              <w:t>Evergreen North America Acquisition, LLC</w:t>
            </w: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292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w:t>
            </w:r>
          </w:p>
        </w:tc>
        <w:tc>
          <w:tcPr>
            <w:tcW w:w="1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Environmental Industries</w:t>
            </w: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6.0%</w:t>
            </w:r>
          </w:p>
        </w:tc>
        <w:tc>
          <w:tcPr>
            <w:tcW w:w="27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Cash, 3 Month Libor (1.00%) + 5.00%; Libor Floor</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6/22</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6/21/2016</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943,276</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944,231</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943,276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Firstlight Holdco Inc.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4"/>
              </w:rPr>
              <w:t>Junior Secured Loan — Initial Term Loan (Second Lien)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Telecommunications</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7.6%</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8"/>
              </w:rPr>
              <w:t>Cash, 1 Month Libor (0.10%) + 7.50% , Due 7/26</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365,390</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Geo Parent Corporation</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w w:val="93"/>
              </w:rPr>
              <w:t>Media: Advertising, Printing &amp; Publishing</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5.4%</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5"/>
              </w:rPr>
              <w:t>Cash, 1 Month Libor (0.10%) + 5.25% , Due 12/25</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3,273,268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2,861,819</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3,273,268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Integrated Flooring Systems Inc.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(8)(13)(23)</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Revolver</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Consumer goods: Durable</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0.8%</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2/23</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(18,257)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Integrated Flooring Systems Inc.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9.5%</w:t>
            </w:r>
          </w:p>
        </w:tc>
        <w:tc>
          <w:tcPr>
            <w:tcW w:w="27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Cash, 3 Month Libor (1.25%) + 8.25%; Libor Floor</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1.25% , Due 2/23</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6,300,000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4,566,855</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3,616,200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Global Tel*Link Corporation</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Loan (Second Lien)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Telecommunications</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8.4%</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5"/>
              </w:rPr>
              <w:t>Cash, 1 Month Libor (0.10%) + 8.25% , Due 11/26</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1,482,608</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1,278,900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GNC Holdings, LLC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Beverage, Food and Tobacco</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6.2%</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PIK, Due 10/26</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1,686,629</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1,119,019</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1,526,399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Gruden Acquisition, Inc.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(8)(14)</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Transportation: Cargo</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7.8%</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PRIME (3.25%) + 4.50% , Due 8/22</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2,401,608</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2,164,194</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2,404,610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8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3780" w:type="dxa"/>
            <w:vAlign w:val="bottom"/>
            <w:gridSpan w:val="5"/>
            <w:shd w:val="clear" w:color="auto" w:fill="CFF0FC"/>
          </w:tcPr>
          <w:p>
            <w:pPr>
              <w:ind w:left="60"/>
              <w:spacing w:after="0" w:line="134" w:lineRule="exact"/>
              <w:rPr>
                <w:sz w:val="20"/>
                <w:szCs w:val="20"/>
                <w:color w:val="auto"/>
              </w:rPr>
            </w:pPr>
            <w:r>
              <w:rPr>
                <w:rFonts w:ascii="Arial" w:cs="Arial" w:eastAsia="Arial" w:hAnsi="Arial"/>
                <w:sz w:val="11"/>
                <w:szCs w:val="11"/>
                <w:color w:val="auto"/>
              </w:rPr>
              <w:t xml:space="preserve">(5)(8)(13)(14) </w:t>
            </w:r>
            <w:r>
              <w:rPr>
                <w:rFonts w:ascii="Arial" w:cs="Arial" w:eastAsia="Arial" w:hAnsi="Arial"/>
                <w:sz w:val="12"/>
                <w:szCs w:val="12"/>
                <w:color w:val="auto"/>
              </w:rPr>
              <w:t>Senior Secured Loan — Term B Loan (First Lien)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06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10.5% Cash, 3 Month Libor (1.50%) + 9.00%; Libor</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Floor 1.50% , Due 1/18</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2,702,232</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1,655,658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Grupo HIMA San Pablo, Inc.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(5)(8)(13)</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13.8% Cash, Due 7/18</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1/30/2013</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7,191,667</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55,376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H-CA II, LLC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19.0% Cash, Due 2/24</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2/16/2021</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3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HDC/HW Intermediate Holdings, LLC</w:t>
            </w:r>
          </w:p>
        </w:tc>
        <w:tc>
          <w:tcPr>
            <w:tcW w:w="72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(8)(13)(14)</w:t>
            </w:r>
          </w:p>
        </w:tc>
        <w:tc>
          <w:tcPr>
            <w:tcW w:w="306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Revolver</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8.5%</w:t>
            </w:r>
          </w:p>
        </w:tc>
        <w:tc>
          <w:tcPr>
            <w:tcW w:w="278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6"/>
              </w:rPr>
              <w:t>Cash, 3 Month Libor (1.00%) + 7.50%; Libor Floor</w:t>
            </w: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12/23</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669,722</w:t>
            </w: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579,807</w:t>
            </w: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632,888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HDC/HW Intermediate Holdings,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100" w:type="dxa"/>
            <w:vAlign w:val="bottom"/>
            <w:tcBorders>
              <w:top w:val="single" w:sz="8" w:color="CFF0FC"/>
            </w:tcBorders>
            <w:shd w:val="clear" w:color="auto" w:fill="CFF0FC"/>
          </w:tcPr>
          <w:p>
            <w:pPr>
              <w:spacing w:after="0"/>
              <w:rPr>
                <w:sz w:val="11"/>
                <w:szCs w:val="11"/>
                <w:color w:val="auto"/>
              </w:rPr>
            </w:pPr>
          </w:p>
        </w:tc>
        <w:tc>
          <w:tcPr>
            <w:tcW w:w="2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 A</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8.5% Cash, 3 Month Libor (1.00%) + 7.50%;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12/23</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6,563,278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5,682,116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6,202,298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Helix Acquisition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w w:val="99"/>
              </w:rPr>
              <w:t>Junior Secured Loan — Initial Term Loan (Second</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Metals &amp; Mining</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8.2% Cash, 3 Month Libor (0.15%) + 8.00%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9/25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1,238,084</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1,348,662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Hoffmaster Group,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w w:val="99"/>
              </w:rPr>
              <w:t>Junior Secured Loan — Initial Term Loan (Second</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Forest Products &amp; Paper</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w w:val="97"/>
              </w:rPr>
              <w:t>10.5% Cash, 3 Month Libor (1.00%) + 9.50%;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5/6/2014</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1,579,613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1,352,000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Idera,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7.5% Cash, 6 Month Libor (0.75%) + 6.75%;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0.75% , Due 2/29</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5,940,915</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5.5% Cash, 3 Month Libor (1.00%) + 4.50%;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12/22</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1,837,500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1,831,451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Infobase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Term Loan (add on)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5.5% Cash, 3 Month Libor (1.00%) + 4.50%;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12/22</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1,948,120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1,941,707</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1,948,120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Intermedia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7.0% Cash, 1 Month Libor (1.00%)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7/25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2,681,686</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2,374,755</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2,681,686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Janus International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Construction &amp; Building</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4.3% Cash, 3 Month Libor (1.00%) + 3.25%;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2/25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1,974,929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1,717,673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1,974,929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Keeco,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9.5% Cash, 0.8% PIK, 1 Month Libor (1.75%)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7.75%; Libor Floor 1.75% , Due 3/24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5,504,452</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4,614,948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5,347,576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Lifescan Global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6.2% Cash, 3 Month Libor (0.20%) + 6.00%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10/24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3,167,755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2,692,247</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3,145,121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Location Services Holdings, LLC</w:t>
            </w:r>
          </w:p>
        </w:tc>
        <w:tc>
          <w:tcPr>
            <w:tcW w:w="3600" w:type="dxa"/>
            <w:vAlign w:val="bottom"/>
            <w:gridSpan w:val="4"/>
            <w:shd w:val="clear" w:color="auto" w:fill="CFF0FC"/>
          </w:tcPr>
          <w:p>
            <w:pPr>
              <w:spacing w:after="0" w:line="126"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Revolving Credit</w:t>
            </w: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000" w:type="dxa"/>
            <w:vAlign w:val="bottom"/>
            <w:gridSpan w:val="3"/>
            <w:shd w:val="clear" w:color="auto" w:fill="CFF0FC"/>
          </w:tcPr>
          <w:p>
            <w:pPr>
              <w:ind w:left="100"/>
              <w:spacing w:after="0" w:line="143" w:lineRule="exact"/>
              <w:rPr>
                <w:sz w:val="20"/>
                <w:szCs w:val="20"/>
                <w:color w:val="auto"/>
              </w:rPr>
            </w:pPr>
            <w:r>
              <w:rPr>
                <w:rFonts w:ascii="Arial" w:cs="Arial" w:eastAsia="Arial" w:hAnsi="Arial"/>
                <w:sz w:val="13"/>
                <w:szCs w:val="13"/>
                <w:color w:val="auto"/>
              </w:rPr>
              <w:t>7.8% Cash, 1 Month Libor (1.00%) + 6.75%; Libor</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5/21</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2,291,667</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2,282,155</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2,230,917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Luminii LLC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w w:val="91"/>
              </w:rPr>
              <w:t>(8)(13)(14)(23)</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4"/>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Revolver</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Construction &amp; Building</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343,473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309,620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329,717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Construction &amp; Building</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1</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7,098,610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6,398,971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6,909,077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Mag Ds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4/27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3,362,916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3,846,136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11/23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8,098,134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7,238,281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8,098,134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(8)(13)(14)(23)</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0.5%</w:t>
            </w:r>
          </w:p>
        </w:tc>
        <w:tc>
          <w:tcPr>
            <w:tcW w:w="26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Cash, Due 11/22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w w:val="96"/>
              </w:rPr>
              <w:t>Junior Secured Loan — April 2018 Incremental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Electronics</w:t>
            </w:r>
          </w:p>
        </w:tc>
        <w:tc>
          <w:tcPr>
            <w:tcW w:w="680" w:type="dxa"/>
            <w:vAlign w:val="bottom"/>
            <w:shd w:val="clear" w:color="auto" w:fill="CFF0FC"/>
          </w:tcPr>
          <w:p>
            <w:pPr>
              <w:spacing w:after="0"/>
              <w:rPr>
                <w:sz w:val="11"/>
                <w:szCs w:val="11"/>
                <w:color w:val="auto"/>
              </w:rPr>
            </w:pPr>
          </w:p>
        </w:tc>
        <w:tc>
          <w:tcPr>
            <w:tcW w:w="3000" w:type="dxa"/>
            <w:vAlign w:val="bottom"/>
            <w:gridSpan w:val="6"/>
            <w:shd w:val="clear" w:color="auto" w:fill="CFF0FC"/>
          </w:tcPr>
          <w:p>
            <w:pPr>
              <w:ind w:left="40"/>
              <w:spacing w:after="0" w:line="135" w:lineRule="exact"/>
              <w:rPr>
                <w:sz w:val="20"/>
                <w:szCs w:val="20"/>
                <w:color w:val="auto"/>
              </w:rPr>
            </w:pPr>
            <w:r>
              <w:rPr>
                <w:rFonts w:ascii="Arial" w:cs="Arial" w:eastAsia="Arial" w:hAnsi="Arial"/>
                <w:sz w:val="13"/>
                <w:szCs w:val="13"/>
                <w:color w:val="auto"/>
              </w:rPr>
              <w:t>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5,646,424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5,838,600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Mother's Market &amp; Kitchen,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6.8%</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(1.25%)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1.25% , Due 7/23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6,584,476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5,909,461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6,584,476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64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3"/>
              </w:rPr>
              <w:t>(First Lien)</w:t>
            </w:r>
          </w:p>
        </w:tc>
        <w:tc>
          <w:tcPr>
            <w:tcW w:w="80" w:type="dxa"/>
            <w:vAlign w:val="bottom"/>
            <w:shd w:val="clear" w:color="auto" w:fill="CFF0FC"/>
          </w:tcPr>
          <w:p>
            <w:pPr>
              <w:spacing w:after="0"/>
              <w:rPr>
                <w:sz w:val="11"/>
                <w:szCs w:val="11"/>
                <w:color w:val="auto"/>
              </w:rPr>
            </w:pPr>
          </w:p>
        </w:tc>
        <w:tc>
          <w:tcPr>
            <w:tcW w:w="2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6/22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2,930,103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2,934,888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2,897,286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7,023,529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6,943,102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6,944,866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Nasco Healthcare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Non-durable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4,288,015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3,754,315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4,195,823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(8)(14)(18)(21)</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Electronics</w:t>
            </w:r>
          </w:p>
        </w:tc>
        <w:tc>
          <w:tcPr>
            <w:tcW w:w="680" w:type="dxa"/>
            <w:vAlign w:val="bottom"/>
            <w:shd w:val="clear" w:color="auto" w:fill="CFF0FC"/>
          </w:tcPr>
          <w:p>
            <w:pPr>
              <w:spacing w:after="0"/>
              <w:rPr>
                <w:sz w:val="11"/>
                <w:szCs w:val="11"/>
                <w:color w:val="auto"/>
              </w:rPr>
            </w:pPr>
          </w:p>
        </w:tc>
        <w:tc>
          <w:tcPr>
            <w:tcW w:w="64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80" w:type="dxa"/>
            <w:vAlign w:val="bottom"/>
            <w:shd w:val="clear" w:color="auto" w:fill="CFF0FC"/>
          </w:tcPr>
          <w:p>
            <w:pPr>
              <w:spacing w:after="0"/>
              <w:rPr>
                <w:sz w:val="11"/>
                <w:szCs w:val="11"/>
                <w:color w:val="auto"/>
              </w:rPr>
            </w:pPr>
          </w:p>
        </w:tc>
        <w:tc>
          <w:tcPr>
            <w:tcW w:w="2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7.1%</w:t>
            </w: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1</w:t>
            </w:r>
          </w:p>
        </w:tc>
        <w:tc>
          <w:tcPr>
            <w:tcW w:w="2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6"/>
              </w:rPr>
              <w:t>Month Libor (0.10%) + 7.00%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7,264,405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7,533,180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6"/>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6"/>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459,558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414,423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449,310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Naviga Inc.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w w:val="91"/>
              </w:rPr>
              <w:t>(8)(13)(14)(23)</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Revolver</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383,812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368,528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5,025,116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4,532,141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4,913,056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(8)(13)(23)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759,455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751,696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742,519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715,478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700,857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699,522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Novetta Solutions,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1,933,499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1,742,229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1,935,916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Northeast Metal Works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(8)(13)(18)</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Metals &amp; Mining</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2.0% PIK, Due 12/21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13,931,318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11,810,914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12,259,560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w w:val="97"/>
              </w:rPr>
              <w:t>Senior Secured Loan — Incremental First Lien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1,532,033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1,359,032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1,532,033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2,535,121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2,244,309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2,535,121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741,306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657,596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741,306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One Stop Mailing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Transportation: Consumer</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4/27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7,843,313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7,840,000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3/27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1,108,250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4,887,444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4,829,337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4,826,840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20" w:type="dxa"/>
            <w:vAlign w:val="bottom"/>
            <w:gridSpan w:val="2"/>
          </w:tcPr>
          <w:p>
            <w:pPr>
              <w:ind w:left="90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2"/>
          </w:tcPr>
          <w:p>
            <w:pPr>
              <w:ind w:left="4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11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CFF0FC"/>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Priority Holdings,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298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vMerge w:val="continue"/>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7.8%</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6 Month Libor (1.00%) + 6.75%;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4/27</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3,728,814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3,655,243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3,654,237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Priority Holdings,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Delayed Draw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(23)</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2.9%</w:t>
            </w:r>
          </w:p>
        </w:tc>
        <w:tc>
          <w:tcPr>
            <w:tcW w:w="28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4/27</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4/21/2021</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ProAir Holdings Corporation</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(8)(5)(13)</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Capital Equipment</w:t>
            </w: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13.5% Cash, 2.0% PIK, Due 12/22</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7,776,701</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3,560,102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3,402,307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6"/>
              </w:rPr>
              <w:t>Senior Secured Loan — First Delayed Draw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5.8%</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1 Month Libor (1.00%) + 4.75%;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537,273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533,148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537,273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PromptCare Companies, The</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w w:val="91"/>
              </w:rPr>
              <w:t>Senior Secured Loan — Second Delayed Draw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Healthcare &amp; Pharmaceuticals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(21)(23)</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5.8%</w:t>
            </w:r>
          </w:p>
        </w:tc>
        <w:tc>
          <w:tcPr>
            <w:tcW w:w="28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7"/>
              </w:rPr>
              <w:t>Cash, 1 Month Libor (1.00%) + 4.75%;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443,978</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441,886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443,978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PromptCare Companies, The</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Healthcare &amp; Pharmaceuticals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5.8%</w:t>
            </w:r>
          </w:p>
        </w:tc>
        <w:tc>
          <w:tcPr>
            <w:tcW w:w="28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7"/>
              </w:rPr>
              <w:t>Cash, 1 Month Libor (1.00%) + 4.75%;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3,850,455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3,820,893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3,850,455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Initial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Environmental Industries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9.5%</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1 Month Libor (1.00%) + 8.50%;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10/25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2,966,750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2,852,400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Containers, Packaging and Glass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5.8%</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+ 4.75%;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8/24</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2,800,800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2,793,546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2,584,298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Q Holding Company (fka Lex Precision Corp)</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Chemicals, Plastics &amp; Rubber</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6.0%</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+ 5.00%;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2,366,959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1,983,516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2,314,413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Qualtek USA,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7.3%</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+ 6.25%;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5,585,386</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4,572,328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5,552,796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Redstone Holdco 2 LP</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8.5%</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(0.75%) + 7.75%;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0.75% , Due 4/29</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3,813,333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3,747,933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3,759,298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Redstone Holdco 2 LP</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(8)(23)</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1"/>
              </w:rPr>
              <w:t>Junior Secured Loan — Second Delayed Draw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1.0%</w:t>
            </w:r>
          </w:p>
        </w:tc>
        <w:tc>
          <w:tcPr>
            <w:tcW w:w="28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4/29</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(38,267)</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(30,985)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Radiology Partners,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(8)(14)(21)</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4.3%</w:t>
            </w:r>
          </w:p>
        </w:tc>
        <w:tc>
          <w:tcPr>
            <w:tcW w:w="28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9"/>
              </w:rPr>
              <w:t>Cash, 1 Month Libor (0.08%) + 4.25% , Due 7/25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5,957,986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7,006,825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20" w:type="dxa"/>
            <w:vAlign w:val="bottom"/>
            <w:gridSpan w:val="2"/>
          </w:tcPr>
          <w:p>
            <w:pPr>
              <w:ind w:left="900"/>
              <w:spacing w:after="0" w:line="135" w:lineRule="exact"/>
              <w:rPr>
                <w:sz w:val="20"/>
                <w:szCs w:val="20"/>
                <w:color w:val="auto"/>
              </w:rPr>
            </w:pPr>
            <w:r>
              <w:rPr>
                <w:rFonts w:ascii="Arial" w:cs="Arial" w:eastAsia="Arial" w:hAnsi="Arial"/>
                <w:sz w:val="13"/>
                <w:szCs w:val="13"/>
                <w:b w:val="1"/>
                <w:bCs w:val="1"/>
                <w:color w:val="auto"/>
              </w:rPr>
              <w:t>Investment</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Amortized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gridSpan w:val="2"/>
          </w:tcPr>
          <w:p>
            <w:pPr>
              <w:ind w:left="48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CFF0FC"/>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Radius Aerospace,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298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vMerge w:val="continue"/>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6.8%</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+ 5.75%;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3/25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6,576,000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6,511,731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6,197,880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(5)(8)(13)</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6.0%</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1 Month Libor (1.00%) + 5.00%;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7/21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1,015,351</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247,543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Revolver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0.5%</w:t>
            </w:r>
          </w:p>
        </w:tc>
        <w:tc>
          <w:tcPr>
            <w:tcW w:w="28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7.5%</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+ 6.50%;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7,140,845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6,397,663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7,140,845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Initial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9.0%</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1 Month Libor (1.00%) + 8.00%;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2,982,481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2,612,505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11.3% Cash, Due 3/21</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8,201,777</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8,197,595</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7,894,210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5"/>
              </w:rPr>
              <w:t>Junior Secured Loan — Initial Term Loan (Second Lien)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7.8%</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6 Month Libor (1.00%) + 6.75%;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2/26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631,458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686,350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San Vicente Capital LLC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Telecommunications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9.5%</w:t>
            </w:r>
          </w:p>
        </w:tc>
        <w:tc>
          <w:tcPr>
            <w:tcW w:w="28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7"/>
              </w:rPr>
              <w:t>Cash, 3 Month Libor (1.50%) + 8.00%;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1.50% , Due 6/25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2,934,866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Shipston Group, U.S.,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First Lien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Automotive</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(20)</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7.0%</w:t>
            </w:r>
          </w:p>
        </w:tc>
        <w:tc>
          <w:tcPr>
            <w:tcW w:w="28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8"/>
              </w:rPr>
              <w:t>Cash, 2.0% PIK, 1 Month Libor (1.25%) + 5.75%;</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1.25% , Due 9/23</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6,306,754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5,369,402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6,117,551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Smartronix,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8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Services: Business</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7.5%</w:t>
            </w:r>
          </w:p>
        </w:tc>
        <w:tc>
          <w:tcPr>
            <w:tcW w:w="28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7"/>
              </w:rPr>
              <w:t>Cash, 3 Month Libor (1.50%) + 6.00%; Libor Floor</w:t>
            </w: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1.50% , Due 12/25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5/1/2020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8,499,730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8,307,396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8,435,982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Software Luxembourg Acquisition S.a r.l.</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(13)</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Second Out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8.5%</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+ 7.50%;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1/00</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1,622,542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South Street Securities Holdings, Inc</w:t>
            </w:r>
          </w:p>
        </w:tc>
        <w:tc>
          <w:tcPr>
            <w:tcW w:w="840" w:type="dxa"/>
            <w:vAlign w:val="bottom"/>
            <w:tcBorders>
              <w:right w:val="single" w:sz="8" w:color="CFF0FC"/>
            </w:tcBorders>
            <w:gridSpan w:val="2"/>
            <w:shd w:val="clear" w:color="auto" w:fill="CFF0FC"/>
          </w:tcPr>
          <w:p>
            <w:pPr>
              <w:ind w:left="260"/>
              <w:spacing w:after="0"/>
              <w:rPr>
                <w:sz w:val="20"/>
                <w:szCs w:val="20"/>
                <w:color w:val="auto"/>
              </w:rPr>
            </w:pPr>
            <w:r>
              <w:rPr>
                <w:rFonts w:ascii="Arial" w:cs="Arial" w:eastAsia="Arial" w:hAnsi="Arial"/>
                <w:sz w:val="11"/>
                <w:szCs w:val="11"/>
                <w:color w:val="auto"/>
              </w:rPr>
              <w:t>(8)(13)(14)</w:t>
            </w:r>
          </w:p>
        </w:tc>
        <w:tc>
          <w:tcPr>
            <w:tcW w:w="310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w w:val="97"/>
              </w:rPr>
              <w:t>Banking, Finance, Insurance &amp; Real Estate</w:t>
            </w:r>
          </w:p>
        </w:tc>
        <w:tc>
          <w:tcPr>
            <w:tcW w:w="26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9.0%</w:t>
            </w:r>
          </w:p>
        </w:tc>
        <w:tc>
          <w:tcPr>
            <w:tcW w:w="28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7"/>
              </w:rPr>
              <w:t>Cash, 3 Month Libor (1.00%) + 8.00%; Libor Floor</w:t>
            </w: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80" w:type="dxa"/>
            <w:vAlign w:val="bottom"/>
            <w:tcBorders>
              <w:right w:val="single" w:sz="8" w:color="CFF0FC"/>
            </w:tcBorders>
            <w:shd w:val="clear" w:color="auto" w:fill="CFF0FC"/>
          </w:tcPr>
          <w:p>
            <w:pPr>
              <w:spacing w:after="0"/>
              <w:rPr>
                <w:sz w:val="12"/>
                <w:szCs w:val="12"/>
                <w:color w:val="auto"/>
              </w:rPr>
            </w:pPr>
          </w:p>
        </w:tc>
        <w:tc>
          <w:tcPr>
            <w:tcW w:w="310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3/26</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6,834,488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6,855,100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1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160" w:type="dxa"/>
            <w:vAlign w:val="bottom"/>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3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11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South Street Securities Holdings,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100" w:type="dxa"/>
            <w:vAlign w:val="bottom"/>
            <w:tcBorders>
              <w:top w:val="single" w:sz="8" w:color="CFF0FC"/>
            </w:tcBorders>
            <w:shd w:val="clear" w:color="auto" w:fill="CFF0FC"/>
          </w:tcPr>
          <w:p>
            <w:pPr>
              <w:spacing w:after="0"/>
              <w:rPr>
                <w:sz w:val="11"/>
                <w:szCs w:val="11"/>
                <w:color w:val="auto"/>
              </w:rPr>
            </w:pPr>
          </w:p>
        </w:tc>
        <w:tc>
          <w:tcPr>
            <w:tcW w:w="2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Promissory Note</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Banking, Finance, Insurance &amp; Real Estate</w:t>
            </w: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Due 7/21</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6/30/2021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2,495,000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Sundance Holdings Group, LLC</w:t>
            </w:r>
          </w:p>
        </w:tc>
        <w:tc>
          <w:tcPr>
            <w:tcW w:w="3600" w:type="dxa"/>
            <w:vAlign w:val="bottom"/>
            <w:gridSpan w:val="4"/>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(8)(13)(14)(20) </w:t>
            </w:r>
            <w:r>
              <w:rPr>
                <w:rFonts w:ascii="Arial" w:cs="Arial" w:eastAsia="Arial" w:hAnsi="Arial"/>
                <w:sz w:val="12"/>
                <w:szCs w:val="12"/>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Retail</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7.0% Cash, 3 Month Libor (1.00%)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5/24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6,792,219</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5,895,874</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6,743,994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Surge Busy Bee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w w:val="95"/>
              </w:rPr>
              <w:t>10.1% Cash, 1 Month Libor (0.10%) + 10.00%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11/22</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3,518,750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3,212,112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3,423,744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Surge Busy Bee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12.0% Cash, 2.0% PIK, Due 11/22</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3,540,127</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3,126,087</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3,327,719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Surge Busy Bee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(8)(13)(23)</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Revolver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0.8% Cash, Due 11/21</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Surge Hippodrome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(8)(13)(18)</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Last Out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w w:val="95"/>
              </w:rPr>
              <w:t>13.5% Cash, 3 Month Libor (2.00%) + 11.50%;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2.00% , Due 8/24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4,821,183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5,148,780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Syncsort Incorporated</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5.0% Cash, 1 Month Libor (0.75%) + 4.25%;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0.75% , Due 3/28</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2,440,763</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2,428,836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2,441,983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Initial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6.0% Cash, 3 Month Libor (1.00%)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5/25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4,843,462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4,918,620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Unsecured Bond — 10.00% - 02/2022 -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TankConvert</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10.0% PIK, Due 2/22</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507,044</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416,170</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TA/Weg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(8)(13)(23)</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w w:val="99"/>
              </w:rPr>
              <w:t>Senior Secured Loan — Delayed Draw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Banking, Finance, Insurance &amp; Real Estate</w:t>
            </w: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0.5% Cash, Due 12/25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6/3/2021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(49,152)</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Textiles and Leather</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11.0% Cash, 0.5% PIK, 1 Month Libor (1.00%) +</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10.00%; Libor Floor 1.00% , Due 8/24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12,521,550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12,402,666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11,071,555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Edelman Financial Center,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w w:val="99"/>
              </w:rPr>
              <w:t>Junior Secured Loan — Initial Term Loan (Second</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6.9% Cash, 1 Month Libor (0.10%) + 6.75%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275,082</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302,282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Theragenics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9.5% Cash, 3 Month Libor (1.00%) + 8.50%;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5/24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7,643,935</w:t>
            </w: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6,691,536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7,465,831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9"/>
              </w:rPr>
              <w:t>Initial</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Investment</w:t>
            </w:r>
          </w:p>
        </w:tc>
        <w:tc>
          <w:tcPr>
            <w:tcW w:w="124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Interest Rate¹ / Maturity</w:t>
            </w:r>
            <w:r>
              <w:rPr>
                <w:rFonts w:ascii="Arial" w:cs="Arial" w:eastAsia="Arial" w:hAnsi="Arial"/>
                <w:sz w:val="10"/>
                <w:szCs w:val="10"/>
                <w:b w:val="1"/>
                <w:bCs w:val="1"/>
                <w:color w:val="auto"/>
                <w:w w:val="91"/>
              </w:rPr>
              <w:t>15</w:t>
            </w:r>
          </w:p>
        </w:tc>
        <w:tc>
          <w:tcPr>
            <w:tcW w:w="12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jc w:val="right"/>
              <w:ind w:right="15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TLE Holdings, LLC</w:t>
            </w:r>
          </w:p>
        </w:tc>
        <w:tc>
          <w:tcPr>
            <w:tcW w:w="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color w:val="auto"/>
                <w:w w:val="94"/>
              </w:rPr>
              <w:t>(8)(13)(14)(21)</w:t>
            </w:r>
          </w:p>
        </w:tc>
        <w:tc>
          <w:tcPr>
            <w:tcW w:w="2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Education and Childcare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7.0% Cash, 6 Month Libor (1.00%)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6/24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5,602,279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5,586,603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5,542,895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TLE Holdings, LLC</w:t>
            </w:r>
          </w:p>
        </w:tc>
        <w:tc>
          <w:tcPr>
            <w:tcW w:w="3600" w:type="dxa"/>
            <w:vAlign w:val="bottom"/>
            <w:gridSpan w:val="4"/>
            <w:shd w:val="clear" w:color="auto" w:fill="CFF0FC"/>
          </w:tcPr>
          <w:p>
            <w:pPr>
              <w:spacing w:after="0" w:line="126"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Delayed Draw Term Loan</w:t>
            </w:r>
          </w:p>
        </w:tc>
        <w:tc>
          <w:tcPr>
            <w:tcW w:w="10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Healthcare, Education and Childcare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(23)</w:t>
            </w:r>
          </w:p>
        </w:tc>
        <w:tc>
          <w:tcPr>
            <w:tcW w:w="3000" w:type="dxa"/>
            <w:vAlign w:val="bottom"/>
            <w:gridSpan w:val="3"/>
            <w:shd w:val="clear" w:color="auto" w:fill="CFF0FC"/>
          </w:tcPr>
          <w:p>
            <w:pPr>
              <w:ind w:left="100"/>
              <w:spacing w:after="0" w:line="143" w:lineRule="exact"/>
              <w:rPr>
                <w:sz w:val="20"/>
                <w:szCs w:val="20"/>
                <w:color w:val="auto"/>
              </w:rPr>
            </w:pPr>
            <w:r>
              <w:rPr>
                <w:rFonts w:ascii="Arial" w:cs="Arial" w:eastAsia="Arial" w:hAnsi="Arial"/>
                <w:sz w:val="13"/>
                <w:szCs w:val="13"/>
                <w:color w:val="auto"/>
              </w:rPr>
              <w:t>7.0% Cash, 6 Month Libor (1.00%) + 6.00%; Libor</w:t>
            </w: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6/24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739,107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738,077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731,253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Travelport Finance (Luxembourg) S.A R.L.</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5.2% Cash, 3 Month Libor (0.20%) + 5.00%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5/26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100,742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Triangle Home Fashions LLC</w:t>
            </w:r>
          </w:p>
        </w:tc>
        <w:tc>
          <w:tcPr>
            <w:tcW w:w="3600" w:type="dxa"/>
            <w:vAlign w:val="bottom"/>
            <w:gridSpan w:val="4"/>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(8)(13)(14)(20) </w:t>
            </w:r>
            <w:r>
              <w:rPr>
                <w:rFonts w:ascii="Arial" w:cs="Arial" w:eastAsia="Arial" w:hAnsi="Arial"/>
                <w:sz w:val="12"/>
                <w:szCs w:val="12"/>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6.8% Cash, 1 Month Libor (1.00%) + 5.75%;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3/23</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9,512,881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Trident Technologies,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7.5% Cash, 3 Month Libor (1.50%) + 6.00%;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1.50% , Due 12/25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5/10/2021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1,428,571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1,418,138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1,417,857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w w:val="94"/>
              </w:rPr>
              <w:t>Senior Secured Loan — Initial Term Loan (First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5.8% Cash, 3 Month Libor (1.00%) + 4.75%;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9/23</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919,060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918,174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834,782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w w:val="95"/>
              </w:rPr>
              <w:t>14.0% Cash, 1 Month Libor (1.00%) + 13.00%;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12/20</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Junior Secured Loan — Promissory Note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Energy: Oil &amp; Gas</w:t>
            </w: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1.7% PIK, Due 1/25</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72,236</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72,236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Chemicals, Plastics &amp; Rubber</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7.4% Cash, 1 Month Libor (0.10%) + 7.25% , Due</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358,955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392,668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VTK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(8)(13)(18)</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Revolver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6.8% Cash, 3 Month Libor (0.25%) + 6.50%;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0.25% , Due 12/21</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1,536,097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1,440,454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1,530,106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VTK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(8)(13)(18)</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8.3% Cash, 3 Month Libor (0.25%) + 8.00%;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0.25% , Due 3/22</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6/9/2021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2,452,348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2,595,880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100"/>
              <w:spacing w:after="0" w:line="134" w:lineRule="exact"/>
              <w:rPr>
                <w:sz w:val="20"/>
                <w:szCs w:val="20"/>
                <w:color w:val="auto"/>
              </w:rPr>
            </w:pPr>
            <w:r>
              <w:rPr>
                <w:rFonts w:ascii="Arial" w:cs="Arial" w:eastAsia="Arial" w:hAnsi="Arial"/>
                <w:sz w:val="13"/>
                <w:szCs w:val="13"/>
                <w:color w:val="auto"/>
                <w:w w:val="99"/>
              </w:rPr>
              <w:t>Junior Secured Loan — Initial Term Loan (Second</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w w:val="97"/>
              </w:rPr>
              <w:t>10.0% Cash, 6 Month Libor (1.00%) + 9.00%;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9/24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2,777,778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2,760,833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2,694,444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3600" w:type="dxa"/>
            <w:vAlign w:val="bottom"/>
            <w:gridSpan w:val="4"/>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(8)(13)(14)(21) </w:t>
            </w:r>
            <w:r>
              <w:rPr>
                <w:rFonts w:ascii="Arial" w:cs="Arial" w:eastAsia="Arial" w:hAnsi="Arial"/>
                <w:sz w:val="12"/>
                <w:szCs w:val="12"/>
                <w:color w:val="auto"/>
              </w:rPr>
              <w:t>Senior Secured Loan — Term Loan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Media: Diversified &amp; Production</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6.0% Cash, 3 Month Libor (1.00%) + 5.00%;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11/24</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2,515,516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3600" w:type="dxa"/>
            <w:vAlign w:val="bottom"/>
            <w:gridSpan w:val="4"/>
            <w:shd w:val="clear" w:color="auto" w:fill="CFF0FC"/>
          </w:tcPr>
          <w:p>
            <w:pPr>
              <w:spacing w:after="0" w:line="134" w:lineRule="exact"/>
              <w:rPr>
                <w:sz w:val="20"/>
                <w:szCs w:val="20"/>
                <w:color w:val="auto"/>
              </w:rPr>
            </w:pPr>
            <w:r>
              <w:rPr>
                <w:rFonts w:ascii="Arial" w:cs="Arial" w:eastAsia="Arial" w:hAnsi="Arial"/>
                <w:sz w:val="11"/>
                <w:szCs w:val="11"/>
                <w:color w:val="auto"/>
              </w:rPr>
              <w:t xml:space="preserve">(8)(13)(14)(18) </w:t>
            </w:r>
            <w:r>
              <w:rPr>
                <w:rFonts w:ascii="Arial" w:cs="Arial" w:eastAsia="Arial" w:hAnsi="Arial"/>
                <w:sz w:val="12"/>
                <w:szCs w:val="12"/>
                <w:color w:val="auto"/>
              </w:rPr>
              <w:t>Junior Secured Loan — Initial Term Loan (Second</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Education and Childcare</w:t>
            </w: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Lien)</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100"/>
              <w:spacing w:after="0" w:line="135" w:lineRule="exact"/>
              <w:rPr>
                <w:sz w:val="20"/>
                <w:szCs w:val="20"/>
                <w:color w:val="auto"/>
              </w:rPr>
            </w:pPr>
            <w:r>
              <w:rPr>
                <w:rFonts w:ascii="Arial" w:cs="Arial" w:eastAsia="Arial" w:hAnsi="Arial"/>
                <w:sz w:val="13"/>
                <w:szCs w:val="13"/>
                <w:color w:val="auto"/>
              </w:rPr>
              <w:t>8.5% Cash, 1 Month Libor (1.00%) + 7.50%; Libor</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Floor 1.00% , Due 3/26</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3,486,780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86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84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Total Investment in Debt Securities</w:t>
            </w:r>
          </w:p>
        </w:tc>
        <w:tc>
          <w:tcPr>
            <w:tcW w:w="6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7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4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(156% of net asset value at fair value)</w:t>
            </w: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449,562,516</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410,719,636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419,647,553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Equity Securities Portfolio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Portfolio Company /</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740" w:type="dxa"/>
            <w:vAlign w:val="bottom"/>
          </w:tcPr>
          <w:p>
            <w:pPr>
              <w:spacing w:after="0"/>
              <w:rPr>
                <w:sz w:val="13"/>
                <w:szCs w:val="13"/>
                <w:color w:val="auto"/>
              </w:rPr>
            </w:pPr>
          </w:p>
        </w:tc>
        <w:tc>
          <w:tcPr>
            <w:tcW w:w="2880" w:type="dxa"/>
            <w:vAlign w:val="bottom"/>
          </w:tcPr>
          <w:p>
            <w:pPr>
              <w:ind w:left="10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4L Ultimate Topco Corporation</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Common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Electronics</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2520" w:type="dxa"/>
            <w:vAlign w:val="bottom"/>
            <w:gridSpan w:val="2"/>
          </w:tcPr>
          <w:p>
            <w:pPr>
              <w:spacing w:after="0"/>
              <w:rPr>
                <w:sz w:val="20"/>
                <w:szCs w:val="20"/>
                <w:color w:val="auto"/>
              </w:rPr>
            </w:pPr>
            <w:r>
              <w:rPr>
                <w:rFonts w:ascii="Arial" w:cs="Arial" w:eastAsia="Arial" w:hAnsi="Arial"/>
                <w:sz w:val="13"/>
                <w:szCs w:val="13"/>
                <w:color w:val="auto"/>
              </w:rPr>
              <w:t>AAPC Holdings, LLC</w:t>
            </w:r>
          </w:p>
        </w:tc>
        <w:tc>
          <w:tcPr>
            <w:tcW w:w="740" w:type="dxa"/>
            <w:vAlign w:val="bottom"/>
          </w:tcPr>
          <w:p>
            <w:pPr>
              <w:spacing w:after="0"/>
              <w:rPr>
                <w:sz w:val="20"/>
                <w:szCs w:val="20"/>
                <w:color w:val="auto"/>
              </w:rPr>
            </w:pPr>
            <w:r>
              <w:rPr>
                <w:rFonts w:ascii="Arial" w:cs="Arial" w:eastAsia="Arial" w:hAnsi="Arial"/>
                <w:sz w:val="11"/>
                <w:szCs w:val="11"/>
                <w:color w:val="auto"/>
                <w:w w:val="99"/>
              </w:rPr>
              <w:t>(8)(13)(21)(22)</w:t>
            </w:r>
          </w:p>
        </w:tc>
        <w:tc>
          <w:tcPr>
            <w:tcW w:w="2880" w:type="dxa"/>
            <w:vAlign w:val="bottom"/>
          </w:tcPr>
          <w:p>
            <w:pPr>
              <w:spacing w:after="0"/>
              <w:rPr>
                <w:sz w:val="20"/>
                <w:szCs w:val="20"/>
                <w:color w:val="auto"/>
              </w:rPr>
            </w:pPr>
            <w:r>
              <w:rPr>
                <w:rFonts w:ascii="Arial" w:cs="Arial" w:eastAsia="Arial" w:hAnsi="Arial"/>
                <w:sz w:val="13"/>
                <w:szCs w:val="13"/>
                <w:color w:val="auto"/>
              </w:rPr>
              <w:t>Class A Preferred Units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Healthcare &amp; Pharmaceuticals</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Advantage Capital Holdings LLC</w:t>
            </w:r>
          </w:p>
        </w:tc>
        <w:tc>
          <w:tcPr>
            <w:tcW w:w="740" w:type="dxa"/>
            <w:vAlign w:val="bottom"/>
          </w:tcPr>
          <w:p>
            <w:pPr>
              <w:spacing w:after="0"/>
              <w:rPr>
                <w:sz w:val="20"/>
                <w:szCs w:val="20"/>
                <w:color w:val="auto"/>
              </w:rPr>
            </w:pPr>
            <w:r>
              <w:rPr>
                <w:rFonts w:ascii="Arial" w:cs="Arial" w:eastAsia="Arial" w:hAnsi="Arial"/>
                <w:sz w:val="11"/>
                <w:szCs w:val="11"/>
                <w:color w:val="auto"/>
                <w:w w:val="99"/>
              </w:rPr>
              <w:t>(8)(13)(19)(22)</w:t>
            </w:r>
          </w:p>
        </w:tc>
        <w:tc>
          <w:tcPr>
            <w:tcW w:w="2880" w:type="dxa"/>
            <w:vAlign w:val="bottom"/>
          </w:tcPr>
          <w:p>
            <w:pPr>
              <w:spacing w:after="0"/>
              <w:rPr>
                <w:sz w:val="20"/>
                <w:szCs w:val="20"/>
                <w:color w:val="auto"/>
              </w:rPr>
            </w:pPr>
            <w:r>
              <w:rPr>
                <w:rFonts w:ascii="Arial" w:cs="Arial" w:eastAsia="Arial" w:hAnsi="Arial"/>
                <w:sz w:val="13"/>
                <w:szCs w:val="13"/>
                <w:color w:val="auto"/>
              </w:rPr>
              <w:t>Class A Membership Units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w w:val="94"/>
              </w:rPr>
              <w:t>Banking, Finance, Insurance &amp; Real Estate</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Anthem Sports &amp; Entertainment Inc.</w:t>
            </w:r>
          </w:p>
        </w:tc>
        <w:tc>
          <w:tcPr>
            <w:tcW w:w="740" w:type="dxa"/>
            <w:vAlign w:val="bottom"/>
          </w:tcPr>
          <w:p>
            <w:pPr>
              <w:spacing w:after="0"/>
              <w:rPr>
                <w:sz w:val="20"/>
                <w:szCs w:val="20"/>
                <w:color w:val="auto"/>
              </w:rPr>
            </w:pPr>
            <w:r>
              <w:rPr>
                <w:rFonts w:ascii="Arial" w:cs="Arial" w:eastAsia="Arial" w:hAnsi="Arial"/>
                <w:sz w:val="11"/>
                <w:szCs w:val="11"/>
                <w:color w:val="auto"/>
                <w:w w:val="99"/>
              </w:rPr>
              <w:t>(8)(13)(19)(21)</w:t>
            </w:r>
          </w:p>
        </w:tc>
        <w:tc>
          <w:tcPr>
            <w:tcW w:w="2880" w:type="dxa"/>
            <w:vAlign w:val="bottom"/>
          </w:tcPr>
          <w:p>
            <w:pPr>
              <w:spacing w:after="0"/>
              <w:rPr>
                <w:sz w:val="20"/>
                <w:szCs w:val="20"/>
                <w:color w:val="auto"/>
              </w:rPr>
            </w:pPr>
            <w:r>
              <w:rPr>
                <w:rFonts w:ascii="Arial" w:cs="Arial" w:eastAsia="Arial" w:hAnsi="Arial"/>
                <w:sz w:val="13"/>
                <w:szCs w:val="13"/>
                <w:color w:val="auto"/>
              </w:rPr>
              <w:t>Warrant Class 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Media: Broadcasting &amp; Subscription</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Anthem Sports &amp; Entertainment Inc.</w:t>
            </w:r>
          </w:p>
        </w:tc>
        <w:tc>
          <w:tcPr>
            <w:tcW w:w="740" w:type="dxa"/>
            <w:vAlign w:val="bottom"/>
          </w:tcPr>
          <w:p>
            <w:pPr>
              <w:spacing w:after="0"/>
              <w:rPr>
                <w:sz w:val="20"/>
                <w:szCs w:val="20"/>
                <w:color w:val="auto"/>
              </w:rPr>
            </w:pPr>
            <w:r>
              <w:rPr>
                <w:rFonts w:ascii="Arial" w:cs="Arial" w:eastAsia="Arial" w:hAnsi="Arial"/>
                <w:sz w:val="11"/>
                <w:szCs w:val="11"/>
                <w:color w:val="auto"/>
                <w:w w:val="99"/>
              </w:rPr>
              <w:t>(8)(13)(19)(21)</w:t>
            </w:r>
          </w:p>
        </w:tc>
        <w:tc>
          <w:tcPr>
            <w:tcW w:w="2880" w:type="dxa"/>
            <w:vAlign w:val="bottom"/>
          </w:tcPr>
          <w:p>
            <w:pPr>
              <w:spacing w:after="0"/>
              <w:rPr>
                <w:sz w:val="20"/>
                <w:szCs w:val="20"/>
                <w:color w:val="auto"/>
              </w:rPr>
            </w:pPr>
            <w:r>
              <w:rPr>
                <w:rFonts w:ascii="Arial" w:cs="Arial" w:eastAsia="Arial" w:hAnsi="Arial"/>
                <w:sz w:val="13"/>
                <w:szCs w:val="13"/>
                <w:color w:val="auto"/>
              </w:rPr>
              <w:t>Warrant Class B</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Media: Broadcasting &amp; Subscription</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Anthem Sports &amp; Entertainment Inc.</w:t>
            </w:r>
          </w:p>
        </w:tc>
        <w:tc>
          <w:tcPr>
            <w:tcW w:w="740" w:type="dxa"/>
            <w:vAlign w:val="bottom"/>
          </w:tcPr>
          <w:p>
            <w:pPr>
              <w:spacing w:after="0"/>
              <w:rPr>
                <w:sz w:val="20"/>
                <w:szCs w:val="20"/>
                <w:color w:val="auto"/>
              </w:rPr>
            </w:pPr>
            <w:r>
              <w:rPr>
                <w:rFonts w:ascii="Arial" w:cs="Arial" w:eastAsia="Arial" w:hAnsi="Arial"/>
                <w:sz w:val="11"/>
                <w:szCs w:val="11"/>
                <w:color w:val="auto"/>
                <w:w w:val="99"/>
              </w:rPr>
              <w:t>(8)(13)(19)(21)</w:t>
            </w:r>
          </w:p>
        </w:tc>
        <w:tc>
          <w:tcPr>
            <w:tcW w:w="2880" w:type="dxa"/>
            <w:vAlign w:val="bottom"/>
          </w:tcPr>
          <w:p>
            <w:pPr>
              <w:spacing w:after="0"/>
              <w:rPr>
                <w:sz w:val="20"/>
                <w:szCs w:val="20"/>
                <w:color w:val="auto"/>
              </w:rPr>
            </w:pPr>
            <w:r>
              <w:rPr>
                <w:rFonts w:ascii="Arial" w:cs="Arial" w:eastAsia="Arial" w:hAnsi="Arial"/>
                <w:sz w:val="13"/>
                <w:szCs w:val="13"/>
                <w:color w:val="auto"/>
              </w:rPr>
              <w:t>Warrant Common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Media: Broadcasting &amp; Subscription</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ATP Oil &amp; Gas Corporation</w:t>
            </w:r>
          </w:p>
        </w:tc>
        <w:tc>
          <w:tcPr>
            <w:tcW w:w="740" w:type="dxa"/>
            <w:vAlign w:val="bottom"/>
          </w:tcPr>
          <w:p>
            <w:pPr>
              <w:spacing w:after="0"/>
              <w:rPr>
                <w:sz w:val="20"/>
                <w:szCs w:val="20"/>
                <w:color w:val="auto"/>
              </w:rPr>
            </w:pPr>
            <w:r>
              <w:rPr>
                <w:rFonts w:ascii="Arial" w:cs="Arial" w:eastAsia="Arial" w:hAnsi="Arial"/>
                <w:sz w:val="11"/>
                <w:szCs w:val="11"/>
                <w:color w:val="auto"/>
                <w:w w:val="99"/>
              </w:rPr>
              <w:t>(8)(12)(13)(19)</w:t>
            </w:r>
          </w:p>
        </w:tc>
        <w:tc>
          <w:tcPr>
            <w:tcW w:w="2880" w:type="dxa"/>
            <w:vAlign w:val="bottom"/>
          </w:tcPr>
          <w:p>
            <w:pPr>
              <w:spacing w:after="0"/>
              <w:rPr>
                <w:sz w:val="20"/>
                <w:szCs w:val="20"/>
                <w:color w:val="auto"/>
              </w:rPr>
            </w:pPr>
            <w:r>
              <w:rPr>
                <w:rFonts w:ascii="Arial" w:cs="Arial" w:eastAsia="Arial" w:hAnsi="Arial"/>
                <w:sz w:val="13"/>
                <w:szCs w:val="13"/>
                <w:color w:val="auto"/>
              </w:rPr>
              <w:t>Limited Term Royalty Interest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Energy: Oil &amp; Gas</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BMP Slappey Holdco, LLC</w:t>
            </w:r>
          </w:p>
        </w:tc>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Preferred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Telecommunications</w:t>
            </w:r>
          </w:p>
        </w:tc>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BMP Slappey Holdco, LLC</w:t>
            </w:r>
          </w:p>
        </w:tc>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Preferred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Telecommunications</w:t>
            </w:r>
          </w:p>
        </w:tc>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20" w:type="dxa"/>
            <w:vAlign w:val="bottom"/>
            <w:gridSpan w:val="2"/>
          </w:tcPr>
          <w:p>
            <w:pPr>
              <w:spacing w:after="0"/>
              <w:rPr>
                <w:sz w:val="20"/>
                <w:szCs w:val="20"/>
                <w:color w:val="auto"/>
              </w:rPr>
            </w:pPr>
            <w:r>
              <w:rPr>
                <w:rFonts w:ascii="Arial" w:cs="Arial" w:eastAsia="Arial" w:hAnsi="Arial"/>
                <w:sz w:val="13"/>
                <w:szCs w:val="13"/>
                <w:color w:val="auto"/>
              </w:rPr>
              <w:t>Brite Media LLC</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w w:val="99"/>
              </w:rPr>
              <w:t>Media: Advertising, Printing &amp; Publishing</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Centric Brands Inc.</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Common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Machinery (Non-Agrclt/Constr/Electr)</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2520" w:type="dxa"/>
            <w:vAlign w:val="bottom"/>
            <w:gridSpan w:val="2"/>
          </w:tcPr>
          <w:p>
            <w:pPr>
              <w:spacing w:after="0"/>
              <w:rPr>
                <w:sz w:val="20"/>
                <w:szCs w:val="20"/>
                <w:color w:val="auto"/>
              </w:rPr>
            </w:pPr>
            <w:r>
              <w:rPr>
                <w:rFonts w:ascii="Arial" w:cs="Arial" w:eastAsia="Arial" w:hAnsi="Arial"/>
                <w:sz w:val="13"/>
                <w:szCs w:val="13"/>
                <w:color w:val="auto"/>
              </w:rPr>
              <w:t>Coastal Screen and Rail, LLC</w:t>
            </w:r>
          </w:p>
        </w:tc>
        <w:tc>
          <w:tcPr>
            <w:tcW w:w="740" w:type="dxa"/>
            <w:vAlign w:val="bottom"/>
          </w:tcPr>
          <w:p>
            <w:pPr>
              <w:spacing w:after="0"/>
              <w:rPr>
                <w:sz w:val="20"/>
                <w:szCs w:val="20"/>
                <w:color w:val="auto"/>
              </w:rPr>
            </w:pPr>
            <w:r>
              <w:rPr>
                <w:rFonts w:ascii="Arial" w:cs="Arial" w:eastAsia="Arial" w:hAnsi="Arial"/>
                <w:sz w:val="11"/>
                <w:szCs w:val="11"/>
                <w:color w:val="auto"/>
                <w:w w:val="99"/>
              </w:rPr>
              <w:t>(8)(13)(19)(25)</w:t>
            </w:r>
          </w:p>
        </w:tc>
        <w:tc>
          <w:tcPr>
            <w:tcW w:w="2880" w:type="dxa"/>
            <w:vAlign w:val="bottom"/>
          </w:tcPr>
          <w:p>
            <w:pPr>
              <w:spacing w:after="0"/>
              <w:rPr>
                <w:sz w:val="20"/>
                <w:szCs w:val="20"/>
                <w:color w:val="auto"/>
              </w:rPr>
            </w:pPr>
            <w:r>
              <w:rPr>
                <w:rFonts w:ascii="Arial" w:cs="Arial" w:eastAsia="Arial" w:hAnsi="Arial"/>
                <w:sz w:val="13"/>
                <w:szCs w:val="13"/>
                <w:color w:val="auto"/>
              </w:rPr>
              <w:t>Preferred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Construction &amp; Building</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20" w:type="dxa"/>
            <w:vAlign w:val="bottom"/>
            <w:gridSpan w:val="2"/>
          </w:tcPr>
          <w:p>
            <w:pPr>
              <w:spacing w:after="0"/>
              <w:rPr>
                <w:sz w:val="20"/>
                <w:szCs w:val="20"/>
                <w:color w:val="auto"/>
              </w:rPr>
            </w:pPr>
            <w:r>
              <w:rPr>
                <w:rFonts w:ascii="Arial" w:cs="Arial" w:eastAsia="Arial" w:hAnsi="Arial"/>
                <w:sz w:val="13"/>
                <w:szCs w:val="13"/>
                <w:color w:val="auto"/>
              </w:rPr>
              <w:t>eInstruction Acquisition, LLC</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Membership Units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Services: Business</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EJF Investments Ltd.</w:t>
            </w:r>
          </w:p>
        </w:tc>
        <w:tc>
          <w:tcPr>
            <w:tcW w:w="740" w:type="dxa"/>
            <w:vAlign w:val="bottom"/>
          </w:tcPr>
          <w:p>
            <w:pPr>
              <w:spacing w:after="0"/>
              <w:rPr>
                <w:sz w:val="20"/>
                <w:szCs w:val="20"/>
                <w:color w:val="auto"/>
              </w:rPr>
            </w:pPr>
            <w:r>
              <w:rPr>
                <w:rFonts w:ascii="Arial" w:cs="Arial" w:eastAsia="Arial" w:hAnsi="Arial"/>
                <w:sz w:val="11"/>
                <w:szCs w:val="11"/>
                <w:color w:val="auto"/>
              </w:rPr>
              <w:t>(3)(19)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Preferred Equity</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Services: Business</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Emtec, Inc.</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Class A Preferred Units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Services: Business</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2520" w:type="dxa"/>
            <w:vAlign w:val="bottom"/>
            <w:gridSpan w:val="2"/>
          </w:tcPr>
          <w:p>
            <w:pPr>
              <w:spacing w:after="0"/>
              <w:rPr>
                <w:sz w:val="20"/>
                <w:szCs w:val="20"/>
                <w:color w:val="auto"/>
              </w:rPr>
            </w:pPr>
            <w:r>
              <w:rPr>
                <w:rFonts w:ascii="Arial" w:cs="Arial" w:eastAsia="Arial" w:hAnsi="Arial"/>
                <w:sz w:val="13"/>
                <w:szCs w:val="13"/>
                <w:color w:val="auto"/>
              </w:rPr>
              <w:t>Flight Lease VII</w:t>
            </w:r>
          </w:p>
        </w:tc>
        <w:tc>
          <w:tcPr>
            <w:tcW w:w="740" w:type="dxa"/>
            <w:vAlign w:val="bottom"/>
          </w:tcPr>
          <w:p>
            <w:pPr>
              <w:spacing w:after="0"/>
              <w:rPr>
                <w:sz w:val="20"/>
                <w:szCs w:val="20"/>
                <w:color w:val="auto"/>
              </w:rPr>
            </w:pPr>
            <w:r>
              <w:rPr>
                <w:rFonts w:ascii="Arial" w:cs="Arial" w:eastAsia="Arial" w:hAnsi="Arial"/>
                <w:sz w:val="11"/>
                <w:szCs w:val="11"/>
                <w:color w:val="auto"/>
                <w:w w:val="99"/>
              </w:rPr>
              <w:t>(8)(13)(16)(19)</w:t>
            </w:r>
          </w:p>
        </w:tc>
        <w:tc>
          <w:tcPr>
            <w:tcW w:w="2880" w:type="dxa"/>
            <w:vAlign w:val="bottom"/>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Aerospace and Defense</w:t>
            </w:r>
          </w:p>
        </w:tc>
        <w:tc>
          <w:tcPr>
            <w:tcW w:w="740" w:type="dxa"/>
            <w:vAlign w:val="bottom"/>
          </w:tcPr>
          <w:p>
            <w:pPr>
              <w:spacing w:after="0"/>
              <w:rPr>
                <w:sz w:val="20"/>
                <w:szCs w:val="20"/>
                <w:color w:val="auto"/>
              </w:rPr>
            </w:pPr>
            <w:r>
              <w:rPr>
                <w:rFonts w:ascii="Arial" w:cs="Arial" w:eastAsia="Arial" w:hAnsi="Arial"/>
                <w:sz w:val="11"/>
                <w:szCs w:val="11"/>
                <w:color w:val="auto"/>
              </w:rPr>
              <w:t>(26)</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Flight Lease XII</w:t>
            </w:r>
          </w:p>
        </w:tc>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Aerospace and Defense</w:t>
            </w:r>
          </w:p>
        </w:tc>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20" w:type="dxa"/>
            <w:vAlign w:val="bottom"/>
            <w:gridSpan w:val="2"/>
          </w:tcPr>
          <w:p>
            <w:pPr>
              <w:spacing w:after="0"/>
              <w:rPr>
                <w:sz w:val="20"/>
                <w:szCs w:val="20"/>
                <w:color w:val="auto"/>
              </w:rPr>
            </w:pPr>
            <w:r>
              <w:rPr>
                <w:rFonts w:ascii="Arial" w:cs="Arial" w:eastAsia="Arial" w:hAnsi="Arial"/>
                <w:sz w:val="13"/>
                <w:szCs w:val="13"/>
                <w:color w:val="auto"/>
              </w:rPr>
              <w:t>Oneida Group, Inc.</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Common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Consumer goods: Durable</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FP WRCA Coinvestment Fund VII, Ltd.</w:t>
            </w:r>
          </w:p>
        </w:tc>
        <w:tc>
          <w:tcPr>
            <w:tcW w:w="740" w:type="dxa"/>
            <w:vAlign w:val="bottom"/>
          </w:tcPr>
          <w:p>
            <w:pPr>
              <w:spacing w:after="0"/>
              <w:rPr>
                <w:sz w:val="20"/>
                <w:szCs w:val="20"/>
                <w:color w:val="auto"/>
              </w:rPr>
            </w:pPr>
            <w:r>
              <w:rPr>
                <w:rFonts w:ascii="Arial" w:cs="Arial" w:eastAsia="Arial" w:hAnsi="Arial"/>
                <w:sz w:val="11"/>
                <w:szCs w:val="11"/>
                <w:color w:val="auto"/>
              </w:rPr>
              <w:t>(3)(13)(19)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Class A Shares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Capital Equipment</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rPr>
              <w:t>Fusion Connect, Inc.</w:t>
            </w:r>
          </w:p>
        </w:tc>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Common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500" w:type="dxa"/>
            <w:vAlign w:val="bottom"/>
            <w:vMerge w:val="restart"/>
          </w:tcPr>
          <w:p>
            <w:pPr>
              <w:ind w:left="140"/>
              <w:spacing w:after="0"/>
              <w:rPr>
                <w:sz w:val="20"/>
                <w:szCs w:val="20"/>
                <w:color w:val="auto"/>
              </w:rPr>
            </w:pPr>
            <w:r>
              <w:rPr>
                <w:rFonts w:ascii="Arial" w:cs="Arial" w:eastAsia="Arial" w:hAnsi="Arial"/>
                <w:sz w:val="13"/>
                <w:szCs w:val="13"/>
                <w:color w:val="auto"/>
              </w:rPr>
              <w:t>Telecommunications</w:t>
            </w:r>
          </w:p>
        </w:tc>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520" w:type="dxa"/>
            <w:vAlign w:val="bottom"/>
            <w:gridSpan w:val="2"/>
          </w:tcPr>
          <w:p>
            <w:pPr>
              <w:spacing w:after="0"/>
              <w:rPr>
                <w:sz w:val="20"/>
                <w:szCs w:val="20"/>
                <w:color w:val="auto"/>
              </w:rPr>
            </w:pPr>
            <w:r>
              <w:rPr>
                <w:rFonts w:ascii="Arial" w:cs="Arial" w:eastAsia="Arial" w:hAnsi="Arial"/>
                <w:sz w:val="13"/>
                <w:szCs w:val="13"/>
                <w:color w:val="auto"/>
              </w:rPr>
              <w:t>GIG Rooster Holdings I, LLC</w:t>
            </w:r>
          </w:p>
        </w:tc>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Common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Energy: Oil &amp; Gas</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520" w:type="dxa"/>
            <w:vAlign w:val="bottom"/>
            <w:gridSpan w:val="2"/>
          </w:tcPr>
          <w:p>
            <w:pPr>
              <w:spacing w:after="0"/>
              <w:rPr>
                <w:sz w:val="20"/>
                <w:szCs w:val="20"/>
                <w:color w:val="auto"/>
              </w:rPr>
            </w:pPr>
            <w:r>
              <w:rPr>
                <w:rFonts w:ascii="Arial" w:cs="Arial" w:eastAsia="Arial" w:hAnsi="Arial"/>
                <w:sz w:val="13"/>
                <w:szCs w:val="13"/>
                <w:color w:val="auto"/>
                <w:w w:val="94"/>
              </w:rPr>
              <w:t>KC Engineering &amp; Construction Services, LLC</w:t>
            </w:r>
          </w:p>
        </w:tc>
        <w:tc>
          <w:tcPr>
            <w:tcW w:w="740" w:type="dxa"/>
            <w:vAlign w:val="bottom"/>
          </w:tcPr>
          <w:p>
            <w:pPr>
              <w:spacing w:after="0"/>
              <w:rPr>
                <w:sz w:val="20"/>
                <w:szCs w:val="20"/>
                <w:color w:val="auto"/>
              </w:rPr>
            </w:pPr>
            <w:r>
              <w:rPr>
                <w:rFonts w:ascii="Arial" w:cs="Arial" w:eastAsia="Arial" w:hAnsi="Arial"/>
                <w:sz w:val="11"/>
                <w:szCs w:val="11"/>
                <w:color w:val="auto"/>
                <w:w w:val="99"/>
              </w:rPr>
              <w:t>(8)(13)(19)(25)</w:t>
            </w:r>
          </w:p>
        </w:tc>
        <w:tc>
          <w:tcPr>
            <w:tcW w:w="2880" w:type="dxa"/>
            <w:vAlign w:val="bottom"/>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500" w:type="dxa"/>
            <w:vAlign w:val="bottom"/>
          </w:tcPr>
          <w:p>
            <w:pPr>
              <w:ind w:left="140"/>
              <w:spacing w:after="0"/>
              <w:rPr>
                <w:sz w:val="20"/>
                <w:szCs w:val="20"/>
                <w:color w:val="auto"/>
              </w:rPr>
            </w:pPr>
            <w:r>
              <w:rPr>
                <w:rFonts w:ascii="Arial" w:cs="Arial" w:eastAsia="Arial" w:hAnsi="Arial"/>
                <w:sz w:val="13"/>
                <w:szCs w:val="13"/>
                <w:color w:val="auto"/>
              </w:rPr>
              <w:t>Environmental Industries</w:t>
            </w: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-5953760</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-5671185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-5397500</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-5123180</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-4849495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-4575175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-4301490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-4027170</wp:posOffset>
            </wp:positionV>
            <wp:extent cx="713232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-3753485</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-3479165</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-2657475</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-2383155</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-2109470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-1561465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-1287145</wp:posOffset>
            </wp:positionV>
            <wp:extent cx="713232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35"/>
        </w:trPr>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Quantity/Par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286"/>
        </w:trPr>
        <w:tc>
          <w:tcPr>
            <w:tcW w:w="1020" w:type="dxa"/>
            <w:vAlign w:val="bottom"/>
          </w:tcPr>
          <w:p>
            <w:pPr>
              <w:jc w:val="right"/>
              <w:spacing w:after="0"/>
              <w:rPr>
                <w:sz w:val="20"/>
                <w:szCs w:val="20"/>
                <w:color w:val="auto"/>
              </w:rPr>
            </w:pPr>
            <w:r>
              <w:rPr>
                <w:rFonts w:ascii="Arial" w:cs="Arial" w:eastAsia="Arial" w:hAnsi="Arial"/>
                <w:sz w:val="13"/>
                <w:szCs w:val="13"/>
                <w:color w:val="auto"/>
              </w:rPr>
              <w:t>5/29/2020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321</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29,416</w:t>
            </w:r>
          </w:p>
        </w:tc>
        <w:tc>
          <w:tcPr>
            <w:tcW w:w="240" w:type="dxa"/>
            <w:vAlign w:val="bottom"/>
          </w:tcPr>
          <w:p>
            <w:pPr>
              <w:spacing w:after="0"/>
              <w:rPr>
                <w:sz w:val="24"/>
                <w:szCs w:val="24"/>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29,275</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5,500,000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2/14/2020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46,371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20,893</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1,335,378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1,335,378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2,273,401</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200,000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466,949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471,552</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88,946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207,666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209,713</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171,000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36,342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33,398</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418,387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448,000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7/2/2007</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1,076</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6/17/2020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1,256,272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1,549,296</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319,357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1,938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280,170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529,787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567,285</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1,085,565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345,834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2,030,007</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2/2/2007</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443,550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121,871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865,853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816,536</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79,200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131,081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4,314,740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4,620,137</w:t>
            </w:r>
          </w:p>
        </w:tc>
      </w:tr>
    </w:tbl>
    <w:p>
      <w:pPr>
        <w:sectPr>
          <w:pgSz w:w="11900" w:h="16838" w:orient="portrait"/>
          <w:cols w:equalWidth="0" w:num="2">
            <w:col w:w="6140" w:space="140"/>
            <w:col w:w="4860"/>
          </w:cols>
          <w:pgMar w:left="320" w:top="768" w:right="43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237" w:lineRule="auto"/>
        <w:rPr>
          <w:sz w:val="20"/>
          <w:szCs w:val="20"/>
          <w:color w:val="auto"/>
        </w:rPr>
      </w:pPr>
      <w:r>
        <w:rPr>
          <w:rFonts w:ascii="Arial" w:cs="Arial" w:eastAsia="Arial" w:hAnsi="Arial"/>
          <w:sz w:val="13"/>
          <w:szCs w:val="13"/>
          <w:b w:val="1"/>
          <w:bCs w:val="1"/>
          <w:color w:val="auto"/>
        </w:rPr>
        <w:t>Principal Business</w:t>
      </w:r>
    </w:p>
    <w:p>
      <w:pPr>
        <w:spacing w:after="0"/>
        <w:rPr>
          <w:sz w:val="20"/>
          <w:szCs w:val="20"/>
          <w:color w:val="auto"/>
        </w:rPr>
      </w:pPr>
      <w:r>
        <w:rPr>
          <w:rFonts w:ascii="Arial" w:cs="Arial" w:eastAsia="Arial" w:hAnsi="Arial"/>
          <w:sz w:val="13"/>
          <w:szCs w:val="13"/>
          <w:color w:val="auto"/>
        </w:rPr>
        <w:t>Kleen-Tech Acquisition, LLC</w:t>
      </w:r>
    </w:p>
    <w:p>
      <w:pPr>
        <w:ind w:left="160"/>
        <w:spacing w:after="0" w:line="237" w:lineRule="auto"/>
        <w:rPr>
          <w:sz w:val="20"/>
          <w:szCs w:val="20"/>
          <w:color w:val="auto"/>
        </w:rPr>
      </w:pPr>
      <w:r>
        <w:rPr>
          <w:rFonts w:ascii="Arial" w:cs="Arial" w:eastAsia="Arial" w:hAnsi="Arial"/>
          <w:sz w:val="13"/>
          <w:szCs w:val="13"/>
          <w:color w:val="auto"/>
        </w:rPr>
        <w:t>Services: Business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New Millennium Holdco, Inc. (Millennium</w:t>
      </w:r>
    </w:p>
    <w:p>
      <w:pPr>
        <w:spacing w:after="0" w:line="227" w:lineRule="auto"/>
        <w:rPr>
          <w:sz w:val="20"/>
          <w:szCs w:val="20"/>
          <w:color w:val="auto"/>
        </w:rPr>
      </w:pPr>
      <w:r>
        <w:rPr>
          <w:rFonts w:ascii="Arial" w:cs="Arial" w:eastAsia="Arial" w:hAnsi="Arial"/>
          <w:sz w:val="13"/>
          <w:szCs w:val="13"/>
          <w:color w:val="auto"/>
        </w:rPr>
        <w:t>Health, LLC)</w:t>
      </w:r>
    </w:p>
    <w:p>
      <w:pPr>
        <w:ind w:left="160"/>
        <w:spacing w:after="0" w:line="238" w:lineRule="auto"/>
        <w:rPr>
          <w:sz w:val="20"/>
          <w:szCs w:val="20"/>
          <w:color w:val="auto"/>
        </w:rPr>
      </w:pPr>
      <w:r>
        <w:rPr>
          <w:rFonts w:ascii="Arial" w:cs="Arial" w:eastAsia="Arial" w:hAnsi="Arial"/>
          <w:sz w:val="13"/>
          <w:szCs w:val="13"/>
          <w:color w:val="auto"/>
        </w:rPr>
        <w:t>Healthcare &amp; Pharmaceuticals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Northeast Metal Works LLC</w:t>
      </w:r>
    </w:p>
    <w:p>
      <w:pPr>
        <w:ind w:left="160"/>
        <w:spacing w:after="0" w:line="237" w:lineRule="auto"/>
        <w:rPr>
          <w:sz w:val="20"/>
          <w:szCs w:val="20"/>
          <w:color w:val="auto"/>
        </w:rPr>
      </w:pPr>
      <w:r>
        <w:rPr>
          <w:rFonts w:ascii="Arial" w:cs="Arial" w:eastAsia="Arial" w:hAnsi="Arial"/>
          <w:sz w:val="13"/>
          <w:szCs w:val="13"/>
          <w:color w:val="auto"/>
        </w:rPr>
        <w:t>Metals &amp; Mining</w:t>
      </w:r>
    </w:p>
    <w:p>
      <w:pPr>
        <w:spacing w:after="0" w:line="139" w:lineRule="exact"/>
        <w:rPr>
          <w:sz w:val="20"/>
          <w:szCs w:val="20"/>
          <w:color w:val="auto"/>
        </w:rPr>
      </w:pPr>
    </w:p>
    <w:p>
      <w:pPr>
        <w:jc w:val="right"/>
        <w:ind w:right="1260"/>
        <w:spacing w:after="0"/>
        <w:rPr>
          <w:sz w:val="20"/>
          <w:szCs w:val="20"/>
          <w:color w:val="auto"/>
        </w:rPr>
      </w:pPr>
      <w:r>
        <w:rPr>
          <w:rFonts w:ascii="Arial" w:cs="Arial" w:eastAsia="Arial" w:hAnsi="Arial"/>
          <w:sz w:val="10"/>
          <w:szCs w:val="10"/>
          <w:color w:val="auto"/>
        </w:rPr>
        <w:t>Ohene Holdings B.V.</w:t>
      </w:r>
    </w:p>
    <w:p>
      <w:pPr>
        <w:spacing w:after="0" w:line="28" w:lineRule="exact"/>
        <w:rPr>
          <w:sz w:val="20"/>
          <w:szCs w:val="20"/>
          <w:color w:val="auto"/>
        </w:rPr>
      </w:pPr>
    </w:p>
    <w:p>
      <w:pPr>
        <w:jc w:val="right"/>
        <w:ind w:right="1240"/>
        <w:spacing w:after="0"/>
        <w:rPr>
          <w:sz w:val="20"/>
          <w:szCs w:val="20"/>
          <w:color w:val="auto"/>
        </w:rPr>
      </w:pPr>
      <w:r>
        <w:rPr>
          <w:rFonts w:ascii="Arial" w:cs="Arial" w:eastAsia="Arial" w:hAnsi="Arial"/>
          <w:sz w:val="13"/>
          <w:szCs w:val="13"/>
          <w:color w:val="auto"/>
        </w:rPr>
        <w:t>Services: Business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Prosper Marketplace</w:t>
      </w:r>
    </w:p>
    <w:p>
      <w:pPr>
        <w:ind w:left="160"/>
        <w:spacing w:after="0" w:line="237" w:lineRule="auto"/>
        <w:rPr>
          <w:sz w:val="20"/>
          <w:szCs w:val="20"/>
          <w:color w:val="auto"/>
        </w:rPr>
      </w:pPr>
      <w:r>
        <w:rPr>
          <w:rFonts w:ascii="Arial" w:cs="Arial" w:eastAsia="Arial" w:hAnsi="Arial"/>
          <w:sz w:val="13"/>
          <w:szCs w:val="13"/>
          <w:color w:val="auto"/>
        </w:rPr>
        <w:t>Consumer goods: Durable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Roscoe Investors, LLC</w:t>
      </w:r>
    </w:p>
    <w:p>
      <w:pPr>
        <w:ind w:left="160"/>
        <w:spacing w:after="0" w:line="237" w:lineRule="auto"/>
        <w:rPr>
          <w:sz w:val="20"/>
          <w:szCs w:val="20"/>
          <w:color w:val="auto"/>
        </w:rPr>
      </w:pPr>
      <w:r>
        <w:rPr>
          <w:rFonts w:ascii="Arial" w:cs="Arial" w:eastAsia="Arial" w:hAnsi="Arial"/>
          <w:sz w:val="13"/>
          <w:szCs w:val="13"/>
          <w:color w:val="auto"/>
        </w:rPr>
        <w:t>Healthcare &amp; Pharmaceuticals</w:t>
      </w:r>
    </w:p>
    <w:p>
      <w:pPr>
        <w:spacing w:after="0" w:line="139" w:lineRule="exact"/>
        <w:rPr>
          <w:sz w:val="20"/>
          <w:szCs w:val="20"/>
          <w:color w:val="auto"/>
        </w:rPr>
      </w:pPr>
    </w:p>
    <w:p>
      <w:pPr>
        <w:ind w:left="160" w:right="380" w:hanging="156"/>
        <w:spacing w:after="0" w:line="269" w:lineRule="auto"/>
        <w:rPr>
          <w:sz w:val="20"/>
          <w:szCs w:val="20"/>
          <w:color w:val="auto"/>
        </w:rPr>
      </w:pPr>
      <w:r>
        <w:rPr>
          <w:rFonts w:ascii="Arial" w:cs="Arial" w:eastAsia="Arial" w:hAnsi="Arial"/>
          <w:sz w:val="12"/>
          <w:szCs w:val="12"/>
          <w:color w:val="auto"/>
        </w:rPr>
        <w:t>Safety Services Holdings Corporation, Services: Business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Surge Busy Bee Holdings LLC</w:t>
      </w:r>
    </w:p>
    <w:p>
      <w:pPr>
        <w:ind w:left="160"/>
        <w:spacing w:after="0" w:line="237" w:lineRule="auto"/>
        <w:rPr>
          <w:sz w:val="20"/>
          <w:szCs w:val="20"/>
          <w:color w:val="auto"/>
        </w:rPr>
      </w:pPr>
      <w:r>
        <w:rPr>
          <w:rFonts w:ascii="Arial" w:cs="Arial" w:eastAsia="Arial" w:hAnsi="Arial"/>
          <w:sz w:val="13"/>
          <w:szCs w:val="13"/>
          <w:color w:val="auto"/>
        </w:rPr>
        <w:t>Services: Business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Surge Hippodrome Holdings LLC</w:t>
      </w:r>
    </w:p>
    <w:p>
      <w:pPr>
        <w:ind w:left="160"/>
        <w:spacing w:after="0" w:line="237" w:lineRule="auto"/>
        <w:rPr>
          <w:sz w:val="20"/>
          <w:szCs w:val="20"/>
          <w:color w:val="auto"/>
        </w:rPr>
      </w:pPr>
      <w:r>
        <w:rPr>
          <w:rFonts w:ascii="Arial" w:cs="Arial" w:eastAsia="Arial" w:hAnsi="Arial"/>
          <w:sz w:val="13"/>
          <w:szCs w:val="13"/>
          <w:color w:val="auto"/>
        </w:rPr>
        <w:t>Services: Business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Surge Hippodrome Holdings LLC</w:t>
      </w:r>
    </w:p>
    <w:p>
      <w:pPr>
        <w:ind w:left="160"/>
        <w:spacing w:after="0" w:line="237" w:lineRule="auto"/>
        <w:rPr>
          <w:sz w:val="20"/>
          <w:szCs w:val="20"/>
          <w:color w:val="auto"/>
        </w:rPr>
      </w:pPr>
      <w:r>
        <w:rPr>
          <w:rFonts w:ascii="Arial" w:cs="Arial" w:eastAsia="Arial" w:hAnsi="Arial"/>
          <w:sz w:val="13"/>
          <w:szCs w:val="13"/>
          <w:color w:val="auto"/>
        </w:rPr>
        <w:t>Services: Business</w:t>
      </w:r>
    </w:p>
    <w:p>
      <w:pPr>
        <w:spacing w:after="0" w:line="139" w:lineRule="exact"/>
        <w:rPr>
          <w:sz w:val="20"/>
          <w:szCs w:val="20"/>
          <w:color w:val="auto"/>
        </w:rPr>
      </w:pPr>
    </w:p>
    <w:p>
      <w:pPr>
        <w:ind w:left="160" w:right="300" w:hanging="156"/>
        <w:spacing w:after="0" w:line="235" w:lineRule="auto"/>
        <w:rPr>
          <w:sz w:val="20"/>
          <w:szCs w:val="20"/>
          <w:color w:val="auto"/>
        </w:rPr>
      </w:pPr>
      <w:r>
        <w:rPr>
          <w:rFonts w:ascii="Arial" w:cs="Arial" w:eastAsia="Arial" w:hAnsi="Arial"/>
          <w:sz w:val="13"/>
          <w:szCs w:val="13"/>
          <w:color w:val="auto"/>
        </w:rPr>
        <w:t>Tank Partners Equipment Holdings LLC Energy: Oil &amp; Gas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TRSO II, Inc.</w:t>
      </w:r>
    </w:p>
    <w:p>
      <w:pPr>
        <w:ind w:left="160"/>
        <w:spacing w:after="0" w:line="237" w:lineRule="auto"/>
        <w:rPr>
          <w:sz w:val="20"/>
          <w:szCs w:val="20"/>
          <w:color w:val="auto"/>
        </w:rPr>
      </w:pPr>
      <w:r>
        <w:rPr>
          <w:rFonts w:ascii="Arial" w:cs="Arial" w:eastAsia="Arial" w:hAnsi="Arial"/>
          <w:sz w:val="13"/>
          <w:szCs w:val="13"/>
          <w:color w:val="auto"/>
        </w:rPr>
        <w:t>Energy: Oil &amp; Gas</w:t>
      </w:r>
    </w:p>
    <w:p>
      <w:pPr>
        <w:spacing w:after="0" w:line="139" w:lineRule="exact"/>
        <w:rPr>
          <w:sz w:val="20"/>
          <w:szCs w:val="20"/>
          <w:color w:val="auto"/>
        </w:rPr>
      </w:pPr>
    </w:p>
    <w:p>
      <w:pPr>
        <w:jc w:val="right"/>
        <w:ind w:right="1200"/>
        <w:spacing w:after="0"/>
        <w:rPr>
          <w:sz w:val="20"/>
          <w:szCs w:val="20"/>
          <w:color w:val="auto"/>
        </w:rPr>
      </w:pPr>
      <w:r>
        <w:rPr>
          <w:rFonts w:ascii="Arial" w:cs="Arial" w:eastAsia="Arial" w:hAnsi="Arial"/>
          <w:sz w:val="12"/>
          <w:szCs w:val="12"/>
          <w:color w:val="auto"/>
        </w:rPr>
        <w:t>VTK Acquisition, Inc.</w:t>
      </w:r>
    </w:p>
    <w:p>
      <w:pPr>
        <w:spacing w:after="0" w:line="5" w:lineRule="exact"/>
        <w:rPr>
          <w:sz w:val="20"/>
          <w:szCs w:val="20"/>
          <w:color w:val="auto"/>
        </w:rPr>
      </w:pPr>
    </w:p>
    <w:p>
      <w:pPr>
        <w:jc w:val="right"/>
        <w:ind w:right="1220"/>
        <w:spacing w:after="0"/>
        <w:rPr>
          <w:sz w:val="20"/>
          <w:szCs w:val="20"/>
          <w:color w:val="auto"/>
        </w:rPr>
      </w:pPr>
      <w:r>
        <w:rPr>
          <w:rFonts w:ascii="Arial" w:cs="Arial" w:eastAsia="Arial" w:hAnsi="Arial"/>
          <w:sz w:val="13"/>
          <w:szCs w:val="13"/>
          <w:color w:val="auto"/>
        </w:rPr>
        <w:t>Capital Equipment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World Business Lenders, LLC</w:t>
      </w: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18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2540</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Common</w:t>
            </w: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3"/>
        </w:trPr>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Preferred Stock</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740" w:type="dxa"/>
            <w:vAlign w:val="bottom"/>
          </w:tcPr>
          <w:p>
            <w:pPr>
              <w:spacing w:after="0"/>
              <w:rPr>
                <w:sz w:val="20"/>
                <w:szCs w:val="20"/>
                <w:color w:val="auto"/>
              </w:rPr>
            </w:pPr>
            <w:r>
              <w:rPr>
                <w:rFonts w:ascii="Arial" w:cs="Arial" w:eastAsia="Arial" w:hAnsi="Arial"/>
                <w:sz w:val="11"/>
                <w:szCs w:val="11"/>
                <w:color w:val="auto"/>
              </w:rPr>
              <w:t>(3)(13)(19)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Warrants</w:t>
            </w:r>
          </w:p>
        </w:tc>
        <w:tc>
          <w:tcPr>
            <w:tcW w:w="0" w:type="dxa"/>
            <w:vAlign w:val="bottom"/>
          </w:tcPr>
          <w:p>
            <w:pPr>
              <w:spacing w:after="0"/>
              <w:rPr>
                <w:sz w:val="1"/>
                <w:szCs w:val="1"/>
                <w:color w:val="auto"/>
              </w:rPr>
            </w:pPr>
          </w:p>
        </w:tc>
      </w:tr>
      <w:tr>
        <w:trPr>
          <w:trHeight w:val="85"/>
        </w:trPr>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740" w:type="dxa"/>
            <w:vAlign w:val="bottom"/>
          </w:tcPr>
          <w:p>
            <w:pPr>
              <w:spacing w:after="0"/>
              <w:rPr>
                <w:sz w:val="20"/>
                <w:szCs w:val="20"/>
                <w:color w:val="auto"/>
              </w:rPr>
            </w:pPr>
            <w:r>
              <w:rPr>
                <w:rFonts w:ascii="Arial" w:cs="Arial" w:eastAsia="Arial" w:hAnsi="Arial"/>
                <w:sz w:val="11"/>
                <w:szCs w:val="11"/>
                <w:color w:val="auto"/>
              </w:rPr>
              <w:t>(6)(8)(13)(19)</w:t>
            </w:r>
          </w:p>
        </w:tc>
        <w:tc>
          <w:tcPr>
            <w:tcW w:w="2880" w:type="dxa"/>
            <w:vAlign w:val="bottom"/>
          </w:tcPr>
          <w:p>
            <w:pPr>
              <w:spacing w:after="0"/>
              <w:rPr>
                <w:sz w:val="20"/>
                <w:szCs w:val="20"/>
                <w:color w:val="auto"/>
              </w:rPr>
            </w:pPr>
            <w:r>
              <w:rPr>
                <w:rFonts w:ascii="Arial" w:cs="Arial" w:eastAsia="Arial" w:hAnsi="Arial"/>
                <w:sz w:val="13"/>
                <w:szCs w:val="13"/>
                <w:color w:val="auto"/>
              </w:rPr>
              <w:t>Class B Preferred Units</w:t>
            </w:r>
          </w:p>
        </w:tc>
        <w:tc>
          <w:tcPr>
            <w:tcW w:w="0" w:type="dxa"/>
            <w:vAlign w:val="bottom"/>
          </w:tcPr>
          <w:p>
            <w:pPr>
              <w:spacing w:after="0"/>
              <w:rPr>
                <w:sz w:val="1"/>
                <w:szCs w:val="1"/>
                <w:color w:val="auto"/>
              </w:rPr>
            </w:pPr>
          </w:p>
        </w:tc>
      </w:tr>
      <w:tr>
        <w:trPr>
          <w:trHeight w:val="347"/>
        </w:trPr>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Class A Units</w:t>
            </w:r>
          </w:p>
        </w:tc>
        <w:tc>
          <w:tcPr>
            <w:tcW w:w="0" w:type="dxa"/>
            <w:vAlign w:val="bottom"/>
          </w:tcPr>
          <w:p>
            <w:pPr>
              <w:spacing w:after="0"/>
              <w:rPr>
                <w:sz w:val="1"/>
                <w:szCs w:val="1"/>
                <w:color w:val="auto"/>
              </w:rPr>
            </w:pPr>
          </w:p>
        </w:tc>
      </w:tr>
      <w:tr>
        <w:trPr>
          <w:trHeight w:val="85"/>
        </w:trPr>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7"/>
        </w:trPr>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Preferred Stock</w:t>
            </w:r>
          </w:p>
        </w:tc>
        <w:tc>
          <w:tcPr>
            <w:tcW w:w="0" w:type="dxa"/>
            <w:vAlign w:val="bottom"/>
          </w:tcPr>
          <w:p>
            <w:pPr>
              <w:spacing w:after="0"/>
              <w:rPr>
                <w:sz w:val="1"/>
                <w:szCs w:val="1"/>
                <w:color w:val="auto"/>
              </w:rPr>
            </w:pPr>
          </w:p>
        </w:tc>
      </w:tr>
      <w:tr>
        <w:trPr>
          <w:trHeight w:val="85"/>
        </w:trPr>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740" w:type="dxa"/>
            <w:vAlign w:val="bottom"/>
          </w:tcPr>
          <w:p>
            <w:pPr>
              <w:spacing w:after="0"/>
              <w:rPr>
                <w:sz w:val="20"/>
                <w:szCs w:val="20"/>
                <w:color w:val="auto"/>
              </w:rPr>
            </w:pPr>
            <w:r>
              <w:rPr>
                <w:rFonts w:ascii="Arial" w:cs="Arial" w:eastAsia="Arial" w:hAnsi="Arial"/>
                <w:sz w:val="11"/>
                <w:szCs w:val="11"/>
                <w:color w:val="auto"/>
                <w:w w:val="99"/>
              </w:rPr>
              <w:t>(8)(13)(19)(25)</w:t>
            </w:r>
          </w:p>
        </w:tc>
        <w:tc>
          <w:tcPr>
            <w:tcW w:w="2880" w:type="dxa"/>
            <w:vAlign w:val="bottom"/>
          </w:tcPr>
          <w:p>
            <w:pPr>
              <w:spacing w:after="0"/>
              <w:rPr>
                <w:sz w:val="20"/>
                <w:szCs w:val="20"/>
                <w:color w:val="auto"/>
              </w:rPr>
            </w:pPr>
            <w:r>
              <w:rPr>
                <w:rFonts w:ascii="Arial" w:cs="Arial" w:eastAsia="Arial" w:hAnsi="Arial"/>
                <w:sz w:val="13"/>
                <w:szCs w:val="13"/>
                <w:color w:val="auto"/>
              </w:rPr>
              <w:t>Warrants</w:t>
            </w:r>
          </w:p>
        </w:tc>
        <w:tc>
          <w:tcPr>
            <w:tcW w:w="0" w:type="dxa"/>
            <w:vAlign w:val="bottom"/>
          </w:tcPr>
          <w:p>
            <w:pPr>
              <w:spacing w:after="0"/>
              <w:rPr>
                <w:sz w:val="1"/>
                <w:szCs w:val="1"/>
                <w:color w:val="auto"/>
              </w:rPr>
            </w:pPr>
          </w:p>
        </w:tc>
      </w:tr>
      <w:tr>
        <w:trPr>
          <w:trHeight w:val="395"/>
        </w:trPr>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Warrants</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Arial" w:cs="Arial" w:eastAsia="Arial" w:hAnsi="Arial"/>
                <w:sz w:val="11"/>
                <w:szCs w:val="11"/>
                <w:color w:val="auto"/>
              </w:rPr>
              <w:t>(8)(9)(13)(16)</w:t>
            </w:r>
          </w:p>
        </w:tc>
        <w:tc>
          <w:tcPr>
            <w:tcW w:w="2880" w:type="dxa"/>
            <w:vAlign w:val="bottom"/>
          </w:tcPr>
          <w:p>
            <w:pPr>
              <w:spacing w:after="0"/>
              <w:rPr>
                <w:sz w:val="20"/>
                <w:szCs w:val="20"/>
                <w:color w:val="auto"/>
              </w:rPr>
            </w:pPr>
            <w:r>
              <w:rPr>
                <w:rFonts w:ascii="Arial" w:cs="Arial" w:eastAsia="Arial" w:hAnsi="Arial"/>
                <w:sz w:val="13"/>
                <w:szCs w:val="13"/>
                <w:color w:val="auto"/>
              </w:rPr>
              <w:t>Class A Units</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color w:val="auto"/>
              </w:rPr>
              <w:t>(19)</w:t>
            </w: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740" w:type="dxa"/>
            <w:vAlign w:val="bottom"/>
          </w:tcPr>
          <w:p>
            <w:pPr>
              <w:spacing w:after="0"/>
              <w:rPr>
                <w:sz w:val="20"/>
                <w:szCs w:val="20"/>
                <w:color w:val="auto"/>
              </w:rPr>
            </w:pPr>
            <w:r>
              <w:rPr>
                <w:rFonts w:ascii="Arial" w:cs="Arial" w:eastAsia="Arial" w:hAnsi="Arial"/>
                <w:sz w:val="11"/>
                <w:szCs w:val="11"/>
                <w:color w:val="auto"/>
              </w:rPr>
              <w:t>(8)(13)(19)</w:t>
            </w:r>
          </w:p>
        </w:tc>
        <w:tc>
          <w:tcPr>
            <w:tcW w:w="2880" w:type="dxa"/>
            <w:vAlign w:val="bottom"/>
            <w:vMerge w:val="restart"/>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85"/>
        </w:trPr>
        <w:tc>
          <w:tcPr>
            <w:tcW w:w="74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740" w:type="dxa"/>
            <w:vAlign w:val="bottom"/>
          </w:tcPr>
          <w:p>
            <w:pPr>
              <w:spacing w:after="0"/>
              <w:rPr>
                <w:sz w:val="20"/>
                <w:szCs w:val="20"/>
                <w:color w:val="auto"/>
              </w:rPr>
            </w:pPr>
            <w:r>
              <w:rPr>
                <w:rFonts w:ascii="Arial" w:cs="Arial" w:eastAsia="Arial" w:hAnsi="Arial"/>
                <w:sz w:val="11"/>
                <w:szCs w:val="11"/>
                <w:color w:val="auto"/>
                <w:w w:val="99"/>
              </w:rPr>
              <w:t>(8)(13)(18)(19)</w:t>
            </w:r>
          </w:p>
        </w:tc>
        <w:tc>
          <w:tcPr>
            <w:tcW w:w="2880" w:type="dxa"/>
            <w:vAlign w:val="bottom"/>
          </w:tcPr>
          <w:p>
            <w:pPr>
              <w:spacing w:after="0"/>
              <w:rPr>
                <w:sz w:val="20"/>
                <w:szCs w:val="20"/>
                <w:color w:val="auto"/>
              </w:rPr>
            </w:pPr>
            <w:r>
              <w:rPr>
                <w:rFonts w:ascii="Arial" w:cs="Arial" w:eastAsia="Arial" w:hAnsi="Arial"/>
                <w:sz w:val="13"/>
                <w:szCs w:val="13"/>
                <w:color w:val="auto"/>
              </w:rPr>
              <w:t>Common Stock</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20"/>
                <w:szCs w:val="20"/>
                <w:color w:val="auto"/>
              </w:rPr>
            </w:pPr>
            <w:r>
              <w:rPr>
                <w:rFonts w:ascii="Arial" w:cs="Arial" w:eastAsia="Arial" w:hAnsi="Arial"/>
                <w:sz w:val="11"/>
                <w:szCs w:val="11"/>
                <w:color w:val="auto"/>
              </w:rPr>
              <w:t>(25)</w:t>
            </w:r>
          </w:p>
        </w:tc>
        <w:tc>
          <w:tcPr>
            <w:tcW w:w="2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-3304540</wp:posOffset>
            </wp:positionV>
            <wp:extent cx="7132320"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-2945130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-2670810</wp:posOffset>
            </wp:positionV>
            <wp:extent cx="713232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-2397125</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-2122805</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-1849120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-1575435</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-1301115</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-1027430</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-753110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-479425</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-205105</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67945</wp:posOffset>
            </wp:positionV>
            <wp:extent cx="713232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60" w:type="dxa"/>
            <w:vAlign w:val="bottom"/>
          </w:tcPr>
          <w:p>
            <w:pPr>
              <w:jc w:val="right"/>
              <w:ind w:right="147"/>
              <w:spacing w:after="0"/>
              <w:rPr>
                <w:sz w:val="20"/>
                <w:szCs w:val="20"/>
                <w:color w:val="auto"/>
              </w:rPr>
            </w:pPr>
            <w:r>
              <w:rPr>
                <w:rFonts w:ascii="Arial" w:cs="Arial" w:eastAsia="Arial" w:hAnsi="Arial"/>
                <w:sz w:val="11"/>
                <w:szCs w:val="11"/>
                <w:color w:val="auto"/>
                <w:w w:val="86"/>
              </w:rPr>
              <w:t>(13)(19)</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auto"/>
                <w:w w:val="85"/>
              </w:rPr>
              <w:t>Common Stock</w:t>
            </w: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131445</wp:posOffset>
            </wp:positionV>
            <wp:extent cx="71323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5"/>
        </w:trPr>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Date</w:t>
            </w: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/Shares</w:t>
            </w:r>
          </w:p>
        </w:tc>
        <w:tc>
          <w:tcPr>
            <w:tcW w:w="1380" w:type="dxa"/>
            <w:vAlign w:val="bottom"/>
            <w:gridSpan w:val="2"/>
          </w:tcPr>
          <w:p>
            <w:pPr>
              <w:ind w:left="440"/>
              <w:spacing w:after="0"/>
              <w:rPr>
                <w:sz w:val="20"/>
                <w:szCs w:val="20"/>
                <w:color w:val="auto"/>
              </w:rPr>
            </w:pPr>
            <w:r>
              <w:rPr>
                <w:rFonts w:ascii="Arial" w:cs="Arial" w:eastAsia="Arial" w:hAnsi="Arial"/>
                <w:sz w:val="13"/>
                <w:szCs w:val="13"/>
                <w:b w:val="1"/>
                <w:bCs w:val="1"/>
                <w:color w:val="auto"/>
              </w:rPr>
              <w:t>Cost</w:t>
            </w:r>
          </w:p>
        </w:tc>
        <w:tc>
          <w:tcPr>
            <w:tcW w:w="1120" w:type="dxa"/>
            <w:vAlign w:val="bottom"/>
          </w:tcPr>
          <w:p>
            <w:pPr>
              <w:jc w:val="right"/>
              <w:ind w:right="19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286"/>
        </w:trPr>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4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1,264,409</w:t>
            </w:r>
          </w:p>
        </w:tc>
        <w:tc>
          <w:tcPr>
            <w:tcW w:w="24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1,353,904</w:t>
            </w:r>
          </w:p>
        </w:tc>
      </w:tr>
      <w:tr>
        <w:trPr>
          <w:trHeight w:val="566"/>
        </w:trPr>
        <w:tc>
          <w:tcPr>
            <w:tcW w:w="1020" w:type="dxa"/>
            <w:vAlign w:val="bottom"/>
          </w:tcPr>
          <w:p>
            <w:pPr>
              <w:jc w:val="right"/>
              <w:spacing w:after="0"/>
              <w:rPr>
                <w:sz w:val="20"/>
                <w:szCs w:val="20"/>
                <w:color w:val="auto"/>
              </w:rPr>
            </w:pPr>
            <w:r>
              <w:rPr>
                <w:rFonts w:ascii="Arial" w:cs="Arial" w:eastAsia="Arial" w:hAnsi="Arial"/>
                <w:sz w:val="13"/>
                <w:szCs w:val="13"/>
                <w:color w:val="auto"/>
              </w:rPr>
              <w:t>10/7/2014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29,699</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1,953,299</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2,368</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3/31/2019</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912,865</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278,865</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264,731</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454,000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100,000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43,334</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105</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62,571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176</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357,029</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270,000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159,322</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160,000</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8/28/2014</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49,000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6,228,000</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12/24/2012</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1,228</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420,289</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250,957</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268,722</w:t>
            </w:r>
          </w:p>
        </w:tc>
      </w:tr>
      <w:tr>
        <w:trPr>
          <w:trHeight w:val="431"/>
        </w:trPr>
        <w:tc>
          <w:tcPr>
            <w:tcW w:w="1020" w:type="dxa"/>
            <w:vAlign w:val="bottom"/>
          </w:tcPr>
          <w:p>
            <w:pPr>
              <w:jc w:val="right"/>
              <w:spacing w:after="0"/>
              <w:rPr>
                <w:sz w:val="20"/>
                <w:szCs w:val="20"/>
                <w:color w:val="auto"/>
              </w:rPr>
            </w:pPr>
            <w:r>
              <w:rPr>
                <w:rFonts w:ascii="Arial" w:cs="Arial" w:eastAsia="Arial" w:hAnsi="Arial"/>
                <w:sz w:val="13"/>
                <w:szCs w:val="13"/>
                <w:color w:val="auto"/>
              </w:rPr>
              <w:t>6/9/2021</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49,209</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48" w:lineRule="exact"/>
        <w:rPr>
          <w:sz w:val="20"/>
          <w:szCs w:val="20"/>
          <w:color w:val="auto"/>
        </w:rPr>
      </w:pPr>
    </w:p>
    <w:p>
      <w:pPr>
        <w:sectPr>
          <w:pgSz w:w="11900" w:h="16838" w:orient="portrait"/>
          <w:cols w:equalWidth="0" w:num="3">
            <w:col w:w="2340" w:space="180"/>
            <w:col w:w="3620" w:space="140"/>
            <w:col w:w="4860"/>
          </w:cols>
          <w:pgMar w:left="320" w:top="336" w:right="439" w:bottom="1440" w:gutter="0" w:footer="0" w:header="0"/>
        </w:sectPr>
      </w:pPr>
    </w:p>
    <w:p>
      <w:pPr>
        <w:jc w:val="right"/>
        <w:ind w:right="4720"/>
        <w:spacing w:after="0"/>
        <w:rPr>
          <w:sz w:val="20"/>
          <w:szCs w:val="20"/>
          <w:color w:val="auto"/>
        </w:rPr>
      </w:pPr>
      <w:r>
        <w:rPr>
          <w:rFonts w:ascii="Arial" w:cs="Arial" w:eastAsia="Arial" w:hAnsi="Arial"/>
          <w:sz w:val="10"/>
          <w:szCs w:val="10"/>
          <w:b w:val="1"/>
          <w:bCs w:val="1"/>
          <w:color w:val="auto"/>
        </w:rPr>
        <w:t>Total Investment in Equity Securities</w:t>
      </w:r>
    </w:p>
    <w:p>
      <w:pPr>
        <w:spacing w:after="0" w:line="34" w:lineRule="exact"/>
        <w:rPr>
          <w:sz w:val="20"/>
          <w:szCs w:val="20"/>
          <w:color w:val="auto"/>
        </w:rPr>
      </w:pPr>
    </w:p>
    <w:p>
      <w:pPr>
        <w:jc w:val="right"/>
        <w:ind w:right="4720"/>
        <w:spacing w:after="0"/>
        <w:rPr>
          <w:sz w:val="20"/>
          <w:szCs w:val="20"/>
          <w:color w:val="auto"/>
        </w:rPr>
      </w:pPr>
      <w:r>
        <w:rPr>
          <w:rFonts w:ascii="Arial" w:cs="Arial" w:eastAsia="Arial" w:hAnsi="Arial"/>
          <w:sz w:val="12"/>
          <w:szCs w:val="12"/>
          <w:b w:val="1"/>
          <w:bCs w:val="1"/>
          <w:color w:val="auto"/>
        </w:rPr>
        <w:t>(8% of net asset value at fair value)</w:t>
      </w:r>
    </w:p>
    <w:p>
      <w:pPr>
        <w:spacing w:after="0" w:line="200" w:lineRule="exact"/>
        <w:rPr>
          <w:sz w:val="20"/>
          <w:szCs w:val="20"/>
          <w:color w:val="auto"/>
        </w:rPr>
      </w:pPr>
    </w:p>
    <w:p>
      <w:pPr>
        <w:spacing w:after="0" w:line="353"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12,879,663</w:t>
            </w:r>
          </w:p>
        </w:tc>
        <w:tc>
          <w:tcPr>
            <w:tcW w:w="5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30,344,541</w:t>
            </w:r>
          </w:p>
        </w:tc>
        <w:tc>
          <w:tcPr>
            <w:tcW w:w="120" w:type="dxa"/>
            <w:vAlign w:val="bottom"/>
          </w:tcPr>
          <w:p>
            <w:pPr>
              <w:spacing w:after="0"/>
              <w:rPr>
                <w:sz w:val="13"/>
                <w:szCs w:val="13"/>
                <w:color w:val="auto"/>
              </w:rPr>
            </w:pPr>
          </w:p>
        </w:tc>
        <w:tc>
          <w:tcPr>
            <w:tcW w:w="4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22,386,600</w:t>
            </w:r>
          </w:p>
        </w:tc>
      </w:tr>
      <w:tr>
        <w:trPr>
          <w:trHeight w:val="20"/>
        </w:trPr>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ectPr>
          <w:pgSz w:w="11900" w:h="16838" w:orient="portrait"/>
          <w:cols w:equalWidth="0" w:num="2">
            <w:col w:w="6720" w:space="720"/>
            <w:col w:w="3700"/>
          </w:cols>
          <w:pgMar w:left="320" w:top="336" w:right="4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3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Percentage</w:t>
            </w: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20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rPr>
              <w:t>Portfolio Company</w:t>
            </w:r>
          </w:p>
        </w:tc>
        <w:tc>
          <w:tcPr>
            <w:tcW w:w="29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15,11</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3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Ownership</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12"/>
                <w:szCs w:val="12"/>
                <w:b w:val="1"/>
                <w:bCs w:val="1"/>
                <w:color w:val="auto"/>
                <w:w w:val="90"/>
              </w:rPr>
              <w:t>2</w:t>
            </w:r>
          </w:p>
        </w:tc>
        <w:tc>
          <w:tcPr>
            <w:tcW w:w="0" w:type="dxa"/>
            <w:vAlign w:val="bottom"/>
          </w:tcPr>
          <w:p>
            <w:pPr>
              <w:spacing w:after="0"/>
              <w:rPr>
                <w:sz w:val="1"/>
                <w:szCs w:val="1"/>
                <w:color w:val="auto"/>
              </w:rPr>
            </w:pPr>
          </w:p>
        </w:tc>
      </w:tr>
      <w:tr>
        <w:trPr>
          <w:trHeight w:val="137"/>
        </w:trPr>
        <w:tc>
          <w:tcPr>
            <w:tcW w:w="3060" w:type="dxa"/>
            <w:vAlign w:val="bottom"/>
            <w:tcBorders>
              <w:top w:val="single" w:sz="8" w:color="auto"/>
            </w:tcBorders>
            <w:gridSpan w:val="2"/>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(3)(13)</w:t>
            </w:r>
          </w:p>
        </w:tc>
        <w:tc>
          <w:tcPr>
            <w:tcW w:w="1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w w:val="94"/>
              </w:rPr>
              <w:t>Subordinated Securities, effective interest 8.0%,</w:t>
            </w:r>
          </w:p>
        </w:tc>
        <w:tc>
          <w:tcPr>
            <w:tcW w:w="14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1/28 maturity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5,766,803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3,198,642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2014-1</w:t>
            </w:r>
          </w:p>
        </w:tc>
        <w:tc>
          <w:tcPr>
            <w:tcW w:w="17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w w:val="99"/>
              </w:rPr>
              <w:t>Subordinated Securities, effective interest 5.5%,</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4/30 maturity</w:t>
            </w:r>
          </w:p>
        </w:tc>
        <w:tc>
          <w:tcPr>
            <w:tcW w:w="1120" w:type="dxa"/>
            <w:vAlign w:val="bottom"/>
          </w:tcPr>
          <w:p>
            <w:pPr>
              <w:jc w:val="right"/>
              <w:spacing w:after="0"/>
              <w:rPr>
                <w:sz w:val="20"/>
                <w:szCs w:val="20"/>
                <w:color w:val="auto"/>
              </w:rPr>
            </w:pPr>
            <w:r>
              <w:rPr>
                <w:rFonts w:ascii="Arial" w:cs="Arial" w:eastAsia="Arial" w:hAnsi="Arial"/>
                <w:sz w:val="14"/>
                <w:szCs w:val="14"/>
                <w:color w:val="auto"/>
              </w:rPr>
              <w:t>5/6/2014</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9,735,921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5,435,075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gridSpan w:val="3"/>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2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w w:val="96"/>
              </w:rPr>
              <w:t>Subordinated Securities, effective interest 20.5%,</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11/28 maturity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1,138,560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1,305,200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2014-2</w:t>
            </w:r>
          </w:p>
        </w:tc>
        <w:tc>
          <w:tcPr>
            <w:tcW w:w="17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(3)(7)(13)</w:t>
            </w:r>
          </w:p>
        </w:tc>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w w:val="99"/>
              </w:rPr>
              <w:t>Subordinated Securities, effective interest 0.0%,</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10/26 maturity</w:t>
            </w:r>
          </w:p>
        </w:tc>
        <w:tc>
          <w:tcPr>
            <w:tcW w:w="1120" w:type="dxa"/>
            <w:vAlign w:val="bottom"/>
          </w:tcPr>
          <w:p>
            <w:pPr>
              <w:jc w:val="right"/>
              <w:spacing w:after="0"/>
              <w:rPr>
                <w:sz w:val="20"/>
                <w:szCs w:val="20"/>
                <w:color w:val="auto"/>
              </w:rPr>
            </w:pPr>
            <w:r>
              <w:rPr>
                <w:rFonts w:ascii="Arial" w:cs="Arial" w:eastAsia="Arial" w:hAnsi="Arial"/>
                <w:sz w:val="14"/>
                <w:szCs w:val="14"/>
                <w:color w:val="auto"/>
              </w:rPr>
              <w:t>8/15/2014</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6,065,598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3"/>
              </w:rPr>
              <w:t>Catamaran CLO 2015-1</w:t>
            </w:r>
          </w:p>
        </w:tc>
        <w:tc>
          <w:tcPr>
            <w:tcW w:w="178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2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w w:val="99"/>
              </w:rPr>
              <w:t>Subordinated Securities, effective interest 8.7%,</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4/27 maturity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3,012,589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477,373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2018-1</w:t>
            </w:r>
          </w:p>
        </w:tc>
        <w:tc>
          <w:tcPr>
            <w:tcW w:w="17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w w:val="99"/>
              </w:rPr>
              <w:t>Subordinated Securities, effective interest 8.7%,</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10/31 maturity</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9/27/2018</w:t>
            </w:r>
          </w:p>
        </w:tc>
        <w:tc>
          <w:tcPr>
            <w:tcW w:w="14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8,842,357</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6,648,000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Total Investment in CLO Fund</w:t>
            </w: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Securities (6% of net asset value at fair value)</w:t>
            </w: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34,561,828</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17,064,290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Manager Affiliates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4"/>
              </w:rPr>
              <w:t>Acquisition</w:t>
            </w:r>
          </w:p>
        </w:tc>
        <w:tc>
          <w:tcPr>
            <w:tcW w:w="116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Percentage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4"/>
                <w:szCs w:val="14"/>
                <w:color w:val="auto"/>
              </w:rPr>
            </w:pPr>
          </w:p>
        </w:tc>
        <w:tc>
          <w:tcPr>
            <w:tcW w:w="310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(8)(9)(13)(16)</w:t>
            </w:r>
          </w:p>
        </w:tc>
        <w:tc>
          <w:tcPr>
            <w:tcW w:w="14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12/11/2006</w:t>
            </w:r>
          </w:p>
        </w:tc>
        <w:tc>
          <w:tcPr>
            <w:tcW w:w="1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100%</w:t>
            </w:r>
          </w:p>
        </w:tc>
        <w:tc>
          <w:tcPr>
            <w:tcW w:w="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80" w:type="dxa"/>
            <w:vAlign w:val="bottom"/>
            <w:shd w:val="clear" w:color="auto" w:fill="CFF0FC"/>
          </w:tcPr>
          <w:p>
            <w:pPr>
              <w:spacing w:after="0" w:line="130" w:lineRule="exact"/>
              <w:rPr>
                <w:sz w:val="20"/>
                <w:szCs w:val="20"/>
                <w:color w:val="auto"/>
              </w:rPr>
            </w:pPr>
            <w:r>
              <w:rPr>
                <w:rFonts w:ascii="Arial" w:cs="Arial" w:eastAsia="Arial" w:hAnsi="Arial"/>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4"/>
              </w:rPr>
              <w:t>Acquisition</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Pr>
          <w:p>
            <w:pPr>
              <w:spacing w:after="0"/>
              <w:rPr>
                <w:sz w:val="14"/>
                <w:szCs w:val="14"/>
                <w:color w:val="auto"/>
              </w:rPr>
            </w:pPr>
          </w:p>
        </w:tc>
        <w:tc>
          <w:tcPr>
            <w:tcW w:w="3220" w:type="dxa"/>
            <w:vAlign w:val="bottom"/>
            <w:gridSpan w:val="2"/>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(13)(21)(22)</w:t>
            </w:r>
          </w:p>
        </w:tc>
        <w:tc>
          <w:tcPr>
            <w:tcW w:w="140" w:type="dxa"/>
            <w:vAlign w:val="bottom"/>
            <w:tcBorders>
              <w:top w:val="single" w:sz="8" w:color="CFF0FC"/>
            </w:tcBorders>
            <w:shd w:val="clear" w:color="auto" w:fill="CFF0FC"/>
          </w:tcPr>
          <w:p>
            <w:pPr>
              <w:spacing w:after="0"/>
              <w:rPr>
                <w:sz w:val="11"/>
                <w:szCs w:val="11"/>
                <w:color w:val="auto"/>
              </w:rPr>
            </w:pPr>
          </w:p>
        </w:tc>
        <w:tc>
          <w:tcPr>
            <w:tcW w:w="31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33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(1,808,195)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0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(13)(21)(22)</w:t>
            </w:r>
          </w:p>
        </w:tc>
        <w:tc>
          <w:tcPr>
            <w:tcW w:w="140" w:type="dxa"/>
            <w:vAlign w:val="bottom"/>
            <w:shd w:val="clear" w:color="auto" w:fill="CFF0FC"/>
          </w:tcPr>
          <w:p>
            <w:pPr>
              <w:spacing w:after="0"/>
              <w:rPr>
                <w:sz w:val="11"/>
                <w:szCs w:val="11"/>
                <w:color w:val="auto"/>
              </w:rPr>
            </w:pPr>
          </w:p>
        </w:tc>
        <w:tc>
          <w:tcPr>
            <w:tcW w:w="3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33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80" w:type="dxa"/>
            <w:vAlign w:val="bottom"/>
            <w:shd w:val="clear" w:color="auto" w:fill="CFF0FC"/>
          </w:tcPr>
          <w:p>
            <w:pPr>
              <w:spacing w:after="0" w:line="149" w:lineRule="exact"/>
              <w:rPr>
                <w:sz w:val="20"/>
                <w:szCs w:val="20"/>
                <w:color w:val="auto"/>
              </w:rPr>
            </w:pPr>
            <w:r>
              <w:rPr>
                <w:rFonts w:ascii="Arial" w:cs="Arial" w:eastAsia="Arial" w:hAnsi="Arial"/>
                <w:sz w:val="13"/>
                <w:szCs w:val="13"/>
                <w:b w:val="1"/>
                <w:bCs w:val="1"/>
                <w:color w:val="auto"/>
                <w:w w:val="94"/>
              </w:rPr>
              <w:t>Total Derivatives (0% of net asset value at fair value)</w:t>
            </w:r>
          </w:p>
        </w:tc>
        <w:tc>
          <w:tcPr>
            <w:tcW w:w="14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b w:val="1"/>
                <w:bCs w:val="1"/>
                <w:color w:val="auto"/>
              </w:rPr>
              <w:t>30,609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6"/>
              <w:spacing w:after="0" w:line="149" w:lineRule="exact"/>
              <w:rPr>
                <w:sz w:val="20"/>
                <w:szCs w:val="20"/>
                <w:color w:val="auto"/>
              </w:rPr>
            </w:pPr>
            <w:r>
              <w:rPr>
                <w:rFonts w:ascii="Arial" w:cs="Arial" w:eastAsia="Arial" w:hAnsi="Arial"/>
                <w:sz w:val="13"/>
                <w:szCs w:val="13"/>
                <w:b w:val="1"/>
                <w:bCs w:val="1"/>
                <w:color w:val="auto"/>
                <w:w w:val="82"/>
              </w:rPr>
              <w:t>$</w:t>
            </w:r>
          </w:p>
        </w:tc>
        <w:tc>
          <w:tcPr>
            <w:tcW w:w="9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3"/>
                <w:szCs w:val="13"/>
                <w:b w:val="1"/>
                <w:bCs w:val="1"/>
                <w:color w:val="auto"/>
              </w:rPr>
              <w:t>(1,802,675)</w:t>
            </w: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Joint Ventures</w:t>
            </w: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4"/>
              </w:rPr>
              <w:t>Acquisition</w:t>
            </w:r>
          </w:p>
        </w:tc>
        <w:tc>
          <w:tcPr>
            <w:tcW w:w="116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Percentage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4"/>
                <w:szCs w:val="14"/>
                <w:color w:val="auto"/>
              </w:rPr>
            </w:pPr>
          </w:p>
        </w:tc>
        <w:tc>
          <w:tcPr>
            <w:tcW w:w="310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4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line="142" w:lineRule="exact"/>
              <w:rPr>
                <w:sz w:val="20"/>
                <w:szCs w:val="20"/>
                <w:color w:val="auto"/>
              </w:rPr>
            </w:pPr>
            <w:r>
              <w:rPr>
                <w:rFonts w:ascii="Arial" w:cs="Arial" w:eastAsia="Arial" w:hAnsi="Arial"/>
                <w:sz w:val="13"/>
                <w:szCs w:val="13"/>
                <w:color w:val="auto"/>
              </w:rPr>
              <w:t>60%</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27,414,858</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6"/>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22,422,334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(10)(17)(18)(23)</w:t>
            </w:r>
          </w:p>
        </w:tc>
        <w:tc>
          <w:tcPr>
            <w:tcW w:w="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Borders>
              <w:bottom w:val="single" w:sz="8" w:color="CFF0FC"/>
            </w:tcBorders>
          </w:tcPr>
          <w:p>
            <w:pPr>
              <w:ind w:left="80"/>
              <w:spacing w:after="0"/>
              <w:rPr>
                <w:sz w:val="20"/>
                <w:szCs w:val="20"/>
                <w:color w:val="auto"/>
              </w:rPr>
            </w:pPr>
            <w:r>
              <w:rPr>
                <w:rFonts w:ascii="Arial" w:cs="Arial" w:eastAsia="Arial" w:hAnsi="Arial"/>
                <w:sz w:val="13"/>
                <w:szCs w:val="13"/>
                <w:color w:val="auto"/>
              </w:rPr>
              <w:t>Limited Partnership</w:t>
            </w:r>
          </w:p>
        </w:tc>
        <w:tc>
          <w:tcPr>
            <w:tcW w:w="336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Joint Venture</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3"/>
                <w:szCs w:val="13"/>
                <w:color w:val="auto"/>
              </w:rPr>
              <w:t>24%</w:t>
            </w: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38,647,542</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38,647,542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80" w:type="dxa"/>
            <w:vAlign w:val="bottom"/>
          </w:tcPr>
          <w:p>
            <w:pPr>
              <w:spacing w:after="0" w:line="130"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80" w:type="dxa"/>
            <w:vAlign w:val="bottom"/>
          </w:tcPr>
          <w:p>
            <w:pPr>
              <w:ind w:left="80"/>
              <w:spacing w:after="0"/>
              <w:rPr>
                <w:sz w:val="20"/>
                <w:szCs w:val="20"/>
                <w:color w:val="auto"/>
              </w:rPr>
            </w:pPr>
            <w:r>
              <w:rPr>
                <w:rFonts w:ascii="Arial" w:cs="Arial" w:eastAsia="Arial" w:hAnsi="Arial"/>
                <w:sz w:val="13"/>
                <w:szCs w:val="13"/>
                <w:b w:val="1"/>
                <w:bCs w:val="1"/>
                <w:color w:val="auto"/>
              </w:rPr>
              <w:t>(23% of net asset value at fair value)</w:t>
            </w:r>
          </w:p>
        </w:tc>
        <w:tc>
          <w:tcPr>
            <w:tcW w:w="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66,062,400</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61,069,876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31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559,510,244</w:t>
            </w:r>
          </w:p>
        </w:tc>
        <w:tc>
          <w:tcPr>
            <w:tcW w:w="24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b w:val="1"/>
                <w:bCs w:val="1"/>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518,365,644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80" w:right="40" w:hanging="372"/>
        <w:spacing w:after="0" w:line="271" w:lineRule="auto"/>
        <w:tabs>
          <w:tab w:leader="none" w:pos="380" w:val="left"/>
        </w:tabs>
        <w:numPr>
          <w:ilvl w:val="0"/>
          <w:numId w:val="6"/>
        </w:numPr>
        <w:rPr>
          <w:rFonts w:ascii="Arial" w:cs="Arial" w:eastAsia="Arial" w:hAnsi="Arial"/>
          <w:sz w:val="15"/>
          <w:szCs w:val="15"/>
          <w:color w:val="auto"/>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June 30, 2021 loan. For each such loan, the Company has provided the weighted average annual stated interest rate in effect at June 30, 2021. As noted in the table above 71.8% (based on par) of debt securities contain floors which range between 0.25% and 2.25%.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6"/>
          <w:szCs w:val="16"/>
          <w:color w:val="auto"/>
        </w:rPr>
        <w:t>Reflects the fair market value of all investments as of June 30, 2021 as determined by the Company’s Board of Directors.</w:t>
      </w:r>
    </w:p>
    <w:p>
      <w:pPr>
        <w:spacing w:after="0" w:line="1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27" w:lineRule="exact"/>
        <w:rPr>
          <w:rFonts w:ascii="Arial" w:cs="Arial" w:eastAsia="Arial" w:hAnsi="Arial"/>
          <w:sz w:val="17"/>
          <w:szCs w:val="17"/>
          <w:color w:val="auto"/>
        </w:rPr>
      </w:pPr>
    </w:p>
    <w:p>
      <w:pPr>
        <w:ind w:left="380" w:right="220" w:hanging="364"/>
        <w:spacing w:after="0" w:line="281" w:lineRule="auto"/>
        <w:rPr>
          <w:rFonts w:ascii="Arial" w:cs="Arial" w:eastAsia="Arial" w:hAnsi="Arial"/>
          <w:sz w:val="17"/>
          <w:szCs w:val="17"/>
          <w:color w:val="auto"/>
        </w:rPr>
      </w:pPr>
      <w:r>
        <w:rPr>
          <w:rFonts w:ascii="Arial" w:cs="Arial" w:eastAsia="Arial" w:hAnsi="Arial"/>
          <w:sz w:val="15"/>
          <w:szCs w:val="15"/>
          <w:color w:val="auto"/>
        </w:rPr>
        <w:t>4The aggregate cost of investments for federal income tax purposes is approximately $586 million. The aggregate gross unrealized appreciation is approximately $54 million, the aggregate gross unrealized depreciation is approximately $121 million, and the net unrealized depreciation is approximately $68 million.</w:t>
      </w:r>
    </w:p>
    <w:p>
      <w:pPr>
        <w:spacing w:after="0"/>
        <w:rPr>
          <w:rFonts w:ascii="Arial" w:cs="Arial" w:eastAsia="Arial" w:hAnsi="Arial"/>
          <w:sz w:val="17"/>
          <w:szCs w:val="17"/>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29" w:lineRule="exact"/>
        <w:rPr>
          <w:rFonts w:ascii="Arial" w:cs="Arial" w:eastAsia="Arial" w:hAnsi="Arial"/>
          <w:sz w:val="17"/>
          <w:szCs w:val="17"/>
          <w:color w:val="auto"/>
        </w:rPr>
      </w:pPr>
    </w:p>
    <w:p>
      <w:pPr>
        <w:ind w:left="380" w:right="40" w:hanging="364"/>
        <w:spacing w:after="0" w:line="263" w:lineRule="auto"/>
        <w:rPr>
          <w:rFonts w:ascii="Arial" w:cs="Arial" w:eastAsia="Arial" w:hAnsi="Arial"/>
          <w:sz w:val="17"/>
          <w:szCs w:val="17"/>
          <w:color w:val="auto"/>
        </w:rPr>
      </w:pPr>
      <w:r>
        <w:rPr>
          <w:rFonts w:ascii="Arial" w:cs="Arial" w:eastAsia="Arial" w:hAnsi="Arial"/>
          <w:sz w:val="15"/>
          <w:szCs w:val="15"/>
          <w:color w:val="auto"/>
        </w:rPr>
        <w:t>6</w:t>
      </w: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6"/>
          <w:szCs w:val="16"/>
          <w:color w:val="auto"/>
        </w:rPr>
        <w:t>During the second quarter of 2020, the Company was notified that this CLO Fund security will cease making distributions to the Company.</w:t>
      </w:r>
    </w:p>
    <w:p>
      <w:pPr>
        <w:spacing w:after="0" w:line="8" w:lineRule="exact"/>
        <w:rPr>
          <w:rFonts w:ascii="Arial" w:cs="Arial" w:eastAsia="Arial" w:hAnsi="Arial"/>
          <w:sz w:val="17"/>
          <w:szCs w:val="17"/>
          <w:color w:val="auto"/>
        </w:rPr>
      </w:pPr>
    </w:p>
    <w:p>
      <w:pPr>
        <w:ind w:left="380" w:right="100" w:hanging="364"/>
        <w:spacing w:after="0" w:line="262" w:lineRule="auto"/>
        <w:rPr>
          <w:rFonts w:ascii="Arial" w:cs="Arial" w:eastAsia="Arial" w:hAnsi="Arial"/>
          <w:sz w:val="17"/>
          <w:szCs w:val="17"/>
          <w:color w:val="auto"/>
        </w:rPr>
      </w:pPr>
      <w:r>
        <w:rPr>
          <w:rFonts w:ascii="Arial" w:cs="Arial" w:eastAsia="Arial" w:hAnsi="Arial"/>
          <w:sz w:val="15"/>
          <w:szCs w:val="15"/>
          <w:color w:val="auto"/>
        </w:rPr>
        <w:t>8</w:t>
      </w:r>
      <w:r>
        <w:rPr>
          <w:rFonts w:ascii="Arial" w:cs="Arial" w:eastAsia="Arial" w:hAnsi="Arial"/>
          <w:sz w:val="16"/>
          <w:szCs w:val="16"/>
          <w:color w:val="auto"/>
        </w:rPr>
        <w:t>Qualified asset for purposes of section 55(a) of the Investment Company Act of 1940, as amended (the “1940 Act”). Qualifying assets represent approximately 86.6% of the total assets at June 30, 2021.</w:t>
      </w:r>
    </w:p>
    <w:p>
      <w:pPr>
        <w:ind w:left="380" w:right="180" w:hanging="364"/>
        <w:spacing w:after="0" w:line="301" w:lineRule="auto"/>
        <w:rPr>
          <w:rFonts w:ascii="Arial" w:cs="Arial" w:eastAsia="Arial" w:hAnsi="Arial"/>
          <w:sz w:val="17"/>
          <w:szCs w:val="17"/>
          <w:color w:val="auto"/>
        </w:rPr>
      </w:pPr>
      <w:r>
        <w:rPr>
          <w:rFonts w:ascii="Arial" w:cs="Arial" w:eastAsia="Arial" w:hAnsi="Arial"/>
          <w:sz w:val="15"/>
          <w:szCs w:val="15"/>
          <w:color w:val="auto"/>
        </w:rPr>
        <w:t>9</w:t>
      </w: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10   </w:t>
      </w:r>
      <w:r>
        <w:rPr>
          <w:rFonts w:ascii="Arial" w:cs="Arial" w:eastAsia="Arial" w:hAnsi="Arial"/>
          <w:sz w:val="16"/>
          <w:szCs w:val="16"/>
          <w:color w:val="auto"/>
        </w:rPr>
        <w:t>Non-voting.</w:t>
      </w:r>
    </w:p>
    <w:p>
      <w:pPr>
        <w:spacing w:after="0" w:line="18" w:lineRule="exact"/>
        <w:rPr>
          <w:rFonts w:ascii="Arial" w:cs="Arial" w:eastAsia="Arial" w:hAnsi="Arial"/>
          <w:sz w:val="17"/>
          <w:szCs w:val="17"/>
          <w:color w:val="auto"/>
        </w:rPr>
      </w:pPr>
    </w:p>
    <w:p>
      <w:pPr>
        <w:ind w:left="380" w:right="140" w:hanging="364"/>
        <w:spacing w:after="0" w:line="301" w:lineRule="auto"/>
        <w:rPr>
          <w:rFonts w:ascii="Arial" w:cs="Arial" w:eastAsia="Arial" w:hAnsi="Arial"/>
          <w:sz w:val="17"/>
          <w:szCs w:val="17"/>
          <w:color w:val="auto"/>
        </w:rPr>
      </w:pPr>
      <w:r>
        <w:rPr>
          <w:rFonts w:ascii="Arial" w:cs="Arial" w:eastAsia="Arial" w:hAnsi="Arial"/>
          <w:sz w:val="13"/>
          <w:szCs w:val="13"/>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w:t>
      </w:r>
      <w:r>
        <w:rPr>
          <w:rFonts w:ascii="Arial" w:cs="Arial" w:eastAsia="Arial" w:hAnsi="Arial"/>
          <w:sz w:val="13"/>
          <w:szCs w:val="13"/>
          <w:color w:val="auto"/>
        </w:rPr>
        <w:t xml:space="preserve"> </w:t>
      </w:r>
      <w:r>
        <w:rPr>
          <w:rFonts w:ascii="Arial" w:cs="Arial" w:eastAsia="Arial" w:hAnsi="Arial"/>
          <w:sz w:val="14"/>
          <w:szCs w:val="14"/>
          <w:color w:val="auto"/>
        </w:rPr>
        <w:t>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60" w:hanging="364"/>
        <w:spacing w:after="0" w:line="263" w:lineRule="auto"/>
        <w:rPr>
          <w:rFonts w:ascii="Arial" w:cs="Arial" w:eastAsia="Arial" w:hAnsi="Arial"/>
          <w:sz w:val="17"/>
          <w:szCs w:val="17"/>
          <w:color w:val="auto"/>
        </w:rPr>
      </w:pPr>
      <w:r>
        <w:rPr>
          <w:rFonts w:ascii="Arial" w:cs="Arial" w:eastAsia="Arial" w:hAnsi="Arial"/>
          <w:sz w:val="15"/>
          <w:szCs w:val="15"/>
          <w:color w:val="auto"/>
        </w:rPr>
        <w:t xml:space="preserve">12 </w:t>
      </w:r>
      <w:r>
        <w:rPr>
          <w:rFonts w:ascii="Arial" w:cs="Arial" w:eastAsia="Arial" w:hAnsi="Arial"/>
          <w:sz w:val="16"/>
          <w:szCs w:val="16"/>
          <w:color w:val="auto"/>
        </w:rPr>
        <w:t>This investment is on non-accrual status and receives a 5% royalty interest on oil being produced on certain fields. All production payments received are being applied</w:t>
      </w:r>
      <w:r>
        <w:rPr>
          <w:rFonts w:ascii="Arial" w:cs="Arial" w:eastAsia="Arial" w:hAnsi="Arial"/>
          <w:sz w:val="15"/>
          <w:szCs w:val="15"/>
          <w:color w:val="auto"/>
        </w:rPr>
        <w:t xml:space="preserve"> </w:t>
      </w:r>
      <w:r>
        <w:rPr>
          <w:rFonts w:ascii="Arial" w:cs="Arial" w:eastAsia="Arial" w:hAnsi="Arial"/>
          <w:sz w:val="16"/>
          <w:szCs w:val="16"/>
          <w:color w:val="auto"/>
        </w:rPr>
        <w:t>to the cost basis and are considered return of capital.</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13   </w:t>
      </w:r>
      <w:r>
        <w:rPr>
          <w:rFonts w:ascii="Arial" w:cs="Arial" w:eastAsia="Arial" w:hAnsi="Arial"/>
          <w:sz w:val="16"/>
          <w:szCs w:val="16"/>
          <w:color w:val="auto"/>
        </w:rPr>
        <w:t>Fair value of this investment was determined using significant unobservable inputs.</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14   </w:t>
      </w:r>
      <w:r>
        <w:rPr>
          <w:rFonts w:ascii="Arial" w:cs="Arial" w:eastAsia="Arial" w:hAnsi="Arial"/>
          <w:sz w:val="16"/>
          <w:szCs w:val="16"/>
          <w:color w:val="auto"/>
        </w:rPr>
        <w:t>As of June 30, 2021, is investment is pledged to secure the Company’s debt obligations.</w:t>
      </w:r>
    </w:p>
    <w:p>
      <w:pPr>
        <w:spacing w:after="0" w:line="18" w:lineRule="exact"/>
        <w:rPr>
          <w:rFonts w:ascii="Arial" w:cs="Arial" w:eastAsia="Arial" w:hAnsi="Arial"/>
          <w:sz w:val="17"/>
          <w:szCs w:val="17"/>
          <w:color w:val="auto"/>
        </w:rPr>
      </w:pPr>
    </w:p>
    <w:p>
      <w:pPr>
        <w:ind w:left="380" w:right="20" w:hanging="364"/>
        <w:spacing w:after="0" w:line="281" w:lineRule="auto"/>
        <w:rPr>
          <w:rFonts w:ascii="Arial" w:cs="Arial" w:eastAsia="Arial" w:hAnsi="Arial"/>
          <w:sz w:val="17"/>
          <w:szCs w:val="17"/>
          <w:color w:val="auto"/>
        </w:rPr>
      </w:pPr>
      <w:r>
        <w:rPr>
          <w:rFonts w:ascii="Arial" w:cs="Arial" w:eastAsia="Arial" w:hAnsi="Arial"/>
          <w:sz w:val="14"/>
          <w:szCs w:val="14"/>
          <w:color w:val="auto"/>
        </w:rPr>
        <w:t xml:space="preserve">15 </w:t>
      </w:r>
      <w:r>
        <w:rPr>
          <w:rFonts w:ascii="Arial" w:cs="Arial" w:eastAsia="Arial" w:hAnsi="Arial"/>
          <w:sz w:val="15"/>
          <w:szCs w:val="15"/>
          <w:color w:val="auto"/>
        </w:rPr>
        <w:t>The Company's investments are generally acquired in private transactions exempt from registration under the Securities Act of 1933, as amended (the “Securities Act”)</w:t>
      </w:r>
      <w:r>
        <w:rPr>
          <w:rFonts w:ascii="Arial" w:cs="Arial" w:eastAsia="Arial" w:hAnsi="Arial"/>
          <w:sz w:val="14"/>
          <w:szCs w:val="14"/>
          <w:color w:val="auto"/>
        </w:rPr>
        <w:t xml:space="preserve"> </w:t>
      </w:r>
      <w:r>
        <w:rPr>
          <w:rFonts w:ascii="Arial" w:cs="Arial" w:eastAsia="Arial" w:hAnsi="Arial"/>
          <w:sz w:val="15"/>
          <w:szCs w:val="15"/>
          <w:color w:val="auto"/>
        </w:rPr>
        <w:t>and, therefore, are generally subject to limitations on resale, and may be deemed to be “restricted securities'' under the Securities Act of 1933.</w:t>
      </w:r>
    </w:p>
    <w:p>
      <w:pPr>
        <w:ind w:left="380" w:right="260" w:hanging="36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16 </w:t>
      </w:r>
      <w:r>
        <w:rPr>
          <w:rFonts w:ascii="Arial" w:cs="Arial" w:eastAsia="Arial" w:hAnsi="Arial"/>
          <w:sz w:val="15"/>
          <w:szCs w:val="15"/>
          <w:color w:val="auto"/>
        </w:rPr>
        <w:t>As defined in the 1940 Act, the Company is deemed to be both an “Affiliated Person” and has “Control” of this portfolio company as the Company owns more than</w:t>
      </w:r>
      <w:r>
        <w:rPr>
          <w:rFonts w:ascii="Arial" w:cs="Arial" w:eastAsia="Arial" w:hAnsi="Arial"/>
          <w:sz w:val="17"/>
          <w:szCs w:val="17"/>
          <w:color w:val="auto"/>
        </w:rPr>
        <w:t xml:space="preserve"> </w:t>
      </w:r>
      <w:r>
        <w:rPr>
          <w:rFonts w:ascii="Arial" w:cs="Arial" w:eastAsia="Arial" w:hAnsi="Arial"/>
          <w:sz w:val="15"/>
          <w:szCs w:val="15"/>
          <w:color w:val="auto"/>
        </w:rPr>
        <w:t>25% of the portfolio company’s outstanding voting securities or has the power to exercise control over management or policies of such portfolio company.</w:t>
      </w:r>
    </w:p>
    <w:p>
      <w:pPr>
        <w:spacing w:after="0"/>
        <w:rPr>
          <w:rFonts w:ascii="Arial" w:cs="Arial" w:eastAsia="Arial" w:hAnsi="Arial"/>
          <w:sz w:val="17"/>
          <w:szCs w:val="17"/>
          <w:color w:val="auto"/>
        </w:rPr>
      </w:pPr>
      <w:r>
        <w:rPr>
          <w:rFonts w:ascii="Arial" w:cs="Arial" w:eastAsia="Arial" w:hAnsi="Arial"/>
          <w:sz w:val="14"/>
          <w:szCs w:val="14"/>
          <w:color w:val="auto"/>
        </w:rPr>
        <w:t xml:space="preserve">17   </w:t>
      </w: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0" w:lineRule="exact"/>
        <w:rPr>
          <w:sz w:val="20"/>
          <w:szCs w:val="20"/>
          <w:color w:val="auto"/>
        </w:rPr>
      </w:pPr>
    </w:p>
    <w:p>
      <w:pPr>
        <w:ind w:left="380" w:right="120" w:hanging="372"/>
        <w:spacing w:after="0" w:line="222"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10" w:lineRule="exact"/>
        <w:rPr>
          <w:rFonts w:ascii="Arial" w:cs="Arial" w:eastAsia="Arial" w:hAnsi="Arial"/>
          <w:sz w:val="23"/>
          <w:szCs w:val="23"/>
          <w:color w:val="auto"/>
          <w:vertAlign w:val="superscript"/>
        </w:rPr>
      </w:pPr>
    </w:p>
    <w:p>
      <w:pPr>
        <w:ind w:left="380" w:right="40" w:hanging="372"/>
        <w:spacing w:after="0" w:line="228"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Represents co-investment made with the Company's affiliates in accordance with the terms of the exemptive relief that the Company received.</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Information related to the Company’s derivatives is presented below as of June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780" w:type="dxa"/>
            <w:vAlign w:val="bottom"/>
          </w:tcPr>
          <w:p>
            <w:pPr>
              <w:jc w:val="center"/>
              <w:ind w:left="37"/>
              <w:spacing w:after="0"/>
              <w:rPr>
                <w:sz w:val="20"/>
                <w:szCs w:val="20"/>
                <w:color w:val="auto"/>
              </w:rPr>
            </w:pPr>
            <w:r>
              <w:rPr>
                <w:rFonts w:ascii="Arial" w:cs="Arial" w:eastAsia="Arial" w:hAnsi="Arial"/>
                <w:sz w:val="13"/>
                <w:szCs w:val="13"/>
                <w:b w:val="1"/>
                <w:bCs w:val="1"/>
                <w:color w:val="auto"/>
                <w:w w:val="84"/>
              </w:rPr>
              <w:t>Payments</w:t>
            </w: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137"/>
              <w:spacing w:after="0"/>
              <w:rPr>
                <w:sz w:val="20"/>
                <w:szCs w:val="20"/>
                <w:color w:val="auto"/>
              </w:rPr>
            </w:pPr>
            <w:r>
              <w:rPr>
                <w:rFonts w:ascii="Arial" w:cs="Arial" w:eastAsia="Arial" w:hAnsi="Arial"/>
                <w:sz w:val="13"/>
                <w:szCs w:val="13"/>
                <w:b w:val="1"/>
                <w:bCs w:val="1"/>
                <w:color w:val="auto"/>
                <w:w w:val="89"/>
              </w:rPr>
              <w:t>Upfront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Unrealized</w:t>
            </w:r>
          </w:p>
        </w:tc>
      </w:tr>
      <w:tr>
        <w:trPr>
          <w:trHeight w:val="153"/>
        </w:trPr>
        <w:tc>
          <w:tcPr>
            <w:tcW w:w="2080" w:type="dxa"/>
            <w:vAlign w:val="bottom"/>
          </w:tcPr>
          <w:p>
            <w:pPr>
              <w:ind w:left="7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160" w:type="dxa"/>
            <w:vAlign w:val="bottom"/>
          </w:tcPr>
          <w:p>
            <w:pPr>
              <w:ind w:left="120"/>
              <w:spacing w:after="0"/>
              <w:rPr>
                <w:sz w:val="20"/>
                <w:szCs w:val="20"/>
                <w:color w:val="auto"/>
              </w:rPr>
            </w:pPr>
            <w:r>
              <w:rPr>
                <w:rFonts w:ascii="Arial" w:cs="Arial" w:eastAsia="Arial" w:hAnsi="Arial"/>
                <w:sz w:val="13"/>
                <w:szCs w:val="13"/>
                <w:b w:val="1"/>
                <w:bCs w:val="1"/>
                <w:color w:val="auto"/>
                <w:w w:val="86"/>
              </w:rPr>
              <w:t>Payments received</w:t>
            </w:r>
          </w:p>
        </w:tc>
        <w:tc>
          <w:tcPr>
            <w:tcW w:w="400" w:type="dxa"/>
            <w:vAlign w:val="bottom"/>
          </w:tcPr>
          <w:p>
            <w:pPr>
              <w:spacing w:after="0"/>
              <w:rPr>
                <w:sz w:val="13"/>
                <w:szCs w:val="13"/>
                <w:color w:val="auto"/>
              </w:rPr>
            </w:pPr>
          </w:p>
        </w:tc>
        <w:tc>
          <w:tcPr>
            <w:tcW w:w="1520" w:type="dxa"/>
            <w:vAlign w:val="bottom"/>
          </w:tcPr>
          <w:p>
            <w:pPr>
              <w:jc w:val="center"/>
              <w:ind w:right="397"/>
              <w:spacing w:after="0"/>
              <w:rPr>
                <w:sz w:val="20"/>
                <w:szCs w:val="20"/>
                <w:color w:val="auto"/>
              </w:rPr>
            </w:pPr>
            <w:r>
              <w:rPr>
                <w:rFonts w:ascii="Arial" w:cs="Arial" w:eastAsia="Arial" w:hAnsi="Arial"/>
                <w:sz w:val="13"/>
                <w:szCs w:val="13"/>
                <w:b w:val="1"/>
                <w:bCs w:val="1"/>
                <w:color w:val="auto"/>
                <w:w w:val="90"/>
              </w:rPr>
              <w:t>Counterparty</w:t>
            </w:r>
          </w:p>
        </w:tc>
        <w:tc>
          <w:tcPr>
            <w:tcW w:w="880" w:type="dxa"/>
            <w:vAlign w:val="bottom"/>
            <w:gridSpan w:val="2"/>
          </w:tcPr>
          <w:p>
            <w:pPr>
              <w:jc w:val="center"/>
              <w:ind w:right="37"/>
              <w:spacing w:after="0"/>
              <w:rPr>
                <w:sz w:val="20"/>
                <w:szCs w:val="20"/>
                <w:color w:val="auto"/>
              </w:rPr>
            </w:pPr>
            <w:r>
              <w:rPr>
                <w:rFonts w:ascii="Arial" w:cs="Arial" w:eastAsia="Arial" w:hAnsi="Arial"/>
                <w:sz w:val="13"/>
                <w:szCs w:val="13"/>
                <w:b w:val="1"/>
                <w:bCs w:val="1"/>
                <w:color w:val="auto"/>
                <w:w w:val="91"/>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ind w:left="22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left="137"/>
              <w:spacing w:after="0"/>
              <w:rPr>
                <w:sz w:val="20"/>
                <w:szCs w:val="20"/>
                <w:color w:val="auto"/>
              </w:rPr>
            </w:pPr>
            <w:r>
              <w:rPr>
                <w:rFonts w:ascii="Arial" w:cs="Arial" w:eastAsia="Arial" w:hAnsi="Arial"/>
                <w:sz w:val="13"/>
                <w:szCs w:val="13"/>
                <w:b w:val="1"/>
                <w:bCs w:val="1"/>
                <w:color w:val="auto"/>
                <w:w w:val="85"/>
              </w:rPr>
              <w:t>payments/receipts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90"/>
              </w:rPr>
              <w:t>Securities Swap and Option Agreement</w:t>
            </w:r>
          </w:p>
        </w:tc>
        <w:tc>
          <w:tcPr>
            <w:tcW w:w="78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18% PIK</w:t>
            </w:r>
          </w:p>
        </w:tc>
        <w:tc>
          <w:tcPr>
            <w:tcW w:w="1160" w:type="dxa"/>
            <w:vAlign w:val="bottom"/>
            <w:tcBorders>
              <w:top w:val="single" w:sz="8" w:color="auto"/>
            </w:tcBorders>
            <w:shd w:val="clear" w:color="auto" w:fill="CFF0FC"/>
          </w:tcPr>
          <w:p>
            <w:pPr>
              <w:ind w:left="100"/>
              <w:spacing w:after="0" w:line="142" w:lineRule="exact"/>
              <w:rPr>
                <w:sz w:val="20"/>
                <w:szCs w:val="20"/>
                <w:color w:val="auto"/>
              </w:rPr>
            </w:pPr>
            <w:r>
              <w:rPr>
                <w:rFonts w:ascii="Arial" w:cs="Arial" w:eastAsia="Arial" w:hAnsi="Arial"/>
                <w:sz w:val="13"/>
                <w:szCs w:val="13"/>
                <w:color w:val="auto"/>
              </w:rPr>
              <w:t>16% Cash</w:t>
            </w:r>
          </w:p>
        </w:tc>
        <w:tc>
          <w:tcPr>
            <w:tcW w:w="1920" w:type="dxa"/>
            <w:vAlign w:val="bottom"/>
            <w:tcBorders>
              <w:top w:val="single" w:sz="8" w:color="auto"/>
            </w:tcBorders>
            <w:gridSpan w:val="2"/>
            <w:shd w:val="clear" w:color="auto" w:fill="CFF0FC"/>
          </w:tcPr>
          <w:p>
            <w:pPr>
              <w:jc w:val="center"/>
              <w:spacing w:after="0" w:line="142" w:lineRule="exact"/>
              <w:rPr>
                <w:sz w:val="20"/>
                <w:szCs w:val="20"/>
                <w:color w:val="auto"/>
              </w:rPr>
            </w:pPr>
            <w:r>
              <w:rPr>
                <w:rFonts w:ascii="Arial" w:cs="Arial" w:eastAsia="Arial" w:hAnsi="Arial"/>
                <w:sz w:val="13"/>
                <w:szCs w:val="13"/>
                <w:color w:val="auto"/>
                <w:w w:val="90"/>
              </w:rPr>
              <w:t>Advantage Capital Holdings LLC.</w:t>
            </w:r>
          </w:p>
        </w:tc>
        <w:tc>
          <w:tcPr>
            <w:tcW w:w="88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88"/>
              </w:rPr>
              <w:t>$  5,500,000</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gridSpan w:val="3"/>
            <w:shd w:val="clear" w:color="auto" w:fill="CFF0FC"/>
          </w:tcPr>
          <w:p>
            <w:pPr>
              <w:ind w:left="280"/>
              <w:spacing w:after="0" w:line="142" w:lineRule="exact"/>
              <w:rPr>
                <w:sz w:val="20"/>
                <w:szCs w:val="20"/>
                <w:color w:val="auto"/>
              </w:rPr>
            </w:pPr>
            <w:r>
              <w:rPr>
                <w:rFonts w:ascii="Arial" w:cs="Arial" w:eastAsia="Arial" w:hAnsi="Arial"/>
                <w:sz w:val="13"/>
                <w:szCs w:val="13"/>
                <w:color w:val="auto"/>
                <w:w w:val="81"/>
              </w:rPr>
              <w:t>(1,808,195)</w:t>
            </w:r>
          </w:p>
        </w:tc>
        <w:tc>
          <w:tcPr>
            <w:tcW w:w="10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ind w:right="103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(1,808,195)</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Exercise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80" w:type="dxa"/>
            <w:vAlign w:val="bottom"/>
          </w:tcPr>
          <w:p>
            <w:pPr>
              <w:ind w:left="8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spacing w:after="0"/>
              <w:rPr>
                <w:sz w:val="13"/>
                <w:szCs w:val="13"/>
                <w:color w:val="auto"/>
              </w:rPr>
            </w:pPr>
          </w:p>
        </w:tc>
        <w:tc>
          <w:tcPr>
            <w:tcW w:w="156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20" w:type="dxa"/>
            <w:vAlign w:val="bottom"/>
          </w:tcPr>
          <w:p>
            <w:pPr>
              <w:ind w:left="540"/>
              <w:spacing w:after="0"/>
              <w:rPr>
                <w:sz w:val="20"/>
                <w:szCs w:val="20"/>
                <w:color w:val="auto"/>
              </w:rPr>
            </w:pPr>
            <w:r>
              <w:rPr>
                <w:rFonts w:ascii="Arial" w:cs="Arial" w:eastAsia="Arial" w:hAnsi="Arial"/>
                <w:sz w:val="13"/>
                <w:szCs w:val="13"/>
                <w:b w:val="1"/>
                <w:bCs w:val="1"/>
                <w:color w:val="auto"/>
                <w:w w:val="86"/>
              </w:rPr>
              <w:t>Number of shares</w:t>
            </w:r>
          </w:p>
        </w:tc>
        <w:tc>
          <w:tcPr>
            <w:tcW w:w="520" w:type="dxa"/>
            <w:vAlign w:val="bottom"/>
          </w:tcPr>
          <w:p>
            <w:pPr>
              <w:spacing w:after="0"/>
              <w:rPr>
                <w:sz w:val="13"/>
                <w:szCs w:val="13"/>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3"/>
              </w:rPr>
              <w:t>price</w:t>
            </w:r>
          </w:p>
        </w:tc>
        <w:tc>
          <w:tcPr>
            <w:tcW w:w="158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78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gridSpan w:val="2"/>
            <w:shd w:val="clear" w:color="auto" w:fill="CFF0FC"/>
          </w:tcPr>
          <w:p>
            <w:pPr>
              <w:ind w:left="380"/>
              <w:spacing w:after="0" w:line="142" w:lineRule="exact"/>
              <w:rPr>
                <w:sz w:val="20"/>
                <w:szCs w:val="20"/>
                <w:color w:val="auto"/>
              </w:rPr>
            </w:pPr>
            <w:r>
              <w:rPr>
                <w:rFonts w:ascii="Arial" w:cs="Arial" w:eastAsia="Arial" w:hAnsi="Arial"/>
                <w:sz w:val="13"/>
                <w:szCs w:val="13"/>
                <w:color w:val="auto"/>
              </w:rPr>
              <w:t>HDNet Holdco LLC</w:t>
            </w:r>
          </w:p>
        </w:tc>
        <w:tc>
          <w:tcPr>
            <w:tcW w:w="15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6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ind w:left="280"/>
              <w:spacing w:after="0" w:line="142" w:lineRule="exact"/>
              <w:rPr>
                <w:sz w:val="20"/>
                <w:szCs w:val="20"/>
                <w:color w:val="auto"/>
              </w:rPr>
            </w:pPr>
            <w:r>
              <w:rPr>
                <w:rFonts w:ascii="Arial" w:cs="Arial" w:eastAsia="Arial" w:hAnsi="Arial"/>
                <w:sz w:val="13"/>
                <w:szCs w:val="13"/>
                <w:color w:val="auto"/>
                <w:w w:val="78"/>
              </w:rPr>
              <w:t>0.01</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26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5,520</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125" w:lineRule="exact"/>
        <w:rPr>
          <w:sz w:val="20"/>
          <w:szCs w:val="20"/>
          <w:color w:val="auto"/>
        </w:rPr>
      </w:pPr>
    </w:p>
    <w:p>
      <w:pPr>
        <w:ind w:left="380" w:right="160" w:hanging="372"/>
        <w:spacing w:after="0" w:line="207" w:lineRule="auto"/>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Debt security has an unfunded commitment in addition to the amounts shown in the Consolidated Schedule of Investments. See Note 8 for additional information on the Company’s commitments and contingencies.</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The cash coupon and/or PIK coupon on the loan is subject to a pricing grid based on certain leverage ratios of the portfolio company.</w:t>
      </w:r>
    </w:p>
    <w:p>
      <w:pPr>
        <w:spacing w:after="0" w:line="10" w:lineRule="exact"/>
        <w:rPr>
          <w:rFonts w:ascii="Arial" w:cs="Arial" w:eastAsia="Arial" w:hAnsi="Arial"/>
          <w:sz w:val="23"/>
          <w:szCs w:val="23"/>
          <w:color w:val="auto"/>
          <w:vertAlign w:val="superscript"/>
        </w:rPr>
      </w:pPr>
    </w:p>
    <w:p>
      <w:pPr>
        <w:ind w:left="380" w:hanging="372"/>
        <w:spacing w:after="0" w:line="182"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This investment is owned by HCAP Equity Holdings, LLC, one of the Company’s taxable blocker subsidiaries.</w:t>
      </w:r>
    </w:p>
    <w:p>
      <w:pPr>
        <w:spacing w:after="0" w:line="10" w:lineRule="exact"/>
        <w:rPr>
          <w:sz w:val="20"/>
          <w:szCs w:val="20"/>
          <w:color w:val="auto"/>
        </w:rPr>
      </w:pPr>
    </w:p>
    <w:p>
      <w:pPr>
        <w:ind w:left="380" w:right="140" w:hanging="360"/>
        <w:spacing w:after="0" w:line="267" w:lineRule="auto"/>
        <w:tabs>
          <w:tab w:leader="none" w:pos="347" w:val="left"/>
        </w:tabs>
        <w:numPr>
          <w:ilvl w:val="0"/>
          <w:numId w:val="10"/>
        </w:numPr>
        <w:rPr>
          <w:rFonts w:ascii="Arial" w:cs="Arial" w:eastAsia="Arial" w:hAnsi="Arial"/>
          <w:sz w:val="13"/>
          <w:szCs w:val="13"/>
          <w:color w:val="auto"/>
        </w:rPr>
      </w:pPr>
      <w:r>
        <w:rPr>
          <w:rFonts w:ascii="Arial" w:cs="Arial" w:eastAsia="Arial" w:hAnsi="Arial"/>
          <w:sz w:val="16"/>
          <w:szCs w:val="16"/>
          <w:color w:val="auto"/>
        </w:rPr>
        <w:t>This is an equity investment that receives a cash flow stream based on lease payments received by Flight Lease VII, LLC. Flight Lease VII, LLC owns an aircraft that was leased to one lessee. The lessee had been in arrears on its lease payments and in June of 2018, Flight Lease VII, LLC terminated the lease. As a result of the cessation of cash flows, future payments on this equity investment will resume only if Flight Lease VII, LLC is successful in obtaining a new lessee or sells the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9"/>
              </w:rPr>
              <w:t>Initial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13"/>
                <w:szCs w:val="13"/>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4"/>
              </w:rPr>
              <w:t>Fair Value</w:t>
            </w:r>
            <w:r>
              <w:rPr>
                <w:rFonts w:ascii="Arial" w:cs="Arial" w:eastAsia="Arial" w:hAnsi="Arial"/>
                <w:sz w:val="10"/>
                <w:szCs w:val="10"/>
                <w:b w:val="1"/>
                <w:bCs w:val="1"/>
                <w:color w:val="auto"/>
                <w:w w:val="94"/>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1A Smart Start LLC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(8)(14)(21)</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Consumer goods: Non-durable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8/27</w:t>
            </w: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10/28/2020  $</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2,094,750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1,837,151</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2,102,176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w w:val="99"/>
              </w:rPr>
              <w:t>Junior Secured Loan — Second Lien Notes, 10.0%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rPr>
              <w:t>PIK, 3 Month Libor (1.00%) + 7.00%; Libor Floor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1.00% , Due 10/23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1,464,432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951,271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5.0%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2,422,152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2,422,152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2,425,301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5.0%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1,735,880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1,735,880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1,738,137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5.0%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AIS Holdco,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5.2%</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3 Month Libor (0.21%) + 5.00% , Due 8/25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2,562,205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2,054,605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2,341,855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Allied Universal Holdco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4.4%</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+ 4.25%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5,156,518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4,229,619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5,142,312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Beverage, Food and Tobacco</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(19,849)</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Beverage, Food and Tobacco</w:t>
            </w: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4,900,755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Revolving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Beverage, Food and Tobacco</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(19,972)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Analogic Corporation</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40" w:type="dxa"/>
            <w:vAlign w:val="bottom"/>
            <w:tcBorders>
              <w:top w:val="single" w:sz="8" w:color="CFF0FC"/>
            </w:tcBorders>
            <w:vMerge w:val="restart"/>
            <w:shd w:val="clear" w:color="auto" w:fill="CFF0FC"/>
          </w:tcPr>
          <w:p>
            <w:pPr>
              <w:spacing w:after="0"/>
              <w:rPr>
                <w:sz w:val="13"/>
                <w:szCs w:val="13"/>
                <w:color w:val="auto"/>
              </w:rPr>
            </w:pPr>
          </w:p>
        </w:tc>
        <w:tc>
          <w:tcPr>
            <w:tcW w:w="2840" w:type="dxa"/>
            <w:vAlign w:val="bottom"/>
            <w:tcBorders>
              <w:top w:val="single" w:sz="8" w:color="auto"/>
            </w:tcBorders>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Revolver</w:t>
            </w:r>
          </w:p>
        </w:tc>
        <w:tc>
          <w:tcPr>
            <w:tcW w:w="120" w:type="dxa"/>
            <w:vAlign w:val="bottom"/>
            <w:tcBorders>
              <w:top w:val="single" w:sz="8" w:color="CFF0FC"/>
            </w:tcBorders>
            <w:vMerge w:val="restart"/>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40" w:type="dxa"/>
            <w:vAlign w:val="bottom"/>
            <w:vMerge w:val="continue"/>
            <w:shd w:val="clear" w:color="auto" w:fill="CFF0FC"/>
          </w:tcPr>
          <w:p>
            <w:pPr>
              <w:spacing w:after="0"/>
              <w:rPr>
                <w:sz w:val="3"/>
                <w:szCs w:val="3"/>
                <w:color w:val="auto"/>
              </w:rPr>
            </w:pPr>
          </w:p>
        </w:tc>
        <w:tc>
          <w:tcPr>
            <w:tcW w:w="2840" w:type="dxa"/>
            <w:vAlign w:val="bottom"/>
            <w:gridSpan w:val="2"/>
            <w:vMerge w:val="continue"/>
            <w:shd w:val="clear" w:color="auto" w:fill="CFF0FC"/>
          </w:tcPr>
          <w:p>
            <w:pPr>
              <w:spacing w:after="0"/>
              <w:rPr>
                <w:sz w:val="3"/>
                <w:szCs w:val="3"/>
                <w:color w:val="auto"/>
              </w:rPr>
            </w:pPr>
          </w:p>
        </w:tc>
        <w:tc>
          <w:tcPr>
            <w:tcW w:w="120" w:type="dxa"/>
            <w:vAlign w:val="bottom"/>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Electronics</w:t>
            </w:r>
          </w:p>
        </w:tc>
        <w:tc>
          <w:tcPr>
            <w:tcW w:w="6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3"/>
                <w:szCs w:val="13"/>
                <w:color w:val="auto"/>
                <w:w w:val="87"/>
              </w:rPr>
              <w:t>0.5%</w:t>
            </w:r>
          </w:p>
        </w:tc>
        <w:tc>
          <w:tcPr>
            <w:tcW w:w="2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Due 6/23</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(3,033)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Analogic Corporation</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Electronics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3,555,811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3,103,457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3,502,474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Media: Broadcasting &amp; Subscription</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2.8% PIK, 3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6.75%; Libor 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3,592,120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3,495,363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3,486,871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Revolving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10.5% Cash, 3 Month Libor (1.00%) + 9.50%;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Media: Broadcasting &amp; Subscription</w:t>
            </w: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385,912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384,925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Ascensus Specialties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Chemicals, Plastics &amp; Rubber</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4.9%</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+ 4.75%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1,703,780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1,435,922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1,697,135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Athos Merger Sub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5.1%</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+ 5.00%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1,329,088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1,142,784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1,312,474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BJ Services,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Out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1.50% , Due 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3,573,631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3,094,158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3,540,397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2,909,020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2,878,863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Bristol Hospice</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(8,182)</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(8,219)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Bristol Hospice</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Unitranche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2,178,082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2,134,719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2,134,521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C.P. Converters,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Seventh Amendment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Chemicals, Plastics &amp; Rubber</w:t>
            </w: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rPr>
              <w:t>Acquisition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2,901,315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2,918,063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w w:val="99"/>
              </w:rPr>
              <w:t>Junior Secured Loan — 2023 Extended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3"/>
              </w:rPr>
              <w:t>Cash, 8.0% PIK, 6 month Libor (1.00%) + 4.50%;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Libor Floor 1.00% , Due 8/23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1,629,516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1,454,610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Centric Brands Inc.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Revolver</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Machinery (Non-Agrclt/Constr/Electr)</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6.5% 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403,134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333,931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367,420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Centric Brands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2"/>
              </w:rPr>
              <w:t>Senior Secured Loan — First Lien Last Out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Machinery (Non-Agrclt/Constr/Electr)</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10.0% PIK,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7,989,577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6,378,529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6,825,496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Consumer</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5.3% Cash, 3 Month Libor (1.00%) + 4.25%;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4,246,226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4,241,127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4,198,243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Chloe Ox Parent,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5.5% 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12/24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1,837,439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1,552,347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1,752,917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3"/>
                <w:szCs w:val="13"/>
                <w:color w:val="auto"/>
              </w:rPr>
              <w:t>Circustrix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vMerge w:val="restart"/>
            <w:shd w:val="clear" w:color="auto" w:fill="CFF0FC"/>
          </w:tcPr>
          <w:p>
            <w:pPr>
              <w:ind w:left="40"/>
              <w:spacing w:after="0"/>
              <w:rPr>
                <w:sz w:val="20"/>
                <w:szCs w:val="20"/>
                <w:color w:val="auto"/>
              </w:rPr>
            </w:pPr>
            <w:r>
              <w:rPr>
                <w:rFonts w:ascii="Arial" w:cs="Arial" w:eastAsia="Arial" w:hAnsi="Arial"/>
                <w:sz w:val="13"/>
                <w:szCs w:val="13"/>
                <w:color w:val="auto"/>
                <w:w w:val="94"/>
              </w:rPr>
              <w:t>Senior Secured Loan — First Lien Term Loan B, 7.8%</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000" w:type="dxa"/>
            <w:vAlign w:val="bottom"/>
            <w:gridSpan w:val="3"/>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tcBorders>
              <w:bottom w:val="single" w:sz="8" w:color="CFF0FC"/>
            </w:tcBorders>
            <w:shd w:val="clear" w:color="auto" w:fill="CFF0FC"/>
          </w:tcPr>
          <w:p>
            <w:pPr>
              <w:spacing w:after="0"/>
              <w:rPr>
                <w:sz w:val="17"/>
                <w:szCs w:val="17"/>
                <w:color w:val="auto"/>
              </w:rPr>
            </w:pPr>
          </w:p>
        </w:tc>
        <w:tc>
          <w:tcPr>
            <w:tcW w:w="300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3"/>
                <w:szCs w:val="13"/>
                <w:color w:val="auto"/>
              </w:rPr>
              <w:t>PIK, Due 1/22</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6,319,500</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4,455,164</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4,194,884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9"/>
              </w:rPr>
              <w:t>Junior Secured Loan — Initial Canadian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80"/>
              <w:spacing w:after="0" w:line="135" w:lineRule="exact"/>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8.0% 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467,075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300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rPr>
              <w:t>Senior Secured Loan — Last out DDTL</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00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3"/>
                <w:szCs w:val="13"/>
                <w:color w:val="auto"/>
              </w:rPr>
              <w:t>9.1% Cash, 3 Month Libor (1.00%) + 8.05%; Libor</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927,022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300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rPr>
              <w:t>Senior Secured Loan — Last Out Term Loan</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00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3"/>
                <w:szCs w:val="13"/>
                <w:color w:val="auto"/>
              </w:rPr>
              <w:t>9.1% Cash, 3 Month Libor (1.00%) + 8.05%; Libor</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5,995,440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3000" w:type="dxa"/>
            <w:vAlign w:val="bottom"/>
            <w:gridSpan w:val="3"/>
            <w:shd w:val="clear" w:color="auto" w:fill="CFF0FC"/>
          </w:tcPr>
          <w:p>
            <w:pPr>
              <w:ind w:left="40"/>
              <w:spacing w:after="0" w:line="126" w:lineRule="exact"/>
              <w:rPr>
                <w:sz w:val="20"/>
                <w:szCs w:val="20"/>
                <w:color w:val="auto"/>
              </w:rPr>
            </w:pPr>
            <w:r>
              <w:rPr>
                <w:rFonts w:ascii="Arial" w:cs="Arial" w:eastAsia="Arial" w:hAnsi="Arial"/>
                <w:sz w:val="13"/>
                <w:szCs w:val="13"/>
                <w:color w:val="auto"/>
                <w:w w:val="93"/>
              </w:rPr>
              <w:t>Senior Secured Loan — Last Out Second Amendment</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00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3"/>
                <w:szCs w:val="13"/>
                <w:color w:val="auto"/>
              </w:rPr>
              <w:t>TL</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9.1% Cash, 3 Month Libor (1.00%) + 8.05%;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685,996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Convergeone Holdings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Electronics</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w w:val="93"/>
              </w:rPr>
              <w:t>5.1% Cash, 1 Month Libor (0.15%) + 5.00%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2,168,026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1,740,712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2,054,204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CSM Bakery Solutions Limited (fka CSM Bakery</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7.3% 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Beverage, Food and Tobacco</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1,265,625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1,248,537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1,251,577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CSM Bakery Solutions Limited (fka CSM Bakery</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vMerge w:val="restart"/>
            <w:shd w:val="clear" w:color="auto" w:fill="CFF0FC"/>
          </w:tcPr>
          <w:p>
            <w:pPr>
              <w:ind w:left="40"/>
              <w:spacing w:after="0"/>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9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Supplies Limited)</w:t>
            </w:r>
          </w:p>
        </w:tc>
        <w:tc>
          <w:tcPr>
            <w:tcW w:w="680" w:type="dxa"/>
            <w:vAlign w:val="bottom"/>
            <w:shd w:val="clear" w:color="auto" w:fill="CFF0FC"/>
          </w:tcPr>
          <w:p>
            <w:pPr>
              <w:spacing w:after="0"/>
              <w:rPr>
                <w:sz w:val="5"/>
                <w:szCs w:val="5"/>
                <w:color w:val="auto"/>
              </w:rPr>
            </w:pPr>
          </w:p>
        </w:tc>
        <w:tc>
          <w:tcPr>
            <w:tcW w:w="3000" w:type="dxa"/>
            <w:vAlign w:val="bottom"/>
            <w:gridSpan w:val="3"/>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20" w:type="dxa"/>
            <w:vAlign w:val="bottom"/>
            <w:vMerge w:val="continue"/>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3000" w:type="dxa"/>
            <w:vAlign w:val="bottom"/>
            <w:gridSpan w:val="3"/>
            <w:vMerge w:val="restart"/>
            <w:shd w:val="clear" w:color="auto" w:fill="CFF0FC"/>
          </w:tcPr>
          <w:p>
            <w:pPr>
              <w:ind w:left="40"/>
              <w:spacing w:after="0" w:line="135" w:lineRule="exact"/>
              <w:rPr>
                <w:sz w:val="20"/>
                <w:szCs w:val="20"/>
                <w:color w:val="auto"/>
              </w:rPr>
            </w:pPr>
            <w:r>
              <w:rPr>
                <w:rFonts w:ascii="Arial" w:cs="Arial" w:eastAsia="Arial" w:hAnsi="Arial"/>
                <w:sz w:val="13"/>
                <w:szCs w:val="13"/>
                <w:color w:val="auto"/>
              </w:rPr>
              <w:t>8.8% Cash, 3 Month Libor (1.00%) + 7.75%; Libor</w:t>
            </w:r>
          </w:p>
        </w:tc>
        <w:tc>
          <w:tcPr>
            <w:tcW w:w="10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000" w:type="dxa"/>
            <w:vAlign w:val="bottom"/>
            <w:gridSpan w:val="3"/>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20" w:type="dxa"/>
            <w:vAlign w:val="bottom"/>
            <w:vMerge w:val="restart"/>
            <w:shd w:val="clear" w:color="auto" w:fill="CFF0FC"/>
          </w:tcPr>
          <w:p>
            <w:pPr>
              <w:ind w:left="180"/>
              <w:spacing w:after="0"/>
              <w:rPr>
                <w:sz w:val="20"/>
                <w:szCs w:val="20"/>
                <w:color w:val="auto"/>
              </w:rPr>
            </w:pPr>
            <w:r>
              <w:rPr>
                <w:rFonts w:ascii="Arial" w:cs="Arial" w:eastAsia="Arial" w:hAnsi="Arial"/>
                <w:sz w:val="13"/>
                <w:szCs w:val="13"/>
                <w:color w:val="auto"/>
              </w:rPr>
              <w:t>Beverage, Food and Tobacco</w:t>
            </w:r>
          </w:p>
        </w:tc>
        <w:tc>
          <w:tcPr>
            <w:tcW w:w="680" w:type="dxa"/>
            <w:vAlign w:val="bottom"/>
            <w:shd w:val="clear" w:color="auto" w:fill="CFF0FC"/>
          </w:tcPr>
          <w:p>
            <w:pPr>
              <w:spacing w:after="0"/>
              <w:rPr>
                <w:sz w:val="13"/>
                <w:szCs w:val="13"/>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2/22</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3,083,490</w:t>
            </w:r>
          </w:p>
        </w:tc>
        <w:tc>
          <w:tcPr>
            <w:tcW w:w="22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3,086,814</w:t>
            </w:r>
          </w:p>
        </w:tc>
        <w:tc>
          <w:tcPr>
            <w:tcW w:w="2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2,988,519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92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8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1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90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27" w:name="page28"/>
    <w:bookmarkEnd w:id="27"/>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223" w:lineRule="auto"/>
        <w:rPr>
          <w:sz w:val="20"/>
          <w:szCs w:val="20"/>
          <w:color w:val="auto"/>
        </w:rPr>
      </w:pPr>
      <w:r>
        <w:rPr>
          <w:rFonts w:ascii="Arial" w:cs="Arial" w:eastAsia="Arial" w:hAnsi="Arial"/>
          <w:sz w:val="13"/>
          <w:szCs w:val="13"/>
          <w:b w:val="1"/>
          <w:bCs w:val="1"/>
          <w:color w:val="auto"/>
        </w:rPr>
        <w:t>Principal Business</w:t>
      </w:r>
    </w:p>
    <w:tbl>
      <w:tblPr>
        <w:tblLayout w:type="fixed"/>
        <w:tblInd w:w="0" w:type="dxa"/>
        <w:tblCellMar>
          <w:top w:w="0" w:type="dxa"/>
          <w:left w:w="0" w:type="dxa"/>
          <w:bottom w:w="0" w:type="dxa"/>
          <w:right w:w="0" w:type="dxa"/>
        </w:tblCellMar>
      </w:tblPr>
      <w:tr>
        <w:trPr>
          <w:trHeight w:val="158"/>
        </w:trPr>
        <w:tc>
          <w:tcPr>
            <w:tcW w:w="2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Datalink, LLC</w:t>
            </w:r>
          </w:p>
        </w:tc>
        <w:tc>
          <w:tcPr>
            <w:tcW w:w="480" w:type="dxa"/>
            <w:vAlign w:val="bottom"/>
          </w:tcPr>
          <w:p>
            <w:pPr>
              <w:spacing w:after="0"/>
              <w:rPr>
                <w:sz w:val="20"/>
                <w:szCs w:val="20"/>
                <w:color w:val="auto"/>
              </w:rPr>
            </w:pPr>
            <w:r>
              <w:rPr>
                <w:rFonts w:ascii="Arial" w:cs="Arial" w:eastAsia="Arial" w:hAnsi="Arial"/>
                <w:sz w:val="11"/>
                <w:szCs w:val="11"/>
                <w:color w:val="auto"/>
                <w:w w:val="87"/>
              </w:rPr>
              <w:t>(8)(13)(14)</w:t>
            </w:r>
          </w:p>
        </w:tc>
      </w:tr>
      <w:tr>
        <w:trPr>
          <w:trHeight w:val="262"/>
        </w:trPr>
        <w:tc>
          <w:tcPr>
            <w:tcW w:w="2940" w:type="dxa"/>
            <w:vAlign w:val="bottom"/>
          </w:tcPr>
          <w:p>
            <w:pPr>
              <w:ind w:left="200"/>
              <w:spacing w:after="0"/>
              <w:rPr>
                <w:sz w:val="20"/>
                <w:szCs w:val="20"/>
                <w:color w:val="auto"/>
              </w:rPr>
            </w:pPr>
            <w:r>
              <w:rPr>
                <w:rFonts w:ascii="Arial" w:cs="Arial" w:eastAsia="Arial" w:hAnsi="Arial"/>
                <w:sz w:val="13"/>
                <w:szCs w:val="13"/>
                <w:color w:val="auto"/>
              </w:rPr>
              <w:t>Healthcare &amp; Pharmaceuticals</w:t>
            </w:r>
          </w:p>
        </w:tc>
        <w:tc>
          <w:tcPr>
            <w:tcW w:w="480" w:type="dxa"/>
            <w:vAlign w:val="bottom"/>
          </w:tcPr>
          <w:p>
            <w:pPr>
              <w:spacing w:after="0"/>
              <w:rPr>
                <w:sz w:val="22"/>
                <w:szCs w:val="22"/>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3"/>
                <w:szCs w:val="13"/>
                <w:color w:val="auto"/>
              </w:rPr>
              <w:t>Datalink, LLC</w:t>
            </w:r>
          </w:p>
        </w:tc>
        <w:tc>
          <w:tcPr>
            <w:tcW w:w="480" w:type="dxa"/>
            <w:vAlign w:val="bottom"/>
          </w:tcPr>
          <w:p>
            <w:pPr>
              <w:spacing w:after="0"/>
              <w:rPr>
                <w:sz w:val="20"/>
                <w:szCs w:val="20"/>
                <w:color w:val="auto"/>
              </w:rPr>
            </w:pPr>
            <w:r>
              <w:rPr>
                <w:rFonts w:ascii="Arial" w:cs="Arial" w:eastAsia="Arial" w:hAnsi="Arial"/>
                <w:sz w:val="11"/>
                <w:szCs w:val="11"/>
                <w:color w:val="auto"/>
              </w:rPr>
              <w:t>(8)(13)</w:t>
            </w:r>
          </w:p>
        </w:tc>
      </w:tr>
      <w:tr>
        <w:trPr>
          <w:trHeight w:val="158"/>
        </w:trPr>
        <w:tc>
          <w:tcPr>
            <w:tcW w:w="2940" w:type="dxa"/>
            <w:vAlign w:val="bottom"/>
          </w:tcPr>
          <w:p>
            <w:pPr>
              <w:ind w:left="160"/>
              <w:spacing w:after="0"/>
              <w:rPr>
                <w:sz w:val="20"/>
                <w:szCs w:val="20"/>
                <w:color w:val="auto"/>
              </w:rPr>
            </w:pPr>
            <w:r>
              <w:rPr>
                <w:rFonts w:ascii="Arial" w:cs="Arial" w:eastAsia="Arial" w:hAnsi="Arial"/>
                <w:sz w:val="13"/>
                <w:szCs w:val="13"/>
                <w:color w:val="auto"/>
              </w:rPr>
              <w:t>Healthcare &amp; Pharmaceuticals</w:t>
            </w:r>
          </w:p>
        </w:tc>
        <w:tc>
          <w:tcPr>
            <w:tcW w:w="480" w:type="dxa"/>
            <w:vAlign w:val="bottom"/>
          </w:tcPr>
          <w:p>
            <w:pPr>
              <w:spacing w:after="0"/>
              <w:rPr>
                <w:sz w:val="13"/>
                <w:szCs w:val="13"/>
                <w:color w:val="auto"/>
              </w:rPr>
            </w:pPr>
          </w:p>
        </w:tc>
      </w:tr>
      <w:tr>
        <w:trPr>
          <w:trHeight w:val="408"/>
        </w:trPr>
        <w:tc>
          <w:tcPr>
            <w:tcW w:w="2940" w:type="dxa"/>
            <w:vAlign w:val="bottom"/>
          </w:tcPr>
          <w:p>
            <w:pPr>
              <w:spacing w:after="0"/>
              <w:rPr>
                <w:sz w:val="20"/>
                <w:szCs w:val="20"/>
                <w:color w:val="auto"/>
              </w:rPr>
            </w:pPr>
            <w:r>
              <w:rPr>
                <w:rFonts w:ascii="Arial" w:cs="Arial" w:eastAsia="Arial" w:hAnsi="Arial"/>
                <w:sz w:val="13"/>
                <w:szCs w:val="13"/>
                <w:color w:val="auto"/>
              </w:rPr>
              <w:t>Deliver Buyer, Inc.</w:t>
            </w:r>
          </w:p>
        </w:tc>
        <w:tc>
          <w:tcPr>
            <w:tcW w:w="480" w:type="dxa"/>
            <w:vAlign w:val="bottom"/>
          </w:tcPr>
          <w:p>
            <w:pPr>
              <w:spacing w:after="0"/>
              <w:rPr>
                <w:sz w:val="20"/>
                <w:szCs w:val="20"/>
                <w:color w:val="auto"/>
              </w:rPr>
            </w:pPr>
            <w:r>
              <w:rPr>
                <w:rFonts w:ascii="Arial" w:cs="Arial" w:eastAsia="Arial" w:hAnsi="Arial"/>
                <w:sz w:val="11"/>
                <w:szCs w:val="11"/>
                <w:color w:val="auto"/>
                <w:w w:val="87"/>
              </w:rPr>
              <w:t>(8)(13)(14)</w:t>
            </w:r>
          </w:p>
        </w:tc>
      </w:tr>
      <w:tr>
        <w:trPr>
          <w:trHeight w:val="158"/>
        </w:trPr>
        <w:tc>
          <w:tcPr>
            <w:tcW w:w="2940" w:type="dxa"/>
            <w:vAlign w:val="bottom"/>
          </w:tcPr>
          <w:p>
            <w:pPr>
              <w:ind w:left="160"/>
              <w:spacing w:after="0"/>
              <w:rPr>
                <w:sz w:val="20"/>
                <w:szCs w:val="20"/>
                <w:color w:val="auto"/>
              </w:rPr>
            </w:pPr>
            <w:r>
              <w:rPr>
                <w:rFonts w:ascii="Arial" w:cs="Arial" w:eastAsia="Arial" w:hAnsi="Arial"/>
                <w:sz w:val="13"/>
                <w:szCs w:val="13"/>
                <w:color w:val="auto"/>
              </w:rPr>
              <w:t>Capital Equipment</w:t>
            </w:r>
          </w:p>
        </w:tc>
        <w:tc>
          <w:tcPr>
            <w:tcW w:w="480" w:type="dxa"/>
            <w:vAlign w:val="bottom"/>
          </w:tcPr>
          <w:p>
            <w:pPr>
              <w:spacing w:after="0"/>
              <w:rPr>
                <w:sz w:val="13"/>
                <w:szCs w:val="13"/>
                <w:color w:val="auto"/>
              </w:rPr>
            </w:pPr>
          </w:p>
        </w:tc>
      </w:tr>
      <w:tr>
        <w:trPr>
          <w:trHeight w:val="543"/>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w w:val="98"/>
              </w:rPr>
              <w:t>(5)(8)(13)</w:t>
            </w:r>
          </w:p>
        </w:tc>
      </w:tr>
      <w:tr>
        <w:trPr>
          <w:trHeight w:val="158"/>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rPr>
              <w:t>(8)(13)</w:t>
            </w:r>
          </w:p>
        </w:tc>
      </w:tr>
      <w:tr>
        <w:trPr>
          <w:trHeight w:val="158"/>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rPr>
              <w:t>(3)(13)</w:t>
            </w:r>
          </w:p>
        </w:tc>
      </w:tr>
      <w:tr>
        <w:trPr>
          <w:trHeight w:val="158"/>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rPr>
              <w:t>(8)(13)</w:t>
            </w:r>
          </w:p>
        </w:tc>
      </w:tr>
      <w:tr>
        <w:trPr>
          <w:trHeight w:val="158"/>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3"/>
                <w:szCs w:val="13"/>
                <w:color w:val="auto"/>
              </w:rPr>
              <w:t>DMT Solutions Global Corporation</w:t>
            </w:r>
          </w:p>
        </w:tc>
        <w:tc>
          <w:tcPr>
            <w:tcW w:w="480" w:type="dxa"/>
            <w:vAlign w:val="bottom"/>
          </w:tcPr>
          <w:p>
            <w:pPr>
              <w:spacing w:after="0"/>
              <w:rPr>
                <w:sz w:val="20"/>
                <w:szCs w:val="20"/>
                <w:color w:val="auto"/>
              </w:rPr>
            </w:pPr>
            <w:r>
              <w:rPr>
                <w:rFonts w:ascii="Arial" w:cs="Arial" w:eastAsia="Arial" w:hAnsi="Arial"/>
                <w:sz w:val="11"/>
                <w:szCs w:val="11"/>
                <w:color w:val="auto"/>
                <w:w w:val="87"/>
              </w:rPr>
              <w:t>(8)(13)(14)</w:t>
            </w: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Electronics</w:t>
            </w:r>
          </w:p>
        </w:tc>
        <w:tc>
          <w:tcPr>
            <w:tcW w:w="4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2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7.3% Cash, 3 Month Libor (1.00%) + 6.25%;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Floor 1.00% , Due 11/26</w:t>
            </w:r>
          </w:p>
        </w:tc>
        <w:tc>
          <w:tcPr>
            <w:tcW w:w="1020" w:type="dxa"/>
            <w:vAlign w:val="bottom"/>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2,975,000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2,894,347</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2,893,188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2960" w:type="dxa"/>
            <w:vAlign w:val="bottom"/>
            <w:gridSpan w:val="3"/>
          </w:tcPr>
          <w:p>
            <w:pPr>
              <w:spacing w:after="0"/>
              <w:rPr>
                <w:sz w:val="20"/>
                <w:szCs w:val="20"/>
                <w:color w:val="auto"/>
              </w:rPr>
            </w:pPr>
            <w:r>
              <w:rPr>
                <w:rFonts w:ascii="Arial" w:cs="Arial" w:eastAsia="Arial" w:hAnsi="Arial"/>
                <w:sz w:val="13"/>
                <w:szCs w:val="13"/>
                <w:color w:val="auto"/>
              </w:rPr>
              <w:t>Senior Secured Loan — Delayed Draw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(First 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1.0% Cash, Due 11/26</w:t>
            </w:r>
          </w:p>
        </w:tc>
        <w:tc>
          <w:tcPr>
            <w:tcW w:w="1020" w:type="dxa"/>
            <w:vAlign w:val="bottom"/>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(14,180)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(14,438)</w:t>
            </w:r>
          </w:p>
        </w:tc>
        <w:tc>
          <w:tcPr>
            <w:tcW w:w="0" w:type="dxa"/>
            <w:vAlign w:val="bottom"/>
          </w:tcPr>
          <w:p>
            <w:pPr>
              <w:spacing w:after="0"/>
              <w:rPr>
                <w:sz w:val="1"/>
                <w:szCs w:val="1"/>
                <w:color w:val="auto"/>
              </w:rPr>
            </w:pPr>
          </w:p>
        </w:tc>
      </w:tr>
      <w:tr>
        <w:trPr>
          <w:trHeight w:val="273"/>
        </w:trPr>
        <w:tc>
          <w:tcPr>
            <w:tcW w:w="2960" w:type="dxa"/>
            <w:vAlign w:val="bottom"/>
            <w:gridSpan w:val="3"/>
          </w:tcPr>
          <w:p>
            <w:pPr>
              <w:spacing w:after="0"/>
              <w:rPr>
                <w:sz w:val="20"/>
                <w:szCs w:val="20"/>
                <w:color w:val="auto"/>
              </w:rPr>
            </w:pPr>
            <w:r>
              <w:rPr>
                <w:rFonts w:ascii="Arial" w:cs="Arial" w:eastAsia="Arial" w:hAnsi="Arial"/>
                <w:sz w:val="13"/>
                <w:szCs w:val="13"/>
                <w:color w:val="auto"/>
                <w:w w:val="94"/>
              </w:rPr>
              <w:t>Senior Secured Loan — Incremental Term Loan (First</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7.3% Cash, 3 Month Libor (1.00%) + 6.25%;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Floor 1.00% , Due 5/24</w:t>
            </w:r>
          </w:p>
        </w:tc>
        <w:tc>
          <w:tcPr>
            <w:tcW w:w="1020" w:type="dxa"/>
            <w:vAlign w:val="bottom"/>
          </w:tcPr>
          <w:p>
            <w:pPr>
              <w:jc w:val="right"/>
              <w:spacing w:after="0"/>
              <w:rPr>
                <w:sz w:val="20"/>
                <w:szCs w:val="20"/>
                <w:color w:val="auto"/>
              </w:rPr>
            </w:pPr>
            <w:r>
              <w:rPr>
                <w:rFonts w:ascii="Arial" w:cs="Arial" w:eastAsia="Arial" w:hAnsi="Arial"/>
                <w:sz w:val="13"/>
                <w:szCs w:val="13"/>
                <w:color w:val="auto"/>
              </w:rPr>
              <w:t>7/1/2020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2,892,750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2,816,722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2,872,790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8"/>
        </w:trPr>
        <w:tc>
          <w:tcPr>
            <w:tcW w:w="2960" w:type="dxa"/>
            <w:vAlign w:val="bottom"/>
            <w:gridSpan w:val="3"/>
          </w:tcPr>
          <w:p>
            <w:pPr>
              <w:spacing w:after="0"/>
              <w:rPr>
                <w:sz w:val="20"/>
                <w:szCs w:val="20"/>
                <w:color w:val="auto"/>
              </w:rPr>
            </w:pPr>
            <w:r>
              <w:rPr>
                <w:rFonts w:ascii="Arial" w:cs="Arial" w:eastAsia="Arial" w:hAnsi="Arial"/>
                <w:sz w:val="13"/>
                <w:szCs w:val="13"/>
                <w:color w:val="auto"/>
                <w:w w:val="99"/>
              </w:rPr>
              <w:t>Senior Secured Loan — Senior Term Loan B, 7.0%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PIK, Due 5/25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1,484,979</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1,092,213</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748,132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8"/>
        </w:trPr>
        <w:tc>
          <w:tcPr>
            <w:tcW w:w="2960" w:type="dxa"/>
            <w:vAlign w:val="bottom"/>
            <w:gridSpan w:val="3"/>
          </w:tcPr>
          <w:p>
            <w:pPr>
              <w:spacing w:after="0"/>
              <w:rPr>
                <w:sz w:val="20"/>
                <w:szCs w:val="20"/>
                <w:color w:val="auto"/>
              </w:rPr>
            </w:pPr>
            <w:r>
              <w:rPr>
                <w:rFonts w:ascii="Arial" w:cs="Arial" w:eastAsia="Arial" w:hAnsi="Arial"/>
                <w:sz w:val="13"/>
                <w:szCs w:val="13"/>
                <w:color w:val="auto"/>
                <w:w w:val="98"/>
              </w:rPr>
              <w:t>Senior Secured Loan — Super Senior Term Loan B</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2.0% Cash, 7.0% PIK, Due 5/25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959,944</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943,862</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940,745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8"/>
        </w:trPr>
        <w:tc>
          <w:tcPr>
            <w:tcW w:w="2960" w:type="dxa"/>
            <w:vAlign w:val="bottom"/>
            <w:gridSpan w:val="3"/>
          </w:tcPr>
          <w:p>
            <w:pPr>
              <w:spacing w:after="0"/>
              <w:rPr>
                <w:sz w:val="20"/>
                <w:szCs w:val="20"/>
                <w:color w:val="auto"/>
              </w:rPr>
            </w:pPr>
            <w:r>
              <w:rPr>
                <w:rFonts w:ascii="Arial" w:cs="Arial" w:eastAsia="Arial" w:hAnsi="Arial"/>
                <w:sz w:val="13"/>
                <w:szCs w:val="13"/>
                <w:color w:val="auto"/>
                <w:w w:val="93"/>
              </w:rPr>
              <w:t>Senior Secured Loan — EUR Term Loan A, 5.0% PIK,</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Due 7/25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5/11/2020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324,350</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285,676</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268,222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8"/>
        </w:trPr>
        <w:tc>
          <w:tcPr>
            <w:tcW w:w="2960" w:type="dxa"/>
            <w:vAlign w:val="bottom"/>
            <w:gridSpan w:val="3"/>
          </w:tcPr>
          <w:p>
            <w:pPr>
              <w:spacing w:after="0"/>
              <w:rPr>
                <w:sz w:val="20"/>
                <w:szCs w:val="20"/>
                <w:color w:val="auto"/>
              </w:rPr>
            </w:pPr>
            <w:r>
              <w:rPr>
                <w:rFonts w:ascii="Arial" w:cs="Arial" w:eastAsia="Arial" w:hAnsi="Arial"/>
                <w:sz w:val="13"/>
                <w:szCs w:val="13"/>
                <w:color w:val="auto"/>
                <w:w w:val="99"/>
              </w:rPr>
              <w:t>Senior Secured Loan — Senior Term Loan A, 5.0%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rPr>
              <w:t>PIK, Due 5/25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1,467,506</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1,074,740</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1,063,942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1"/>
        </w:trPr>
        <w:tc>
          <w:tcPr>
            <w:tcW w:w="2960" w:type="dxa"/>
            <w:vAlign w:val="bottom"/>
            <w:gridSpan w:val="3"/>
          </w:tcPr>
          <w:p>
            <w:pPr>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960" w:type="dxa"/>
            <w:vAlign w:val="bottom"/>
            <w:gridSpan w:val="3"/>
          </w:tcPr>
          <w:p>
            <w:pPr>
              <w:spacing w:after="0"/>
              <w:rPr>
                <w:sz w:val="20"/>
                <w:szCs w:val="20"/>
                <w:color w:val="auto"/>
              </w:rPr>
            </w:pPr>
            <w:r>
              <w:rPr>
                <w:rFonts w:ascii="Arial" w:cs="Arial" w:eastAsia="Arial" w:hAnsi="Arial"/>
                <w:sz w:val="13"/>
                <w:szCs w:val="13"/>
                <w:color w:val="auto"/>
                <w:w w:val="93"/>
              </w:rPr>
              <w:t>7.2% Cash, 3 Month Libor (0.24%) + 7.00% , Due 7/24</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6,381,442</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5,158,548</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6,142,138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-3224530</wp:posOffset>
            </wp:positionV>
            <wp:extent cx="7132320" cy="273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-2856230</wp:posOffset>
            </wp:positionV>
            <wp:extent cx="713232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-2496820</wp:posOffset>
            </wp:positionV>
            <wp:extent cx="7132320" cy="351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-2051685</wp:posOffset>
            </wp:positionV>
            <wp:extent cx="7132320" cy="351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-1606550</wp:posOffset>
            </wp:positionV>
            <wp:extent cx="7132320" cy="351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-1160780</wp:posOffset>
            </wp:positionV>
            <wp:extent cx="7132320" cy="351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-715645</wp:posOffset>
            </wp:positionV>
            <wp:extent cx="7132320" cy="351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-270510</wp:posOffset>
            </wp:positionV>
            <wp:extent cx="7132320"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3420" w:space="240"/>
            <w:col w:w="7580"/>
          </w:cols>
          <w:pgMar w:left="320" w:top="430"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3"/>
                <w:szCs w:val="13"/>
                <w:color w:val="auto"/>
              </w:rPr>
              <w:t>Drilling Info Holdings, Inc.</w:t>
            </w:r>
          </w:p>
        </w:tc>
        <w:tc>
          <w:tcPr>
            <w:tcW w:w="142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(8)(14)(21)</w:t>
            </w:r>
          </w:p>
        </w:tc>
        <w:tc>
          <w:tcPr>
            <w:tcW w:w="3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Senior Secured Loan — 2019 Delayed Draw Term</w:t>
            </w:r>
          </w:p>
        </w:tc>
        <w:tc>
          <w:tcPr>
            <w:tcW w:w="1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1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rPr>
              <w:t>Loan (First Lien)</w:t>
            </w:r>
          </w:p>
        </w:tc>
        <w:tc>
          <w:tcPr>
            <w:tcW w:w="1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High Tech Industries</w:t>
            </w:r>
          </w:p>
        </w:tc>
        <w:tc>
          <w:tcPr>
            <w:tcW w:w="1420" w:type="dxa"/>
            <w:vAlign w:val="bottom"/>
            <w:shd w:val="clear" w:color="auto" w:fill="CFF0FC"/>
          </w:tcPr>
          <w:p>
            <w:pPr>
              <w:spacing w:after="0"/>
              <w:rPr>
                <w:sz w:val="12"/>
                <w:szCs w:val="12"/>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3"/>
                <w:szCs w:val="13"/>
                <w:color w:val="auto"/>
                <w:w w:val="94"/>
              </w:rPr>
              <w:t>2.0%</w:t>
            </w:r>
          </w:p>
        </w:tc>
        <w:tc>
          <w:tcPr>
            <w:tcW w:w="2800" w:type="dxa"/>
            <w:vAlign w:val="bottom"/>
            <w:shd w:val="clear" w:color="auto" w:fill="CFF0FC"/>
          </w:tcPr>
          <w:p>
            <w:pPr>
              <w:spacing w:after="0"/>
              <w:rPr>
                <w:sz w:val="20"/>
                <w:szCs w:val="20"/>
                <w:color w:val="auto"/>
              </w:rPr>
            </w:pPr>
            <w:r>
              <w:rPr>
                <w:rFonts w:ascii="Arial" w:cs="Arial" w:eastAsia="Arial" w:hAnsi="Arial"/>
                <w:sz w:val="13"/>
                <w:szCs w:val="13"/>
                <w:color w:val="auto"/>
              </w:rPr>
              <w:t>Cash, Due 7/25</w:t>
            </w:r>
          </w:p>
        </w:tc>
        <w:tc>
          <w:tcPr>
            <w:tcW w:w="11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6/27/2019</w:t>
            </w:r>
          </w:p>
        </w:tc>
        <w:tc>
          <w:tcPr>
            <w:tcW w:w="118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(1,375)</w:t>
            </w: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(10,621)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1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142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(8)(14)(21)</w:t>
            </w:r>
          </w:p>
        </w:tc>
        <w:tc>
          <w:tcPr>
            <w:tcW w:w="314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High Tech Industries</w:t>
            </w:r>
          </w:p>
        </w:tc>
        <w:tc>
          <w:tcPr>
            <w:tcW w:w="1420" w:type="dxa"/>
            <w:vAlign w:val="bottom"/>
            <w:shd w:val="clear" w:color="auto" w:fill="CFF0FC"/>
          </w:tcPr>
          <w:p>
            <w:pPr>
              <w:spacing w:after="0"/>
              <w:rPr>
                <w:sz w:val="12"/>
                <w:szCs w:val="12"/>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3"/>
                <w:szCs w:val="13"/>
                <w:color w:val="auto"/>
                <w:w w:val="94"/>
              </w:rPr>
              <w:t>4.4%</w:t>
            </w:r>
          </w:p>
        </w:tc>
        <w:tc>
          <w:tcPr>
            <w:tcW w:w="2800" w:type="dxa"/>
            <w:vAlign w:val="bottom"/>
            <w:shd w:val="clear" w:color="auto" w:fill="CFF0FC"/>
          </w:tcPr>
          <w:p>
            <w:pPr>
              <w:spacing w:after="0"/>
              <w:rPr>
                <w:sz w:val="20"/>
                <w:szCs w:val="20"/>
                <w:color w:val="auto"/>
              </w:rPr>
            </w:pPr>
            <w:r>
              <w:rPr>
                <w:rFonts w:ascii="Arial" w:cs="Arial" w:eastAsia="Arial" w:hAnsi="Arial"/>
                <w:sz w:val="13"/>
                <w:szCs w:val="13"/>
                <w:color w:val="auto"/>
                <w:w w:val="98"/>
              </w:rPr>
              <w:t>Cash, 1 Month Libor (0.15%) + 4.25% , Due 7/25</w:t>
            </w:r>
          </w:p>
        </w:tc>
        <w:tc>
          <w:tcPr>
            <w:tcW w:w="11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6/27/2019</w:t>
            </w:r>
          </w:p>
        </w:tc>
        <w:tc>
          <w:tcPr>
            <w:tcW w:w="118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465,621</w:t>
            </w:r>
          </w:p>
        </w:tc>
        <w:tc>
          <w:tcPr>
            <w:tcW w:w="1260" w:type="dxa"/>
            <w:vAlign w:val="bottom"/>
            <w:shd w:val="clear" w:color="auto" w:fill="CFF0FC"/>
          </w:tcPr>
          <w:p>
            <w:pPr>
              <w:jc w:val="right"/>
              <w:ind w:right="277"/>
              <w:spacing w:after="0"/>
              <w:rPr>
                <w:sz w:val="20"/>
                <w:szCs w:val="20"/>
                <w:color w:val="auto"/>
              </w:rPr>
            </w:pPr>
            <w:r>
              <w:rPr>
                <w:rFonts w:ascii="Arial" w:cs="Arial" w:eastAsia="Arial" w:hAnsi="Arial"/>
                <w:sz w:val="13"/>
                <w:szCs w:val="13"/>
                <w:color w:val="auto"/>
              </w:rPr>
              <w:t>465,621</w:t>
            </w: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452,042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1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3"/>
                <w:szCs w:val="13"/>
                <w:color w:val="auto"/>
              </w:rPr>
              <w:t>Drilling Info Holdings, Inc.</w:t>
            </w:r>
          </w:p>
        </w:tc>
        <w:tc>
          <w:tcPr>
            <w:tcW w:w="1420" w:type="dxa"/>
            <w:vAlign w:val="bottom"/>
            <w:shd w:val="clear" w:color="auto" w:fill="CFF0FC"/>
          </w:tcPr>
          <w:p>
            <w:pPr>
              <w:ind w:left="740"/>
              <w:spacing w:after="0"/>
              <w:rPr>
                <w:sz w:val="20"/>
                <w:szCs w:val="20"/>
                <w:color w:val="auto"/>
              </w:rPr>
            </w:pPr>
            <w:r>
              <w:rPr>
                <w:rFonts w:ascii="Arial" w:cs="Arial" w:eastAsia="Arial" w:hAnsi="Arial"/>
                <w:sz w:val="11"/>
                <w:szCs w:val="11"/>
                <w:color w:val="auto"/>
                <w:w w:val="91"/>
              </w:rPr>
              <w:t>(8)(13)(14)(21)</w:t>
            </w:r>
          </w:p>
        </w:tc>
        <w:tc>
          <w:tcPr>
            <w:tcW w:w="3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Senior Secured Loan — 2020 Term Loan (First Lien)</w:t>
            </w:r>
          </w:p>
        </w:tc>
        <w:tc>
          <w:tcPr>
            <w:tcW w:w="1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High Tech Industries</w:t>
            </w:r>
          </w:p>
        </w:tc>
        <w:tc>
          <w:tcPr>
            <w:tcW w:w="14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w w:val="94"/>
              </w:rPr>
              <w:t>4.7%</w:t>
            </w: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98"/>
              </w:rPr>
              <w:t>Cash, 1 Month Libor (0.15%) + 4.50% , Due 7/25</w:t>
            </w:r>
          </w:p>
        </w:tc>
        <w:tc>
          <w:tcPr>
            <w:tcW w:w="1120" w:type="dxa"/>
            <w:vAlign w:val="bottom"/>
            <w:tcBorders>
              <w:bottom w:val="single" w:sz="8" w:color="CFF0FC"/>
            </w:tcBorders>
            <w:shd w:val="clear" w:color="auto" w:fill="CFF0FC"/>
          </w:tcPr>
          <w:p>
            <w:pPr>
              <w:jc w:val="right"/>
              <w:ind w:right="197"/>
              <w:spacing w:after="0"/>
              <w:rPr>
                <w:sz w:val="20"/>
                <w:szCs w:val="20"/>
                <w:color w:val="auto"/>
              </w:rPr>
            </w:pPr>
            <w:r>
              <w:rPr>
                <w:rFonts w:ascii="Arial" w:cs="Arial" w:eastAsia="Arial" w:hAnsi="Arial"/>
                <w:sz w:val="13"/>
                <w:szCs w:val="13"/>
                <w:color w:val="auto"/>
              </w:rPr>
              <w:t>2/14/2020</w:t>
            </w:r>
          </w:p>
        </w:tc>
        <w:tc>
          <w:tcPr>
            <w:tcW w:w="1180" w:type="dxa"/>
            <w:vAlign w:val="bottom"/>
            <w:tcBorders>
              <w:bottom w:val="single" w:sz="8" w:color="CFF0FC"/>
            </w:tcBorders>
            <w:shd w:val="clear" w:color="auto" w:fill="CFF0FC"/>
          </w:tcPr>
          <w:p>
            <w:pPr>
              <w:jc w:val="right"/>
              <w:ind w:right="377"/>
              <w:spacing w:after="0"/>
              <w:rPr>
                <w:sz w:val="20"/>
                <w:szCs w:val="20"/>
                <w:color w:val="auto"/>
              </w:rPr>
            </w:pPr>
            <w:r>
              <w:rPr>
                <w:rFonts w:ascii="Arial" w:cs="Arial" w:eastAsia="Arial" w:hAnsi="Arial"/>
                <w:sz w:val="13"/>
                <w:szCs w:val="13"/>
                <w:color w:val="auto"/>
              </w:rPr>
              <w:t>992,500</w:t>
            </w:r>
          </w:p>
        </w:tc>
        <w:tc>
          <w:tcPr>
            <w:tcW w:w="1260" w:type="dxa"/>
            <w:vAlign w:val="bottom"/>
            <w:tcBorders>
              <w:bottom w:val="single" w:sz="8" w:color="CFF0FC"/>
            </w:tcBorders>
            <w:shd w:val="clear" w:color="auto" w:fill="CFF0FC"/>
          </w:tcPr>
          <w:p>
            <w:pPr>
              <w:jc w:val="right"/>
              <w:ind w:right="277"/>
              <w:spacing w:after="0"/>
              <w:rPr>
                <w:sz w:val="20"/>
                <w:szCs w:val="20"/>
                <w:color w:val="auto"/>
              </w:rPr>
            </w:pPr>
            <w:r>
              <w:rPr>
                <w:rFonts w:ascii="Arial" w:cs="Arial" w:eastAsia="Arial" w:hAnsi="Arial"/>
                <w:sz w:val="13"/>
                <w:szCs w:val="13"/>
                <w:color w:val="auto"/>
              </w:rPr>
              <w:t>988,340</w:t>
            </w:r>
          </w:p>
        </w:tc>
        <w:tc>
          <w:tcPr>
            <w:tcW w:w="92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947,838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3"/>
                <w:szCs w:val="13"/>
                <w:color w:val="auto"/>
              </w:rPr>
              <w:t>Electronics for Imaging, Inc.</w:t>
            </w:r>
          </w:p>
        </w:tc>
        <w:tc>
          <w:tcPr>
            <w:tcW w:w="142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(8)(14)</w:t>
            </w:r>
          </w:p>
        </w:tc>
        <w:tc>
          <w:tcPr>
            <w:tcW w:w="3140" w:type="dxa"/>
            <w:vAlign w:val="bottom"/>
            <w:gridSpan w:val="2"/>
            <w:vMerge w:val="restart"/>
            <w:shd w:val="clear" w:color="auto" w:fill="CFF0FC"/>
          </w:tcPr>
          <w:p>
            <w:pPr>
              <w:ind w:left="40"/>
              <w:spacing w:after="0"/>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1420" w:type="dxa"/>
            <w:vAlign w:val="bottom"/>
            <w:shd w:val="clear" w:color="auto" w:fill="CFF0FC"/>
          </w:tcPr>
          <w:p>
            <w:pPr>
              <w:spacing w:after="0"/>
              <w:rPr>
                <w:sz w:val="3"/>
                <w:szCs w:val="3"/>
                <w:color w:val="auto"/>
              </w:rPr>
            </w:pPr>
          </w:p>
        </w:tc>
        <w:tc>
          <w:tcPr>
            <w:tcW w:w="3140" w:type="dxa"/>
            <w:vAlign w:val="bottom"/>
            <w:gridSpan w:val="2"/>
            <w:vMerge w:val="continue"/>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Electronics</w:t>
            </w:r>
          </w:p>
        </w:tc>
        <w:tc>
          <w:tcPr>
            <w:tcW w:w="14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w w:val="94"/>
              </w:rPr>
              <w:t>5.2%</w:t>
            </w: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98"/>
              </w:rPr>
              <w:t>Cash, 1 Month Libor (0.15%) + 5.00% , Due 7/26</w:t>
            </w:r>
          </w:p>
        </w:tc>
        <w:tc>
          <w:tcPr>
            <w:tcW w:w="1120" w:type="dxa"/>
            <w:vAlign w:val="bottom"/>
            <w:tcBorders>
              <w:bottom w:val="single" w:sz="8" w:color="CFF0FC"/>
            </w:tcBorders>
            <w:shd w:val="clear" w:color="auto" w:fill="CFF0FC"/>
          </w:tcPr>
          <w:p>
            <w:pPr>
              <w:jc w:val="right"/>
              <w:ind w:right="197"/>
              <w:spacing w:after="0"/>
              <w:rPr>
                <w:sz w:val="20"/>
                <w:szCs w:val="20"/>
                <w:color w:val="auto"/>
              </w:rPr>
            </w:pPr>
            <w:r>
              <w:rPr>
                <w:rFonts w:ascii="Arial" w:cs="Arial" w:eastAsia="Arial" w:hAnsi="Arial"/>
                <w:sz w:val="13"/>
                <w:szCs w:val="13"/>
                <w:color w:val="auto"/>
              </w:rPr>
              <w:t>10/28/2020</w:t>
            </w:r>
          </w:p>
        </w:tc>
        <w:tc>
          <w:tcPr>
            <w:tcW w:w="1180" w:type="dxa"/>
            <w:vAlign w:val="bottom"/>
            <w:tcBorders>
              <w:bottom w:val="single" w:sz="8" w:color="CFF0FC"/>
            </w:tcBorders>
            <w:shd w:val="clear" w:color="auto" w:fill="CFF0FC"/>
          </w:tcPr>
          <w:p>
            <w:pPr>
              <w:jc w:val="right"/>
              <w:ind w:right="377"/>
              <w:spacing w:after="0"/>
              <w:rPr>
                <w:sz w:val="20"/>
                <w:szCs w:val="20"/>
                <w:color w:val="auto"/>
              </w:rPr>
            </w:pPr>
            <w:r>
              <w:rPr>
                <w:rFonts w:ascii="Arial" w:cs="Arial" w:eastAsia="Arial" w:hAnsi="Arial"/>
                <w:sz w:val="13"/>
                <w:szCs w:val="13"/>
                <w:color w:val="auto"/>
              </w:rPr>
              <w:t>2,181,735</w:t>
            </w:r>
          </w:p>
        </w:tc>
        <w:tc>
          <w:tcPr>
            <w:tcW w:w="1260" w:type="dxa"/>
            <w:vAlign w:val="bottom"/>
            <w:tcBorders>
              <w:bottom w:val="single" w:sz="8" w:color="CFF0FC"/>
            </w:tcBorders>
            <w:shd w:val="clear" w:color="auto" w:fill="CFF0FC"/>
          </w:tcPr>
          <w:p>
            <w:pPr>
              <w:jc w:val="right"/>
              <w:ind w:right="277"/>
              <w:spacing w:after="0"/>
              <w:rPr>
                <w:sz w:val="20"/>
                <w:szCs w:val="20"/>
                <w:color w:val="auto"/>
              </w:rPr>
            </w:pPr>
            <w:r>
              <w:rPr>
                <w:rFonts w:ascii="Arial" w:cs="Arial" w:eastAsia="Arial" w:hAnsi="Arial"/>
                <w:sz w:val="13"/>
                <w:szCs w:val="13"/>
                <w:color w:val="auto"/>
              </w:rPr>
              <w:t>1,639,163</w:t>
            </w:r>
          </w:p>
        </w:tc>
        <w:tc>
          <w:tcPr>
            <w:tcW w:w="92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1,875,605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14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1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ELO Touch Solutions, Inc.</w:t>
            </w:r>
          </w:p>
        </w:tc>
        <w:tc>
          <w:tcPr>
            <w:tcW w:w="142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(8)(13)(14)</w:t>
            </w:r>
          </w:p>
        </w:tc>
        <w:tc>
          <w:tcPr>
            <w:tcW w:w="314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4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6.6%</w:t>
            </w:r>
          </w:p>
        </w:tc>
        <w:tc>
          <w:tcPr>
            <w:tcW w:w="28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Cash, 1 Month Libor (0.15%) + 6.50% , Due</w:t>
            </w:r>
          </w:p>
        </w:tc>
        <w:tc>
          <w:tcPr>
            <w:tcW w:w="11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High Tech Industries</w:t>
            </w:r>
          </w:p>
        </w:tc>
        <w:tc>
          <w:tcPr>
            <w:tcW w:w="1420" w:type="dxa"/>
            <w:vAlign w:val="bottom"/>
            <w:shd w:val="clear" w:color="auto" w:fill="CFF0FC"/>
          </w:tcPr>
          <w:p>
            <w:pPr>
              <w:spacing w:after="0"/>
              <w:rPr>
                <w:sz w:val="12"/>
                <w:szCs w:val="12"/>
                <w:color w:val="auto"/>
              </w:rPr>
            </w:pPr>
          </w:p>
        </w:tc>
        <w:tc>
          <w:tcPr>
            <w:tcW w:w="340" w:type="dxa"/>
            <w:vAlign w:val="bottom"/>
            <w:shd w:val="clear" w:color="auto" w:fill="CFF0FC"/>
          </w:tcPr>
          <w:p>
            <w:pPr>
              <w:ind w:left="40"/>
              <w:spacing w:after="0"/>
              <w:rPr>
                <w:sz w:val="20"/>
                <w:szCs w:val="20"/>
                <w:color w:val="auto"/>
              </w:rPr>
            </w:pPr>
            <w:r>
              <w:rPr>
                <w:rFonts w:ascii="Arial" w:cs="Arial" w:eastAsia="Arial" w:hAnsi="Arial"/>
                <w:sz w:val="13"/>
                <w:szCs w:val="13"/>
                <w:color w:val="auto"/>
                <w:w w:val="85"/>
              </w:rPr>
              <w:t>12/25</w:t>
            </w:r>
          </w:p>
        </w:tc>
        <w:tc>
          <w:tcPr>
            <w:tcW w:w="280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10/28/2020</w:t>
            </w:r>
          </w:p>
        </w:tc>
        <w:tc>
          <w:tcPr>
            <w:tcW w:w="118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2,665,527</w:t>
            </w:r>
          </w:p>
        </w:tc>
        <w:tc>
          <w:tcPr>
            <w:tcW w:w="1260" w:type="dxa"/>
            <w:vAlign w:val="bottom"/>
            <w:shd w:val="clear" w:color="auto" w:fill="CFF0FC"/>
          </w:tcPr>
          <w:p>
            <w:pPr>
              <w:jc w:val="right"/>
              <w:ind w:right="277"/>
              <w:spacing w:after="0"/>
              <w:rPr>
                <w:sz w:val="20"/>
                <w:szCs w:val="20"/>
                <w:color w:val="auto"/>
              </w:rPr>
            </w:pPr>
            <w:r>
              <w:rPr>
                <w:rFonts w:ascii="Arial" w:cs="Arial" w:eastAsia="Arial" w:hAnsi="Arial"/>
                <w:sz w:val="13"/>
                <w:szCs w:val="13"/>
                <w:color w:val="auto"/>
              </w:rPr>
              <w:t>2,267,328</w:t>
            </w: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2,632,741</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type w:val="continuous"/>
        </w:sectPr>
      </w:pPr>
    </w:p>
    <w:bookmarkStart w:id="28" w:name="page29"/>
    <w:bookmarkEnd w:id="28"/>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237" w:lineRule="auto"/>
        <w:rPr>
          <w:sz w:val="20"/>
          <w:szCs w:val="20"/>
          <w:color w:val="auto"/>
        </w:rPr>
      </w:pPr>
      <w:r>
        <w:rPr>
          <w:rFonts w:ascii="Arial" w:cs="Arial" w:eastAsia="Arial" w:hAnsi="Arial"/>
          <w:sz w:val="13"/>
          <w:szCs w:val="13"/>
          <w:b w:val="1"/>
          <w:bCs w:val="1"/>
          <w:color w:val="auto"/>
        </w:rPr>
        <w:t>Principal Business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Energy Acquisition Lp</w:t>
      </w:r>
    </w:p>
    <w:p>
      <w:pPr>
        <w:ind w:left="160"/>
        <w:spacing w:after="0" w:line="237" w:lineRule="auto"/>
        <w:rPr>
          <w:sz w:val="20"/>
          <w:szCs w:val="20"/>
          <w:color w:val="auto"/>
        </w:rPr>
      </w:pPr>
      <w:r>
        <w:rPr>
          <w:rFonts w:ascii="Arial" w:cs="Arial" w:eastAsia="Arial" w:hAnsi="Arial"/>
          <w:sz w:val="13"/>
          <w:szCs w:val="13"/>
          <w:color w:val="auto"/>
        </w:rPr>
        <w:t>Electronics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Ensono, LP</w:t>
      </w:r>
    </w:p>
    <w:p>
      <w:pPr>
        <w:ind w:left="160"/>
        <w:spacing w:after="0" w:line="237" w:lineRule="auto"/>
        <w:rPr>
          <w:sz w:val="20"/>
          <w:szCs w:val="20"/>
          <w:color w:val="auto"/>
        </w:rPr>
      </w:pPr>
      <w:r>
        <w:rPr>
          <w:rFonts w:ascii="Arial" w:cs="Arial" w:eastAsia="Arial" w:hAnsi="Arial"/>
          <w:sz w:val="13"/>
          <w:szCs w:val="13"/>
          <w:color w:val="auto"/>
        </w:rPr>
        <w:t>Telecommunications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Evergreen North America Acquisition, LLC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Environmental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Firstlight Holdco Inc.</w:t>
      </w:r>
    </w:p>
    <w:p>
      <w:pPr>
        <w:ind w:left="160"/>
        <w:spacing w:after="0" w:line="237" w:lineRule="auto"/>
        <w:rPr>
          <w:sz w:val="20"/>
          <w:szCs w:val="20"/>
          <w:color w:val="auto"/>
        </w:rPr>
      </w:pPr>
      <w:r>
        <w:rPr>
          <w:rFonts w:ascii="Arial" w:cs="Arial" w:eastAsia="Arial" w:hAnsi="Arial"/>
          <w:sz w:val="13"/>
          <w:szCs w:val="13"/>
          <w:color w:val="auto"/>
        </w:rPr>
        <w:t>Telecommunications</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Fusion Connect, Inc.</w:t>
      </w:r>
    </w:p>
    <w:p>
      <w:pPr>
        <w:ind w:left="160"/>
        <w:spacing w:after="0" w:line="237" w:lineRule="auto"/>
        <w:rPr>
          <w:sz w:val="20"/>
          <w:szCs w:val="20"/>
          <w:color w:val="auto"/>
        </w:rPr>
      </w:pPr>
      <w:r>
        <w:rPr>
          <w:rFonts w:ascii="Arial" w:cs="Arial" w:eastAsia="Arial" w:hAnsi="Arial"/>
          <w:sz w:val="13"/>
          <w:szCs w:val="13"/>
          <w:color w:val="auto"/>
        </w:rPr>
        <w:t>Telecommunications</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Geo Parent Corporation</w:t>
      </w:r>
    </w:p>
    <w:p>
      <w:pPr>
        <w:ind w:left="160"/>
        <w:spacing w:after="0"/>
        <w:rPr>
          <w:sz w:val="20"/>
          <w:szCs w:val="20"/>
          <w:color w:val="auto"/>
        </w:rPr>
      </w:pPr>
      <w:r>
        <w:rPr>
          <w:rFonts w:ascii="Arial" w:cs="Arial" w:eastAsia="Arial" w:hAnsi="Arial"/>
          <w:sz w:val="10"/>
          <w:szCs w:val="10"/>
          <w:color w:val="auto"/>
        </w:rPr>
        <w:t>Media: Advertising, Printing &amp; Publishing</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GI Revelation Acquisition LLC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ind w:left="160"/>
        <w:spacing w:after="0" w:line="237" w:lineRule="auto"/>
        <w:rPr>
          <w:sz w:val="20"/>
          <w:szCs w:val="20"/>
          <w:color w:val="auto"/>
        </w:rPr>
      </w:pPr>
      <w:r>
        <w:rPr>
          <w:rFonts w:ascii="Arial" w:cs="Arial" w:eastAsia="Arial" w:hAnsi="Arial"/>
          <w:sz w:val="13"/>
          <w:szCs w:val="13"/>
          <w:color w:val="auto"/>
        </w:rPr>
        <w:t>Consumer goods: 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20"/>
                <w:szCs w:val="20"/>
                <w:color w:val="auto"/>
              </w:rPr>
            </w:pPr>
            <w:r>
              <w:rPr>
                <w:rFonts w:ascii="Arial" w:cs="Arial" w:eastAsia="Arial" w:hAnsi="Arial"/>
                <w:sz w:val="11"/>
                <w:szCs w:val="11"/>
                <w:color w:val="auto"/>
              </w:rPr>
              <w:t>(8)(13)</w:t>
            </w:r>
          </w:p>
        </w:tc>
        <w:tc>
          <w:tcPr>
            <w:tcW w:w="40" w:type="dxa"/>
            <w:vAlign w:val="bottom"/>
          </w:tcPr>
          <w:p>
            <w:pPr>
              <w:spacing w:after="0"/>
              <w:rPr>
                <w:sz w:val="11"/>
                <w:szCs w:val="11"/>
                <w:color w:val="auto"/>
              </w:rPr>
            </w:pPr>
          </w:p>
        </w:tc>
        <w:tc>
          <w:tcPr>
            <w:tcW w:w="284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Senior Secured Loan — First Lien Term Loan A</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10.0% Cash, 1 Month Libor (1.50%) + 8.50%;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Floor 1.50% , Due 8/21</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2,395,175</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2,138,552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2,377,690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680" w:type="dxa"/>
            <w:vAlign w:val="bottom"/>
          </w:tcPr>
          <w:p>
            <w:pPr>
              <w:spacing w:after="0"/>
              <w:rPr>
                <w:sz w:val="20"/>
                <w:szCs w:val="20"/>
                <w:color w:val="auto"/>
              </w:rPr>
            </w:pPr>
            <w:r>
              <w:rPr>
                <w:rFonts w:ascii="Arial" w:cs="Arial" w:eastAsia="Arial" w:hAnsi="Arial"/>
                <w:sz w:val="11"/>
                <w:szCs w:val="11"/>
                <w:color w:val="auto"/>
              </w:rPr>
              <w:t>(5)(8)(13)</w:t>
            </w:r>
          </w:p>
        </w:tc>
        <w:tc>
          <w:tcPr>
            <w:tcW w:w="3000" w:type="dxa"/>
            <w:vAlign w:val="bottom"/>
            <w:gridSpan w:val="3"/>
            <w:vMerge w:val="restart"/>
          </w:tcPr>
          <w:p>
            <w:pPr>
              <w:ind w:left="40"/>
              <w:spacing w:after="0"/>
              <w:rPr>
                <w:sz w:val="20"/>
                <w:szCs w:val="20"/>
                <w:color w:val="auto"/>
              </w:rPr>
            </w:pPr>
            <w:r>
              <w:rPr>
                <w:rFonts w:ascii="Arial" w:cs="Arial" w:eastAsia="Arial" w:hAnsi="Arial"/>
                <w:sz w:val="13"/>
                <w:szCs w:val="13"/>
                <w:color w:val="auto"/>
                <w:w w:val="92"/>
              </w:rPr>
              <w:t>Senior Secured Loan — First Lien Term Loan B, 10.3%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80" w:type="dxa"/>
            <w:vAlign w:val="bottom"/>
          </w:tcPr>
          <w:p>
            <w:pPr>
              <w:spacing w:after="0"/>
              <w:rPr>
                <w:sz w:val="5"/>
                <w:szCs w:val="5"/>
                <w:color w:val="auto"/>
              </w:rPr>
            </w:pPr>
          </w:p>
        </w:tc>
        <w:tc>
          <w:tcPr>
            <w:tcW w:w="300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PIK, Due 8/21</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1,734,498</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1,394,239</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1,620,368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3680" w:type="dxa"/>
            <w:vAlign w:val="bottom"/>
            <w:gridSpan w:val="4"/>
          </w:tcPr>
          <w:p>
            <w:pPr>
              <w:ind w:left="540"/>
              <w:spacing w:after="0"/>
              <w:rPr>
                <w:sz w:val="20"/>
                <w:szCs w:val="20"/>
                <w:color w:val="auto"/>
              </w:rPr>
            </w:pPr>
            <w:r>
              <w:rPr>
                <w:rFonts w:ascii="Arial" w:cs="Arial" w:eastAsia="Arial" w:hAnsi="Arial"/>
                <w:sz w:val="11"/>
                <w:szCs w:val="11"/>
                <w:color w:val="auto"/>
              </w:rPr>
              <w:t xml:space="preserve">(14) </w:t>
            </w:r>
            <w:r>
              <w:rPr>
                <w:rFonts w:ascii="Arial" w:cs="Arial" w:eastAsia="Arial" w:hAnsi="Arial"/>
                <w:sz w:val="12"/>
                <w:szCs w:val="12"/>
                <w:color w:val="auto"/>
              </w:rPr>
              <w:t>Senior Secured Loan — First Lien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w w:val="93"/>
              </w:rPr>
              <w:t>4.4% Cash, 1 Month Libor (0.15%) + 4.25% , Due 6/25</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4,887,218</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3,940,620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4,752,820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Junior Secured Loan — Term Loan (Second Lien)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w w:val="93"/>
              </w:rPr>
              <w:t>9.4% Cash, 1 Month Libor (0.15%) + 9.25% , Due 6/26</w:t>
            </w:r>
          </w:p>
        </w:tc>
        <w:tc>
          <w:tcPr>
            <w:tcW w:w="102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1,700,000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1,530,845</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1,648,660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Senior Secured Loan —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6.0% Cash, 6 month Libor (1.00%) + 5.00%;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Floor 1.00% , Due 6/22</w:t>
            </w:r>
          </w:p>
        </w:tc>
        <w:tc>
          <w:tcPr>
            <w:tcW w:w="1020" w:type="dxa"/>
            <w:vAlign w:val="bottom"/>
          </w:tcPr>
          <w:p>
            <w:pPr>
              <w:jc w:val="right"/>
              <w:spacing w:after="0"/>
              <w:rPr>
                <w:sz w:val="20"/>
                <w:szCs w:val="20"/>
                <w:color w:val="auto"/>
              </w:rPr>
            </w:pPr>
            <w:r>
              <w:rPr>
                <w:rFonts w:ascii="Arial" w:cs="Arial" w:eastAsia="Arial" w:hAnsi="Arial"/>
                <w:sz w:val="13"/>
                <w:szCs w:val="13"/>
                <w:color w:val="auto"/>
              </w:rPr>
              <w:t>6/21/2016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975,366</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976,863</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963,174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Junior Secured Loan — Initial Term Loan (Second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w w:val="93"/>
              </w:rPr>
              <w:t>7.7% Cash, 1 Month Libor (0.15%) + 7.50% , Due 7/26</w:t>
            </w:r>
          </w:p>
        </w:tc>
        <w:tc>
          <w:tcPr>
            <w:tcW w:w="102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362,000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383,000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Senior Secured Loan — First Lien Term Loan B</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9"/>
              </w:rPr>
              <w:t>10.0% Cash, 6 month Libor (2.00%) + 8.00%;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Floor 2.00% , Due 7/25</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2,964,925</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1,730,558</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1,885,989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5.4% Cash, 1 Month Libor (0.15%) + 5.25% , Due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880" w:type="dxa"/>
            <w:vAlign w:val="bottom"/>
            <w:gridSpan w:val="2"/>
          </w:tcPr>
          <w:p>
            <w:pPr>
              <w:ind w:left="40"/>
              <w:spacing w:after="0"/>
              <w:rPr>
                <w:sz w:val="20"/>
                <w:szCs w:val="20"/>
                <w:color w:val="auto"/>
              </w:rPr>
            </w:pPr>
            <w:r>
              <w:rPr>
                <w:rFonts w:ascii="Arial" w:cs="Arial" w:eastAsia="Arial" w:hAnsi="Arial"/>
                <w:sz w:val="13"/>
                <w:szCs w:val="13"/>
                <w:color w:val="auto"/>
              </w:rPr>
              <w:t>12/25</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3,290,011</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2,830,592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3,170,254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680" w:type="dxa"/>
            <w:vAlign w:val="bottom"/>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w w:val="96"/>
              </w:rPr>
              <w:t>Senior Secured Loan — Initial Term Loan (First Lien)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w w:val="93"/>
              </w:rPr>
              <w:t>5.2% Cash, 1 Month Libor (0.15%) + 5.00% , Due 4/25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3,902,444</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3,490,451</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3,629,663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(5)(8)(13)</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Junior Secured Loan — Initial Term Loan (Second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7"/>
              </w:rPr>
              <w:t>13.3% Cash, 3 Month Libor (1.00%) + 12.25%;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Floor 1.00% , Due 1/22</w:t>
            </w:r>
          </w:p>
        </w:tc>
        <w:tc>
          <w:tcPr>
            <w:tcW w:w="1020" w:type="dxa"/>
            <w:vAlign w:val="bottom"/>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1,495,464</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839,100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680" w:type="dxa"/>
            <w:vAlign w:val="bottom"/>
          </w:tcPr>
          <w:p>
            <w:pPr>
              <w:spacing w:after="0"/>
              <w:rPr>
                <w:sz w:val="20"/>
                <w:szCs w:val="20"/>
                <w:color w:val="auto"/>
              </w:rPr>
            </w:pPr>
            <w:r>
              <w:rPr>
                <w:rFonts w:ascii="Arial" w:cs="Arial" w:eastAsia="Arial" w:hAnsi="Arial"/>
                <w:sz w:val="11"/>
                <w:szCs w:val="11"/>
                <w:color w:val="auto"/>
              </w:rPr>
              <w:t>(8)(13)</w:t>
            </w:r>
          </w:p>
        </w:tc>
        <w:tc>
          <w:tcPr>
            <w:tcW w:w="3000" w:type="dxa"/>
            <w:vAlign w:val="bottom"/>
            <w:gridSpan w:val="3"/>
            <w:vMerge w:val="restart"/>
          </w:tcPr>
          <w:p>
            <w:pPr>
              <w:ind w:left="40"/>
              <w:spacing w:after="0"/>
              <w:rPr>
                <w:sz w:val="20"/>
                <w:szCs w:val="20"/>
                <w:color w:val="auto"/>
              </w:rPr>
            </w:pPr>
            <w:r>
              <w:rPr>
                <w:rFonts w:ascii="Arial" w:cs="Arial" w:eastAsia="Arial" w:hAnsi="Arial"/>
                <w:sz w:val="13"/>
                <w:szCs w:val="13"/>
                <w:color w:val="auto"/>
              </w:rPr>
              <w:t>Senior Secured Loan — Revolver</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80" w:type="dxa"/>
            <w:vAlign w:val="bottom"/>
          </w:tcPr>
          <w:p>
            <w:pPr>
              <w:spacing w:after="0"/>
              <w:rPr>
                <w:sz w:val="5"/>
                <w:szCs w:val="5"/>
                <w:color w:val="auto"/>
              </w:rPr>
            </w:pPr>
          </w:p>
        </w:tc>
        <w:tc>
          <w:tcPr>
            <w:tcW w:w="300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0.8% Cash, Due 2/23</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(0)</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(42,857)</w:t>
            </w:r>
          </w:p>
        </w:tc>
        <w:tc>
          <w:tcPr>
            <w:tcW w:w="0" w:type="dxa"/>
            <w:vAlign w:val="bottom"/>
          </w:tcPr>
          <w:p>
            <w:pPr>
              <w:spacing w:after="0"/>
              <w:rPr>
                <w:sz w:val="1"/>
                <w:szCs w:val="1"/>
                <w:color w:val="auto"/>
              </w:rPr>
            </w:pPr>
          </w:p>
        </w:tc>
      </w:tr>
      <w:tr>
        <w:trPr>
          <w:trHeight w:val="67"/>
        </w:trPr>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w:t>
            </w: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9.5% Cash, 3 Month Libor (1.25%) + 8.25%;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Arial" w:cs="Arial" w:eastAsia="Arial" w:hAnsi="Arial"/>
                <w:sz w:val="13"/>
                <w:szCs w:val="13"/>
                <w:color w:val="auto"/>
              </w:rPr>
              <w:t>Floor 1.25% , Due 2/23</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6,412,500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4,110,863</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3,851,348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-3781425</wp:posOffset>
            </wp:positionV>
            <wp:extent cx="7132320"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-3421380</wp:posOffset>
            </wp:positionV>
            <wp:extent cx="71323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-3147695</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-2873375</wp:posOffset>
            </wp:positionV>
            <wp:extent cx="7132320" cy="26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-2513965</wp:posOffset>
            </wp:positionV>
            <wp:extent cx="7132320" cy="265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-2154555</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-1794510</wp:posOffset>
            </wp:positionV>
            <wp:extent cx="7132320" cy="265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-1435100</wp:posOffset>
            </wp:positionV>
            <wp:extent cx="7132320" cy="265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-1075690</wp:posOffset>
            </wp:positionV>
            <wp:extent cx="7132320" cy="351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-629920</wp:posOffset>
            </wp:positionV>
            <wp:extent cx="7132320"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-270510</wp:posOffset>
            </wp:positionV>
            <wp:extent cx="7132320" cy="265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-4149090</wp:posOffset>
            </wp:positionV>
            <wp:extent cx="7132320" cy="273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36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2320" w:space="620"/>
            <w:col w:w="8220"/>
          </w:cols>
          <w:pgMar w:left="320" w:top="565" w:right="4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8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Global Tel*Link Corporation</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12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Loan (Second Lien)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Telecommunications</w:t>
            </w:r>
          </w:p>
        </w:tc>
        <w:tc>
          <w:tcPr>
            <w:tcW w:w="6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w w:val="84"/>
              </w:rPr>
              <w:t>8.4% Cash, 1</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(0.15%) + 8.25%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11/26</w:t>
            </w: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1,481,015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1,062,000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Gruden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80" w:type="dxa"/>
            <w:vAlign w:val="bottom"/>
            <w:gridSpan w:val="4"/>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w w:val="84"/>
              </w:rPr>
              <w:t>6.5% Cash, 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Transportation: Cargo</w:t>
            </w:r>
          </w:p>
        </w:tc>
        <w:tc>
          <w:tcPr>
            <w:tcW w:w="600" w:type="dxa"/>
            <w:vAlign w:val="bottom"/>
            <w:shd w:val="clear" w:color="auto" w:fill="CFF0FC"/>
          </w:tcPr>
          <w:p>
            <w:pPr>
              <w:spacing w:after="0"/>
              <w:rPr>
                <w:sz w:val="12"/>
                <w:szCs w:val="12"/>
                <w:color w:val="auto"/>
              </w:rPr>
            </w:pPr>
          </w:p>
        </w:tc>
        <w:tc>
          <w:tcPr>
            <w:tcW w:w="3080" w:type="dxa"/>
            <w:vAlign w:val="bottom"/>
            <w:gridSpan w:val="4"/>
            <w:shd w:val="clear" w:color="auto" w:fill="CFF0FC"/>
          </w:tcPr>
          <w:p>
            <w:pPr>
              <w:ind w:left="120"/>
              <w:spacing w:after="0"/>
              <w:rPr>
                <w:sz w:val="20"/>
                <w:szCs w:val="20"/>
                <w:color w:val="auto"/>
              </w:rPr>
            </w:pPr>
            <w:r>
              <w:rPr>
                <w:rFonts w:ascii="Arial" w:cs="Arial" w:eastAsia="Arial" w:hAnsi="Arial"/>
                <w:sz w:val="13"/>
                <w:szCs w:val="13"/>
                <w:color w:val="auto"/>
              </w:rPr>
              <w:t>Floor 1.00% , Due 8/22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2,414,315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2,071,047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2,404,658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240"/>
          </w:cols>
          <w:pgMar w:left="320" w:top="336"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Hayward Industries, Inc.</w:t>
      </w:r>
    </w:p>
    <w:p>
      <w:pPr>
        <w:ind w:left="160"/>
        <w:spacing w:after="0" w:line="237" w:lineRule="auto"/>
        <w:rPr>
          <w:sz w:val="20"/>
          <w:szCs w:val="20"/>
          <w:color w:val="auto"/>
        </w:rPr>
      </w:pPr>
      <w:r>
        <w:rPr>
          <w:rFonts w:ascii="Arial" w:cs="Arial" w:eastAsia="Arial" w:hAnsi="Arial"/>
          <w:sz w:val="13"/>
          <w:szCs w:val="13"/>
          <w:color w:val="auto"/>
        </w:rPr>
        <w:t>Consumer goods: Durable</w:t>
      </w:r>
    </w:p>
    <w:p>
      <w:pPr>
        <w:spacing w:after="0" w:line="274" w:lineRule="exact"/>
        <w:rPr>
          <w:sz w:val="20"/>
          <w:szCs w:val="20"/>
          <w:color w:val="auto"/>
        </w:rPr>
      </w:pPr>
    </w:p>
    <w:p>
      <w:pPr>
        <w:ind w:left="160" w:right="360" w:hanging="156"/>
        <w:spacing w:after="0" w:line="235" w:lineRule="auto"/>
        <w:rPr>
          <w:sz w:val="20"/>
          <w:szCs w:val="20"/>
          <w:color w:val="auto"/>
        </w:rPr>
      </w:pPr>
      <w:r>
        <w:rPr>
          <w:rFonts w:ascii="Arial" w:cs="Arial" w:eastAsia="Arial" w:hAnsi="Arial"/>
          <w:sz w:val="13"/>
          <w:szCs w:val="13"/>
          <w:color w:val="auto"/>
        </w:rPr>
        <w:t>HDC/HW Intermediate Holdings, LLC High Tech Industries</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HDC/HW Intermediate Holdings, LLC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Helix Acquisition Holdings, Inc.</w:t>
      </w:r>
    </w:p>
    <w:p>
      <w:pPr>
        <w:ind w:left="160"/>
        <w:spacing w:after="0" w:line="237" w:lineRule="auto"/>
        <w:rPr>
          <w:sz w:val="20"/>
          <w:szCs w:val="20"/>
          <w:color w:val="auto"/>
        </w:rPr>
      </w:pPr>
      <w:r>
        <w:rPr>
          <w:rFonts w:ascii="Arial" w:cs="Arial" w:eastAsia="Arial" w:hAnsi="Arial"/>
          <w:sz w:val="13"/>
          <w:szCs w:val="13"/>
          <w:color w:val="auto"/>
        </w:rPr>
        <w:t>Metals &amp; Mining</w:t>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Hoffmaster Group,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Forest Products &amp; Paper</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Holley Purchaser, Inc.</w:t>
      </w: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auto"/>
        </w:rPr>
        <w:t>Idera, Inc.</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tcPr>
          <w:p>
            <w:pPr>
              <w:ind w:left="40"/>
              <w:spacing w:after="0"/>
              <w:rPr>
                <w:sz w:val="20"/>
                <w:szCs w:val="20"/>
                <w:color w:val="auto"/>
              </w:rPr>
            </w:pPr>
            <w:r>
              <w:rPr>
                <w:rFonts w:ascii="Arial" w:cs="Arial" w:eastAsia="Arial" w:hAnsi="Arial"/>
                <w:sz w:val="13"/>
                <w:szCs w:val="13"/>
                <w:color w:val="auto"/>
              </w:rPr>
              <w:t>Senior Secured Loan — Term B Loan (First Lien)</w:t>
            </w: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10.5% Cash, 3 Month Libor (1.50%) + 9.00%; Libor</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Floor 1.50% , Due 1/18</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1/30/2013</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2,702,232</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2,702,232</w:t>
            </w:r>
          </w:p>
        </w:tc>
        <w:tc>
          <w:tcPr>
            <w:tcW w:w="800" w:type="dxa"/>
            <w:vAlign w:val="bottom"/>
          </w:tcPr>
          <w:p>
            <w:pPr>
              <w:jc w:val="right"/>
              <w:spacing w:after="0"/>
              <w:rPr>
                <w:sz w:val="20"/>
                <w:szCs w:val="20"/>
                <w:color w:val="auto"/>
              </w:rPr>
            </w:pPr>
            <w:r>
              <w:rPr>
                <w:rFonts w:ascii="Arial" w:cs="Arial" w:eastAsia="Arial" w:hAnsi="Arial"/>
                <w:sz w:val="13"/>
                <w:szCs w:val="13"/>
                <w:color w:val="auto"/>
              </w:rPr>
              <w:t>2,418,498</w:t>
            </w:r>
          </w:p>
        </w:tc>
        <w:tc>
          <w:tcPr>
            <w:tcW w:w="0" w:type="dxa"/>
            <w:vAlign w:val="bottom"/>
          </w:tcPr>
          <w:p>
            <w:pPr>
              <w:spacing w:after="0"/>
              <w:rPr>
                <w:sz w:val="1"/>
                <w:szCs w:val="1"/>
                <w:color w:val="auto"/>
              </w:rPr>
            </w:pPr>
          </w:p>
        </w:tc>
      </w:tr>
      <w:tr>
        <w:trPr>
          <w:trHeight w:val="279"/>
        </w:trPr>
        <w:tc>
          <w:tcPr>
            <w:tcW w:w="680" w:type="dxa"/>
            <w:vAlign w:val="bottom"/>
          </w:tcPr>
          <w:p>
            <w:pPr>
              <w:spacing w:after="0"/>
              <w:rPr>
                <w:sz w:val="20"/>
                <w:szCs w:val="20"/>
                <w:color w:val="auto"/>
              </w:rPr>
            </w:pPr>
            <w:r>
              <w:rPr>
                <w:rFonts w:ascii="Arial" w:cs="Arial" w:eastAsia="Arial" w:hAnsi="Arial"/>
                <w:sz w:val="11"/>
                <w:szCs w:val="11"/>
                <w:color w:val="auto"/>
              </w:rPr>
              <w:t>(5)(8)(13)</w:t>
            </w:r>
          </w:p>
        </w:tc>
        <w:tc>
          <w:tcPr>
            <w:tcW w:w="3140" w:type="dxa"/>
            <w:vAlign w:val="bottom"/>
            <w:vMerge w:val="restart"/>
          </w:tcPr>
          <w:p>
            <w:pPr>
              <w:ind w:left="40"/>
              <w:spacing w:after="0"/>
              <w:rPr>
                <w:sz w:val="20"/>
                <w:szCs w:val="20"/>
                <w:color w:val="auto"/>
              </w:rPr>
            </w:pPr>
            <w:r>
              <w:rPr>
                <w:rFonts w:ascii="Arial" w:cs="Arial" w:eastAsia="Arial" w:hAnsi="Arial"/>
                <w:sz w:val="13"/>
                <w:szCs w:val="13"/>
                <w:color w:val="auto"/>
              </w:rPr>
              <w:t>Junior Secured Loan — Term Loan (Second Lien)</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6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13.8% Cash, Due 7/18</w:t>
            </w:r>
          </w:p>
        </w:tc>
        <w:tc>
          <w:tcPr>
            <w:tcW w:w="1120" w:type="dxa"/>
            <w:vAlign w:val="bottom"/>
            <w:vMerge w:val="restart"/>
          </w:tcPr>
          <w:p>
            <w:pPr>
              <w:jc w:val="right"/>
              <w:ind w:right="197"/>
              <w:spacing w:after="0"/>
              <w:rPr>
                <w:sz w:val="20"/>
                <w:szCs w:val="20"/>
                <w:color w:val="auto"/>
              </w:rPr>
            </w:pPr>
            <w:r>
              <w:rPr>
                <w:rFonts w:ascii="Arial" w:cs="Arial" w:eastAsia="Arial" w:hAnsi="Arial"/>
                <w:sz w:val="13"/>
                <w:szCs w:val="13"/>
                <w:color w:val="auto"/>
              </w:rPr>
              <w:t>1/30/2013</w:t>
            </w:r>
          </w:p>
        </w:tc>
        <w:tc>
          <w:tcPr>
            <w:tcW w:w="1180" w:type="dxa"/>
            <w:vAlign w:val="bottom"/>
            <w:vMerge w:val="restart"/>
          </w:tcPr>
          <w:p>
            <w:pPr>
              <w:jc w:val="right"/>
              <w:ind w:right="377"/>
              <w:spacing w:after="0"/>
              <w:rPr>
                <w:sz w:val="20"/>
                <w:szCs w:val="20"/>
                <w:color w:val="auto"/>
              </w:rPr>
            </w:pPr>
            <w:r>
              <w:rPr>
                <w:rFonts w:ascii="Arial" w:cs="Arial" w:eastAsia="Arial" w:hAnsi="Arial"/>
                <w:sz w:val="13"/>
                <w:szCs w:val="13"/>
                <w:color w:val="auto"/>
              </w:rPr>
              <w:t>7,191,667</w:t>
            </w:r>
          </w:p>
        </w:tc>
        <w:tc>
          <w:tcPr>
            <w:tcW w:w="1240" w:type="dxa"/>
            <w:vAlign w:val="bottom"/>
            <w:vMerge w:val="restart"/>
          </w:tcPr>
          <w:p>
            <w:pPr>
              <w:jc w:val="right"/>
              <w:ind w:right="257"/>
              <w:spacing w:after="0"/>
              <w:rPr>
                <w:sz w:val="20"/>
                <w:szCs w:val="20"/>
                <w:color w:val="auto"/>
              </w:rPr>
            </w:pPr>
            <w:r>
              <w:rPr>
                <w:rFonts w:ascii="Arial" w:cs="Arial" w:eastAsia="Arial" w:hAnsi="Arial"/>
                <w:sz w:val="13"/>
                <w:szCs w:val="13"/>
                <w:color w:val="auto"/>
              </w:rPr>
              <w:t>7,191,667</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199,209</w:t>
            </w:r>
          </w:p>
        </w:tc>
        <w:tc>
          <w:tcPr>
            <w:tcW w:w="0" w:type="dxa"/>
            <w:vAlign w:val="bottom"/>
          </w:tcPr>
          <w:p>
            <w:pPr>
              <w:spacing w:after="0"/>
              <w:rPr>
                <w:sz w:val="1"/>
                <w:szCs w:val="1"/>
                <w:color w:val="auto"/>
              </w:rPr>
            </w:pPr>
          </w:p>
        </w:tc>
      </w:tr>
      <w:tr>
        <w:trPr>
          <w:trHeight w:val="67"/>
        </w:trPr>
        <w:tc>
          <w:tcPr>
            <w:tcW w:w="6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tcPr>
          <w:p>
            <w:pPr>
              <w:ind w:left="40"/>
              <w:spacing w:after="0"/>
              <w:rPr>
                <w:sz w:val="20"/>
                <w:szCs w:val="20"/>
                <w:color w:val="auto"/>
              </w:rPr>
            </w:pPr>
            <w:r>
              <w:rPr>
                <w:rFonts w:ascii="Arial" w:cs="Arial" w:eastAsia="Arial" w:hAnsi="Arial"/>
                <w:sz w:val="13"/>
                <w:szCs w:val="13"/>
                <w:color w:val="auto"/>
              </w:rPr>
              <w:t>Junior Secured Loan — Initial Loan (Second Lien)</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8.4% Cash, 1 Month Libor (0.15%) + 8.25%; Libor</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Floor 0.00% , Due 8/25</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12/18/2019</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2,159,333</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1,893,917</w:t>
            </w:r>
          </w:p>
        </w:tc>
        <w:tc>
          <w:tcPr>
            <w:tcW w:w="800" w:type="dxa"/>
            <w:vAlign w:val="bottom"/>
          </w:tcPr>
          <w:p>
            <w:pPr>
              <w:jc w:val="right"/>
              <w:spacing w:after="0"/>
              <w:rPr>
                <w:sz w:val="20"/>
                <w:szCs w:val="20"/>
                <w:color w:val="auto"/>
              </w:rPr>
            </w:pPr>
            <w:r>
              <w:rPr>
                <w:rFonts w:ascii="Arial" w:cs="Arial" w:eastAsia="Arial" w:hAnsi="Arial"/>
                <w:sz w:val="13"/>
                <w:szCs w:val="13"/>
                <w:color w:val="auto"/>
              </w:rPr>
              <w:t>2,107,077</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tcPr>
          <w:p>
            <w:pPr>
              <w:ind w:left="40"/>
              <w:spacing w:after="0"/>
              <w:rPr>
                <w:sz w:val="20"/>
                <w:szCs w:val="20"/>
                <w:color w:val="auto"/>
              </w:rPr>
            </w:pPr>
            <w:r>
              <w:rPr>
                <w:rFonts w:ascii="Arial" w:cs="Arial" w:eastAsia="Arial" w:hAnsi="Arial"/>
                <w:sz w:val="13"/>
                <w:szCs w:val="13"/>
                <w:color w:val="auto"/>
              </w:rPr>
              <w:t>Senior Secured Loan — Revolver</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8.5% Cash, 3 Month Libor (1.00%) + 7.50%; Libor</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Floor 1.00% , Due 12/23</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669,722</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561,785</w:t>
            </w:r>
          </w:p>
        </w:tc>
        <w:tc>
          <w:tcPr>
            <w:tcW w:w="800" w:type="dxa"/>
            <w:vAlign w:val="bottom"/>
          </w:tcPr>
          <w:p>
            <w:pPr>
              <w:jc w:val="right"/>
              <w:spacing w:after="0"/>
              <w:rPr>
                <w:sz w:val="20"/>
                <w:szCs w:val="20"/>
                <w:color w:val="auto"/>
              </w:rPr>
            </w:pPr>
            <w:r>
              <w:rPr>
                <w:rFonts w:ascii="Arial" w:cs="Arial" w:eastAsia="Arial" w:hAnsi="Arial"/>
                <w:sz w:val="13"/>
                <w:szCs w:val="13"/>
                <w:color w:val="auto"/>
              </w:rPr>
              <w:t>632,486</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tcPr>
          <w:p>
            <w:pPr>
              <w:ind w:left="40"/>
              <w:spacing w:after="0"/>
              <w:rPr>
                <w:sz w:val="20"/>
                <w:szCs w:val="20"/>
                <w:color w:val="auto"/>
              </w:rPr>
            </w:pPr>
            <w:r>
              <w:rPr>
                <w:rFonts w:ascii="Arial" w:cs="Arial" w:eastAsia="Arial" w:hAnsi="Arial"/>
                <w:sz w:val="13"/>
                <w:szCs w:val="13"/>
                <w:color w:val="auto"/>
              </w:rPr>
              <w:t>Senior Secured Loan — First Lien Term Loan A</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8.5% Cash, 3 Month Libor (1.00%) + 7.50%; Libor</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Floor 1.00% , Due 12/23</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6,596,764</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5,533,583</w:t>
            </w:r>
          </w:p>
        </w:tc>
        <w:tc>
          <w:tcPr>
            <w:tcW w:w="800" w:type="dxa"/>
            <w:vAlign w:val="bottom"/>
          </w:tcPr>
          <w:p>
            <w:pPr>
              <w:jc w:val="right"/>
              <w:spacing w:after="0"/>
              <w:rPr>
                <w:sz w:val="20"/>
                <w:szCs w:val="20"/>
                <w:color w:val="auto"/>
              </w:rPr>
            </w:pPr>
            <w:r>
              <w:rPr>
                <w:rFonts w:ascii="Arial" w:cs="Arial" w:eastAsia="Arial" w:hAnsi="Arial"/>
                <w:sz w:val="13"/>
                <w:szCs w:val="13"/>
                <w:color w:val="auto"/>
              </w:rPr>
              <w:t>6,229,984</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(8)(14)</w:t>
            </w:r>
          </w:p>
        </w:tc>
        <w:tc>
          <w:tcPr>
            <w:tcW w:w="3140" w:type="dxa"/>
            <w:vAlign w:val="bottom"/>
          </w:tcPr>
          <w:p>
            <w:pPr>
              <w:ind w:left="40"/>
              <w:spacing w:after="0"/>
              <w:rPr>
                <w:sz w:val="20"/>
                <w:szCs w:val="20"/>
                <w:color w:val="auto"/>
              </w:rPr>
            </w:pPr>
            <w:r>
              <w:rPr>
                <w:rFonts w:ascii="Arial" w:cs="Arial" w:eastAsia="Arial" w:hAnsi="Arial"/>
                <w:sz w:val="13"/>
                <w:szCs w:val="13"/>
                <w:color w:val="auto"/>
              </w:rPr>
              <w:t>Junior Secured Loan — Initial Term Loan (Second</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Lien)</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w w:val="97"/>
              </w:rPr>
              <w:t>8.3% Cash, 3 Month Libor (0.25%) + 8.00% , Due 9/25</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12/18/2019</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1,400,000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1,219,188</w:t>
            </w:r>
          </w:p>
        </w:tc>
        <w:tc>
          <w:tcPr>
            <w:tcW w:w="800" w:type="dxa"/>
            <w:vAlign w:val="bottom"/>
          </w:tcPr>
          <w:p>
            <w:pPr>
              <w:jc w:val="right"/>
              <w:spacing w:after="0"/>
              <w:rPr>
                <w:sz w:val="20"/>
                <w:szCs w:val="20"/>
                <w:color w:val="auto"/>
              </w:rPr>
            </w:pPr>
            <w:r>
              <w:rPr>
                <w:rFonts w:ascii="Arial" w:cs="Arial" w:eastAsia="Arial" w:hAnsi="Arial"/>
                <w:sz w:val="13"/>
                <w:szCs w:val="13"/>
                <w:color w:val="auto"/>
              </w:rPr>
              <w:t>1,326,500</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tcPr>
          <w:p>
            <w:pPr>
              <w:ind w:left="40"/>
              <w:spacing w:after="0"/>
              <w:rPr>
                <w:sz w:val="20"/>
                <w:szCs w:val="20"/>
                <w:color w:val="auto"/>
              </w:rPr>
            </w:pPr>
            <w:r>
              <w:rPr>
                <w:rFonts w:ascii="Arial" w:cs="Arial" w:eastAsia="Arial" w:hAnsi="Arial"/>
                <w:sz w:val="13"/>
                <w:szCs w:val="13"/>
                <w:color w:val="auto"/>
              </w:rPr>
              <w:t>Junior Secured Loan — Initial Term Loan (Second</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Lien)</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10.5% Cash, 3 Month Libor (1.00%) + 9.50%; Libor</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Floor 1.00% , Due 11/24</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5/6/2014</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1,600,000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1,576,633</w:t>
            </w:r>
          </w:p>
        </w:tc>
        <w:tc>
          <w:tcPr>
            <w:tcW w:w="800" w:type="dxa"/>
            <w:vAlign w:val="bottom"/>
          </w:tcPr>
          <w:p>
            <w:pPr>
              <w:jc w:val="right"/>
              <w:spacing w:after="0"/>
              <w:rPr>
                <w:sz w:val="20"/>
                <w:szCs w:val="20"/>
                <w:color w:val="auto"/>
              </w:rPr>
            </w:pPr>
            <w:r>
              <w:rPr>
                <w:rFonts w:ascii="Arial" w:cs="Arial" w:eastAsia="Arial" w:hAnsi="Arial"/>
                <w:sz w:val="13"/>
                <w:szCs w:val="13"/>
                <w:color w:val="auto"/>
              </w:rPr>
              <w:t>1,270,880</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rPr>
              <w:t>(8)(14)</w:t>
            </w:r>
          </w:p>
        </w:tc>
        <w:tc>
          <w:tcPr>
            <w:tcW w:w="3140" w:type="dxa"/>
            <w:vAlign w:val="bottom"/>
          </w:tcPr>
          <w:p>
            <w:pPr>
              <w:ind w:left="40"/>
              <w:spacing w:after="0"/>
              <w:rPr>
                <w:sz w:val="20"/>
                <w:szCs w:val="20"/>
                <w:color w:val="auto"/>
              </w:rPr>
            </w:pPr>
            <w:r>
              <w:rPr>
                <w:rFonts w:ascii="Arial" w:cs="Arial" w:eastAsia="Arial" w:hAnsi="Arial"/>
                <w:sz w:val="13"/>
                <w:szCs w:val="13"/>
                <w:color w:val="auto"/>
              </w:rPr>
              <w:t>Senior Secured Loan — First Lien Term Loan A</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5.2% Cash, 3 Month Libor (0.21%) + 5.00% , Due</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10/25</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10/28/2020</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6,487,528</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5,528,001</w:t>
            </w:r>
          </w:p>
        </w:tc>
        <w:tc>
          <w:tcPr>
            <w:tcW w:w="800" w:type="dxa"/>
            <w:vAlign w:val="bottom"/>
          </w:tcPr>
          <w:p>
            <w:pPr>
              <w:jc w:val="right"/>
              <w:spacing w:after="0"/>
              <w:rPr>
                <w:sz w:val="20"/>
                <w:szCs w:val="20"/>
                <w:color w:val="auto"/>
              </w:rPr>
            </w:pPr>
            <w:r>
              <w:rPr>
                <w:rFonts w:ascii="Arial" w:cs="Arial" w:eastAsia="Arial" w:hAnsi="Arial"/>
                <w:sz w:val="13"/>
                <w:szCs w:val="13"/>
                <w:color w:val="auto"/>
              </w:rPr>
              <w:t>6,339,547</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0"/>
                <w:szCs w:val="20"/>
                <w:color w:val="auto"/>
              </w:rPr>
            </w:pPr>
            <w:r>
              <w:rPr>
                <w:rFonts w:ascii="Arial" w:cs="Arial" w:eastAsia="Arial" w:hAnsi="Arial"/>
                <w:sz w:val="11"/>
                <w:szCs w:val="11"/>
                <w:color w:val="auto"/>
                <w:w w:val="91"/>
              </w:rPr>
              <w:t>(8)(13)(14)(21)</w:t>
            </w:r>
          </w:p>
        </w:tc>
        <w:tc>
          <w:tcPr>
            <w:tcW w:w="3140" w:type="dxa"/>
            <w:vAlign w:val="bottom"/>
          </w:tcPr>
          <w:p>
            <w:pPr>
              <w:ind w:left="40"/>
              <w:spacing w:after="0"/>
              <w:rPr>
                <w:sz w:val="20"/>
                <w:szCs w:val="20"/>
                <w:color w:val="auto"/>
              </w:rPr>
            </w:pPr>
            <w:r>
              <w:rPr>
                <w:rFonts w:ascii="Arial" w:cs="Arial" w:eastAsia="Arial" w:hAnsi="Arial"/>
                <w:sz w:val="13"/>
                <w:szCs w:val="13"/>
                <w:color w:val="auto"/>
              </w:rPr>
              <w:t>Junior Secured Loan — Loan (Second Lien)</w:t>
            </w:r>
          </w:p>
        </w:tc>
        <w:tc>
          <w:tcPr>
            <w:tcW w:w="1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140" w:type="dxa"/>
            <w:vAlign w:val="bottom"/>
          </w:tcPr>
          <w:p>
            <w:pPr>
              <w:ind w:left="40"/>
              <w:spacing w:after="0" w:line="135" w:lineRule="exact"/>
              <w:rPr>
                <w:sz w:val="20"/>
                <w:szCs w:val="20"/>
                <w:color w:val="auto"/>
              </w:rPr>
            </w:pPr>
            <w:r>
              <w:rPr>
                <w:rFonts w:ascii="Arial" w:cs="Arial" w:eastAsia="Arial" w:hAnsi="Arial"/>
                <w:sz w:val="13"/>
                <w:szCs w:val="13"/>
                <w:color w:val="auto"/>
              </w:rPr>
              <w:t>10.0% Cash, 6 Month Libor (1.00%) + 9.00%; Libor</w:t>
            </w:r>
          </w:p>
        </w:tc>
        <w:tc>
          <w:tcPr>
            <w:tcW w:w="1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140" w:type="dxa"/>
            <w:vAlign w:val="bottom"/>
          </w:tcPr>
          <w:p>
            <w:pPr>
              <w:ind w:left="40"/>
              <w:spacing w:after="0"/>
              <w:rPr>
                <w:sz w:val="20"/>
                <w:szCs w:val="20"/>
                <w:color w:val="auto"/>
              </w:rPr>
            </w:pPr>
            <w:r>
              <w:rPr>
                <w:rFonts w:ascii="Arial" w:cs="Arial" w:eastAsia="Arial" w:hAnsi="Arial"/>
                <w:sz w:val="13"/>
                <w:szCs w:val="13"/>
                <w:color w:val="auto"/>
              </w:rPr>
              <w:t>Floor 1.00% , Due 6/27</w:t>
            </w:r>
          </w:p>
        </w:tc>
        <w:tc>
          <w:tcPr>
            <w:tcW w:w="1120" w:type="dxa"/>
            <w:vAlign w:val="bottom"/>
          </w:tcPr>
          <w:p>
            <w:pPr>
              <w:jc w:val="right"/>
              <w:ind w:right="197"/>
              <w:spacing w:after="0"/>
              <w:rPr>
                <w:sz w:val="20"/>
                <w:szCs w:val="20"/>
                <w:color w:val="auto"/>
              </w:rPr>
            </w:pPr>
            <w:r>
              <w:rPr>
                <w:rFonts w:ascii="Arial" w:cs="Arial" w:eastAsia="Arial" w:hAnsi="Arial"/>
                <w:sz w:val="13"/>
                <w:szCs w:val="13"/>
                <w:color w:val="auto"/>
              </w:rPr>
              <w:t>6/27/2019</w:t>
            </w:r>
          </w:p>
        </w:tc>
        <w:tc>
          <w:tcPr>
            <w:tcW w:w="1180" w:type="dxa"/>
            <w:vAlign w:val="bottom"/>
          </w:tcPr>
          <w:p>
            <w:pPr>
              <w:jc w:val="right"/>
              <w:ind w:right="377"/>
              <w:spacing w:after="0"/>
              <w:rPr>
                <w:sz w:val="20"/>
                <w:szCs w:val="20"/>
                <w:color w:val="auto"/>
              </w:rPr>
            </w:pPr>
            <w:r>
              <w:rPr>
                <w:rFonts w:ascii="Arial" w:cs="Arial" w:eastAsia="Arial" w:hAnsi="Arial"/>
                <w:sz w:val="13"/>
                <w:szCs w:val="13"/>
                <w:color w:val="auto"/>
              </w:rPr>
              <w:t>7,500,000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7,408,450</w:t>
            </w:r>
          </w:p>
        </w:tc>
        <w:tc>
          <w:tcPr>
            <w:tcW w:w="800" w:type="dxa"/>
            <w:vAlign w:val="bottom"/>
          </w:tcPr>
          <w:p>
            <w:pPr>
              <w:jc w:val="right"/>
              <w:spacing w:after="0"/>
              <w:rPr>
                <w:sz w:val="20"/>
                <w:szCs w:val="20"/>
                <w:color w:val="auto"/>
              </w:rPr>
            </w:pPr>
            <w:r>
              <w:rPr>
                <w:rFonts w:ascii="Arial" w:cs="Arial" w:eastAsia="Arial" w:hAnsi="Arial"/>
                <w:sz w:val="13"/>
                <w:szCs w:val="13"/>
                <w:color w:val="auto"/>
              </w:rPr>
              <w:t>7,344,000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-3233420</wp:posOffset>
            </wp:positionV>
            <wp:extent cx="7132320"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-2873375</wp:posOffset>
            </wp:positionV>
            <wp:extent cx="7132320"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-2513965</wp:posOffset>
            </wp:positionV>
            <wp:extent cx="7132320" cy="265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-2154555</wp:posOffset>
            </wp:positionV>
            <wp:extent cx="713232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-1794510</wp:posOffset>
            </wp:positionV>
            <wp:extent cx="7132320"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-1435100</wp:posOffset>
            </wp:positionV>
            <wp:extent cx="713232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-1075690</wp:posOffset>
            </wp:positionV>
            <wp:extent cx="7132320" cy="351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-629920</wp:posOffset>
            </wp:positionV>
            <wp:extent cx="713232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-270510</wp:posOffset>
            </wp:positionV>
            <wp:extent cx="7132320"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2340" w:space="600"/>
            <w:col w:w="8300"/>
          </w:cols>
          <w:pgMar w:left="320" w:top="336"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100" w:type="dxa"/>
            <w:vAlign w:val="bottom"/>
            <w:shd w:val="clear" w:color="auto" w:fill="CFF0FC"/>
          </w:tcPr>
          <w:p>
            <w:pPr>
              <w:spacing w:after="0"/>
              <w:rPr>
                <w:sz w:val="20"/>
                <w:szCs w:val="20"/>
                <w:color w:val="auto"/>
              </w:rPr>
            </w:pPr>
            <w:r>
              <w:rPr>
                <w:rFonts w:ascii="Arial" w:cs="Arial" w:eastAsia="Arial" w:hAnsi="Arial"/>
                <w:sz w:val="13"/>
                <w:szCs w:val="13"/>
                <w:color w:val="auto"/>
              </w:rPr>
              <w:t>Infobase Holdings, Inc.</w:t>
            </w:r>
          </w:p>
        </w:tc>
        <w:tc>
          <w:tcPr>
            <w:tcW w:w="1440" w:type="dxa"/>
            <w:vAlign w:val="bottom"/>
            <w:shd w:val="clear" w:color="auto" w:fill="CFF0FC"/>
          </w:tcPr>
          <w:p>
            <w:pPr>
              <w:jc w:val="right"/>
              <w:ind w:right="67"/>
              <w:spacing w:after="0"/>
              <w:rPr>
                <w:sz w:val="20"/>
                <w:szCs w:val="20"/>
                <w:color w:val="auto"/>
              </w:rPr>
            </w:pPr>
            <w:r>
              <w:rPr>
                <w:rFonts w:ascii="Arial" w:cs="Arial" w:eastAsia="Arial" w:hAnsi="Arial"/>
                <w:sz w:val="11"/>
                <w:szCs w:val="11"/>
                <w:color w:val="auto"/>
              </w:rPr>
              <w:t>(8)(13)(14)</w:t>
            </w:r>
          </w:p>
        </w:tc>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Senior Secured Loan — Term Loan</w:t>
            </w:r>
          </w:p>
        </w:tc>
        <w:tc>
          <w:tcPr>
            <w:tcW w:w="1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35"/>
        </w:trPr>
        <w:tc>
          <w:tcPr>
            <w:tcW w:w="2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31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5.5% Cash, 3 Month Libor (1.00%) + 4.50%; Libor</w:t>
            </w:r>
          </w:p>
        </w:tc>
        <w:tc>
          <w:tcPr>
            <w:tcW w:w="122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9"/>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440" w:type="dxa"/>
            <w:vAlign w:val="bottom"/>
            <w:shd w:val="clear" w:color="auto" w:fill="CFF0FC"/>
          </w:tcPr>
          <w:p>
            <w:pPr>
              <w:spacing w:after="0"/>
              <w:rPr>
                <w:sz w:val="12"/>
                <w:szCs w:val="12"/>
                <w:color w:val="auto"/>
              </w:rPr>
            </w:pPr>
          </w:p>
        </w:tc>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Floor 1.00% , Due 12/22</w:t>
            </w:r>
          </w:p>
        </w:tc>
        <w:tc>
          <w:tcPr>
            <w:tcW w:w="12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12/13/2017</w:t>
            </w:r>
          </w:p>
        </w:tc>
        <w:tc>
          <w:tcPr>
            <w:tcW w:w="118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1,850,000</w:t>
            </w:r>
          </w:p>
        </w:tc>
        <w:tc>
          <w:tcPr>
            <w:tcW w:w="1240" w:type="dxa"/>
            <w:vAlign w:val="bottom"/>
            <w:shd w:val="clear" w:color="auto" w:fill="CFF0FC"/>
          </w:tcPr>
          <w:p>
            <w:pPr>
              <w:jc w:val="right"/>
              <w:ind w:right="257"/>
              <w:spacing w:after="0"/>
              <w:rPr>
                <w:sz w:val="20"/>
                <w:szCs w:val="20"/>
                <w:color w:val="auto"/>
              </w:rPr>
            </w:pPr>
            <w:r>
              <w:rPr>
                <w:rFonts w:ascii="Arial" w:cs="Arial" w:eastAsia="Arial" w:hAnsi="Arial"/>
                <w:sz w:val="13"/>
                <w:szCs w:val="13"/>
                <w:color w:val="auto"/>
              </w:rPr>
              <w:t>1,841,858</w:t>
            </w: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1,850,000</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60" w:type="dxa"/>
            <w:vAlign w:val="bottom"/>
            <w:gridSpan w:val="2"/>
          </w:tcPr>
          <w:p>
            <w:pPr>
              <w:ind w:left="8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2"/>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Infobase Holdings, Inc.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 (add on)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5.5%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1,961,372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1,952,741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1,961,373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3"/>
                <w:szCs w:val="13"/>
                <w:color w:val="auto"/>
              </w:rPr>
              <w:t>Institutional Shareholder Services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vMerge w:val="restart"/>
            <w:shd w:val="clear" w:color="auto" w:fill="CFF0FC"/>
          </w:tcPr>
          <w:p>
            <w:pPr>
              <w:ind w:left="4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2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3000" w:type="dxa"/>
            <w:vAlign w:val="bottom"/>
            <w:gridSpan w:val="4"/>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3"/>
                <w:szCs w:val="13"/>
                <w:color w:val="auto"/>
                <w:w w:val="94"/>
              </w:rPr>
              <w:t>4.8%</w:t>
            </w:r>
          </w:p>
        </w:tc>
        <w:tc>
          <w:tcPr>
            <w:tcW w:w="2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w w:val="93"/>
              </w:rPr>
              <w:t>Cash, 3 Month Libor (0.25%) + 4.50% , Due 3/26</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4,769,657</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4,022,186</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4,751,771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Intermedia Holdings,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7.0%</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High Tech Industries</w:t>
            </w: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2,695,439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2,349,230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2,693,336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Janus International Group,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Construction &amp; Building</w:t>
            </w: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5.5%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2,193,340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1,889,233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2,152,544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Keeco,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9.5%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0.5% PIK, 1 Month Libor (1.75%)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7.75%; Libor Floor 1.75%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5,627,336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4,717,415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5,571,062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Lifescan Global Corporation</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6.2%</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(0.24%) + 6.00%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5"/>
              </w:rPr>
              <w:t>10/24</w:t>
            </w:r>
          </w:p>
        </w:tc>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3,233,554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2,674,220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3,089,063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Revolving Credit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7.8%</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5/21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2,291,667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2,270,203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2,197,917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Construction &amp; Building</w:t>
            </w: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343,473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300,180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326,729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Construction &amp; Building</w:t>
            </w: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7,134,945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6,235,604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6,903,059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Mag Ds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6.5%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4/27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3,327,258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3,803,268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94"/>
              </w:rPr>
              <w:t>6.5%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8,532,796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7,439,057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8,453,441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94"/>
              </w:rPr>
              <w:t>0.5%</w:t>
            </w:r>
          </w:p>
        </w:tc>
        <w:tc>
          <w:tcPr>
            <w:tcW w:w="2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11/22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(5,441)</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tcPr>
          <w:p>
            <w:pPr>
              <w:ind w:left="5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6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McNally Industries, LLC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3"/>
            <w:shd w:val="clear" w:color="auto" w:fill="CFF0FC"/>
          </w:tcPr>
          <w:p>
            <w:pPr>
              <w:spacing w:after="0" w:line="128" w:lineRule="exact"/>
              <w:rPr>
                <w:sz w:val="20"/>
                <w:szCs w:val="20"/>
                <w:color w:val="auto"/>
              </w:rPr>
            </w:pPr>
            <w:r>
              <w:rPr>
                <w:rFonts w:ascii="Arial" w:cs="Arial" w:eastAsia="Arial" w:hAnsi="Arial"/>
                <w:sz w:val="13"/>
                <w:szCs w:val="13"/>
                <w:color w:val="auto"/>
                <w:w w:val="97"/>
              </w:rPr>
              <w:t>Senior Secured Loan — Delayed Draw Term Loan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1"/>
                <w:szCs w:val="11"/>
                <w:color w:val="auto"/>
              </w:rPr>
            </w:pPr>
          </w:p>
        </w:tc>
        <w:tc>
          <w:tcPr>
            <w:tcW w:w="64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3"/>
              </w:rPr>
              <w:t>(First Lien)</w:t>
            </w:r>
          </w:p>
        </w:tc>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(1.50%)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1.50%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49,147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42,989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49,024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McNally Industries,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0.5%</w:t>
            </w:r>
          </w:p>
        </w:tc>
        <w:tc>
          <w:tcPr>
            <w:tcW w:w="26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Cash,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(5,507)</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McNally Industries,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(1.50%)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1.50%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6,770,625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5,922,332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6,753,698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w w:val="96"/>
              </w:rPr>
              <w:t>Junior Secured Loan — April 2018 Incremental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Electronics</w:t>
            </w:r>
          </w:p>
        </w:tc>
        <w:tc>
          <w:tcPr>
            <w:tcW w:w="680" w:type="dxa"/>
            <w:vAlign w:val="bottom"/>
            <w:shd w:val="clear" w:color="auto" w:fill="CFF0FC"/>
          </w:tcPr>
          <w:p>
            <w:pPr>
              <w:spacing w:after="0"/>
              <w:rPr>
                <w:sz w:val="11"/>
                <w:szCs w:val="11"/>
                <w:color w:val="auto"/>
              </w:rPr>
            </w:pPr>
          </w:p>
        </w:tc>
        <w:tc>
          <w:tcPr>
            <w:tcW w:w="3000" w:type="dxa"/>
            <w:vAlign w:val="bottom"/>
            <w:gridSpan w:val="5"/>
            <w:shd w:val="clear" w:color="auto" w:fill="CFF0FC"/>
          </w:tcPr>
          <w:p>
            <w:pPr>
              <w:ind w:left="40"/>
              <w:spacing w:after="0" w:line="135" w:lineRule="exact"/>
              <w:rPr>
                <w:sz w:val="20"/>
                <w:szCs w:val="20"/>
                <w:color w:val="auto"/>
              </w:rPr>
            </w:pPr>
            <w:r>
              <w:rPr>
                <w:rFonts w:ascii="Arial" w:cs="Arial" w:eastAsia="Arial" w:hAnsi="Arial"/>
                <w:sz w:val="13"/>
                <w:szCs w:val="13"/>
                <w:color w:val="auto"/>
              </w:rPr>
              <w:t>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5,555,131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5,722,800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Mother's Market &amp; Kitchen,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6.8%</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(1.25%)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1.25% , Due 7/23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6,954,470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6,070,606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6,841,807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MountainTop Financial,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Transportation: Cargo</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(1.50%)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1.50%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6,379,954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5,584,923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6,353,158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64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3"/>
              </w:rPr>
              <w:t>(First Lien)</w:t>
            </w:r>
          </w:p>
        </w:tc>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1.0%</w:t>
            </w:r>
          </w:p>
        </w:tc>
        <w:tc>
          <w:tcPr>
            <w:tcW w:w="26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Cash, Due 6/22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7,058,824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6,970,629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6,970,588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Nasco Healthcare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Education and Childcare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1.00% , Due 6/21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4,509,119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4,220,080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4,285,015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Navex Topco,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(8)(13)(14)(18)</w:t>
            </w:r>
          </w:p>
        </w:tc>
        <w:tc>
          <w:tcPr>
            <w:tcW w:w="3000" w:type="dxa"/>
            <w:vAlign w:val="bottom"/>
            <w:gridSpan w:val="5"/>
            <w:shd w:val="clear" w:color="auto" w:fill="CFF0FC"/>
          </w:tcPr>
          <w:p>
            <w:pPr>
              <w:ind w:left="40"/>
              <w:spacing w:after="0" w:line="126"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line="143" w:lineRule="exact"/>
              <w:rPr>
                <w:sz w:val="20"/>
                <w:szCs w:val="20"/>
                <w:color w:val="auto"/>
              </w:rPr>
            </w:pPr>
            <w:r>
              <w:rPr>
                <w:rFonts w:ascii="Arial" w:cs="Arial" w:eastAsia="Arial" w:hAnsi="Arial"/>
                <w:sz w:val="13"/>
                <w:szCs w:val="13"/>
                <w:color w:val="auto"/>
              </w:rPr>
              <w:t>Electronics</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20" w:type="dxa"/>
            <w:vAlign w:val="bottom"/>
            <w:gridSpan w:val="2"/>
            <w:shd w:val="clear" w:color="auto" w:fill="CFF0FC"/>
          </w:tcPr>
          <w:p>
            <w:pPr>
              <w:ind w:left="40"/>
              <w:spacing w:after="0" w:line="143" w:lineRule="exact"/>
              <w:rPr>
                <w:sz w:val="20"/>
                <w:szCs w:val="20"/>
                <w:color w:val="auto"/>
              </w:rPr>
            </w:pPr>
            <w:r>
              <w:rPr>
                <w:rFonts w:ascii="Arial" w:cs="Arial" w:eastAsia="Arial" w:hAnsi="Arial"/>
                <w:sz w:val="13"/>
                <w:szCs w:val="13"/>
                <w:color w:val="auto"/>
                <w:w w:val="89"/>
              </w:rPr>
              <w:t>Lien)</w:t>
            </w:r>
          </w:p>
        </w:tc>
        <w:tc>
          <w:tcPr>
            <w:tcW w:w="3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7.2%</w:t>
            </w: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5"/>
              </w:rPr>
              <w:t>1 Month Libor (0.15%) + 7.00%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7,222,712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461,859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401,461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455,532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5"/>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5"/>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411,227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321,598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401,837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Naviga Inc.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5,050,283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4,389,994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4,981,094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Novetta Solutions,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1,943,730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1,677,869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1,939,678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w w:val="97"/>
              </w:rPr>
              <w:t>Senior Secured Loan — Incremental First Lien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1,539,869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1,339,929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1,527,242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2,548,122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2,211,950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2,527,227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745,098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648,353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738,988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3/27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1,100,239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1,179,480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6 month Libor (0.27%) + 6.00% ,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4,845,938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4,620,206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w w:val="96"/>
              </w:rPr>
              <w:t>Senior Secured Loan — Second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(2,326)</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(4,091)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3,837,015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3,840,975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w w:val="92"/>
              </w:rPr>
              <w:t>Senior Secured Loan — First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535,398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535,950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Environmental Industries</w:t>
            </w: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2,962,901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2,622,495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Containers, Packaging and Glass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2,815,200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2,806,740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2,502,994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 Precision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Chemicals, Plastics &amp; Rubber</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12/23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2,379,005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1,917,038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2,234,599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Qualtek USA, LLC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High Tech Industries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5,660,358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4,507,974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5,358,491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 Outdoors,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7,206,556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6,272,077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7,139,535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Radiology Partners,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5.3%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12 Month Libor (1.04%) + 4.25%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7/25</w:t>
            </w: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5,845,451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6,900,845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3/25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6,877,500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6,801,385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6,351,371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Aerospace and Defense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7/21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1,015,351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(1,988)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7,457,779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6,506,876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7,430,185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Riverside Fund V, L.P.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(13)(21)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2,980,618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2,393,100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11.3% 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8,201,777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8,199,552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7,894,210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624,061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616,875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San Vicente Capital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Telecommunications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1.50% , Due 6/25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2,960,051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3,003,900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SCSG EA Acquisition Company, Inc.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w w:val="97"/>
              </w:rPr>
              <w:t>Junior Secured Loan — Initial Term Loan (Second</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5,968,089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5,761,200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Shipston Group, U.S.,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2.4% PIK, 1 Month Libor (1.25%)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8.65%; Libor Floor 1.25%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6,299,241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5,355,206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6,124,122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Smartronix,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1.50%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4,962,406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4,742,756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4,815,519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Sundance Holdings Group,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Retail</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7.2%</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2.0% PIK, 3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6.23%; Libor 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6,768,583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5,790,208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6,597,338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Surgical Specialties Corporation (Us),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5.2%</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+ 5.00%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4,341,432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3,483,355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3,963,727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Automotive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4,925,000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4,860,904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4,910,717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Unsecured Bond — 10.000% - 02/2022 -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rPr>
              <w:t>TankConvert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0.0%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10.0% PIK, Due 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481,051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Textiles and Leather</w:t>
            </w:r>
          </w:p>
        </w:tc>
        <w:tc>
          <w:tcPr>
            <w:tcW w:w="680" w:type="dxa"/>
            <w:vAlign w:val="bottom"/>
            <w:shd w:val="clear" w:color="auto" w:fill="CFF0FC"/>
          </w:tcPr>
          <w:p>
            <w:pPr>
              <w:spacing w:after="0"/>
              <w:rPr>
                <w:sz w:val="11"/>
                <w:szCs w:val="11"/>
                <w:color w:val="auto"/>
              </w:rPr>
            </w:pPr>
          </w:p>
        </w:tc>
        <w:tc>
          <w:tcPr>
            <w:tcW w:w="3000" w:type="dxa"/>
            <w:vAlign w:val="bottom"/>
            <w:gridSpan w:val="4"/>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10.0% Cash, 1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12,415,194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10,860,696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Cook &amp; Boardman Group,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Construction &amp; Building</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1,635,880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1,377,740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1,564,311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Edelman Financial Center,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Banking, Finance, Insurance &amp; Real Estate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w w:val="87"/>
              </w:rPr>
              <w:t>6.9%</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(0.11%) + 6.75%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272,637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302,250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Theragenics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&amp; Pharmaceuticals</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7,015,358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7,971,052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Education and Childcare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5,631,157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5,612,790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5,490,378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4"/>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Education and Childcare</w:t>
            </w:r>
          </w:p>
        </w:tc>
        <w:tc>
          <w:tcPr>
            <w:tcW w:w="68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4"/>
            <w:shd w:val="clear" w:color="auto" w:fill="CFF0FC"/>
          </w:tcPr>
          <w:p>
            <w:pPr>
              <w:ind w:left="4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742,874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741,666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724,255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99"/>
              </w:rPr>
              <w:t>Initial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60" w:type="dxa"/>
            <w:vAlign w:val="bottom"/>
            <w:gridSpan w:val="3"/>
          </w:tcPr>
          <w:p>
            <w:pPr>
              <w:jc w:val="center"/>
              <w:ind w:right="188"/>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60" w:type="dxa"/>
            <w:vAlign w:val="bottom"/>
            <w:gridSpan w:val="3"/>
          </w:tcPr>
          <w:p>
            <w:pPr>
              <w:jc w:val="center"/>
              <w:ind w:right="188"/>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13"/>
                <w:szCs w:val="13"/>
                <w:color w:val="auto"/>
              </w:rPr>
            </w:pPr>
          </w:p>
        </w:tc>
        <w:tc>
          <w:tcPr>
            <w:tcW w:w="960" w:type="dxa"/>
            <w:vAlign w:val="bottom"/>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0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Triangle Home Fashions LLC</w:t>
            </w:r>
          </w:p>
        </w:tc>
        <w:tc>
          <w:tcPr>
            <w:tcW w:w="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w w:val="91"/>
              </w:rPr>
              <w:t>(8)(13)(14)(20)</w:t>
            </w:r>
          </w:p>
        </w:tc>
        <w:tc>
          <w:tcPr>
            <w:tcW w:w="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7.7% Cash, 1 Month Libor (1.00%) + 6.72%;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3/23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9,222,836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10,447,500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6"/>
              </w:rPr>
              <w:t>Senior Secured Loan — Initial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Aerospace and Defense</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5.8% Cash, 12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967,172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966,030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838,248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Energy: Oil &amp; Gas</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7"/>
              </w:rPr>
              <w:t>14.0% Cash, 3 Month Libor (1.00%) + 13.00%;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12/20</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999,999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7"/>
              </w:rPr>
              <w:t>Junior Secured Loan — Promissory Note, 1.7% PIK,</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Energy: Oil &amp; Gas</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Chemicals, Plastics &amp; Rubber</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w w:val="93"/>
              </w:rPr>
              <w:t>7.4% Cash, 1 Month Libor (0.15%) + 7.25%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354,613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380,334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Vero Parent,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Services: Business</w:t>
            </w: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w w:val="93"/>
              </w:rPr>
              <w:t>6.5% Cash, 3 Month Libor (0.23%) + 6.25%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2,790,055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2,417,526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2,789,009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w w:val="94"/>
              </w:rPr>
              <w:t>Junior Secured Loan — Initial US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Consumer goods: Durable</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8.0% 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2,978,354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2,666,444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2,781,783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Capital Equipment</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w w:val="99"/>
              </w:rPr>
              <w:t>10.0% Cash, 6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2,978,909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2,458,500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(8)(13)(14)(21)</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Media: Diversified &amp; Production</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6.0% 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11/24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2,658,914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2,612,250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680" w:type="dxa"/>
            <w:vAlign w:val="bottom"/>
            <w:shd w:val="clear" w:color="auto" w:fill="CFF0FC"/>
          </w:tcPr>
          <w:p>
            <w:pPr>
              <w:spacing w:after="0"/>
              <w:rPr>
                <w:sz w:val="20"/>
                <w:szCs w:val="20"/>
                <w:color w:val="auto"/>
              </w:rPr>
            </w:pPr>
            <w:r>
              <w:rPr>
                <w:rFonts w:ascii="Arial" w:cs="Arial" w:eastAsia="Arial" w:hAnsi="Arial"/>
                <w:sz w:val="11"/>
                <w:szCs w:val="11"/>
                <w:color w:val="auto"/>
                <w:w w:val="91"/>
              </w:rPr>
              <w:t>(8)(13)(14)(18)</w:t>
            </w:r>
          </w:p>
        </w:tc>
        <w:tc>
          <w:tcPr>
            <w:tcW w:w="300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ind w:left="140"/>
              <w:spacing w:after="0" w:line="135" w:lineRule="exact"/>
              <w:rPr>
                <w:sz w:val="20"/>
                <w:szCs w:val="20"/>
                <w:color w:val="auto"/>
              </w:rPr>
            </w:pPr>
            <w:r>
              <w:rPr>
                <w:rFonts w:ascii="Arial" w:cs="Arial" w:eastAsia="Arial" w:hAnsi="Arial"/>
                <w:sz w:val="13"/>
                <w:szCs w:val="13"/>
                <w:color w:val="auto"/>
              </w:rPr>
              <w:t>Healthcare, Education and Childcare</w:t>
            </w: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00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8.5% Cash, 1 Month Libor (1.00%) + 7.50%;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00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Floor 1.00%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3,485,385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3,291,400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20" w:type="dxa"/>
            <w:vAlign w:val="bottom"/>
            <w:shd w:val="clear" w:color="auto" w:fill="CFF0FC"/>
          </w:tcPr>
          <w:p>
            <w:pPr>
              <w:spacing w:after="0" w:line="130" w:lineRule="exact"/>
              <w:rPr>
                <w:sz w:val="20"/>
                <w:szCs w:val="20"/>
                <w:color w:val="auto"/>
              </w:rPr>
            </w:pPr>
            <w:r>
              <w:rPr>
                <w:rFonts w:ascii="Arial" w:cs="Arial" w:eastAsia="Arial" w:hAnsi="Arial"/>
                <w:sz w:val="13"/>
                <w:szCs w:val="13"/>
                <w:b w:val="1"/>
                <w:bCs w:val="1"/>
                <w:color w:val="auto"/>
              </w:rPr>
              <w:t>Total Investment in Debt Securities</w:t>
            </w:r>
          </w:p>
        </w:tc>
        <w:tc>
          <w:tcPr>
            <w:tcW w:w="6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(187% of net asset value at fair value)</w:t>
            </w:r>
          </w:p>
        </w:tc>
        <w:tc>
          <w:tcPr>
            <w:tcW w:w="6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9"/>
              </w:rPr>
              <w:t>437,751,485</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392,932,411</w:t>
            </w:r>
          </w:p>
        </w:tc>
        <w:tc>
          <w:tcPr>
            <w:tcW w:w="2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95"/>
              </w:rPr>
              <w:t>$   404,860,855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3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6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/Shares</w:t>
            </w:r>
          </w:p>
        </w:tc>
        <w:tc>
          <w:tcPr>
            <w:tcW w:w="1340" w:type="dxa"/>
            <w:vAlign w:val="bottom"/>
            <w:gridSpan w:val="2"/>
          </w:tcPr>
          <w:p>
            <w:pPr>
              <w:ind w:left="420"/>
              <w:spacing w:after="0"/>
              <w:rPr>
                <w:sz w:val="20"/>
                <w:szCs w:val="20"/>
                <w:color w:val="auto"/>
              </w:rPr>
            </w:pPr>
            <w:r>
              <w:rPr>
                <w:rFonts w:ascii="Arial" w:cs="Arial" w:eastAsia="Arial" w:hAnsi="Arial"/>
                <w:sz w:val="13"/>
                <w:szCs w:val="13"/>
                <w:b w:val="1"/>
                <w:bCs w:val="1"/>
                <w:color w:val="auto"/>
              </w:rPr>
              <w:t>Cost</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4L Technologies Inc.</w:t>
            </w:r>
            <w:r>
              <w:rPr>
                <w:rFonts w:ascii="Arial" w:cs="Arial" w:eastAsia="Arial" w:hAnsi="Arial"/>
                <w:sz w:val="10"/>
                <w:szCs w:val="10"/>
                <w:color w:val="auto"/>
              </w:rPr>
              <w:t>(8)(13)(19)</w:t>
            </w:r>
          </w:p>
        </w:tc>
        <w:tc>
          <w:tcPr>
            <w:tcW w:w="16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w:t>
            </w: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Healthcare &amp; Pharmaceuticals</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29,277</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(8)(13)(21)(22)</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6"/>
              </w:rPr>
              <w:t>Class A Preferred Units; 18% PIK;</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Healthcare &amp; Pharmaceuticals</w:t>
            </w:r>
          </w:p>
        </w:tc>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 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Interests</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18,520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0"/>
                <w:szCs w:val="10"/>
                <w:color w:val="auto"/>
              </w:rPr>
              <w:t>(8)(13)(19)(22)</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Membership Units</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A, 9/29 maturity</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B, 9/29 maturity</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Common Stock, 9/29</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 Term Royalty Interest</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2,006,598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Carestream Health Inc. </w:t>
            </w:r>
            <w:r>
              <w:rPr>
                <w:rFonts w:ascii="Arial" w:cs="Arial" w:eastAsia="Arial" w:hAnsi="Arial"/>
                <w:sz w:val="10"/>
                <w:szCs w:val="10"/>
                <w:color w:val="auto"/>
              </w:rPr>
              <w:t>(8)(13)(19)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3/13/2019</w:t>
            </w:r>
          </w:p>
        </w:tc>
        <w:tc>
          <w:tcPr>
            <w:tcW w:w="1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Centric Brands Inc. </w:t>
            </w:r>
            <w:r>
              <w:rPr>
                <w:rFonts w:ascii="Arial" w:cs="Arial" w:eastAsia="Arial" w:hAnsi="Arial"/>
                <w:sz w:val="10"/>
                <w:szCs w:val="10"/>
                <w:color w:val="auto"/>
              </w:rPr>
              <w:t>(8)(13)(19)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Machinery (Non-Agrclt/Constr/Electr)</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36,342</w:t>
            </w:r>
          </w:p>
        </w:tc>
        <w:tc>
          <w:tcPr>
            <w:tcW w:w="2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EJF Investments Ltd.</w:t>
            </w:r>
            <w:r>
              <w:rPr>
                <w:rFonts w:ascii="Arial" w:cs="Arial" w:eastAsia="Arial" w:hAnsi="Arial"/>
                <w:sz w:val="10"/>
                <w:szCs w:val="10"/>
                <w:color w:val="auto"/>
              </w:rPr>
              <w:t>(3)(19)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Preferred Equity, 0%; 6/25</w:t>
            </w:r>
          </w:p>
        </w:tc>
        <w:tc>
          <w:tcPr>
            <w:tcW w:w="1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9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6/17/2020</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1,366,900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1,256,485</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1,407,907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4"/>
              </w:rPr>
              <w:t>Initial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14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60" w:type="dxa"/>
            <w:vAlign w:val="bottom"/>
            <w:gridSpan w:val="3"/>
          </w:tcPr>
          <w:p>
            <w:pPr>
              <w:spacing w:after="0"/>
              <w:rPr>
                <w:sz w:val="20"/>
                <w:szCs w:val="20"/>
                <w:color w:val="auto"/>
              </w:rPr>
            </w:pPr>
            <w:r>
              <w:rPr>
                <w:rFonts w:ascii="Arial" w:cs="Arial" w:eastAsia="Arial" w:hAnsi="Arial"/>
                <w:sz w:val="13"/>
                <w:szCs w:val="13"/>
                <w:b w:val="1"/>
                <w:bCs w:val="1"/>
                <w:color w:val="auto"/>
              </w:rPr>
              <w:t>Principal Business</w:t>
            </w: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340" w:type="dxa"/>
            <w:vAlign w:val="bottom"/>
          </w:tcPr>
          <w:p>
            <w:pPr>
              <w:spacing w:after="0"/>
              <w:rPr>
                <w:sz w:val="13"/>
                <w:szCs w:val="13"/>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2"/>
              </w:rPr>
              <w:t>Date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0"/>
              </w:rPr>
              <w:t>/Shares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4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Emtec, Inc.</w:t>
            </w:r>
            <w:r>
              <w:rPr>
                <w:rFonts w:ascii="Arial" w:cs="Arial" w:eastAsia="Arial" w:hAnsi="Arial"/>
                <w:sz w:val="10"/>
                <w:szCs w:val="10"/>
                <w:color w:val="auto"/>
              </w:rPr>
              <w:t>(8)(13)(19)</w:t>
            </w:r>
          </w:p>
        </w:tc>
        <w:tc>
          <w:tcPr>
            <w:tcW w:w="4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Preferred Equity</w:t>
            </w:r>
          </w:p>
        </w:tc>
        <w:tc>
          <w:tcPr>
            <w:tcW w:w="14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319,357</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Oneida Group, Inc.</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1,085,565</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345,834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347,381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Faraday Holdings LLC.</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D Shares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2,752</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548,377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865,493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9"/>
              </w:rPr>
              <w:t>FP WRCA Coinvestment Fund VII, Ltd.</w:t>
            </w:r>
            <w:r>
              <w:rPr>
                <w:rFonts w:ascii="Arial" w:cs="Arial" w:eastAsia="Arial" w:hAnsi="Arial"/>
                <w:sz w:val="10"/>
                <w:szCs w:val="10"/>
                <w:color w:val="auto"/>
                <w:w w:val="99"/>
              </w:rPr>
              <w:t>(3)(13)(19)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Capital Equipment</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Fusion Connect, Inc. </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Telecommunications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121,871</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865,854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1,039,560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GIG Rooster Holdings I, LLC </w:t>
            </w:r>
            <w:r>
              <w:rPr>
                <w:rFonts w:ascii="Arial" w:cs="Arial" w:eastAsia="Arial" w:hAnsi="Arial"/>
                <w:sz w:val="10"/>
                <w:szCs w:val="10"/>
                <w:color w:val="auto"/>
              </w:rPr>
              <w:t>(8)(13)(18)(19)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5"/>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 Health, LLC)</w:t>
            </w:r>
            <w:r>
              <w:rPr>
                <w:rFonts w:ascii="Arial" w:cs="Arial" w:eastAsia="Arial" w:hAnsi="Arial"/>
                <w:sz w:val="10"/>
                <w:szCs w:val="10"/>
                <w:color w:val="auto"/>
              </w:rPr>
              <w:t>(8)(13)(19)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Healthcare &amp; Pharmaceuticals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29,699</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1,953,300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Prosper Marketplace </w:t>
            </w:r>
            <w:r>
              <w:rPr>
                <w:rFonts w:ascii="Arial" w:cs="Arial" w:eastAsia="Arial" w:hAnsi="Arial"/>
                <w:sz w:val="10"/>
                <w:szCs w:val="10"/>
                <w:color w:val="auto"/>
              </w:rPr>
              <w:t>(6)(13)(19)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B Preferred Units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912,865</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278,865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365,146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Healthcare &amp; Pharmaceuticals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040" w:type="dxa"/>
            <w:vAlign w:val="bottom"/>
            <w:gridSpan w:val="5"/>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(8)(9)(13)(16)(19)</w:t>
            </w: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185,847</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981,365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1,144,818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B Units</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20,650</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109,040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127,205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40" w:type="dxa"/>
            <w:vAlign w:val="bottom"/>
            <w:gridSpan w:val="2"/>
            <w:shd w:val="clear" w:color="auto" w:fill="CFF0FC"/>
          </w:tcPr>
          <w:p>
            <w:pPr>
              <w:spacing w:after="0" w:line="130" w:lineRule="exact"/>
              <w:rPr>
                <w:sz w:val="20"/>
                <w:szCs w:val="20"/>
                <w:color w:val="auto"/>
              </w:rPr>
            </w:pPr>
            <w:r>
              <w:rPr>
                <w:rFonts w:ascii="Arial" w:cs="Arial" w:eastAsia="Arial" w:hAnsi="Arial"/>
                <w:sz w:val="13"/>
                <w:szCs w:val="13"/>
                <w:b w:val="1"/>
                <w:bCs w:val="1"/>
                <w:color w:val="auto"/>
              </w:rPr>
              <w:t>Total Investment in Equity Securities</w:t>
            </w:r>
          </w:p>
        </w:tc>
        <w:tc>
          <w:tcPr>
            <w:tcW w:w="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(6% of net asset value at fair value)</w:t>
            </w:r>
          </w:p>
        </w:tc>
        <w:tc>
          <w:tcPr>
            <w:tcW w:w="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13,435,508</w:t>
            </w:r>
          </w:p>
        </w:tc>
        <w:tc>
          <w:tcPr>
            <w:tcW w:w="40" w:type="dxa"/>
            <w:vAlign w:val="bottom"/>
            <w:shd w:val="clear" w:color="auto" w:fill="CFF0FC"/>
          </w:tcPr>
          <w:p>
            <w:pPr>
              <w:spacing w:after="0"/>
              <w:rPr>
                <w:sz w:val="13"/>
                <w:szCs w:val="13"/>
                <w:color w:val="auto"/>
              </w:rPr>
            </w:pPr>
          </w:p>
        </w:tc>
        <w:tc>
          <w:tcPr>
            <w:tcW w:w="4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24,593,639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13,944,876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CLO Subordinated Investments</w:t>
            </w: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w w:val="99"/>
              </w:rPr>
              <w:t>Initial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left="137"/>
              <w:spacing w:after="0" w:line="126" w:lineRule="exact"/>
              <w:rPr>
                <w:sz w:val="20"/>
                <w:szCs w:val="20"/>
                <w:color w:val="auto"/>
              </w:rPr>
            </w:pPr>
            <w:r>
              <w:rPr>
                <w:rFonts w:ascii="Arial" w:cs="Arial" w:eastAsia="Arial" w:hAnsi="Arial"/>
                <w:sz w:val="13"/>
                <w:szCs w:val="13"/>
                <w:b w:val="1"/>
                <w:bCs w:val="1"/>
                <w:color w:val="auto"/>
                <w:w w:val="87"/>
              </w:rPr>
              <w:t>Acquisition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200"/>
              <w:spacing w:after="0" w:line="126" w:lineRule="exact"/>
              <w:rPr>
                <w:sz w:val="20"/>
                <w:szCs w:val="20"/>
                <w:color w:val="auto"/>
              </w:rPr>
            </w:pPr>
            <w:r>
              <w:rPr>
                <w:rFonts w:ascii="Arial" w:cs="Arial" w:eastAsia="Arial" w:hAnsi="Arial"/>
                <w:sz w:val="13"/>
                <w:szCs w:val="13"/>
                <w:b w:val="1"/>
                <w:bCs w:val="1"/>
                <w:color w:val="auto"/>
                <w:w w:val="82"/>
              </w:rPr>
              <w:t>Percentage</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ind w:left="800"/>
              <w:spacing w:after="0"/>
              <w:rPr>
                <w:sz w:val="20"/>
                <w:szCs w:val="20"/>
                <w:color w:val="auto"/>
              </w:rPr>
            </w:pPr>
            <w:r>
              <w:rPr>
                <w:rFonts w:ascii="Arial" w:cs="Arial" w:eastAsia="Arial" w:hAnsi="Arial"/>
                <w:sz w:val="13"/>
                <w:szCs w:val="13"/>
                <w:b w:val="1"/>
                <w:bCs w:val="1"/>
                <w:color w:val="auto"/>
              </w:rPr>
              <w:t>Portfolio Company</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left="137"/>
              <w:spacing w:after="0"/>
              <w:rPr>
                <w:sz w:val="20"/>
                <w:szCs w:val="20"/>
                <w:color w:val="auto"/>
              </w:rPr>
            </w:pPr>
            <w:r>
              <w:rPr>
                <w:rFonts w:ascii="Arial" w:cs="Arial" w:eastAsia="Arial" w:hAnsi="Arial"/>
                <w:sz w:val="13"/>
                <w:szCs w:val="13"/>
                <w:b w:val="1"/>
                <w:bCs w:val="1"/>
                <w:color w:val="auto"/>
                <w:w w:val="92"/>
              </w:rPr>
              <w:t>Date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w w:val="86"/>
              </w:rPr>
              <w:t>Ownership</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4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(3)(13)(21)</w:t>
            </w:r>
          </w:p>
        </w:tc>
        <w:tc>
          <w:tcPr>
            <w:tcW w:w="1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180" w:type="dxa"/>
            <w:vAlign w:val="bottom"/>
            <w:tcBorders>
              <w:top w:val="single" w:sz="8" w:color="auto"/>
            </w:tcBorders>
            <w:gridSpan w:val="4"/>
            <w:shd w:val="clear" w:color="auto" w:fill="CFF0FC"/>
          </w:tcPr>
          <w:p>
            <w:pPr>
              <w:spacing w:after="0" w:line="137" w:lineRule="exact"/>
              <w:rPr>
                <w:sz w:val="20"/>
                <w:szCs w:val="20"/>
                <w:color w:val="auto"/>
              </w:rPr>
            </w:pPr>
            <w:r>
              <w:rPr>
                <w:rFonts w:ascii="Arial" w:cs="Arial" w:eastAsia="Arial" w:hAnsi="Arial"/>
                <w:sz w:val="14"/>
                <w:szCs w:val="14"/>
                <w:color w:val="auto"/>
              </w:rPr>
              <w:t>Subordinated Securities, effective interest 10.7%,</w:t>
            </w: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1/28 maturity</w:t>
            </w: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20" w:type="dxa"/>
            <w:vAlign w:val="bottom"/>
            <w:shd w:val="clear" w:color="auto" w:fill="CFF0FC"/>
          </w:tcPr>
          <w:p>
            <w:pPr>
              <w:spacing w:after="0"/>
              <w:rPr>
                <w:sz w:val="14"/>
                <w:szCs w:val="14"/>
                <w:color w:val="auto"/>
              </w:rPr>
            </w:pPr>
          </w:p>
        </w:tc>
        <w:tc>
          <w:tcPr>
            <w:tcW w:w="1260" w:type="dxa"/>
            <w:vAlign w:val="bottom"/>
            <w:gridSpan w:val="5"/>
            <w:shd w:val="clear" w:color="auto" w:fill="CFF0FC"/>
          </w:tcPr>
          <w:p>
            <w:pPr>
              <w:jc w:val="right"/>
              <w:ind w:right="140"/>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6,219,310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2,611,423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(3)(13)</w:t>
            </w:r>
          </w:p>
        </w:tc>
        <w:tc>
          <w:tcPr>
            <w:tcW w:w="3220" w:type="dxa"/>
            <w:vAlign w:val="bottom"/>
            <w:gridSpan w:val="5"/>
          </w:tcPr>
          <w:p>
            <w:pPr>
              <w:ind w:left="40"/>
              <w:spacing w:after="0" w:line="143" w:lineRule="exact"/>
              <w:rPr>
                <w:sz w:val="20"/>
                <w:szCs w:val="20"/>
                <w:color w:val="auto"/>
              </w:rPr>
            </w:pPr>
            <w:r>
              <w:rPr>
                <w:rFonts w:ascii="Arial" w:cs="Arial" w:eastAsia="Arial" w:hAnsi="Arial"/>
                <w:sz w:val="14"/>
                <w:szCs w:val="14"/>
                <w:color w:val="auto"/>
              </w:rPr>
              <w:t>Subordinated Securities, effective interest 2.4%,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4/30 maturity</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color w:val="auto"/>
              </w:rPr>
              <w:t>5/6/2014</w:t>
            </w:r>
          </w:p>
        </w:tc>
        <w:tc>
          <w:tcPr>
            <w:tcW w:w="120" w:type="dxa"/>
            <w:vAlign w:val="bottom"/>
          </w:tcPr>
          <w:p>
            <w:pPr>
              <w:spacing w:after="0"/>
              <w:rPr>
                <w:sz w:val="14"/>
                <w:szCs w:val="14"/>
                <w:color w:val="auto"/>
              </w:rPr>
            </w:pPr>
          </w:p>
        </w:tc>
        <w:tc>
          <w:tcPr>
            <w:tcW w:w="1260" w:type="dxa"/>
            <w:vAlign w:val="bottom"/>
            <w:gridSpan w:val="5"/>
          </w:tcPr>
          <w:p>
            <w:pPr>
              <w:jc w:val="right"/>
              <w:ind w:right="140"/>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9,998,258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3,835,632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220" w:type="dxa"/>
            <w:vAlign w:val="bottom"/>
            <w:gridSpan w:val="5"/>
            <w:shd w:val="clear" w:color="auto" w:fill="CFF0FC"/>
          </w:tcPr>
          <w:p>
            <w:pPr>
              <w:ind w:left="40"/>
              <w:spacing w:after="0" w:line="143" w:lineRule="exact"/>
              <w:rPr>
                <w:sz w:val="20"/>
                <w:szCs w:val="20"/>
                <w:color w:val="auto"/>
              </w:rPr>
            </w:pPr>
            <w:r>
              <w:rPr>
                <w:rFonts w:ascii="Arial" w:cs="Arial" w:eastAsia="Arial" w:hAnsi="Arial"/>
                <w:sz w:val="14"/>
                <w:szCs w:val="14"/>
                <w:color w:val="auto"/>
              </w:rPr>
              <w:t>Subordinated Securities, effective interest 21.2%,</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11/28 maturity</w:t>
            </w: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w w:val="93"/>
              </w:rPr>
              <w:t>6.8%</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1,272,501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1,322,100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(3)(13)(21)</w:t>
            </w:r>
          </w:p>
        </w:tc>
        <w:tc>
          <w:tcPr>
            <w:tcW w:w="3220" w:type="dxa"/>
            <w:vAlign w:val="bottom"/>
            <w:gridSpan w:val="5"/>
          </w:tcPr>
          <w:p>
            <w:pPr>
              <w:ind w:left="40"/>
              <w:spacing w:after="0" w:line="143" w:lineRule="exact"/>
              <w:rPr>
                <w:sz w:val="20"/>
                <w:szCs w:val="20"/>
                <w:color w:val="auto"/>
              </w:rPr>
            </w:pPr>
            <w:r>
              <w:rPr>
                <w:rFonts w:ascii="Arial" w:cs="Arial" w:eastAsia="Arial" w:hAnsi="Arial"/>
                <w:sz w:val="14"/>
                <w:szCs w:val="14"/>
                <w:color w:val="auto"/>
              </w:rPr>
              <w:t>Subordinated Securities, effective interest 0.0%,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10/26 maturity</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color w:val="auto"/>
              </w:rPr>
              <w:t>8/15/2014</w:t>
            </w:r>
          </w:p>
        </w:tc>
        <w:tc>
          <w:tcPr>
            <w:tcW w:w="120" w:type="dxa"/>
            <w:vAlign w:val="bottom"/>
          </w:tcPr>
          <w:p>
            <w:pPr>
              <w:spacing w:after="0"/>
              <w:rPr>
                <w:sz w:val="14"/>
                <w:szCs w:val="14"/>
                <w:color w:val="auto"/>
              </w:rPr>
            </w:pPr>
          </w:p>
        </w:tc>
        <w:tc>
          <w:tcPr>
            <w:tcW w:w="1260" w:type="dxa"/>
            <w:vAlign w:val="bottom"/>
            <w:gridSpan w:val="5"/>
          </w:tcPr>
          <w:p>
            <w:pPr>
              <w:jc w:val="right"/>
              <w:ind w:right="14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6,065,598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(3)(6)(13)(21)</w:t>
            </w:r>
          </w:p>
        </w:tc>
        <w:tc>
          <w:tcPr>
            <w:tcW w:w="3220" w:type="dxa"/>
            <w:vAlign w:val="bottom"/>
            <w:gridSpan w:val="5"/>
            <w:shd w:val="clear" w:color="auto" w:fill="CFF0FC"/>
          </w:tcPr>
          <w:p>
            <w:pPr>
              <w:ind w:left="40"/>
              <w:spacing w:after="0" w:line="143" w:lineRule="exact"/>
              <w:rPr>
                <w:sz w:val="20"/>
                <w:szCs w:val="20"/>
                <w:color w:val="auto"/>
              </w:rPr>
            </w:pPr>
            <w:r>
              <w:rPr>
                <w:rFonts w:ascii="Arial" w:cs="Arial" w:eastAsia="Arial" w:hAnsi="Arial"/>
                <w:sz w:val="14"/>
                <w:szCs w:val="14"/>
                <w:color w:val="auto"/>
              </w:rPr>
              <w:t>Subordinated Securities, effective interest 9.0%,</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4/27 maturity</w:t>
            </w: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w w:val="93"/>
              </w:rPr>
              <w:t>9.9%</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4,141,981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1,609,400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(3)(13)</w:t>
            </w:r>
          </w:p>
        </w:tc>
        <w:tc>
          <w:tcPr>
            <w:tcW w:w="3220" w:type="dxa"/>
            <w:vAlign w:val="bottom"/>
            <w:gridSpan w:val="5"/>
          </w:tcPr>
          <w:p>
            <w:pPr>
              <w:ind w:left="40"/>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1/29 maturity</w:t>
            </w: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color w:val="auto"/>
              </w:rPr>
              <w:t>12/21/2016</w:t>
            </w:r>
          </w:p>
        </w:tc>
        <w:tc>
          <w:tcPr>
            <w:tcW w:w="120" w:type="dxa"/>
            <w:vAlign w:val="bottom"/>
          </w:tcPr>
          <w:p>
            <w:pPr>
              <w:spacing w:after="0"/>
              <w:rPr>
                <w:sz w:val="14"/>
                <w:szCs w:val="14"/>
                <w:color w:val="auto"/>
              </w:rPr>
            </w:pPr>
          </w:p>
        </w:tc>
        <w:tc>
          <w:tcPr>
            <w:tcW w:w="1260" w:type="dxa"/>
            <w:vAlign w:val="bottom"/>
            <w:gridSpan w:val="5"/>
          </w:tcPr>
          <w:p>
            <w:pPr>
              <w:jc w:val="right"/>
              <w:ind w:right="14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8,872,484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(3)(13)</w:t>
            </w:r>
          </w:p>
        </w:tc>
        <w:tc>
          <w:tcPr>
            <w:tcW w:w="3220" w:type="dxa"/>
            <w:vAlign w:val="bottom"/>
            <w:gridSpan w:val="5"/>
            <w:shd w:val="clear" w:color="auto" w:fill="CFF0FC"/>
          </w:tcPr>
          <w:p>
            <w:pPr>
              <w:ind w:left="40"/>
              <w:spacing w:after="0" w:line="143" w:lineRule="exact"/>
              <w:rPr>
                <w:sz w:val="20"/>
                <w:szCs w:val="20"/>
                <w:color w:val="auto"/>
              </w:rPr>
            </w:pPr>
            <w:r>
              <w:rPr>
                <w:rFonts w:ascii="Arial" w:cs="Arial" w:eastAsia="Arial" w:hAnsi="Arial"/>
                <w:sz w:val="14"/>
                <w:szCs w:val="14"/>
                <w:color w:val="auto"/>
              </w:rPr>
              <w:t>Subordinated Securities, effective interest 10.0%,</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10/31 maturity</w:t>
            </w: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5"/>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20" w:type="dxa"/>
            <w:vAlign w:val="bottom"/>
            <w:shd w:val="clear" w:color="auto" w:fill="CFF0FC"/>
          </w:tcPr>
          <w:p>
            <w:pPr>
              <w:spacing w:after="0"/>
              <w:rPr>
                <w:sz w:val="14"/>
                <w:szCs w:val="14"/>
                <w:color w:val="auto"/>
              </w:rPr>
            </w:pPr>
          </w:p>
        </w:tc>
        <w:tc>
          <w:tcPr>
            <w:tcW w:w="1260" w:type="dxa"/>
            <w:vAlign w:val="bottom"/>
            <w:gridSpan w:val="5"/>
            <w:shd w:val="clear" w:color="auto" w:fill="CFF0FC"/>
          </w:tcPr>
          <w:p>
            <w:pPr>
              <w:jc w:val="right"/>
              <w:ind w:right="140"/>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9,157,681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4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Total Investment in CLO Fund</w:t>
            </w:r>
          </w:p>
        </w:tc>
        <w:tc>
          <w:tcPr>
            <w:tcW w:w="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7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w w:val="93"/>
              </w:rPr>
              <w:t>Securities (9% of net asset value at fair value)</w:t>
            </w:r>
          </w:p>
        </w:tc>
        <w:tc>
          <w:tcPr>
            <w:tcW w:w="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60" w:type="dxa"/>
            <w:vAlign w:val="bottom"/>
            <w:gridSpan w:val="3"/>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45,727,813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19,582,555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Asset Manager Affiliates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20" w:type="dxa"/>
            <w:vAlign w:val="bottom"/>
            <w:tcBorders>
              <w:bottom w:val="single" w:sz="8" w:color="CFF0FC"/>
            </w:tcBorders>
          </w:tcPr>
          <w:p>
            <w:pPr>
              <w:spacing w:after="0"/>
              <w:rPr>
                <w:sz w:val="14"/>
                <w:szCs w:val="14"/>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(8)(9)(13)(16)</w:t>
            </w:r>
          </w:p>
        </w:tc>
        <w:tc>
          <w:tcPr>
            <w:tcW w:w="1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12/11/2006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gridSpan w:val="2"/>
            <w:shd w:val="clear" w:color="auto" w:fill="CFF0FC"/>
          </w:tcPr>
          <w:p>
            <w:pPr>
              <w:spacing w:after="0" w:line="130" w:lineRule="exact"/>
              <w:rPr>
                <w:sz w:val="20"/>
                <w:szCs w:val="20"/>
                <w:color w:val="auto"/>
              </w:rPr>
            </w:pPr>
            <w:r>
              <w:rPr>
                <w:rFonts w:ascii="Arial" w:cs="Arial" w:eastAsia="Arial" w:hAnsi="Arial"/>
                <w:sz w:val="13"/>
                <w:szCs w:val="13"/>
                <w:b w:val="1"/>
                <w:bCs w:val="1"/>
                <w:color w:val="auto"/>
              </w:rPr>
              <w:t>Total Investment in Asset Manager</w:t>
            </w:r>
          </w:p>
        </w:tc>
        <w:tc>
          <w:tcPr>
            <w:tcW w:w="2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60" w:type="dxa"/>
            <w:vAlign w:val="bottom"/>
            <w:gridSpan w:val="2"/>
            <w:shd w:val="clear" w:color="auto" w:fill="CFF0FC"/>
          </w:tcPr>
          <w:p>
            <w:pPr>
              <w:jc w:val="center"/>
              <w:ind w:right="180"/>
              <w:spacing w:after="0"/>
              <w:rPr>
                <w:sz w:val="20"/>
                <w:szCs w:val="20"/>
                <w:color w:val="auto"/>
              </w:rPr>
            </w:pPr>
            <w:r>
              <w:rPr>
                <w:rFonts w:ascii="Arial" w:cs="Arial" w:eastAsia="Arial" w:hAnsi="Arial"/>
                <w:sz w:val="13"/>
                <w:szCs w:val="13"/>
                <w:b w:val="1"/>
                <w:bCs w:val="1"/>
                <w:color w:val="auto"/>
                <w:w w:val="88"/>
              </w:rPr>
              <w:t>Affiliates (0% of net asset value at fair value)</w:t>
            </w:r>
          </w:p>
        </w:tc>
        <w:tc>
          <w:tcPr>
            <w:tcW w:w="2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Derivatives</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Principal Business</w:t>
            </w:r>
          </w:p>
        </w:tc>
        <w:tc>
          <w:tcPr>
            <w:tcW w:w="2800" w:type="dxa"/>
            <w:vAlign w:val="bottom"/>
            <w:gridSpan w:val="2"/>
          </w:tcPr>
          <w:p>
            <w:pPr>
              <w:ind w:left="9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(13)(21)(22)</w:t>
            </w:r>
          </w:p>
        </w:tc>
        <w:tc>
          <w:tcPr>
            <w:tcW w:w="1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 Swap and Option Agreement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(1,120,695)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7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(13)(21)(22)</w:t>
            </w:r>
          </w:p>
        </w:tc>
        <w:tc>
          <w:tcPr>
            <w:tcW w:w="2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28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Call Option</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gridSpan w:val="2"/>
            <w:shd w:val="clear" w:color="auto" w:fill="CFF0FC"/>
          </w:tcPr>
          <w:p>
            <w:pPr>
              <w:spacing w:after="0" w:line="130" w:lineRule="exact"/>
              <w:rPr>
                <w:sz w:val="20"/>
                <w:szCs w:val="20"/>
                <w:color w:val="auto"/>
              </w:rPr>
            </w:pPr>
            <w:r>
              <w:rPr>
                <w:rFonts w:ascii="Arial" w:cs="Arial" w:eastAsia="Arial" w:hAnsi="Arial"/>
                <w:sz w:val="13"/>
                <w:szCs w:val="13"/>
                <w:b w:val="1"/>
                <w:bCs w:val="1"/>
                <w:color w:val="auto"/>
                <w:w w:val="96"/>
              </w:rPr>
              <w:t>Total Derivatives (0% of net asset value at fair</w:t>
            </w:r>
          </w:p>
        </w:tc>
        <w:tc>
          <w:tcPr>
            <w:tcW w:w="2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value)</w:t>
            </w:r>
          </w:p>
        </w:tc>
        <w:tc>
          <w:tcPr>
            <w:tcW w:w="2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(1,108,618)</w:t>
            </w:r>
          </w:p>
        </w:tc>
        <w:tc>
          <w:tcPr>
            <w:tcW w:w="0" w:type="dxa"/>
            <w:vAlign w:val="bottom"/>
          </w:tcPr>
          <w:p>
            <w:pPr>
              <w:spacing w:after="0"/>
              <w:rPr>
                <w:sz w:val="1"/>
                <w:szCs w:val="1"/>
                <w:color w:val="auto"/>
              </w:rPr>
            </w:pPr>
          </w:p>
        </w:tc>
      </w:tr>
      <w:tr>
        <w:trPr>
          <w:trHeight w:val="223"/>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Joint Ventures</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vMerge w:val="restart"/>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2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20" w:type="dxa"/>
            <w:vAlign w:val="bottom"/>
            <w:tcBorders>
              <w:bottom w:val="single" w:sz="8" w:color="CFF0FC"/>
            </w:tcBorders>
          </w:tcPr>
          <w:p>
            <w:pPr>
              <w:spacing w:after="0"/>
              <w:rPr>
                <w:sz w:val="14"/>
                <w:szCs w:val="14"/>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19,748,808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gridSpan w:val="2"/>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Borders>
              <w:bottom w:val="single" w:sz="8" w:color="CFF0FC"/>
            </w:tcBorders>
            <w:gridSpan w:val="2"/>
          </w:tcPr>
          <w:p>
            <w:pPr>
              <w:ind w:left="80"/>
              <w:spacing w:after="0"/>
              <w:rPr>
                <w:sz w:val="20"/>
                <w:szCs w:val="20"/>
                <w:color w:val="auto"/>
              </w:rPr>
            </w:pPr>
            <w:r>
              <w:rPr>
                <w:rFonts w:ascii="Arial" w:cs="Arial" w:eastAsia="Arial" w:hAnsi="Arial"/>
                <w:sz w:val="13"/>
                <w:szCs w:val="13"/>
                <w:color w:val="auto"/>
              </w:rPr>
              <w:t>Limited Partnership</w:t>
            </w:r>
          </w:p>
        </w:tc>
        <w:tc>
          <w:tcPr>
            <w:tcW w:w="280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Joint Venture</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3"/>
                <w:szCs w:val="13"/>
                <w:color w:val="auto"/>
              </w:rPr>
              <w:t>27%</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30,017,600</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29,600,355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Total Investment in Joint Ventures</w:t>
            </w: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60" w:type="dxa"/>
            <w:vAlign w:val="bottom"/>
            <w:gridSpan w:val="2"/>
          </w:tcPr>
          <w:p>
            <w:pPr>
              <w:ind w:left="80"/>
              <w:spacing w:after="0"/>
              <w:rPr>
                <w:sz w:val="20"/>
                <w:szCs w:val="20"/>
                <w:color w:val="auto"/>
              </w:rPr>
            </w:pPr>
            <w:r>
              <w:rPr>
                <w:rFonts w:ascii="Arial" w:cs="Arial" w:eastAsia="Arial" w:hAnsi="Arial"/>
                <w:sz w:val="13"/>
                <w:szCs w:val="13"/>
                <w:b w:val="1"/>
                <w:bCs w:val="1"/>
                <w:color w:val="auto"/>
              </w:rPr>
              <w:t>(23% of net asset value at fair value)</w:t>
            </w:r>
          </w:p>
        </w:tc>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54,932,458</w:t>
            </w: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49,349,163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1"/>
                <w:szCs w:val="11"/>
                <w:b w:val="1"/>
                <w:bCs w:val="1"/>
                <w:color w:val="auto"/>
              </w:rPr>
              <w:t>4</w:t>
            </w:r>
          </w:p>
        </w:tc>
        <w:tc>
          <w:tcPr>
            <w:tcW w:w="26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536,008,160</w:t>
            </w:r>
          </w:p>
        </w:tc>
        <w:tc>
          <w:tcPr>
            <w:tcW w:w="2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486,628,831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80" w:right="40" w:hanging="372"/>
        <w:spacing w:after="0" w:line="302"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December 31, 2020 loan. For each such loan, the Company has provided the weighted average annual stated interest rate in effect at December 31, 2020. As noted in the table above, 74% (based on par) of debt securities contain floors which range between 1.00%</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and 2.00%.</w:t>
      </w:r>
    </w:p>
    <w:p>
      <w:pPr>
        <w:spacing w:after="0" w:line="18"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6"/>
          <w:szCs w:val="16"/>
          <w:color w:val="auto"/>
        </w:rPr>
        <w:t>Reflects the fair market value of all investments as of December 31, 2020 as determined by the Company’s Board of Directors.</w:t>
      </w:r>
    </w:p>
    <w:p>
      <w:pPr>
        <w:spacing w:after="0" w:line="1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29" w:lineRule="exact"/>
        <w:rPr>
          <w:rFonts w:ascii="Arial" w:cs="Arial" w:eastAsia="Arial" w:hAnsi="Arial"/>
          <w:sz w:val="15"/>
          <w:szCs w:val="15"/>
          <w:color w:val="auto"/>
        </w:rPr>
      </w:pPr>
    </w:p>
    <w:p>
      <w:pPr>
        <w:ind w:left="380" w:right="100" w:hanging="364"/>
        <w:spacing w:after="0" w:line="281" w:lineRule="auto"/>
        <w:rPr>
          <w:rFonts w:ascii="Arial" w:cs="Arial" w:eastAsia="Arial" w:hAnsi="Arial"/>
          <w:sz w:val="15"/>
          <w:szCs w:val="15"/>
          <w:color w:val="auto"/>
        </w:rPr>
      </w:pPr>
      <w:r>
        <w:rPr>
          <w:rFonts w:ascii="Arial" w:cs="Arial" w:eastAsia="Arial" w:hAnsi="Arial"/>
          <w:sz w:val="15"/>
          <w:szCs w:val="15"/>
          <w:color w:val="auto"/>
        </w:rPr>
        <w:t>4The aggregate cost of investments for federal income tax purposes is approximately $572 million. The aggregate gross unrealized appreciation is approximately $53.1 million, the aggregate gross unrealized depreciation is approximately $138.6 million, and the net unrealized depreciation is approximately $85.5 million.</w:t>
      </w:r>
    </w:p>
    <w:p>
      <w:pPr>
        <w:spacing w:after="0"/>
        <w:rPr>
          <w:rFonts w:ascii="Arial" w:cs="Arial" w:eastAsia="Arial" w:hAnsi="Arial"/>
          <w:sz w:val="15"/>
          <w:szCs w:val="15"/>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29" w:lineRule="exact"/>
        <w:rPr>
          <w:rFonts w:ascii="Arial" w:cs="Arial" w:eastAsia="Arial" w:hAnsi="Arial"/>
          <w:sz w:val="15"/>
          <w:szCs w:val="15"/>
          <w:color w:val="auto"/>
        </w:rPr>
      </w:pPr>
    </w:p>
    <w:p>
      <w:pPr>
        <w:ind w:left="380" w:right="40" w:hanging="364"/>
        <w:spacing w:after="0" w:line="263" w:lineRule="auto"/>
        <w:rPr>
          <w:rFonts w:ascii="Arial" w:cs="Arial" w:eastAsia="Arial" w:hAnsi="Arial"/>
          <w:sz w:val="15"/>
          <w:szCs w:val="15"/>
          <w:color w:val="auto"/>
        </w:rPr>
      </w:pPr>
      <w:r>
        <w:rPr>
          <w:rFonts w:ascii="Arial" w:cs="Arial" w:eastAsia="Arial" w:hAnsi="Arial"/>
          <w:sz w:val="15"/>
          <w:szCs w:val="15"/>
          <w:color w:val="auto"/>
        </w:rPr>
        <w:t>6</w:t>
      </w: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spacing w:after="0" w:line="1"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5"/>
          <w:szCs w:val="15"/>
          <w:color w:val="auto"/>
        </w:rPr>
      </w:pPr>
      <w:r>
        <w:rPr>
          <w:rFonts w:ascii="Arial" w:cs="Arial" w:eastAsia="Arial" w:hAnsi="Arial"/>
          <w:sz w:val="16"/>
          <w:szCs w:val="16"/>
          <w:color w:val="auto"/>
        </w:rPr>
        <w:t>Money market account</w:t>
      </w:r>
      <w:r>
        <w:rPr>
          <w:rFonts w:ascii="Arial" w:cs="Arial" w:eastAsia="Arial" w:hAnsi="Arial"/>
          <w:sz w:val="17"/>
          <w:szCs w:val="17"/>
          <w:color w:val="auto"/>
        </w:rPr>
        <w:t>.</w:t>
      </w:r>
    </w:p>
    <w:p>
      <w:pPr>
        <w:spacing w:after="0" w:line="25" w:lineRule="exact"/>
        <w:rPr>
          <w:sz w:val="20"/>
          <w:szCs w:val="20"/>
          <w:color w:val="auto"/>
        </w:rPr>
      </w:pPr>
    </w:p>
    <w:p>
      <w:pPr>
        <w:ind w:left="380" w:right="100" w:hanging="372"/>
        <w:spacing w:after="0" w:line="260" w:lineRule="auto"/>
        <w:tabs>
          <w:tab w:leader="none" w:pos="380" w:val="left"/>
        </w:tabs>
        <w:numPr>
          <w:ilvl w:val="0"/>
          <w:numId w:val="14"/>
        </w:numPr>
        <w:rPr>
          <w:rFonts w:ascii="Arial" w:cs="Arial" w:eastAsia="Arial" w:hAnsi="Arial"/>
          <w:sz w:val="15"/>
          <w:szCs w:val="15"/>
          <w:color w:val="auto"/>
        </w:rPr>
      </w:pPr>
      <w:r>
        <w:rPr>
          <w:rFonts w:ascii="Arial" w:cs="Arial" w:eastAsia="Arial" w:hAnsi="Arial"/>
          <w:sz w:val="16"/>
          <w:szCs w:val="16"/>
          <w:color w:val="auto"/>
        </w:rPr>
        <w:t>Qualified asset for purposes of section 55(a) of the Investment Company Act of 1940, as amended (the “1940 Act”). Qualifying assets represent approximately 86.2% of the total assets at December 31, 2020.</w:t>
      </w:r>
    </w:p>
    <w:p>
      <w:pPr>
        <w:spacing w:after="0" w:line="1" w:lineRule="exact"/>
        <w:rPr>
          <w:sz w:val="20"/>
          <w:szCs w:val="20"/>
          <w:color w:val="auto"/>
        </w:rPr>
      </w:pPr>
    </w:p>
    <w:p>
      <w:pPr>
        <w:ind w:left="380" w:right="180" w:hanging="372"/>
        <w:spacing w:after="0" w:line="301" w:lineRule="auto"/>
        <w:tabs>
          <w:tab w:leader="none" w:pos="3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6"/>
          <w:szCs w:val="16"/>
          <w:color w:val="auto"/>
        </w:rPr>
        <w:t>Non-voting.</w:t>
      </w:r>
    </w:p>
    <w:p>
      <w:pPr>
        <w:spacing w:after="0" w:line="18" w:lineRule="exact"/>
        <w:rPr>
          <w:rFonts w:ascii="Arial" w:cs="Arial" w:eastAsia="Arial" w:hAnsi="Arial"/>
          <w:sz w:val="15"/>
          <w:szCs w:val="15"/>
          <w:color w:val="auto"/>
        </w:rPr>
      </w:pPr>
    </w:p>
    <w:p>
      <w:pPr>
        <w:ind w:left="380" w:right="140" w:hanging="372"/>
        <w:spacing w:after="0" w:line="301" w:lineRule="auto"/>
        <w:tabs>
          <w:tab w:leader="none" w:pos="380" w:val="left"/>
        </w:tabs>
        <w:numPr>
          <w:ilvl w:val="0"/>
          <w:numId w:val="16"/>
        </w:numPr>
        <w:rPr>
          <w:rFonts w:ascii="Arial" w:cs="Arial" w:eastAsia="Arial" w:hAnsi="Arial"/>
          <w:sz w:val="13"/>
          <w:szCs w:val="13"/>
          <w:color w:val="auto"/>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3"/>
          <w:szCs w:val="13"/>
          <w:color w:val="auto"/>
        </w:rPr>
      </w:pPr>
    </w:p>
    <w:p>
      <w:pPr>
        <w:ind w:left="380" w:right="60" w:hanging="372"/>
        <w:spacing w:after="0" w:line="263" w:lineRule="auto"/>
        <w:tabs>
          <w:tab w:leader="none" w:pos="380" w:val="left"/>
        </w:tabs>
        <w:numPr>
          <w:ilvl w:val="0"/>
          <w:numId w:val="16"/>
        </w:numPr>
        <w:rPr>
          <w:rFonts w:ascii="Arial" w:cs="Arial" w:eastAsia="Arial" w:hAnsi="Arial"/>
          <w:sz w:val="15"/>
          <w:szCs w:val="15"/>
          <w:color w:val="auto"/>
        </w:rPr>
      </w:pPr>
      <w:r>
        <w:rPr>
          <w:rFonts w:ascii="Arial" w:cs="Arial" w:eastAsia="Arial" w:hAnsi="Arial"/>
          <w:sz w:val="16"/>
          <w:szCs w:val="16"/>
          <w:color w:val="auto"/>
        </w:rPr>
        <w:t>This investment is on non-accrual status and receives a 5% royalty interest on oil being produced on certain fields. All production payments received are being applied to the cost basis and are considered return of capital.</w:t>
      </w:r>
    </w:p>
    <w:p>
      <w:pPr>
        <w:spacing w:after="0" w:line="1" w:lineRule="exact"/>
        <w:rPr>
          <w:rFonts w:ascii="Arial" w:cs="Arial" w:eastAsia="Arial" w:hAnsi="Arial"/>
          <w:sz w:val="15"/>
          <w:szCs w:val="15"/>
          <w:color w:val="auto"/>
        </w:rPr>
      </w:pP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6"/>
          <w:szCs w:val="16"/>
          <w:color w:val="auto"/>
        </w:rPr>
        <w:t>Fair value of this investment was determined using significant unobservable inputs</w:t>
      </w:r>
      <w:r>
        <w:rPr>
          <w:rFonts w:ascii="Arial" w:cs="Arial" w:eastAsia="Arial" w:hAnsi="Arial"/>
          <w:sz w:val="17"/>
          <w:szCs w:val="17"/>
          <w:color w:val="auto"/>
        </w:rPr>
        <w:t>.</w:t>
      </w:r>
    </w:p>
    <w:p>
      <w:pPr>
        <w:spacing w:after="0" w:line="26" w:lineRule="exact"/>
        <w:rPr>
          <w:rFonts w:ascii="Arial" w:cs="Arial" w:eastAsia="Arial" w:hAnsi="Arial"/>
          <w:sz w:val="15"/>
          <w:szCs w:val="15"/>
          <w:color w:val="auto"/>
        </w:rPr>
      </w:pPr>
    </w:p>
    <w:p>
      <w:pPr>
        <w:ind w:left="380" w:hanging="372"/>
        <w:spacing w:after="0"/>
        <w:tabs>
          <w:tab w:leader="none" w:pos="380" w:val="left"/>
        </w:tabs>
        <w:numPr>
          <w:ilvl w:val="0"/>
          <w:numId w:val="16"/>
        </w:numPr>
        <w:rPr>
          <w:rFonts w:ascii="Arial" w:cs="Arial" w:eastAsia="Arial" w:hAnsi="Arial"/>
          <w:sz w:val="15"/>
          <w:szCs w:val="15"/>
          <w:color w:val="auto"/>
        </w:rPr>
      </w:pPr>
      <w:r>
        <w:rPr>
          <w:rFonts w:ascii="Arial" w:cs="Arial" w:eastAsia="Arial" w:hAnsi="Arial"/>
          <w:sz w:val="16"/>
          <w:szCs w:val="16"/>
          <w:color w:val="auto"/>
        </w:rPr>
        <w:t>As of December 31, 2020, this investment is pledged to secure the Company’s debt obligations.</w:t>
      </w:r>
    </w:p>
    <w:p>
      <w:pPr>
        <w:spacing w:after="0" w:line="12" w:lineRule="exact"/>
        <w:rPr>
          <w:rFonts w:ascii="Arial" w:cs="Arial" w:eastAsia="Arial" w:hAnsi="Arial"/>
          <w:sz w:val="15"/>
          <w:szCs w:val="15"/>
          <w:color w:val="auto"/>
        </w:rPr>
      </w:pPr>
    </w:p>
    <w:p>
      <w:pPr>
        <w:ind w:left="380" w:right="20" w:hanging="372"/>
        <w:spacing w:after="0" w:line="322"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380" w:right="260" w:hanging="372"/>
        <w:spacing w:after="0" w:line="266"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380" w:hanging="372"/>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9" w:lineRule="exact"/>
        <w:rPr>
          <w:rFonts w:ascii="Arial" w:cs="Arial" w:eastAsia="Arial" w:hAnsi="Arial"/>
          <w:sz w:val="14"/>
          <w:szCs w:val="14"/>
          <w:color w:val="auto"/>
        </w:rPr>
      </w:pPr>
    </w:p>
    <w:p>
      <w:pPr>
        <w:ind w:left="380" w:right="120" w:hanging="372"/>
        <w:spacing w:after="0" w:line="222" w:lineRule="auto"/>
        <w:tabs>
          <w:tab w:leader="none" w:pos="38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ind w:left="380" w:hanging="372"/>
        <w:spacing w:after="0" w:line="183" w:lineRule="auto"/>
        <w:tabs>
          <w:tab w:leader="none" w:pos="38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10" w:lineRule="exact"/>
        <w:rPr>
          <w:rFonts w:ascii="Arial" w:cs="Arial" w:eastAsia="Arial" w:hAnsi="Arial"/>
          <w:sz w:val="23"/>
          <w:szCs w:val="23"/>
          <w:color w:val="auto"/>
          <w:vertAlign w:val="superscript"/>
        </w:rPr>
      </w:pPr>
    </w:p>
    <w:p>
      <w:pPr>
        <w:ind w:left="380" w:right="40" w:hanging="372"/>
        <w:spacing w:after="0" w:line="228" w:lineRule="auto"/>
        <w:tabs>
          <w:tab w:leader="none" w:pos="38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118"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Represents co-investment made with the Company's affiliates in accordance with the terms of the exemptive relief that the Company received</w:t>
      </w:r>
    </w:p>
    <w:p>
      <w:pPr>
        <w:spacing w:after="0" w:line="10" w:lineRule="exact"/>
        <w:rPr>
          <w:rFonts w:ascii="Arial" w:cs="Arial" w:eastAsia="Arial" w:hAnsi="Arial"/>
          <w:sz w:val="25"/>
          <w:szCs w:val="25"/>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Information related to the Company’s derivatives is presented below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860" w:type="dxa"/>
            <w:vAlign w:val="bottom"/>
          </w:tcPr>
          <w:p>
            <w:pPr>
              <w:jc w:val="center"/>
              <w:ind w:left="17"/>
              <w:spacing w:after="0"/>
              <w:rPr>
                <w:sz w:val="20"/>
                <w:szCs w:val="20"/>
                <w:color w:val="auto"/>
              </w:rPr>
            </w:pPr>
            <w:r>
              <w:rPr>
                <w:rFonts w:ascii="Arial" w:cs="Arial" w:eastAsia="Arial" w:hAnsi="Arial"/>
                <w:sz w:val="13"/>
                <w:szCs w:val="13"/>
                <w:b w:val="1"/>
                <w:bCs w:val="1"/>
                <w:color w:val="auto"/>
                <w:w w:val="87"/>
              </w:rPr>
              <w:t>Payments</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84"/>
              </w:rPr>
              <w:t>Payments</w:t>
            </w: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93"/>
              </w:rPr>
              <w:t>Upfront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Unrealized</w:t>
            </w:r>
          </w:p>
        </w:tc>
      </w:tr>
      <w:tr>
        <w:trPr>
          <w:trHeight w:val="153"/>
        </w:trPr>
        <w:tc>
          <w:tcPr>
            <w:tcW w:w="204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6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jc w:val="center"/>
              <w:ind w:left="137"/>
              <w:spacing w:after="0"/>
              <w:rPr>
                <w:sz w:val="20"/>
                <w:szCs w:val="20"/>
                <w:color w:val="auto"/>
              </w:rPr>
            </w:pPr>
            <w:r>
              <w:rPr>
                <w:rFonts w:ascii="Arial" w:cs="Arial" w:eastAsia="Arial" w:hAnsi="Arial"/>
                <w:sz w:val="13"/>
                <w:szCs w:val="13"/>
                <w:b w:val="1"/>
                <w:bCs w:val="1"/>
                <w:color w:val="auto"/>
                <w:w w:val="83"/>
              </w:rPr>
              <w:t>received</w:t>
            </w:r>
          </w:p>
        </w:tc>
        <w:tc>
          <w:tcPr>
            <w:tcW w:w="540" w:type="dxa"/>
            <w:vAlign w:val="bottom"/>
          </w:tcPr>
          <w:p>
            <w:pPr>
              <w:spacing w:after="0"/>
              <w:rPr>
                <w:sz w:val="13"/>
                <w:szCs w:val="13"/>
                <w:color w:val="auto"/>
              </w:rPr>
            </w:pPr>
          </w:p>
        </w:tc>
        <w:tc>
          <w:tcPr>
            <w:tcW w:w="1500" w:type="dxa"/>
            <w:vAlign w:val="bottom"/>
          </w:tcPr>
          <w:p>
            <w:pPr>
              <w:jc w:val="center"/>
              <w:ind w:right="41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1"/>
              </w:rPr>
              <w:t>Maturity date</w:t>
            </w:r>
          </w:p>
        </w:tc>
        <w:tc>
          <w:tcPr>
            <w:tcW w:w="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1200" w:type="dxa"/>
            <w:vAlign w:val="bottom"/>
            <w:gridSpan w:val="5"/>
          </w:tcPr>
          <w:p>
            <w:pPr>
              <w:ind w:left="420"/>
              <w:spacing w:after="0"/>
              <w:rPr>
                <w:sz w:val="20"/>
                <w:szCs w:val="20"/>
                <w:color w:val="auto"/>
              </w:rPr>
            </w:pPr>
            <w:r>
              <w:rPr>
                <w:rFonts w:ascii="Arial" w:cs="Arial" w:eastAsia="Arial" w:hAnsi="Arial"/>
                <w:sz w:val="13"/>
                <w:szCs w:val="13"/>
                <w:b w:val="1"/>
                <w:bCs w:val="1"/>
                <w:color w:val="auto"/>
              </w:rPr>
              <w:t>Value</w:t>
            </w: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84"/>
              </w:rPr>
              <w:t>payments/receipts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4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8"/>
              </w:rPr>
              <w:t>Securities Swap and Option Agreement</w:t>
            </w:r>
          </w:p>
        </w:tc>
        <w:tc>
          <w:tcPr>
            <w:tcW w:w="860" w:type="dxa"/>
            <w:vAlign w:val="bottom"/>
            <w:tcBorders>
              <w:top w:val="single" w:sz="8" w:color="auto"/>
            </w:tcBorders>
            <w:shd w:val="clear" w:color="auto" w:fill="CFF0FC"/>
          </w:tcPr>
          <w:p>
            <w:pPr>
              <w:ind w:left="6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2040" w:type="dxa"/>
            <w:vAlign w:val="bottom"/>
            <w:tcBorders>
              <w:top w:val="single" w:sz="8" w:color="auto"/>
            </w:tcBorders>
            <w:gridSpan w:val="2"/>
            <w:shd w:val="clear" w:color="auto" w:fill="CFF0FC"/>
          </w:tcPr>
          <w:p>
            <w:pPr>
              <w:jc w:val="center"/>
              <w:spacing w:after="0" w:line="142" w:lineRule="exact"/>
              <w:rPr>
                <w:sz w:val="20"/>
                <w:szCs w:val="20"/>
                <w:color w:val="auto"/>
              </w:rPr>
            </w:pPr>
            <w:r>
              <w:rPr>
                <w:rFonts w:ascii="Arial" w:cs="Arial" w:eastAsia="Arial" w:hAnsi="Arial"/>
                <w:sz w:val="13"/>
                <w:szCs w:val="13"/>
                <w:color w:val="auto"/>
                <w:w w:val="90"/>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00" w:type="dxa"/>
            <w:vAlign w:val="bottom"/>
            <w:tcBorders>
              <w:top w:val="single" w:sz="8" w:color="auto"/>
            </w:tcBorders>
            <w:gridSpan w:val="3"/>
            <w:shd w:val="clear" w:color="auto" w:fill="CFF0FC"/>
          </w:tcPr>
          <w:p>
            <w:pPr>
              <w:jc w:val="right"/>
              <w:ind w:right="40"/>
              <w:spacing w:after="0" w:line="142" w:lineRule="exact"/>
              <w:rPr>
                <w:sz w:val="20"/>
                <w:szCs w:val="20"/>
                <w:color w:val="auto"/>
              </w:rPr>
            </w:pPr>
            <w:r>
              <w:rPr>
                <w:rFonts w:ascii="Arial" w:cs="Arial" w:eastAsia="Arial" w:hAnsi="Arial"/>
                <w:sz w:val="13"/>
                <w:szCs w:val="13"/>
                <w:color w:val="auto"/>
                <w:w w:val="93"/>
              </w:rPr>
              <w:t>$ 5,500,000</w:t>
            </w:r>
          </w:p>
        </w:tc>
        <w:tc>
          <w:tcPr>
            <w:tcW w:w="12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ind w:right="337"/>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w w:val="81"/>
              </w:rPr>
              <w:t>(1,120,695)</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ind w:right="9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(1,120,695)</w:t>
            </w:r>
          </w:p>
        </w:tc>
        <w:tc>
          <w:tcPr>
            <w:tcW w:w="120" w:type="dxa"/>
            <w:vAlign w:val="bottom"/>
            <w:tcBorders>
              <w:top w:val="single" w:sz="8" w:color="CFF0FC"/>
            </w:tcBorders>
            <w:shd w:val="clear" w:color="auto" w:fill="CFF0FC"/>
          </w:tcPr>
          <w:p>
            <w:pPr>
              <w:spacing w:after="0"/>
              <w:rPr>
                <w:sz w:val="12"/>
                <w:szCs w:val="12"/>
                <w:color w:val="auto"/>
              </w:rPr>
            </w:pPr>
          </w:p>
        </w:tc>
      </w:tr>
      <w:tr>
        <w:trPr>
          <w:trHeight w:val="346"/>
        </w:trPr>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204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60" w:type="dxa"/>
            <w:vAlign w:val="bottom"/>
          </w:tcPr>
          <w:p>
            <w:pPr>
              <w:spacing w:after="0"/>
              <w:rPr>
                <w:sz w:val="13"/>
                <w:szCs w:val="13"/>
                <w:color w:val="auto"/>
              </w:rPr>
            </w:pPr>
          </w:p>
        </w:tc>
        <w:tc>
          <w:tcPr>
            <w:tcW w:w="1580" w:type="dxa"/>
            <w:vAlign w:val="bottom"/>
            <w:gridSpan w:val="2"/>
          </w:tcPr>
          <w:p>
            <w:pPr>
              <w:ind w:left="600"/>
              <w:spacing w:after="0"/>
              <w:rPr>
                <w:sz w:val="20"/>
                <w:szCs w:val="20"/>
                <w:color w:val="auto"/>
              </w:rPr>
            </w:pPr>
            <w:r>
              <w:rPr>
                <w:rFonts w:ascii="Arial" w:cs="Arial" w:eastAsia="Arial" w:hAnsi="Arial"/>
                <w:sz w:val="13"/>
                <w:szCs w:val="13"/>
                <w:b w:val="1"/>
                <w:bCs w:val="1"/>
                <w:color w:val="auto"/>
              </w:rPr>
              <w:t>Counterparty</w:t>
            </w:r>
          </w:p>
        </w:tc>
        <w:tc>
          <w:tcPr>
            <w:tcW w:w="1500" w:type="dxa"/>
            <w:vAlign w:val="bottom"/>
          </w:tcPr>
          <w:p>
            <w:pPr>
              <w:ind w:left="540"/>
              <w:spacing w:after="0"/>
              <w:rPr>
                <w:sz w:val="20"/>
                <w:szCs w:val="20"/>
                <w:color w:val="auto"/>
              </w:rPr>
            </w:pPr>
            <w:r>
              <w:rPr>
                <w:rFonts w:ascii="Arial" w:cs="Arial" w:eastAsia="Arial" w:hAnsi="Arial"/>
                <w:sz w:val="13"/>
                <w:szCs w:val="13"/>
                <w:b w:val="1"/>
                <w:bCs w:val="1"/>
                <w:color w:val="auto"/>
                <w:w w:val="85"/>
              </w:rPr>
              <w:t>Number of shares</w:t>
            </w:r>
          </w:p>
        </w:tc>
        <w:tc>
          <w:tcPr>
            <w:tcW w:w="540" w:type="dxa"/>
            <w:vAlign w:val="bottom"/>
          </w:tcPr>
          <w:p>
            <w:pPr>
              <w:spacing w:after="0"/>
              <w:rPr>
                <w:sz w:val="13"/>
                <w:szCs w:val="13"/>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9"/>
              </w:rPr>
              <w:t>price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4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6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20"/>
              <w:spacing w:after="0" w:line="142" w:lineRule="exact"/>
              <w:rPr>
                <w:sz w:val="20"/>
                <w:szCs w:val="20"/>
                <w:color w:val="auto"/>
              </w:rPr>
            </w:pPr>
            <w:r>
              <w:rPr>
                <w:rFonts w:ascii="Arial" w:cs="Arial" w:eastAsia="Arial" w:hAnsi="Arial"/>
                <w:sz w:val="13"/>
                <w:szCs w:val="13"/>
                <w:color w:val="auto"/>
              </w:rPr>
              <w:t>HDNet Holdco LLC</w:t>
            </w:r>
          </w:p>
        </w:tc>
        <w:tc>
          <w:tcPr>
            <w:tcW w:w="15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20" w:type="dxa"/>
            <w:vAlign w:val="bottom"/>
            <w:tcBorders>
              <w:top w:val="single" w:sz="8" w:color="auto"/>
            </w:tcBorders>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gridSpan w:val="2"/>
            <w:shd w:val="clear" w:color="auto" w:fill="CFF0FC"/>
          </w:tcPr>
          <w:p>
            <w:pPr>
              <w:jc w:val="right"/>
              <w:ind w:right="197"/>
              <w:spacing w:after="0" w:line="142" w:lineRule="exact"/>
              <w:rPr>
                <w:sz w:val="20"/>
                <w:szCs w:val="20"/>
                <w:color w:val="auto"/>
              </w:rPr>
            </w:pPr>
            <w:r>
              <w:rPr>
                <w:rFonts w:ascii="Arial" w:cs="Arial" w:eastAsia="Arial" w:hAnsi="Arial"/>
                <w:sz w:val="13"/>
                <w:szCs w:val="13"/>
                <w:color w:val="auto"/>
                <w:w w:val="99"/>
              </w:rPr>
              <w:t>$ 0.01</w:t>
            </w:r>
          </w:p>
        </w:tc>
        <w:tc>
          <w:tcPr>
            <w:tcW w:w="1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16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12,077</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4"/>
              </w:rPr>
              <w:t>For the Six Months Ended June 30,</w:t>
            </w:r>
          </w:p>
        </w:tc>
      </w:tr>
      <w:tr>
        <w:trPr>
          <w:trHeight w:val="243"/>
        </w:trPr>
        <w:tc>
          <w:tcPr>
            <w:tcW w:w="640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r>
              <w:rPr>
                <w:rFonts w:ascii="Arial" w:cs="Arial" w:eastAsia="Arial" w:hAnsi="Arial"/>
                <w:sz w:val="15"/>
                <w:szCs w:val="15"/>
                <w:b w:val="1"/>
                <w:bCs w:val="1"/>
                <w:color w:val="auto"/>
              </w:rPr>
              <w:t>4</w:t>
            </w: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21"/>
                <w:szCs w:val="2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2.88</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r>
      <w:tr>
        <w:trPr>
          <w:trHeight w:val="229"/>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FF0FC"/>
          </w:tcPr>
          <w:p>
            <w:pPr>
              <w:spacing w:after="0"/>
              <w:rPr>
                <w:sz w:val="19"/>
                <w:szCs w:val="19"/>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Net realized gains (losses) from investments</w:t>
            </w:r>
            <w:r>
              <w:rPr>
                <w:rFonts w:ascii="Arial" w:cs="Arial" w:eastAsia="Arial" w:hAnsi="Arial"/>
                <w:sz w:val="15"/>
                <w:szCs w:val="15"/>
                <w:color w:val="auto"/>
              </w:rPr>
              <w:t>1</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r>
      <w:tr>
        <w:trPr>
          <w:trHeight w:val="229"/>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(losses) gains from extinguishment of debt</w:t>
            </w:r>
            <w:r>
              <w:rPr>
                <w:rFonts w:ascii="Arial" w:cs="Arial" w:eastAsia="Arial" w:hAnsi="Arial"/>
                <w:sz w:val="15"/>
                <w:szCs w:val="15"/>
                <w:color w:val="auto"/>
              </w:rPr>
              <w:t>1</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r>
      <w:tr>
        <w:trPr>
          <w:trHeight w:val="229"/>
        </w:trPr>
        <w:tc>
          <w:tcPr>
            <w:tcW w:w="6400" w:type="dxa"/>
            <w:vAlign w:val="bottom"/>
          </w:tcPr>
          <w:p>
            <w:pPr>
              <w:ind w:left="260"/>
              <w:spacing w:after="0"/>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15"/>
                <w:szCs w:val="15"/>
                <w:color w:val="auto"/>
              </w:rPr>
              <w:t>1</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(0.65)</w:t>
            </w:r>
          </w:p>
        </w:tc>
      </w:tr>
      <w:tr>
        <w:trPr>
          <w:trHeight w:val="223"/>
        </w:trPr>
        <w:tc>
          <w:tcPr>
            <w:tcW w:w="6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(decrease) increase in net assets resulting from operations</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(0.12)</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net assets relating to stock-based transactions</w:t>
            </w:r>
            <w:r>
              <w:rPr>
                <w:rFonts w:ascii="Arial" w:cs="Arial" w:eastAsia="Arial" w:hAnsi="Arial"/>
                <w:sz w:val="15"/>
                <w:szCs w:val="15"/>
                <w:color w:val="auto"/>
              </w:rPr>
              <w:t>6</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(0.01)</w:t>
            </w:r>
          </w:p>
        </w:tc>
      </w:tr>
      <w:tr>
        <w:trPr>
          <w:trHeight w:val="263"/>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 value, end of period</w:t>
            </w:r>
          </w:p>
        </w:tc>
        <w:tc>
          <w:tcPr>
            <w:tcW w:w="1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bottom w:val="single" w:sz="8" w:color="CFF0FC"/>
            </w:tcBorders>
          </w:tcPr>
          <w:p>
            <w:pPr>
              <w:spacing w:after="0"/>
              <w:rPr>
                <w:sz w:val="22"/>
                <w:szCs w:val="22"/>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r>
      <w:tr>
        <w:trPr>
          <w:trHeight w:val="229"/>
        </w:trPr>
        <w:tc>
          <w:tcPr>
            <w:tcW w:w="64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beginning of period</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(42.4)%</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91,740,765</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44,495,221</w:t>
            </w:r>
          </w:p>
        </w:tc>
        <w:tc>
          <w:tcPr>
            <w:tcW w:w="220" w:type="dxa"/>
            <w:vAlign w:val="bottom"/>
          </w:tcPr>
          <w:p>
            <w:pPr>
              <w:spacing w:after="0"/>
              <w:rPr>
                <w:sz w:val="19"/>
                <w:szCs w:val="19"/>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268,604,311</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120,713,655</w:t>
            </w:r>
          </w:p>
        </w:tc>
        <w:tc>
          <w:tcPr>
            <w:tcW w:w="22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5</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Asset coverage ratio</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(annualized)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Ratio of total expenses to average net assets (annualized)</w:t>
            </w:r>
            <w:r>
              <w:rPr>
                <w:rFonts w:ascii="Arial" w:cs="Arial" w:eastAsia="Arial" w:hAnsi="Arial"/>
                <w:sz w:val="15"/>
                <w:szCs w:val="15"/>
                <w:color w:val="auto"/>
              </w:rPr>
              <w:t>6</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Ratio of interest expense to average net assets (annualized)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Ratio of non-interest expenses to average net assets (annualized)</w:t>
            </w:r>
            <w:r>
              <w:rPr>
                <w:rFonts w:ascii="Arial" w:cs="Arial" w:eastAsia="Arial" w:hAnsi="Arial"/>
                <w:sz w:val="15"/>
                <w:szCs w:val="15"/>
                <w:color w:val="auto"/>
              </w:rPr>
              <w:t>6</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w:t>
            </w:r>
          </w:p>
        </w:tc>
      </w:tr>
    </w:tbl>
    <w:p>
      <w:pPr>
        <w:spacing w:after="0" w:line="90"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Based on weighted average number of common shares outstanding-basic for the period.</w:t>
      </w:r>
    </w:p>
    <w:p>
      <w:pPr>
        <w:spacing w:after="0" w:line="5" w:lineRule="exact"/>
        <w:rPr>
          <w:sz w:val="20"/>
          <w:szCs w:val="20"/>
          <w:color w:val="auto"/>
        </w:rPr>
      </w:pPr>
    </w:p>
    <w:p>
      <w:pPr>
        <w:ind w:left="380" w:right="360" w:hanging="372"/>
        <w:spacing w:after="0" w:line="189" w:lineRule="auto"/>
        <w:tabs>
          <w:tab w:leader="none" w:pos="3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Total net asset value return (not annualized) equals the change in the net asset value per share over the period plus distributions, divided by the beginning net asset value per share.</w:t>
      </w:r>
    </w:p>
    <w:p>
      <w:pPr>
        <w:ind w:left="380" w:hanging="372"/>
        <w:spacing w:after="0" w:line="184" w:lineRule="auto"/>
        <w:tabs>
          <w:tab w:leader="none" w:pos="3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Total market return (not annualized) equals the change in market price, per share during the period plus distributions, divided by the beginning market price per share.</w:t>
      </w:r>
    </w:p>
    <w:p>
      <w:pPr>
        <w:ind w:left="380" w:hanging="372"/>
        <w:spacing w:after="0" w:line="184" w:lineRule="auto"/>
        <w:tabs>
          <w:tab w:leader="none" w:pos="3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Totals may not sum due to rounding.</w:t>
      </w:r>
    </w:p>
    <w:p>
      <w:pPr>
        <w:ind w:left="380" w:hanging="372"/>
        <w:spacing w:after="0" w:line="183" w:lineRule="auto"/>
        <w:tabs>
          <w:tab w:leader="none" w:pos="38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Portfolio turnover rate equals the year-to-date sales and paydowns over the average of the invested assets at fair value.</w:t>
      </w:r>
    </w:p>
    <w:p>
      <w:pPr>
        <w:spacing w:after="0" w:line="6" w:lineRule="exact"/>
        <w:rPr>
          <w:sz w:val="20"/>
          <w:szCs w:val="20"/>
          <w:color w:val="auto"/>
        </w:rPr>
      </w:pPr>
    </w:p>
    <w:p>
      <w:pPr>
        <w:ind w:left="380" w:right="80" w:hanging="372"/>
        <w:spacing w:after="0" w:line="220" w:lineRule="auto"/>
        <w:tabs>
          <w:tab w:leader="none" w:pos="380" w:val="left"/>
        </w:tabs>
        <w:numPr>
          <w:ilvl w:val="0"/>
          <w:numId w:val="23"/>
        </w:numPr>
        <w:rPr>
          <w:rFonts w:ascii="Arial" w:cs="Arial" w:eastAsia="Arial" w:hAnsi="Arial"/>
          <w:sz w:val="28"/>
          <w:szCs w:val="28"/>
          <w:color w:val="auto"/>
          <w:vertAlign w:val="superscript"/>
        </w:rPr>
      </w:pPr>
      <w:r>
        <w:rPr>
          <w:rFonts w:ascii="Arial" w:cs="Arial" w:eastAsia="Arial" w:hAnsi="Arial"/>
          <w:sz w:val="16"/>
          <w:szCs w:val="16"/>
          <w:color w:val="auto"/>
        </w:rPr>
        <w:t>Incentive fees earned during the six months ended June 30, 2021, were approximately $4.4 million, none of which were waived. For the six months ended June 30, 2020, incentive fees earned were approximately $557 thousand, all of which were waived pursuant to the Externalization Agreement. Excluding the waiver, for the six months ended June 30, 2020, ratio of total expenses to average net assets (annualized) was 15.0% and the ratio of non-interest expenses to average net assets (annualized) was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firstLine="374"/>
        <w:spacing w:after="0" w:line="301" w:lineRule="auto"/>
        <w:rPr>
          <w:sz w:val="20"/>
          <w:szCs w:val="20"/>
          <w:color w:val="auto"/>
        </w:rPr>
      </w:pPr>
      <w:r>
        <w:rPr>
          <w:rFonts w:ascii="Arial" w:cs="Arial" w:eastAsia="Arial" w:hAnsi="Arial"/>
          <w:sz w:val="16"/>
          <w:szCs w:val="16"/>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48" w:lineRule="exact"/>
        <w:rPr>
          <w:sz w:val="20"/>
          <w:szCs w:val="20"/>
          <w:color w:val="auto"/>
        </w:rPr>
      </w:pPr>
    </w:p>
    <w:p>
      <w:pPr>
        <w:ind w:right="6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8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(as defined below) subsidiaries.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73"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LibreMax Transaction</w:t>
      </w:r>
    </w:p>
    <w:p>
      <w:pPr>
        <w:spacing w:after="0" w:line="121"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June 30, 2021,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60" w:firstLine="374"/>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40" w:firstLine="374"/>
        <w:spacing w:after="0" w:line="270"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agreed to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agreed to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5"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jc w:val="both"/>
        <w:ind w:right="300" w:firstLine="374"/>
        <w:spacing w:after="0" w:line="311" w:lineRule="auto"/>
        <w:rPr>
          <w:sz w:val="20"/>
          <w:szCs w:val="20"/>
          <w:color w:val="auto"/>
        </w:rPr>
      </w:pPr>
      <w:r>
        <w:rPr>
          <w:rFonts w:ascii="Arial" w:cs="Arial" w:eastAsia="Arial" w:hAnsi="Arial"/>
          <w:sz w:val="16"/>
          <w:szCs w:val="16"/>
          <w:color w:val="auto"/>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40"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85"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During the fourth quarter of 2020, LibreMax Intermediate Holdings, LP (“LibreMax”) sold its minority stake in the Adviser to a wholly-owned subsidiary of Mount Logan Capital Inc. (“Mount Logan”). An affiliate of BC Partners serves as administrator to Mount Logan, and certain officers and directors of the Company serve in similar capacities for Mount Logan. In addition, Mount Logan owns a minority equity stake in the Advisor, and Mount Logan owns a minority equity stake in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On December 18, 2019, the Company completed its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67"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the Company’s common stock traded at a price below 75% of its net asset value, the Company was obligated to initiate an open-market stock repurchase program of up to $10 million to support the trading price of the combined entity for up to one year from the date such program is announced. The Board approved a stock repurchase program in March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GARS Transaction</w:t>
      </w:r>
    </w:p>
    <w:p>
      <w:pPr>
        <w:spacing w:after="0" w:line="229" w:lineRule="exact"/>
        <w:rPr>
          <w:sz w:val="20"/>
          <w:szCs w:val="20"/>
          <w:color w:val="auto"/>
        </w:rPr>
      </w:pPr>
    </w:p>
    <w:p>
      <w:pPr>
        <w:ind w:right="580" w:firstLine="374"/>
        <w:spacing w:after="0" w:line="341" w:lineRule="auto"/>
        <w:rPr>
          <w:sz w:val="20"/>
          <w:szCs w:val="20"/>
          <w:color w:val="auto"/>
        </w:rPr>
      </w:pPr>
      <w:r>
        <w:rPr>
          <w:rFonts w:ascii="Arial" w:cs="Arial" w:eastAsia="Arial" w:hAnsi="Arial"/>
          <w:sz w:val="16"/>
          <w:szCs w:val="16"/>
          <w:color w:val="auto"/>
        </w:rPr>
        <w:t>On June 24, 2020, the Company entered into an Agreement and Plan of Merger (the “GARS Merger Agreement”) with Garrison Capital Inc., a publicly traded BDC (“GARS”), the Adviser, and a wholly-owned merger subsidiary of the Company (such transaction, the “GARS Acquisition”).</w:t>
      </w:r>
    </w:p>
    <w:p>
      <w:pPr>
        <w:spacing w:after="0" w:line="124"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common stock, par value $0.001 per share, of GARS (the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HCAP Acquisition and Assumption and Redemption of HCAP Notes</w:t>
      </w:r>
    </w:p>
    <w:p>
      <w:pPr>
        <w:spacing w:after="0" w:line="229"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On December 23, 2020, the Company entered into an Agreement and Plan of Merger (the “HCAP Merger Agreement”) with Harvest Capital Credit Corporation, a publicly traded BDC (“HCAP”), the Adviser and a wholly-owned merger subsidiary (the “Acquisition Sub”) of the Company (such transaction, the “HCAP Acquisition”).</w:t>
      </w:r>
    </w:p>
    <w:p>
      <w:pPr>
        <w:spacing w:after="0" w:line="183"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On June 9,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56"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56"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With respect to the merger consideration from PTMN,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PTMN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a Cancelled Share) with respect to which an Election was not made or that was transferred after the election deadline on June 2, 2021 was treated as a “Non-Electing Share.”</w:t>
      </w:r>
    </w:p>
    <w:p>
      <w:pPr>
        <w:spacing w:after="0" w:line="182"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PTMN common stock, while each Non-Electing Share received, in aggregate, approximately 3.86 shares of PTMN common stock.</w:t>
      </w:r>
    </w:p>
    <w:p>
      <w:pPr>
        <w:spacing w:after="0" w:line="176"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On June 9, 2021, the Company entered into a third supplemental indenture (the “HCAP Third Supplemental Indenture”) by and between the Company and U.S. Bank National Association, as trustee (the “Trustee”), effective as of the closing of the HCAP Acquisition. The HCAP Third Supplemental Indenture relates to the Company’s assumption of $28.75 million in aggregate principal amount of HCAP’s 6.125% Notes due September 15, 2022 (the “HCAP Notes”).</w:t>
      </w:r>
    </w:p>
    <w:p>
      <w:pPr>
        <w:spacing w:after="0" w:line="158"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15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HCAP Notes could be redeemed by the Company at any time at par value plus accrued and unpaid interest. On July 23, 2021, the Company redeemed the entire notional amount of $28.75 million of the HCAP Notes.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4" w:name="page45"/>
    <w:bookmarkEnd w:id="44"/>
    <w:p>
      <w:pPr>
        <w:ind w:left="380" w:right="7480" w:hanging="372"/>
        <w:spacing w:after="0" w:line="463" w:lineRule="auto"/>
        <w:tabs>
          <w:tab w:leader="none" w:pos="37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(“consolidated financial statements”) and notes thereto should be read in conjunction with the financial statements and notes thereto in the Company’s Form 10-K for the year ended December 31, 2020, as filed with the U.S. Securities and Exchange Commission (the “Commission” or the “SEC”). The Company is an investment company and follows accounting and reporting guidance in Accounting Standards Codification (“ASC”) topic 946 – Financial Services – Investment Companies.</w:t>
      </w:r>
    </w:p>
    <w:p>
      <w:pPr>
        <w:spacing w:after="0" w:line="122"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spacing w:after="0" w:line="134"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Garrison Funding 2018-2 Ltd. (“GF CLO 2018-2”), Great Lakes KCAP Funding I LLC, Kohlberg Capital Funding I LLC, KCAP Senior Funding I, LLC, KCAP Funding I Holdings, LLC and Great Lakes Portman Ridge Funding, LLC and HCAP ICC,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Great Lakes KCAP Funding I, LLC and HCAP ICC, LLC have been fully repaid. The Company also consolidates various subsidiaries (KCAP Coastal, LLC, PTMN Sub Holdings, LLC, OHA Funding, LP, Garrison Capital Equity Holdings I LLC, Garrison Capital Equity Holdings II, LLC, Garrison Capital Equity Holdings VIII LLC, Garrison Capital Equity Holdings XI LLC, GIG Rooster Holdings, LLC and HCAP Equity Holdings, LLC) created primarily to provide specific tax treatment for the equity and other investments held by these entities.</w:t>
      </w:r>
    </w:p>
    <w:p>
      <w:pPr>
        <w:spacing w:after="0" w:line="74"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w:t>
      </w:r>
    </w:p>
    <w:p>
      <w:pPr>
        <w:spacing w:after="0" w:line="156"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market companies. During the quarter ended June 30, 2021, the Company provided approximately $120.9 million to portfolio companies.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$36.5 million of this support was contractually obligated. See also Note 8 – Commitments and Contingencies. As of June 30, 2021, the Company held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has made to 144 investee companies with aggregate principal amounts of approximately $449.6 million. The details of such loans have been disclosed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unaudited consolidated schedule of investments as well as in Note 4 – Investments. In addition to providing loans to investee companies,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the Company assists investee companies in securing financing from other sources by introducing such investee companies to sponsors or by,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things, leading a syndicate of lenders to provide the investee companies with financing. During the six months ended June 30, 2021 and 2020,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did not recognize any fee income from such or similar activities.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5" w:name="page46"/>
    <w:bookmarkEnd w:id="45"/>
    <w:p>
      <w:pPr>
        <w:ind w:right="80" w:firstLine="374"/>
        <w:spacing w:after="0" w:line="255"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60" w:firstLine="374"/>
        <w:spacing w:after="0" w:line="285"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The Board is ultimately and solely responsible for making a good faith determination of the fair value of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1" w:lineRule="exact"/>
        <w:rPr>
          <w:sz w:val="20"/>
          <w:szCs w:val="20"/>
          <w:color w:val="auto"/>
        </w:rPr>
      </w:pPr>
    </w:p>
    <w:p>
      <w:pPr>
        <w:ind w:right="220" w:firstLine="8"/>
        <w:spacing w:after="0" w:line="255" w:lineRule="auto"/>
        <w:tabs>
          <w:tab w:leader="none" w:pos="3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81"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The Company utilizes independent valuation firms to provide third party valuation consulting services. Each quarter the independent valuation firm performs valuations of the Company’s investments in material illiquid securities such that they are independently valued at least once during a trailing 12-month period. These third-party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3"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68" w:lineRule="exact"/>
        <w:rPr>
          <w:sz w:val="20"/>
          <w:szCs w:val="20"/>
          <w:color w:val="auto"/>
        </w:rPr>
      </w:pPr>
    </w:p>
    <w:p>
      <w:pPr>
        <w:ind w:right="140" w:firstLine="374"/>
        <w:spacing w:after="0" w:line="256"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298"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i w:val="1"/>
          <w:iCs w:val="1"/>
          <w:color w:val="auto"/>
        </w:rPr>
        <w:t xml:space="preserve">Foreign Currency Translations. </w:t>
      </w:r>
      <w:r>
        <w:rPr>
          <w:rFonts w:ascii="Arial" w:cs="Arial" w:eastAsia="Arial" w:hAnsi="Arial"/>
          <w:sz w:val="18"/>
          <w:szCs w:val="18"/>
          <w:color w:val="auto"/>
        </w:rPr>
        <w:t>The accounting records of the Company are maintained in U.S. dollars. All assets and liabilities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200" w:lineRule="exact"/>
        <w:rPr>
          <w:sz w:val="20"/>
          <w:szCs w:val="20"/>
          <w:color w:val="auto"/>
        </w:rPr>
      </w:pPr>
    </w:p>
    <w:p>
      <w:pPr>
        <w:spacing w:after="0" w:line="208"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w:t>
      </w:r>
      <w:r>
        <w:rPr>
          <w:rFonts w:ascii="Arial" w:cs="Arial" w:eastAsia="Arial" w:hAnsi="Arial"/>
          <w:sz w:val="18"/>
          <w:szCs w:val="18"/>
          <w:i w:val="1"/>
          <w:iCs w:val="1"/>
          <w:color w:val="auto"/>
        </w:rPr>
        <w:t xml:space="preserve"> </w:t>
      </w:r>
      <w:r>
        <w:rPr>
          <w:rFonts w:ascii="Arial" w:cs="Arial" w:eastAsia="Arial" w:hAnsi="Arial"/>
          <w:sz w:val="18"/>
          <w:szCs w:val="18"/>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ind w:right="480"/>
        <w:spacing w:after="0" w:line="277" w:lineRule="auto"/>
        <w:rPr>
          <w:sz w:val="20"/>
          <w:szCs w:val="20"/>
          <w:color w:val="auto"/>
        </w:rPr>
      </w:pPr>
      <w:r>
        <w:rPr>
          <w:rFonts w:ascii="Arial" w:cs="Arial" w:eastAsia="Arial" w:hAnsi="Arial"/>
          <w:sz w:val="18"/>
          <w:szCs w:val="18"/>
          <w:color w:val="auto"/>
        </w:rPr>
        <w:t>fair value using alternative methodologies such as available market data, as adjusted, to reflect the types of assets the Company owns, their structure, qualitative and credit attributes and other asset-specific characteristics.</w:t>
      </w:r>
    </w:p>
    <w:p>
      <w:pPr>
        <w:spacing w:after="0" w:line="62"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1"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5" w:lineRule="exact"/>
        <w:rPr>
          <w:sz w:val="20"/>
          <w:szCs w:val="20"/>
          <w:color w:val="auto"/>
        </w:rPr>
      </w:pPr>
    </w:p>
    <w:p>
      <w:pPr>
        <w:ind w:right="240" w:firstLine="37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55"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5" w:lineRule="exact"/>
        <w:rPr>
          <w:sz w:val="20"/>
          <w:szCs w:val="20"/>
          <w:color w:val="auto"/>
        </w:rPr>
      </w:pPr>
    </w:p>
    <w:p>
      <w:pPr>
        <w:ind w:right="20" w:firstLine="374"/>
        <w:spacing w:after="0" w:line="307"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7" w:name="page48"/>
    <w:bookmarkEnd w:id="47"/>
    <w:p>
      <w:pPr>
        <w:ind w:right="20" w:firstLine="374"/>
        <w:spacing w:after="0" w:line="291"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 sold substantially all of its investment in the Asset Manager Affiliates on December 31, 2018. Previously,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Any change in value from period to period was recognized as net change in unrealized appreciation or depreciation. The Company continues to own certain Asset Manager Affiliates legal entities which the Company values at zero. Until such entities are disposed, the Company continues to carry the cost of the Asset Manager Affiliates on the Consolidated Schedule of Investments.</w:t>
      </w:r>
    </w:p>
    <w:p>
      <w:pPr>
        <w:spacing w:after="0" w:line="57"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non-controlling investment in the most junior class of securities of CLO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held by CLO Funds generally relate to non-investment grade credit instruments issued by corporations.</w:t>
      </w:r>
    </w:p>
    <w:p>
      <w:pPr>
        <w:spacing w:after="0" w:line="62"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6" w:lineRule="exact"/>
        <w:rPr>
          <w:sz w:val="20"/>
          <w:szCs w:val="20"/>
          <w:color w:val="auto"/>
        </w:rPr>
      </w:pPr>
    </w:p>
    <w:p>
      <w:pPr>
        <w:ind w:right="120" w:firstLine="374"/>
        <w:spacing w:after="0" w:line="288"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63"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128"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include short-term, highly liquid investments, readily convertible to know amounts cash,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original maturity of three months or less in accounts such as demand deposit accounts, money market accounts, certain overnight investment sweep accounts and money market fund accounts. The company records cash and cash equivalents at amortized cost, which approximates fair value.</w:t>
      </w:r>
    </w:p>
    <w:p>
      <w:pPr>
        <w:spacing w:after="0" w:line="40"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Loan origination fees, original issue discount (“OID”), and market discounts are capitalized and accreted into interest income over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0" w:right="379" w:bottom="1440" w:gutter="0" w:footer="0" w:header="0"/>
        </w:sectPr>
      </w:pPr>
    </w:p>
    <w:bookmarkStart w:id="48" w:name="page49"/>
    <w:bookmarkEnd w:id="48"/>
    <w:p>
      <w:pPr>
        <w:ind w:right="340"/>
        <w:spacing w:after="0" w:line="277" w:lineRule="auto"/>
        <w:rPr>
          <w:sz w:val="20"/>
          <w:szCs w:val="20"/>
          <w:color w:val="auto"/>
        </w:rPr>
      </w:pPr>
      <w:r>
        <w:rPr>
          <w:rFonts w:ascii="Arial" w:cs="Arial" w:eastAsia="Arial" w:hAnsi="Arial"/>
          <w:sz w:val="18"/>
          <w:szCs w:val="18"/>
          <w:color w:val="auto"/>
        </w:rPr>
        <w:t>respective terms of the applicable loans. Upon the prepayment of a loan, prepayment premiums, any unamortized loan origination fees, OID, or market discounts are recorded as interest income.</w:t>
      </w:r>
    </w:p>
    <w:p>
      <w:pPr>
        <w:spacing w:after="0" w:line="62"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2021, eight of our debt investments were on non-accrual status.</w:t>
      </w:r>
    </w:p>
    <w:p>
      <w:pPr>
        <w:spacing w:after="0" w:line="129" w:lineRule="exact"/>
        <w:rPr>
          <w:sz w:val="20"/>
          <w:szCs w:val="20"/>
          <w:color w:val="auto"/>
        </w:rPr>
      </w:pPr>
    </w:p>
    <w:p>
      <w:pPr>
        <w:ind w:right="120" w:firstLine="374"/>
        <w:spacing w:after="0" w:line="271"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The Company records distributions from the Asset Manager Affiliates on the declaration date,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73"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3" w:lineRule="exact"/>
        <w:rPr>
          <w:sz w:val="20"/>
          <w:szCs w:val="20"/>
          <w:color w:val="auto"/>
        </w:rPr>
      </w:pPr>
    </w:p>
    <w:p>
      <w:pPr>
        <w:ind w:right="80" w:firstLine="374"/>
        <w:spacing w:after="0" w:line="270"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For U.S. tax purposes, these CLO equity investments are treated as Passive Foreign Investment Companies (“PFICs”). Taxable income is provided on a PFIC statement, where income and capital gains are determined based on the U.S. shareholder's proportionate ownership of the PFIC.</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20" w:firstLine="374"/>
        <w:spacing w:after="0" w:line="256"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3" w:lineRule="exact"/>
        <w:rPr>
          <w:sz w:val="20"/>
          <w:szCs w:val="20"/>
          <w:color w:val="auto"/>
        </w:rPr>
      </w:pPr>
    </w:p>
    <w:p>
      <w:pPr>
        <w:jc w:val="both"/>
        <w:ind w:right="30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7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i w:val="1"/>
          <w:iCs w:val="1"/>
          <w:color w:val="auto"/>
        </w:rPr>
        <w:t>Debt Issuance Costs and Issuance Discounts</w:t>
      </w:r>
      <w:r>
        <w:rPr>
          <w:rFonts w:ascii="Arial" w:cs="Arial" w:eastAsia="Arial" w:hAnsi="Arial"/>
          <w:sz w:val="18"/>
          <w:szCs w:val="18"/>
          <w:color w:val="auto"/>
        </w:rPr>
        <w:t>. Debt issuance costs, including original issue discounts, represent fees and other direct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Company’s borrowings. These amounts are capitalized, presented as a reduction of debt, and amortized using the effective interest method and included as a component of interest expense over the expected term of the borrowing.</w:t>
      </w:r>
    </w:p>
    <w:p>
      <w:pPr>
        <w:spacing w:after="0" w:line="75" w:lineRule="exact"/>
        <w:rPr>
          <w:sz w:val="20"/>
          <w:szCs w:val="20"/>
          <w:color w:val="auto"/>
        </w:rPr>
      </w:pPr>
    </w:p>
    <w:p>
      <w:pPr>
        <w:ind w:right="16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8"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externally managed and in connection with the Advisory Agreement, pays the Adviser certain 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reimburses the Adviser and Administrator for certain expenses incurred in connection with the services they provide. See Note 5 “Related Party Transactions - Payment of Expenses under the Advisory and Administration Agreements.”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9" w:name="page50"/>
    <w:bookmarkEnd w:id="49"/>
    <w:p>
      <w:pPr>
        <w:ind w:right="68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330"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3"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2021 and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721"/>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57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w w:val="99"/>
              </w:rPr>
              <w:t>Net increase (decrease) increase in net assets resulting from operations</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10,844,385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3,283,694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18,881,498</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(25,769,235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8"/>
        </w:trPr>
        <w:tc>
          <w:tcPr>
            <w:tcW w:w="5720" w:type="dxa"/>
            <w:vAlign w:val="bottom"/>
          </w:tcPr>
          <w:p>
            <w:pPr>
              <w:spacing w:after="0"/>
              <w:rPr>
                <w:sz w:val="20"/>
                <w:szCs w:val="20"/>
                <w:color w:val="auto"/>
              </w:rPr>
            </w:pPr>
            <w:r>
              <w:rPr>
                <w:rFonts w:ascii="Arial" w:cs="Arial" w:eastAsia="Arial" w:hAnsi="Arial"/>
                <w:sz w:val="18"/>
                <w:szCs w:val="18"/>
                <w:color w:val="auto"/>
                <w:w w:val="93"/>
              </w:rPr>
              <w:t>Weighted average number of common and common stock equivalent shares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for basic and diluted shares computation</w:t>
            </w:r>
          </w:p>
        </w:tc>
        <w:tc>
          <w:tcPr>
            <w:tcW w:w="2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77,471,692</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44,610,714</w:t>
            </w:r>
          </w:p>
        </w:tc>
        <w:tc>
          <w:tcPr>
            <w:tcW w:w="2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79,743,607</w:t>
            </w:r>
          </w:p>
        </w:tc>
        <w:tc>
          <w:tcPr>
            <w:tcW w:w="1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44,716,953</w:t>
            </w:r>
          </w:p>
        </w:tc>
        <w:tc>
          <w:tcPr>
            <w:tcW w:w="100" w:type="dxa"/>
            <w:vAlign w:val="bottom"/>
            <w:tcBorders>
              <w:bottom w:val="single" w:sz="8" w:color="CFF0FC"/>
            </w:tcBorders>
          </w:tcPr>
          <w:p>
            <w:pPr>
              <w:spacing w:after="0"/>
              <w:rPr>
                <w:sz w:val="23"/>
                <w:szCs w:val="23"/>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4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4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(0.58)</w:t>
            </w:r>
          </w:p>
        </w:tc>
      </w:tr>
    </w:tbl>
    <w:p>
      <w:pPr>
        <w:spacing w:after="0" w:line="196"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June 30, 2021 and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90"/>
              <w:spacing w:after="0" w:line="204" w:lineRule="exact"/>
              <w:rPr>
                <w:sz w:val="20"/>
                <w:szCs w:val="20"/>
                <w:color w:val="auto"/>
              </w:rPr>
            </w:pPr>
            <w:r>
              <w:rPr>
                <w:rFonts w:ascii="Arial" w:cs="Arial" w:eastAsia="Arial" w:hAnsi="Arial"/>
                <w:sz w:val="18"/>
                <w:szCs w:val="18"/>
                <w:b w:val="1"/>
                <w:bCs w:val="1"/>
                <w:color w:val="auto"/>
                <w:w w:val="93"/>
              </w:rPr>
              <w:t>Cost/Amortized</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20"/>
              <w:spacing w:after="0" w:line="204" w:lineRule="exact"/>
              <w:rPr>
                <w:sz w:val="20"/>
                <w:szCs w:val="20"/>
                <w:color w:val="auto"/>
              </w:rPr>
            </w:pPr>
            <w:r>
              <w:rPr>
                <w:rFonts w:ascii="Arial" w:cs="Arial" w:eastAsia="Arial" w:hAnsi="Arial"/>
                <w:sz w:val="18"/>
                <w:szCs w:val="18"/>
                <w:b w:val="1"/>
                <w:bCs w:val="1"/>
                <w:color w:val="auto"/>
                <w:w w:val="91"/>
              </w:rPr>
              <w:t>Cost/Amortized</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333,708,309</w:t>
            </w: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351,699,217</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304,539,184</w:t>
            </w: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328,845,612</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76,595,157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67,905,491</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87,977,057</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75,807,477</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34,561,828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17,064,290</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30,344,541</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22,386,600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66,062,400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61,069,876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(1,802,675)</w:t>
            </w:r>
          </w:p>
        </w:tc>
        <w:tc>
          <w:tcPr>
            <w:tcW w:w="920" w:type="dxa"/>
            <w:vAlign w:val="bottom"/>
            <w:gridSpan w:val="4"/>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(1,108,618)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559,510,244</w:t>
            </w:r>
          </w:p>
        </w:tc>
        <w:tc>
          <w:tcPr>
            <w:tcW w:w="28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518,365,644</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486,628,831</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56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June 30, 2021 and December 31, 2020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jc w:val="center"/>
              <w:ind w:left="231"/>
              <w:spacing w:after="0"/>
              <w:rPr>
                <w:sz w:val="20"/>
                <w:szCs w:val="20"/>
                <w:color w:val="auto"/>
              </w:rPr>
            </w:pPr>
            <w:r>
              <w:rPr>
                <w:rFonts w:ascii="Arial" w:cs="Arial" w:eastAsia="Arial" w:hAnsi="Arial"/>
                <w:sz w:val="18"/>
                <w:szCs w:val="18"/>
                <w:b w:val="1"/>
                <w:bCs w:val="1"/>
                <w:color w:val="auto"/>
                <w:w w:val="88"/>
              </w:rPr>
              <w:t>June 30, 2021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92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440" w:type="dxa"/>
            <w:vAlign w:val="bottom"/>
          </w:tcPr>
          <w:p>
            <w:pPr>
              <w:jc w:val="right"/>
              <w:ind w:right="30"/>
              <w:spacing w:after="0"/>
              <w:rPr>
                <w:sz w:val="20"/>
                <w:szCs w:val="20"/>
                <w:color w:val="auto"/>
              </w:rPr>
            </w:pPr>
            <w:r>
              <w:rPr>
                <w:rFonts w:ascii="Arial" w:cs="Arial" w:eastAsia="Arial" w:hAnsi="Arial"/>
                <w:sz w:val="16"/>
                <w:szCs w:val="16"/>
                <w:b w:val="1"/>
                <w:bCs w:val="1"/>
                <w:color w:val="auto"/>
              </w:rPr>
              <w:t>%¹</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11,850,320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11,971,389</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10,844,322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11,722,521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w w:val="94"/>
              </w:rPr>
              <w:t>Banking, Finance, Insurance &amp; Real Estate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29,935,358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29,939,875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31,121,723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6,217,369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6,716,524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Capital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19,635,008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18,261,954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8,204,690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5,219,236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5,632,081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34,561,828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17,064,290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15,551,016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16,840,907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19,319,382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21,740,256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34,858,844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5,601,428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6,285,310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2,793,546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2,584,298</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2,502,994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23,515,677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25,768,940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Energy: Oil &amp; Gas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11,353,113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5,308,757</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6,878,115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8,225,721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8,415,813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1,579,613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1,352,000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1,270,880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9,811,460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9,704,148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14,059,921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13,791,048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75,826,051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69,758,865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83,481,401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78,823,040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57,264,491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59,385,279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32,949,892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35,052,389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66,062,400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61,069,876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Machinery (Non-Agrclt/Constr/Electr)</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7,187,923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8,202,388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w w:val="99"/>
              </w:rPr>
              <w:t>Media: Advertising, Printing &amp; Publishing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3,011,845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3,444,268</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3,170,254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4,237,273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4,208,879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Media: Diversified &amp; Production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2,515,517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2,550,000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2,612,250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Metals &amp; Mining</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13,048,999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13,608,222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5,895,874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6,743,994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5,790,208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6,597,338</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Services: Business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58,084,192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58,786,353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58,027,464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60,119,401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Services: Consumer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3,836,548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3,835,592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4,241,127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4,198,243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Telecommunications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6,323,332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6,146,701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9,023,109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Textiles and Leather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12,402,666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11,071,555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12,415,194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10,860,696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2,404,610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Transportation: Consumer</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7,843,313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7,840,000</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559,510,244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518,365,644</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486,628,831</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71"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56" w:lineRule="exact"/>
        <w:rPr>
          <w:sz w:val="20"/>
          <w:szCs w:val="20"/>
          <w:color w:val="auto"/>
        </w:rPr>
      </w:pPr>
    </w:p>
    <w:p>
      <w:pPr>
        <w:jc w:val="both"/>
        <w:ind w:right="100" w:firstLine="374"/>
        <w:spacing w:after="0" w:line="259" w:lineRule="auto"/>
        <w:rPr>
          <w:sz w:val="20"/>
          <w:szCs w:val="20"/>
          <w:color w:val="auto"/>
        </w:rPr>
      </w:pPr>
      <w:r>
        <w:rPr>
          <w:rFonts w:ascii="Arial" w:cs="Arial" w:eastAsia="Arial" w:hAnsi="Arial"/>
          <w:sz w:val="18"/>
          <w:szCs w:val="18"/>
          <w:color w:val="auto"/>
        </w:rPr>
        <w:t>At June 30, 2021 and December 31, 2020, the total amount of non-qualifying assets was approximately 13.4% and 13.8% of total assets, respectively. The majority of non-qualifying assets are the Company’s investments in joint ventures which were approximately 9.4% and 8.2%, respectively, of the total assets and the Company’s investments in CLO Funds, which are typically domiciled outside the U.S. and represented approximately 2.6% and 3.3% of its total assets on such dates,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02" w:lineRule="exact"/>
        <w:rPr>
          <w:sz w:val="20"/>
          <w:szCs w:val="20"/>
          <w:color w:val="auto"/>
        </w:rPr>
      </w:pPr>
    </w:p>
    <w:p>
      <w:pPr>
        <w:ind w:right="180" w:firstLine="374"/>
        <w:spacing w:after="0" w:line="291" w:lineRule="auto"/>
        <w:rPr>
          <w:sz w:val="20"/>
          <w:szCs w:val="20"/>
          <w:color w:val="auto"/>
        </w:rPr>
      </w:pPr>
      <w:r>
        <w:rPr>
          <w:rFonts w:ascii="Arial" w:cs="Arial" w:eastAsia="Arial" w:hAnsi="Arial"/>
          <w:sz w:val="16"/>
          <w:szCs w:val="16"/>
          <w:color w:val="auto"/>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January 2021, the Company sold $10.1 million notional amount of the subordinated notes of Catamaran 2016-1 for $3.3 million.</w:t>
      </w:r>
    </w:p>
    <w:p>
      <w:pPr>
        <w:spacing w:after="0" w:line="184"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As a result of the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and amount of future distributions if any, from these CLO Fund Securities is uncertain. Three of the CLO Funds noted above resumed making cash distributions on the Company’s investment during the fourth quarter of 2020.</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52" w:name="page53"/>
    <w:bookmarkEnd w:id="52"/>
    <w:p>
      <w:pPr>
        <w:ind w:left="380"/>
        <w:spacing w:after="0"/>
        <w:rPr>
          <w:sz w:val="20"/>
          <w:szCs w:val="20"/>
          <w:color w:val="auto"/>
        </w:rPr>
      </w:pPr>
      <w:r>
        <w:rPr>
          <w:rFonts w:ascii="Arial" w:cs="Arial" w:eastAsia="Arial" w:hAnsi="Arial"/>
          <w:sz w:val="18"/>
          <w:szCs w:val="18"/>
          <w:b w:val="1"/>
          <w:bCs w:val="1"/>
          <w:color w:val="auto"/>
        </w:rPr>
        <w:t>Affiliate Investments: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June 30, 2021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Fair Value</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Purchases/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Net change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Principal /</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December</w:t>
            </w:r>
          </w:p>
        </w:tc>
        <w:tc>
          <w:tcPr>
            <w:tcW w:w="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In/(Out)</w:t>
            </w:r>
          </w:p>
        </w:tc>
        <w:tc>
          <w:tcPr>
            <w:tcW w:w="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in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Shares at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Industry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Advances/</w:t>
            </w:r>
          </w:p>
        </w:tc>
        <w:tc>
          <w:tcPr>
            <w:tcW w:w="100" w:type="dxa"/>
            <w:vAlign w:val="bottom"/>
          </w:tcPr>
          <w:p>
            <w:pPr>
              <w:spacing w:after="0"/>
              <w:rPr>
                <w:sz w:val="11"/>
                <w:szCs w:val="11"/>
                <w:color w:val="auto"/>
              </w:rPr>
            </w:pPr>
          </w:p>
        </w:tc>
        <w:tc>
          <w:tcPr>
            <w:tcW w:w="4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unrealized</w:t>
            </w:r>
          </w:p>
        </w:tc>
        <w:tc>
          <w:tcPr>
            <w:tcW w:w="60" w:type="dxa"/>
            <w:vAlign w:val="bottom"/>
          </w:tcPr>
          <w:p>
            <w:pPr>
              <w:spacing w:after="0"/>
              <w:rPr>
                <w:sz w:val="11"/>
                <w:szCs w:val="11"/>
                <w:color w:val="auto"/>
              </w:rPr>
            </w:pPr>
          </w:p>
        </w:tc>
        <w:tc>
          <w:tcPr>
            <w:tcW w:w="740" w:type="dxa"/>
            <w:vAlign w:val="bottom"/>
            <w:gridSpan w:val="2"/>
          </w:tcPr>
          <w:p>
            <w:pPr>
              <w:jc w:val="right"/>
              <w:ind w:right="197"/>
              <w:spacing w:after="0" w:line="135" w:lineRule="exact"/>
              <w:rPr>
                <w:sz w:val="20"/>
                <w:szCs w:val="20"/>
                <w:color w:val="auto"/>
              </w:rPr>
            </w:pPr>
            <w:r>
              <w:rPr>
                <w:rFonts w:ascii="Arial" w:cs="Arial" w:eastAsia="Arial" w:hAnsi="Arial"/>
                <w:sz w:val="13"/>
                <w:szCs w:val="13"/>
                <w:b w:val="1"/>
                <w:bCs w:val="1"/>
                <w:color w:val="auto"/>
                <w:w w:val="87"/>
              </w:rPr>
              <w:t>Realized</w:t>
            </w:r>
          </w:p>
        </w:tc>
        <w:tc>
          <w:tcPr>
            <w:tcW w:w="80" w:type="dxa"/>
            <w:vAlign w:val="bottom"/>
          </w:tcPr>
          <w:p>
            <w:pPr>
              <w:spacing w:after="0"/>
              <w:rPr>
                <w:sz w:val="11"/>
                <w:szCs w:val="11"/>
                <w:color w:val="auto"/>
              </w:rPr>
            </w:pPr>
          </w:p>
        </w:tc>
        <w:tc>
          <w:tcPr>
            <w:tcW w:w="6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June 30,</w:t>
            </w:r>
          </w:p>
        </w:tc>
        <w:tc>
          <w:tcPr>
            <w:tcW w:w="7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Dividend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5"/>
              </w:rPr>
              <w:t>Classification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(Distributions)</w:t>
            </w: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Accretion</w:t>
            </w:r>
          </w:p>
        </w:tc>
        <w:tc>
          <w:tcPr>
            <w:tcW w:w="160" w:type="dxa"/>
            <w:vAlign w:val="bottom"/>
          </w:tcPr>
          <w:p>
            <w:pPr>
              <w:spacing w:after="0"/>
              <w:rPr>
                <w:sz w:val="13"/>
                <w:szCs w:val="13"/>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Affiliates</w:t>
            </w: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Gain/(Loss)</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80" w:type="dxa"/>
            <w:vAlign w:val="bottom"/>
          </w:tcPr>
          <w:p>
            <w:pPr>
              <w:spacing w:after="0"/>
              <w:rPr>
                <w:sz w:val="13"/>
                <w:szCs w:val="13"/>
                <w:color w:val="auto"/>
              </w:rPr>
            </w:pPr>
          </w:p>
        </w:tc>
        <w:tc>
          <w:tcPr>
            <w:tcW w:w="60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58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4"/>
              </w:rPr>
              <w:t>Asset Manager Affiliates</w:t>
            </w:r>
            <w:r>
              <w:rPr>
                <w:rFonts w:ascii="Arial" w:cs="Arial" w:eastAsia="Arial" w:hAnsi="Arial"/>
                <w:sz w:val="10"/>
                <w:szCs w:val="10"/>
                <w:color w:val="auto"/>
                <w:w w:val="94"/>
              </w:rPr>
              <w:t>(2)(3)</w:t>
            </w:r>
          </w:p>
        </w:tc>
        <w:tc>
          <w:tcPr>
            <w:tcW w:w="40" w:type="dxa"/>
            <w:vAlign w:val="bottom"/>
            <w:tcBorders>
              <w:top w:val="single" w:sz="8" w:color="CFF0FC"/>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1"/>
                <w:szCs w:val="11"/>
                <w:color w:val="auto"/>
              </w:rPr>
              <w:t>(5)</w:t>
            </w:r>
          </w:p>
        </w:tc>
        <w:tc>
          <w:tcPr>
            <w:tcW w:w="146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rPr>
              <w:t>Management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Company</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17,791,230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Tank Partners Equipment</w:t>
            </w:r>
          </w:p>
        </w:tc>
        <w:tc>
          <w:tcPr>
            <w:tcW w:w="146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Energy: Oil &amp;</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(2)(3)(4)(7)</w:t>
            </w:r>
          </w:p>
        </w:tc>
        <w:tc>
          <w:tcPr>
            <w:tcW w:w="1460" w:type="dxa"/>
            <w:vAlign w:val="bottom"/>
            <w:gridSpan w:val="2"/>
          </w:tcPr>
          <w:p>
            <w:pPr>
              <w:ind w:left="40"/>
              <w:spacing w:after="0"/>
              <w:rPr>
                <w:sz w:val="20"/>
                <w:szCs w:val="20"/>
                <w:color w:val="auto"/>
              </w:rPr>
            </w:pPr>
            <w:r>
              <w:rPr>
                <w:rFonts w:ascii="Arial" w:cs="Arial" w:eastAsia="Arial" w:hAnsi="Arial"/>
                <w:sz w:val="13"/>
                <w:szCs w:val="13"/>
                <w:color w:val="auto"/>
              </w:rPr>
              <w:t>Gas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w:t>
            </w:r>
          </w:p>
        </w:tc>
        <w:tc>
          <w:tcPr>
            <w:tcW w:w="146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Energy: Oil &amp;</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(2)(3)(4)</w:t>
            </w:r>
          </w:p>
        </w:tc>
        <w:tc>
          <w:tcPr>
            <w:tcW w:w="14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Gas</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(165,974)</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41,792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699,199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3"/>
                <w:szCs w:val="13"/>
                <w:color w:val="auto"/>
              </w:rPr>
              <w:t xml:space="preserve">Flight Lease VII </w:t>
            </w:r>
            <w:r>
              <w:rPr>
                <w:rFonts w:ascii="Arial" w:cs="Arial" w:eastAsia="Arial" w:hAnsi="Arial"/>
                <w:sz w:val="10"/>
                <w:szCs w:val="10"/>
                <w:color w:val="auto"/>
              </w:rPr>
              <w:t>(3)(5)</w:t>
            </w:r>
          </w:p>
        </w:tc>
        <w:tc>
          <w:tcPr>
            <w:tcW w:w="1460" w:type="dxa"/>
            <w:vAlign w:val="bottom"/>
            <w:gridSpan w:val="2"/>
          </w:tcPr>
          <w:p>
            <w:pPr>
              <w:ind w:left="40"/>
              <w:spacing w:after="0" w:line="149" w:lineRule="exact"/>
              <w:rPr>
                <w:sz w:val="20"/>
                <w:szCs w:val="20"/>
                <w:color w:val="auto"/>
              </w:rPr>
            </w:pPr>
            <w:r>
              <w:rPr>
                <w:rFonts w:ascii="Arial" w:cs="Arial" w:eastAsia="Arial" w:hAnsi="Arial"/>
                <w:sz w:val="13"/>
                <w:szCs w:val="13"/>
                <w:color w:val="auto"/>
              </w:rPr>
              <w:t>Aerospace and Defense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w w:val="96"/>
              </w:rPr>
              <w:t xml:space="preserve">KCAP Freedom 3, LLC </w:t>
            </w:r>
            <w:r>
              <w:rPr>
                <w:rFonts w:ascii="Arial" w:cs="Arial" w:eastAsia="Arial" w:hAnsi="Arial"/>
                <w:sz w:val="10"/>
                <w:szCs w:val="10"/>
                <w:color w:val="auto"/>
                <w:w w:val="96"/>
              </w:rPr>
              <w:t>(2)(4)</w:t>
            </w:r>
          </w:p>
        </w:tc>
        <w:tc>
          <w:tcPr>
            <w:tcW w:w="1460" w:type="dxa"/>
            <w:vAlign w:val="bottom"/>
            <w:gridSpan w:val="2"/>
            <w:shd w:val="clear" w:color="auto" w:fill="CFF0FC"/>
          </w:tcPr>
          <w:p>
            <w:pPr>
              <w:ind w:left="40"/>
              <w:spacing w:after="0" w:line="149" w:lineRule="exact"/>
              <w:rPr>
                <w:sz w:val="20"/>
                <w:szCs w:val="20"/>
                <w:color w:val="auto"/>
              </w:rPr>
            </w:pPr>
            <w:r>
              <w:rPr>
                <w:rFonts w:ascii="Arial" w:cs="Arial" w:eastAsia="Arial" w:hAnsi="Arial"/>
                <w:sz w:val="13"/>
                <w:szCs w:val="13"/>
                <w:color w:val="auto"/>
              </w:rPr>
              <w:t>Joint Venture</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92"/>
              </w:rPr>
              <w:t>19,748,808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2,673,526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line="14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86"/>
              </w:rPr>
              <w:t>22,422,334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98"/>
              </w:rPr>
              <w:t>24,720,000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93"/>
              </w:rPr>
              <w:t>1,225,859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gridSpan w:val="2"/>
          </w:tcPr>
          <w:p>
            <w:pPr>
              <w:spacing w:after="0" w:line="142" w:lineRule="exact"/>
              <w:rPr>
                <w:sz w:val="20"/>
                <w:szCs w:val="20"/>
                <w:color w:val="auto"/>
              </w:rPr>
            </w:pPr>
            <w:r>
              <w:rPr>
                <w:rFonts w:ascii="Arial" w:cs="Arial" w:eastAsia="Arial" w:hAnsi="Arial"/>
                <w:sz w:val="13"/>
                <w:szCs w:val="13"/>
                <w:color w:val="auto"/>
              </w:rPr>
              <w:t>Total controlled affiliates</w:t>
            </w: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19,956,574</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2,507,552</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22,464,126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43,259,429</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1,225,859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BCP Great Lakes Holdings</w:t>
            </w:r>
          </w:p>
        </w:tc>
        <w:tc>
          <w:tcPr>
            <w:tcW w:w="146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Joint Venture</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(6)(8)</w:t>
            </w:r>
          </w:p>
        </w:tc>
        <w:tc>
          <w:tcPr>
            <w:tcW w:w="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29,600,355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11,129,943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417,245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38,647,542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36,191,108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813,408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3"/>
                <w:szCs w:val="13"/>
                <w:color w:val="auto"/>
              </w:rPr>
              <w:t>Flight Lease XII</w:t>
            </w:r>
            <w:r>
              <w:rPr>
                <w:rFonts w:ascii="Arial" w:cs="Arial" w:eastAsia="Arial" w:hAnsi="Arial"/>
                <w:sz w:val="10"/>
                <w:szCs w:val="10"/>
                <w:color w:val="auto"/>
              </w:rPr>
              <w:t>(2)(3)(6)</w:t>
            </w:r>
          </w:p>
        </w:tc>
        <w:tc>
          <w:tcPr>
            <w:tcW w:w="1460" w:type="dxa"/>
            <w:vAlign w:val="bottom"/>
            <w:gridSpan w:val="2"/>
          </w:tcPr>
          <w:p>
            <w:pPr>
              <w:ind w:left="40"/>
              <w:spacing w:after="0" w:line="149" w:lineRule="exact"/>
              <w:rPr>
                <w:sz w:val="20"/>
                <w:szCs w:val="20"/>
                <w:color w:val="auto"/>
              </w:rPr>
            </w:pPr>
            <w:r>
              <w:rPr>
                <w:rFonts w:ascii="Arial" w:cs="Arial" w:eastAsia="Arial" w:hAnsi="Arial"/>
                <w:sz w:val="13"/>
                <w:szCs w:val="13"/>
                <w:color w:val="auto"/>
              </w:rPr>
              <w:t>Aerospace and Defense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3"/>
                <w:szCs w:val="13"/>
                <w:color w:val="auto"/>
              </w:rPr>
              <w:t>529,787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37,498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17"/>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3"/>
                <w:szCs w:val="13"/>
                <w:color w:val="auto"/>
              </w:rPr>
              <w:t>567,285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1,000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Kleen-Tech Acquisition,</w:t>
            </w:r>
          </w:p>
        </w:tc>
        <w:tc>
          <w:tcPr>
            <w:tcW w:w="146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(2)(3)(6)</w:t>
            </w:r>
          </w:p>
        </w:tc>
        <w:tc>
          <w:tcPr>
            <w:tcW w:w="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1,264,409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89,495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1,353,904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80" w:type="dxa"/>
            <w:vAlign w:val="bottom"/>
          </w:tcPr>
          <w:p>
            <w:pPr>
              <w:spacing w:after="0" w:line="139" w:lineRule="exact"/>
              <w:rPr>
                <w:sz w:val="20"/>
                <w:szCs w:val="20"/>
                <w:color w:val="auto"/>
              </w:rPr>
            </w:pPr>
            <w:r>
              <w:rPr>
                <w:rFonts w:ascii="Arial" w:cs="Arial" w:eastAsia="Arial" w:hAnsi="Arial"/>
                <w:sz w:val="13"/>
                <w:szCs w:val="13"/>
                <w:color w:val="auto"/>
                <w:w w:val="90"/>
              </w:rPr>
              <w:t>Northeast Metal Works LLC</w:t>
            </w:r>
            <w:r>
              <w:rPr>
                <w:rFonts w:ascii="Arial" w:cs="Arial" w:eastAsia="Arial" w:hAnsi="Arial"/>
                <w:sz w:val="10"/>
                <w:szCs w:val="10"/>
                <w:color w:val="auto"/>
                <w:w w:val="90"/>
              </w:rPr>
              <w:t>(2)</w:t>
            </w:r>
          </w:p>
        </w:tc>
        <w:tc>
          <w:tcPr>
            <w:tcW w:w="1460" w:type="dxa"/>
            <w:vAlign w:val="bottom"/>
            <w:gridSpan w:val="2"/>
          </w:tcPr>
          <w:p>
            <w:pPr>
              <w:ind w:left="40"/>
              <w:spacing w:after="0" w:line="139" w:lineRule="exact"/>
              <w:rPr>
                <w:sz w:val="20"/>
                <w:szCs w:val="20"/>
                <w:color w:val="auto"/>
              </w:rPr>
            </w:pPr>
            <w:r>
              <w:rPr>
                <w:rFonts w:ascii="Arial" w:cs="Arial" w:eastAsia="Arial" w:hAnsi="Arial"/>
                <w:sz w:val="13"/>
                <w:szCs w:val="13"/>
                <w:color w:val="auto"/>
              </w:rPr>
              <w:t>Metals &amp; Mining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11,800,520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89"/>
              </w:rPr>
              <w:t>228,671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448,646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(218,277)</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86"/>
              </w:rPr>
              <w:t>12,259,560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13,931,318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68,000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600" w:type="dxa"/>
            <w:vAlign w:val="bottom"/>
            <w:gridSpan w:val="2"/>
          </w:tcPr>
          <w:p>
            <w:pPr>
              <w:spacing w:after="0"/>
              <w:rPr>
                <w:sz w:val="20"/>
                <w:szCs w:val="20"/>
                <w:color w:val="auto"/>
              </w:rPr>
            </w:pPr>
            <w:r>
              <w:rPr>
                <w:rFonts w:ascii="Arial" w:cs="Arial" w:eastAsia="Arial" w:hAnsi="Arial"/>
                <w:sz w:val="11"/>
                <w:szCs w:val="11"/>
                <w:color w:val="auto"/>
              </w:rPr>
              <w:t>(3)(6)</w:t>
            </w: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8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w w:val="90"/>
              </w:rPr>
              <w:t>Northeast Metal Works LLC</w:t>
            </w:r>
            <w:r>
              <w:rPr>
                <w:rFonts w:ascii="Arial" w:cs="Arial" w:eastAsia="Arial" w:hAnsi="Arial"/>
                <w:sz w:val="10"/>
                <w:szCs w:val="10"/>
                <w:color w:val="auto"/>
                <w:w w:val="90"/>
              </w:rPr>
              <w:t>(2)</w:t>
            </w:r>
          </w:p>
        </w:tc>
        <w:tc>
          <w:tcPr>
            <w:tcW w:w="1460" w:type="dxa"/>
            <w:vAlign w:val="bottom"/>
            <w:gridSpan w:val="2"/>
            <w:shd w:val="clear" w:color="auto" w:fill="CFF0FC"/>
          </w:tcPr>
          <w:p>
            <w:pPr>
              <w:ind w:left="40"/>
              <w:spacing w:after="0" w:line="139" w:lineRule="exact"/>
              <w:rPr>
                <w:sz w:val="20"/>
                <w:szCs w:val="20"/>
                <w:color w:val="auto"/>
              </w:rPr>
            </w:pPr>
            <w:r>
              <w:rPr>
                <w:rFonts w:ascii="Arial" w:cs="Arial" w:eastAsia="Arial" w:hAnsi="Arial"/>
                <w:sz w:val="13"/>
                <w:szCs w:val="13"/>
                <w:color w:val="auto"/>
              </w:rPr>
              <w:t>Metals &amp; Mining</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2,368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1"/>
                <w:szCs w:val="11"/>
                <w:color w:val="auto"/>
              </w:rPr>
              <w:t>(3)(6)</w:t>
            </w:r>
          </w:p>
        </w:tc>
        <w:tc>
          <w:tcPr>
            <w:tcW w:w="4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8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80" w:type="dxa"/>
            <w:vAlign w:val="bottom"/>
          </w:tcPr>
          <w:p>
            <w:pPr>
              <w:spacing w:after="0" w:line="139" w:lineRule="exact"/>
              <w:rPr>
                <w:sz w:val="20"/>
                <w:szCs w:val="20"/>
                <w:color w:val="auto"/>
              </w:rPr>
            </w:pPr>
            <w:r>
              <w:rPr>
                <w:rFonts w:ascii="Arial" w:cs="Arial" w:eastAsia="Arial" w:hAnsi="Arial"/>
                <w:sz w:val="13"/>
                <w:szCs w:val="13"/>
                <w:color w:val="auto"/>
                <w:w w:val="93"/>
              </w:rPr>
              <w:t>BMP Slappey Holdco, LLC</w:t>
            </w:r>
            <w:r>
              <w:rPr>
                <w:rFonts w:ascii="Arial" w:cs="Arial" w:eastAsia="Arial" w:hAnsi="Arial"/>
                <w:sz w:val="10"/>
                <w:szCs w:val="10"/>
                <w:color w:val="auto"/>
                <w:w w:val="93"/>
              </w:rPr>
              <w:t>(2)</w:t>
            </w:r>
          </w:p>
        </w:tc>
        <w:tc>
          <w:tcPr>
            <w:tcW w:w="1460" w:type="dxa"/>
            <w:vAlign w:val="bottom"/>
            <w:gridSpan w:val="2"/>
          </w:tcPr>
          <w:p>
            <w:pPr>
              <w:ind w:left="40"/>
              <w:spacing w:after="0" w:line="139" w:lineRule="exact"/>
              <w:rPr>
                <w:sz w:val="20"/>
                <w:szCs w:val="20"/>
                <w:color w:val="auto"/>
              </w:rPr>
            </w:pPr>
            <w:r>
              <w:rPr>
                <w:rFonts w:ascii="Arial" w:cs="Arial" w:eastAsia="Arial" w:hAnsi="Arial"/>
                <w:sz w:val="13"/>
                <w:szCs w:val="13"/>
                <w:color w:val="auto"/>
              </w:rPr>
              <w:t>Telecommunications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466,949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4,603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471,552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600" w:type="dxa"/>
            <w:vAlign w:val="bottom"/>
            <w:gridSpan w:val="2"/>
          </w:tcPr>
          <w:p>
            <w:pPr>
              <w:spacing w:after="0"/>
              <w:rPr>
                <w:sz w:val="20"/>
                <w:szCs w:val="20"/>
                <w:color w:val="auto"/>
              </w:rPr>
            </w:pPr>
            <w:r>
              <w:rPr>
                <w:rFonts w:ascii="Arial" w:cs="Arial" w:eastAsia="Arial" w:hAnsi="Arial"/>
                <w:sz w:val="11"/>
                <w:szCs w:val="11"/>
                <w:color w:val="auto"/>
              </w:rPr>
              <w:t>(3)(6)</w:t>
            </w:r>
          </w:p>
        </w:tc>
        <w:tc>
          <w:tcPr>
            <w:tcW w:w="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8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w w:val="93"/>
              </w:rPr>
              <w:t>BMP Slappey Holdco, LLC</w:t>
            </w:r>
            <w:r>
              <w:rPr>
                <w:rFonts w:ascii="Arial" w:cs="Arial" w:eastAsia="Arial" w:hAnsi="Arial"/>
                <w:sz w:val="10"/>
                <w:szCs w:val="10"/>
                <w:color w:val="auto"/>
                <w:w w:val="93"/>
              </w:rPr>
              <w:t>(2)</w:t>
            </w:r>
          </w:p>
        </w:tc>
        <w:tc>
          <w:tcPr>
            <w:tcW w:w="1460" w:type="dxa"/>
            <w:vAlign w:val="bottom"/>
            <w:gridSpan w:val="2"/>
            <w:shd w:val="clear" w:color="auto" w:fill="CFF0FC"/>
          </w:tcPr>
          <w:p>
            <w:pPr>
              <w:ind w:left="40"/>
              <w:spacing w:after="0" w:line="139" w:lineRule="exact"/>
              <w:rPr>
                <w:sz w:val="20"/>
                <w:szCs w:val="20"/>
                <w:color w:val="auto"/>
              </w:rPr>
            </w:pPr>
            <w:r>
              <w:rPr>
                <w:rFonts w:ascii="Arial" w:cs="Arial" w:eastAsia="Arial" w:hAnsi="Arial"/>
                <w:sz w:val="13"/>
                <w:szCs w:val="13"/>
                <w:color w:val="auto"/>
              </w:rPr>
              <w:t>Telecommunications</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207,666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2,047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209,713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88,946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1"/>
                <w:szCs w:val="11"/>
                <w:color w:val="auto"/>
              </w:rPr>
              <w:t>(3)(6)</w:t>
            </w:r>
          </w:p>
        </w:tc>
        <w:tc>
          <w:tcPr>
            <w:tcW w:w="4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3"/>
                <w:szCs w:val="13"/>
                <w:color w:val="auto"/>
                <w:w w:val="95"/>
              </w:rPr>
              <w:t>Surge Hippodrome Holdings</w:t>
            </w:r>
          </w:p>
        </w:tc>
        <w:tc>
          <w:tcPr>
            <w:tcW w:w="146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Services: Business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(2)(3)(6)</w:t>
            </w: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4,808,713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12,470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327,597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5,148,780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5,460,000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45,045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Surge Hippodrome Holdings</w:t>
            </w:r>
          </w:p>
        </w:tc>
        <w:tc>
          <w:tcPr>
            <w:tcW w:w="146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Services: Business</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(2)(3)(6)</w:t>
            </w:r>
          </w:p>
        </w:tc>
        <w:tc>
          <w:tcPr>
            <w:tcW w:w="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357,029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(87,029)</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3"/>
                <w:szCs w:val="13"/>
                <w:color w:val="auto"/>
                <w:w w:val="95"/>
              </w:rPr>
              <w:t>Surge Hippodrome Holdings</w:t>
            </w:r>
          </w:p>
        </w:tc>
        <w:tc>
          <w:tcPr>
            <w:tcW w:w="146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Services: Business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tcPr>
          <w:p>
            <w:pPr>
              <w:spacing w:after="0"/>
              <w:rPr>
                <w:sz w:val="20"/>
                <w:szCs w:val="20"/>
                <w:color w:val="auto"/>
              </w:rPr>
            </w:pPr>
            <w:r>
              <w:rPr>
                <w:rFonts w:ascii="Arial" w:cs="Arial" w:eastAsia="Arial" w:hAnsi="Arial"/>
                <w:sz w:val="13"/>
                <w:szCs w:val="13"/>
                <w:color w:val="auto"/>
              </w:rPr>
              <w:t>LLC</w:t>
            </w:r>
            <w:r>
              <w:rPr>
                <w:rFonts w:ascii="Arial" w:cs="Arial" w:eastAsia="Arial" w:hAnsi="Arial"/>
                <w:sz w:val="10"/>
                <w:szCs w:val="10"/>
                <w:color w:val="auto"/>
              </w:rPr>
              <w:t>(2)(3)(6)</w:t>
            </w: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159,322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w w:val="99"/>
              </w:rPr>
              <w:t>VTK Acquisition, Inc.</w:t>
            </w:r>
            <w:r>
              <w:rPr>
                <w:rFonts w:ascii="Arial" w:cs="Arial" w:eastAsia="Arial" w:hAnsi="Arial"/>
                <w:sz w:val="10"/>
                <w:szCs w:val="10"/>
                <w:color w:val="auto"/>
                <w:w w:val="99"/>
              </w:rPr>
              <w:t>(2)(3)(6)</w:t>
            </w:r>
          </w:p>
        </w:tc>
        <w:tc>
          <w:tcPr>
            <w:tcW w:w="1460" w:type="dxa"/>
            <w:vAlign w:val="bottom"/>
            <w:gridSpan w:val="2"/>
            <w:shd w:val="clear" w:color="auto" w:fill="CFF0FC"/>
          </w:tcPr>
          <w:p>
            <w:pPr>
              <w:ind w:left="40"/>
              <w:spacing w:after="0" w:line="149" w:lineRule="exact"/>
              <w:rPr>
                <w:sz w:val="20"/>
                <w:szCs w:val="20"/>
                <w:color w:val="auto"/>
              </w:rPr>
            </w:pPr>
            <w:r>
              <w:rPr>
                <w:rFonts w:ascii="Arial" w:cs="Arial" w:eastAsia="Arial" w:hAnsi="Arial"/>
                <w:sz w:val="13"/>
                <w:szCs w:val="13"/>
                <w:color w:val="auto"/>
              </w:rPr>
              <w:t>Capital Equipment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1,428,956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11,498</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89,653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line="14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w w:val="96"/>
              </w:rPr>
              <w:t>1,530,106</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1,536,097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6,048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3"/>
                <w:szCs w:val="13"/>
                <w:color w:val="auto"/>
                <w:w w:val="99"/>
              </w:rPr>
              <w:t>VTK Acquisition, Inc.</w:t>
            </w:r>
            <w:r>
              <w:rPr>
                <w:rFonts w:ascii="Arial" w:cs="Arial" w:eastAsia="Arial" w:hAnsi="Arial"/>
                <w:sz w:val="10"/>
                <w:szCs w:val="10"/>
                <w:color w:val="auto"/>
                <w:w w:val="99"/>
              </w:rPr>
              <w:t>(2)(3)(6)</w:t>
            </w:r>
          </w:p>
        </w:tc>
        <w:tc>
          <w:tcPr>
            <w:tcW w:w="1460" w:type="dxa"/>
            <w:vAlign w:val="bottom"/>
            <w:gridSpan w:val="2"/>
          </w:tcPr>
          <w:p>
            <w:pPr>
              <w:ind w:left="40"/>
              <w:spacing w:after="0" w:line="149" w:lineRule="exact"/>
              <w:rPr>
                <w:sz w:val="20"/>
                <w:szCs w:val="20"/>
                <w:color w:val="auto"/>
              </w:rPr>
            </w:pPr>
            <w:r>
              <w:rPr>
                <w:rFonts w:ascii="Arial" w:cs="Arial" w:eastAsia="Arial" w:hAnsi="Arial"/>
                <w:sz w:val="13"/>
                <w:szCs w:val="13"/>
                <w:color w:val="auto"/>
              </w:rPr>
              <w:t>Capital Equipment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3"/>
                <w:szCs w:val="13"/>
                <w:color w:val="auto"/>
              </w:rPr>
              <w:t>2,412,592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3"/>
                <w:szCs w:val="13"/>
                <w:color w:val="auto"/>
              </w:rPr>
              <w:t>40,591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143,532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57"/>
              <w:spacing w:after="0" w:line="149" w:lineRule="exact"/>
              <w:rPr>
                <w:sz w:val="20"/>
                <w:szCs w:val="20"/>
                <w:color w:val="auto"/>
              </w:rPr>
            </w:pPr>
            <w:r>
              <w:rPr>
                <w:rFonts w:ascii="Arial" w:cs="Arial" w:eastAsia="Arial" w:hAnsi="Arial"/>
                <w:sz w:val="13"/>
                <w:szCs w:val="13"/>
                <w:color w:val="auto"/>
              </w:rPr>
              <w:t>(836)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3"/>
                <w:szCs w:val="13"/>
                <w:color w:val="auto"/>
                <w:w w:val="96"/>
              </w:rPr>
              <w:t>2,595,880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2,800,000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3"/>
                <w:szCs w:val="13"/>
                <w:color w:val="auto"/>
              </w:rPr>
              <w:t>14,538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w w:val="99"/>
              </w:rPr>
              <w:t>VTK Acquisition, Inc.</w:t>
            </w:r>
            <w:r>
              <w:rPr>
                <w:rFonts w:ascii="Arial" w:cs="Arial" w:eastAsia="Arial" w:hAnsi="Arial"/>
                <w:sz w:val="10"/>
                <w:szCs w:val="10"/>
                <w:color w:val="auto"/>
                <w:w w:val="99"/>
              </w:rPr>
              <w:t>(2)(3)(6)</w:t>
            </w:r>
          </w:p>
        </w:tc>
        <w:tc>
          <w:tcPr>
            <w:tcW w:w="1460" w:type="dxa"/>
            <w:vAlign w:val="bottom"/>
            <w:gridSpan w:val="2"/>
            <w:shd w:val="clear" w:color="auto" w:fill="CFF0FC"/>
          </w:tcPr>
          <w:p>
            <w:pPr>
              <w:ind w:left="40"/>
              <w:spacing w:after="0" w:line="149" w:lineRule="exact"/>
              <w:rPr>
                <w:sz w:val="20"/>
                <w:szCs w:val="20"/>
                <w:color w:val="auto"/>
              </w:rPr>
            </w:pPr>
            <w:r>
              <w:rPr>
                <w:rFonts w:ascii="Arial" w:cs="Arial" w:eastAsia="Arial" w:hAnsi="Arial"/>
                <w:sz w:val="13"/>
                <w:szCs w:val="13"/>
                <w:color w:val="auto"/>
              </w:rPr>
              <w:t>Capital Equipment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250,959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17,763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line="14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268,722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90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line="149" w:lineRule="exact"/>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(2)(3)(6)</w:t>
            </w:r>
          </w:p>
        </w:tc>
        <w:tc>
          <w:tcPr>
            <w:tcW w:w="1460" w:type="dxa"/>
            <w:vAlign w:val="bottom"/>
            <w:gridSpan w:val="2"/>
          </w:tcPr>
          <w:p>
            <w:pPr>
              <w:ind w:left="40"/>
              <w:spacing w:after="0" w:line="149" w:lineRule="exact"/>
              <w:rPr>
                <w:sz w:val="20"/>
                <w:szCs w:val="20"/>
                <w:color w:val="auto"/>
              </w:rPr>
            </w:pPr>
            <w:r>
              <w:rPr>
                <w:rFonts w:ascii="Arial" w:cs="Arial" w:eastAsia="Arial" w:hAnsi="Arial"/>
                <w:sz w:val="13"/>
                <w:szCs w:val="13"/>
                <w:color w:val="auto"/>
              </w:rPr>
              <w:t>Electronics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7,488,250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3"/>
                <w:szCs w:val="13"/>
                <w:color w:val="auto"/>
              </w:rPr>
              <w:t>41,693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line="14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3"/>
                <w:szCs w:val="13"/>
                <w:color w:val="auto"/>
              </w:rPr>
              <w:t>3,236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17"/>
              <w:spacing w:after="0" w:line="14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3"/>
                <w:szCs w:val="13"/>
                <w:color w:val="auto"/>
                <w:w w:val="96"/>
              </w:rPr>
              <w:t>7,533,180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3"/>
                <w:szCs w:val="13"/>
                <w:color w:val="auto"/>
              </w:rPr>
              <w:t>7,700,000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3"/>
                <w:szCs w:val="13"/>
                <w:color w:val="auto"/>
                <w:w w:val="93"/>
              </w:rPr>
              <w:t>275,675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5"/>
              </w:rPr>
              <w:t>Zest Acquisition Corp.</w:t>
            </w:r>
            <w:r>
              <w:rPr>
                <w:rFonts w:ascii="Arial" w:cs="Arial" w:eastAsia="Arial" w:hAnsi="Arial"/>
                <w:sz w:val="10"/>
                <w:szCs w:val="10"/>
                <w:color w:val="auto"/>
                <w:w w:val="95"/>
              </w:rPr>
              <w:t>(2)(3)(6)</w:t>
            </w:r>
          </w:p>
        </w:tc>
        <w:tc>
          <w:tcPr>
            <w:tcW w:w="146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w w:val="91"/>
              </w:rPr>
              <w:t>Healthcare, Education and</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Childcare</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3,291,400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137,204</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3,430,000</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149,576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3"/>
                <w:szCs w:val="13"/>
                <w:color w:val="auto"/>
                <w:w w:val="94"/>
              </w:rPr>
              <w:t>GIG Rooster Holdings I, LLC</w:t>
            </w:r>
          </w:p>
        </w:tc>
        <w:tc>
          <w:tcPr>
            <w:tcW w:w="146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Energy: Oil &amp;</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tcPr>
          <w:p>
            <w:pPr>
              <w:spacing w:after="0"/>
              <w:rPr>
                <w:sz w:val="20"/>
                <w:szCs w:val="20"/>
                <w:color w:val="auto"/>
              </w:rPr>
            </w:pPr>
            <w:r>
              <w:rPr>
                <w:rFonts w:ascii="Arial" w:cs="Arial" w:eastAsia="Arial" w:hAnsi="Arial"/>
                <w:sz w:val="11"/>
                <w:szCs w:val="11"/>
                <w:color w:val="auto"/>
              </w:rPr>
              <w:t>(1)(2)</w:t>
            </w:r>
          </w:p>
        </w:tc>
        <w:tc>
          <w:tcPr>
            <w:tcW w:w="1460" w:type="dxa"/>
            <w:vAlign w:val="bottom"/>
            <w:gridSpan w:val="2"/>
          </w:tcPr>
          <w:p>
            <w:pPr>
              <w:ind w:left="40"/>
              <w:spacing w:after="0"/>
              <w:rPr>
                <w:sz w:val="20"/>
                <w:szCs w:val="20"/>
                <w:color w:val="auto"/>
              </w:rPr>
            </w:pPr>
            <w:r>
              <w:rPr>
                <w:rFonts w:ascii="Arial" w:cs="Arial" w:eastAsia="Arial" w:hAnsi="Arial"/>
                <w:sz w:val="13"/>
                <w:szCs w:val="13"/>
                <w:color w:val="auto"/>
              </w:rPr>
              <w:t>Gas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123,354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(44,154)</w:t>
            </w:r>
          </w:p>
        </w:tc>
        <w:tc>
          <w:tcPr>
            <w:tcW w:w="60" w:type="dxa"/>
            <w:vAlign w:val="bottom"/>
          </w:tcPr>
          <w:p>
            <w:pPr>
              <w:spacing w:after="0"/>
              <w:rPr>
                <w:sz w:val="12"/>
                <w:szCs w:val="12"/>
                <w:color w:val="auto"/>
              </w:rPr>
            </w:pPr>
          </w:p>
        </w:tc>
        <w:tc>
          <w:tcPr>
            <w:tcW w:w="74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79,200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2"/>
              </w:rPr>
              <w:t>Total Non-controlled affiliates</w:t>
            </w:r>
          </w:p>
        </w:tc>
        <w:tc>
          <w:tcPr>
            <w:tcW w:w="40" w:type="dxa"/>
            <w:vAlign w:val="bottom"/>
            <w:tcBorders>
              <w:top w:val="single" w:sz="8" w:color="CFF0FC"/>
            </w:tcBorders>
            <w:shd w:val="clear" w:color="auto" w:fill="CFF0FC"/>
          </w:tcPr>
          <w:p>
            <w:pPr>
              <w:spacing w:after="0"/>
              <w:rPr>
                <w:sz w:val="12"/>
                <w:szCs w:val="12"/>
                <w:color w:val="auto"/>
              </w:rPr>
            </w:pPr>
          </w:p>
        </w:tc>
        <w:tc>
          <w:tcPr>
            <w:tcW w:w="14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40,503,359</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34,816,845</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336,320</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ind w:left="30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1,588,014</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(219,113)</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74,525,424</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8"/>
              </w:rPr>
              <w:t>71,661,213</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558,883</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813,408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9"/>
              </w:rPr>
              <w:t>Total Affiliated Investments</w:t>
            </w:r>
          </w:p>
        </w:tc>
        <w:tc>
          <w:tcPr>
            <w:tcW w:w="40" w:type="dxa"/>
            <w:vAlign w:val="bottom"/>
            <w:tcBorders>
              <w:bottom w:val="single" w:sz="8" w:color="CFF0FC"/>
            </w:tcBorders>
            <w:shd w:val="clear" w:color="auto" w:fill="CFF0FC"/>
          </w:tcPr>
          <w:p>
            <w:pPr>
              <w:spacing w:after="0"/>
              <w:rPr>
                <w:sz w:val="12"/>
                <w:szCs w:val="12"/>
                <w:color w:val="auto"/>
              </w:rPr>
            </w:pPr>
          </w:p>
        </w:tc>
        <w:tc>
          <w:tcPr>
            <w:tcW w:w="142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60,459,933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34,816,845</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336,320</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ind w:left="30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4,095,565</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(219,113</w:t>
            </w:r>
          </w:p>
        </w:tc>
        <w:tc>
          <w:tcPr>
            <w:tcW w:w="180" w:type="dxa"/>
            <w:vAlign w:val="bottom"/>
            <w:tcBorders>
              <w:bottom w:val="single" w:sz="8" w:color="CFF0FC"/>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96,989,550</w:t>
            </w: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8"/>
              </w:rPr>
              <w:t>114,920,642</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558,883</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2,039,267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80" w:right="80" w:hanging="372"/>
        <w:spacing w:after="0" w:line="277" w:lineRule="auto"/>
        <w:tabs>
          <w:tab w:leader="none" w:pos="380" w:val="left"/>
        </w:tabs>
        <w:numPr>
          <w:ilvl w:val="0"/>
          <w:numId w:val="33"/>
        </w:numPr>
        <w:rPr>
          <w:rFonts w:ascii="Arial" w:cs="Arial" w:eastAsia="Arial" w:hAnsi="Arial"/>
          <w:sz w:val="15"/>
          <w:szCs w:val="15"/>
          <w:color w:val="auto"/>
        </w:rPr>
      </w:pPr>
      <w:r>
        <w:rPr>
          <w:rFonts w:ascii="Arial" w:cs="Arial" w:eastAsia="Arial" w:hAnsi="Arial"/>
          <w:sz w:val="18"/>
          <w:szCs w:val="18"/>
          <w:color w:val="auto"/>
        </w:rPr>
        <w:t>Underlying assets of investment were liquidated in December 2020, the fair value of investment is based on future cash flow payments expected to be received. Fair value of this investment was determined using significant unobservable inputs.</w:t>
      </w:r>
    </w:p>
    <w:p>
      <w:pPr>
        <w:spacing w:after="0" w:line="62"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40" w:hanging="372"/>
        <w:spacing w:after="0" w:line="301" w:lineRule="auto"/>
        <w:tabs>
          <w:tab w:leader="none" w:pos="380" w:val="left"/>
        </w:tabs>
        <w:numPr>
          <w:ilvl w:val="0"/>
          <w:numId w:val="36"/>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8" w:lineRule="exact"/>
        <w:rPr>
          <w:sz w:val="20"/>
          <w:szCs w:val="20"/>
          <w:color w:val="auto"/>
        </w:rPr>
      </w:pPr>
    </w:p>
    <w:p>
      <w:pPr>
        <w:ind w:left="380" w:right="280" w:hanging="372"/>
        <w:spacing w:after="0" w:line="263" w:lineRule="auto"/>
        <w:tabs>
          <w:tab w:leader="none" w:pos="380" w:val="left"/>
        </w:tabs>
        <w:numPr>
          <w:ilvl w:val="0"/>
          <w:numId w:val="37"/>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5" w:lineRule="exact"/>
        <w:rPr>
          <w:sz w:val="20"/>
          <w:szCs w:val="20"/>
          <w:color w:val="auto"/>
        </w:rPr>
      </w:pPr>
    </w:p>
    <w:p>
      <w:pPr>
        <w:ind w:left="380" w:right="40" w:hanging="372"/>
        <w:spacing w:after="0" w:line="286"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53" w:name="page54"/>
    <w:bookmarkEnd w:id="53"/>
    <w:p>
      <w:pPr>
        <w:ind w:left="380" w:hanging="372"/>
        <w:spacing w:after="0"/>
        <w:tabs>
          <w:tab w:leader="none" w:pos="380" w:val="left"/>
        </w:tabs>
        <w:numPr>
          <w:ilvl w:val="0"/>
          <w:numId w:val="39"/>
        </w:numPr>
        <w:rPr>
          <w:rFonts w:ascii="Arial" w:cs="Arial" w:eastAsia="Arial" w:hAnsi="Arial"/>
          <w:sz w:val="31"/>
          <w:szCs w:val="31"/>
          <w:color w:val="auto"/>
          <w:vertAlign w:val="superscript"/>
        </w:rPr>
      </w:pPr>
      <w:r>
        <w:rPr>
          <w:rFonts w:ascii="Arial" w:cs="Arial" w:eastAsia="Arial" w:hAnsi="Arial"/>
          <w:sz w:val="18"/>
          <w:szCs w:val="18"/>
          <w:color w:val="auto"/>
        </w:rPr>
        <w:t>Number of shares held.</w:t>
      </w:r>
    </w:p>
    <w:p>
      <w:pPr>
        <w:spacing w:after="0" w:line="103" w:lineRule="exact"/>
        <w:rPr>
          <w:sz w:val="20"/>
          <w:szCs w:val="20"/>
          <w:color w:val="auto"/>
        </w:rPr>
      </w:pPr>
    </w:p>
    <w:p>
      <w:pPr>
        <w:ind w:left="380" w:right="220" w:hanging="372"/>
        <w:spacing w:after="0" w:line="211" w:lineRule="auto"/>
        <w:tabs>
          <w:tab w:leader="none" w:pos="3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Ownership of LP interest held through the holding company BCP Great Lakes Fund, L.P, a non-U.S. company or principal place of business outside the U.S.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Fair Value</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Purchases/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18"/>
              <w:spacing w:after="0" w:line="135" w:lineRule="exact"/>
              <w:rPr>
                <w:sz w:val="20"/>
                <w:szCs w:val="20"/>
                <w:color w:val="auto"/>
              </w:rPr>
            </w:pPr>
            <w:r>
              <w:rPr>
                <w:rFonts w:ascii="Arial" w:cs="Arial" w:eastAsia="Arial" w:hAnsi="Arial"/>
                <w:sz w:val="13"/>
                <w:szCs w:val="13"/>
                <w:b w:val="1"/>
                <w:bCs w:val="1"/>
                <w:color w:val="auto"/>
                <w:w w:val="87"/>
              </w:rPr>
              <w:t>Transfers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1"/>
              </w:rPr>
              <w:t>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December</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18"/>
              <w:spacing w:after="0" w:line="135" w:lineRule="exact"/>
              <w:rPr>
                <w:sz w:val="20"/>
                <w:szCs w:val="20"/>
                <w:color w:val="auto"/>
              </w:rPr>
            </w:pPr>
            <w:r>
              <w:rPr>
                <w:rFonts w:ascii="Arial" w:cs="Arial" w:eastAsia="Arial" w:hAnsi="Arial"/>
                <w:sz w:val="13"/>
                <w:szCs w:val="13"/>
                <w:b w:val="1"/>
                <w:bCs w:val="1"/>
                <w:color w:val="auto"/>
                <w:w w:val="95"/>
              </w:rPr>
              <w:t>In/(Out)</w:t>
            </w:r>
          </w:p>
        </w:tc>
        <w:tc>
          <w:tcPr>
            <w:tcW w:w="60" w:type="dxa"/>
            <w:vAlign w:val="bottom"/>
          </w:tcPr>
          <w:p>
            <w:pPr>
              <w:spacing w:after="0"/>
              <w:rPr>
                <w:sz w:val="11"/>
                <w:szCs w:val="11"/>
                <w:color w:val="auto"/>
              </w:rPr>
            </w:pPr>
          </w:p>
        </w:tc>
        <w:tc>
          <w:tcPr>
            <w:tcW w:w="840" w:type="dxa"/>
            <w:vAlign w:val="bottom"/>
            <w:gridSpan w:val="2"/>
          </w:tcPr>
          <w:p>
            <w:pPr>
              <w:jc w:val="center"/>
              <w:ind w:right="178"/>
              <w:spacing w:after="0" w:line="135" w:lineRule="exact"/>
              <w:rPr>
                <w:sz w:val="20"/>
                <w:szCs w:val="20"/>
                <w:color w:val="auto"/>
              </w:rPr>
            </w:pPr>
            <w:r>
              <w:rPr>
                <w:rFonts w:ascii="Arial" w:cs="Arial" w:eastAsia="Arial" w:hAnsi="Arial"/>
                <w:sz w:val="13"/>
                <w:szCs w:val="13"/>
                <w:b w:val="1"/>
                <w:bCs w:val="1"/>
                <w:color w:val="auto"/>
                <w:w w:val="82"/>
              </w:rPr>
              <w:t>Net change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December</w:t>
            </w:r>
          </w:p>
        </w:tc>
        <w:tc>
          <w:tcPr>
            <w:tcW w:w="1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Industry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2"/>
              </w:rPr>
              <w:t>Advances/</w:t>
            </w:r>
          </w:p>
        </w:tc>
        <w:tc>
          <w:tcPr>
            <w:tcW w:w="6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1"/>
                <w:szCs w:val="11"/>
                <w:color w:val="auto"/>
              </w:rPr>
            </w:pPr>
          </w:p>
        </w:tc>
        <w:tc>
          <w:tcPr>
            <w:tcW w:w="82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3"/>
          </w:tcPr>
          <w:p>
            <w:pPr>
              <w:jc w:val="center"/>
              <w:ind w:right="118"/>
              <w:spacing w:after="0" w:line="135" w:lineRule="exact"/>
              <w:rPr>
                <w:sz w:val="20"/>
                <w:szCs w:val="20"/>
                <w:color w:val="auto"/>
              </w:rPr>
            </w:pPr>
            <w:r>
              <w:rPr>
                <w:rFonts w:ascii="Arial" w:cs="Arial" w:eastAsia="Arial" w:hAnsi="Arial"/>
                <w:sz w:val="13"/>
                <w:szCs w:val="13"/>
                <w:b w:val="1"/>
                <w:bCs w:val="1"/>
                <w:color w:val="auto"/>
                <w:w w:val="88"/>
              </w:rPr>
              <w:t>in unrealized</w:t>
            </w:r>
          </w:p>
        </w:tc>
        <w:tc>
          <w:tcPr>
            <w:tcW w:w="80" w:type="dxa"/>
            <w:vAlign w:val="bottom"/>
          </w:tcPr>
          <w:p>
            <w:pPr>
              <w:spacing w:after="0"/>
              <w:rPr>
                <w:sz w:val="11"/>
                <w:szCs w:val="11"/>
                <w:color w:val="auto"/>
              </w:rPr>
            </w:pP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3"/>
              </w:rPr>
              <w:t>Realized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(Distributions)</w:t>
            </w:r>
          </w:p>
        </w:tc>
        <w:tc>
          <w:tcPr>
            <w:tcW w:w="6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Accretion</w:t>
            </w:r>
          </w:p>
        </w:tc>
        <w:tc>
          <w:tcPr>
            <w:tcW w:w="80" w:type="dxa"/>
            <w:vAlign w:val="bottom"/>
          </w:tcPr>
          <w:p>
            <w:pPr>
              <w:spacing w:after="0"/>
              <w:rPr>
                <w:sz w:val="13"/>
                <w:szCs w:val="13"/>
                <w:color w:val="auto"/>
              </w:rPr>
            </w:pPr>
          </w:p>
        </w:tc>
        <w:tc>
          <w:tcPr>
            <w:tcW w:w="82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90"/>
              </w:rPr>
              <w:t>Affiliates</w:t>
            </w:r>
          </w:p>
        </w:tc>
        <w:tc>
          <w:tcPr>
            <w:tcW w:w="900" w:type="dxa"/>
            <w:vAlign w:val="bottom"/>
            <w:gridSpan w:val="3"/>
          </w:tcPr>
          <w:p>
            <w:pPr>
              <w:jc w:val="center"/>
              <w:ind w:right="118"/>
              <w:spacing w:after="0"/>
              <w:rPr>
                <w:sz w:val="20"/>
                <w:szCs w:val="20"/>
                <w:color w:val="auto"/>
              </w:rPr>
            </w:pPr>
            <w:r>
              <w:rPr>
                <w:rFonts w:ascii="Arial" w:cs="Arial" w:eastAsia="Arial" w:hAnsi="Arial"/>
                <w:sz w:val="13"/>
                <w:szCs w:val="13"/>
                <w:b w:val="1"/>
                <w:bCs w:val="1"/>
                <w:color w:val="auto"/>
                <w:w w:val="86"/>
              </w:rPr>
              <w:t>Gain/(Loss)</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86"/>
              </w:rPr>
              <w:t>Gain/(Loss)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4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4"/>
              </w:rPr>
              <w:t>Asset Manager Affiliates</w:t>
            </w:r>
            <w:r>
              <w:rPr>
                <w:rFonts w:ascii="Arial" w:cs="Arial" w:eastAsia="Arial" w:hAnsi="Arial"/>
                <w:sz w:val="10"/>
                <w:szCs w:val="10"/>
                <w:color w:val="auto"/>
                <w:w w:val="94"/>
              </w:rPr>
              <w:t>(4)</w:t>
            </w:r>
          </w:p>
        </w:tc>
        <w:tc>
          <w:tcPr>
            <w:tcW w:w="4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320" w:type="dxa"/>
            <w:vAlign w:val="bottom"/>
            <w:gridSpan w:val="2"/>
            <w:shd w:val="clear" w:color="auto" w:fill="CFF0FC"/>
          </w:tcPr>
          <w:p>
            <w:pPr>
              <w:ind w:left="40"/>
              <w:spacing w:after="0" w:line="135" w:lineRule="exact"/>
              <w:rPr>
                <w:sz w:val="20"/>
                <w:szCs w:val="20"/>
                <w:color w:val="auto"/>
              </w:rPr>
            </w:pPr>
            <w:r>
              <w:rPr>
                <w:rFonts w:ascii="Arial" w:cs="Arial" w:eastAsia="Arial" w:hAnsi="Arial"/>
                <w:sz w:val="13"/>
                <w:szCs w:val="13"/>
                <w:color w:val="auto"/>
              </w:rPr>
              <w:t>Management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Company</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w w:val="97"/>
              </w:rPr>
              <w:t>Tank Partners Equipment</w:t>
            </w:r>
          </w:p>
        </w:tc>
        <w:tc>
          <w:tcPr>
            <w:tcW w:w="132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Energy: Oil &amp;</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w w:val="99"/>
              </w:rPr>
              <w:t>Holdings, LLC(3)(4)(5)(8)</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Gas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7"/>
              </w:rPr>
              <w:t>Tank Partners Equipment</w:t>
            </w:r>
          </w:p>
        </w:tc>
        <w:tc>
          <w:tcPr>
            <w:tcW w:w="132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Energy: Oil &amp;</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Holdings, LLC(3)(4)(5)</w:t>
            </w:r>
          </w:p>
        </w:tc>
        <w:tc>
          <w:tcPr>
            <w:tcW w:w="1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Gas</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(195,850)</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699,199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1460" w:type="dxa"/>
            <w:vAlign w:val="bottom"/>
          </w:tcPr>
          <w:p>
            <w:pPr>
              <w:spacing w:after="0" w:line="139" w:lineRule="exact"/>
              <w:rPr>
                <w:sz w:val="20"/>
                <w:szCs w:val="20"/>
                <w:color w:val="auto"/>
              </w:rPr>
            </w:pPr>
            <w:r>
              <w:rPr>
                <w:rFonts w:ascii="Arial" w:cs="Arial" w:eastAsia="Arial" w:hAnsi="Arial"/>
                <w:sz w:val="13"/>
                <w:szCs w:val="13"/>
                <w:color w:val="auto"/>
                <w:w w:val="96"/>
              </w:rPr>
              <w:t xml:space="preserve">KCAP Freedom 3, LLC </w:t>
            </w:r>
            <w:r>
              <w:rPr>
                <w:rFonts w:ascii="Arial" w:cs="Arial" w:eastAsia="Arial" w:hAnsi="Arial"/>
                <w:sz w:val="10"/>
                <w:szCs w:val="10"/>
                <w:color w:val="auto"/>
                <w:w w:val="96"/>
              </w:rPr>
              <w:t>(3)</w:t>
            </w:r>
          </w:p>
        </w:tc>
        <w:tc>
          <w:tcPr>
            <w:tcW w:w="1320" w:type="dxa"/>
            <w:vAlign w:val="bottom"/>
            <w:gridSpan w:val="2"/>
          </w:tcPr>
          <w:p>
            <w:pPr>
              <w:ind w:left="40"/>
              <w:spacing w:after="0" w:line="139" w:lineRule="exact"/>
              <w:rPr>
                <w:sz w:val="20"/>
                <w:szCs w:val="20"/>
                <w:color w:val="auto"/>
              </w:rPr>
            </w:pPr>
            <w:r>
              <w:rPr>
                <w:rFonts w:ascii="Arial" w:cs="Arial" w:eastAsia="Arial" w:hAnsi="Arial"/>
                <w:sz w:val="13"/>
                <w:szCs w:val="13"/>
                <w:color w:val="auto"/>
              </w:rPr>
              <w:t>Joint Venture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5"/>
              </w:rPr>
              <w:t>21,307,899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vMerge w:val="restart"/>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vMerge w:val="restart"/>
          </w:tcPr>
          <w:p>
            <w:pPr>
              <w:jc w:val="right"/>
              <w:ind w:right="78"/>
              <w:spacing w:after="0"/>
              <w:rPr>
                <w:sz w:val="20"/>
                <w:szCs w:val="20"/>
                <w:color w:val="auto"/>
              </w:rPr>
            </w:pPr>
            <w:r>
              <w:rPr>
                <w:rFonts w:ascii="Arial" w:cs="Arial" w:eastAsia="Arial" w:hAnsi="Arial"/>
                <w:sz w:val="13"/>
                <w:szCs w:val="13"/>
                <w:color w:val="auto"/>
              </w:rPr>
              <w:t>(1,559,091)</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89"/>
              </w:rPr>
              <w:t>19,748,808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w w:val="95"/>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4,262,781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60" w:type="dxa"/>
            <w:vAlign w:val="bottom"/>
          </w:tcPr>
          <w:p>
            <w:pPr>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4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21,711,515</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9"/>
              </w:rPr>
              <w:t>(1,754,941)</w:t>
            </w: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19,956,574</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43,259,429</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4,262,781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460" w:type="dxa"/>
            <w:vAlign w:val="bottom"/>
          </w:tcPr>
          <w:p>
            <w:pPr>
              <w:spacing w:after="0"/>
              <w:rPr>
                <w:sz w:val="20"/>
                <w:szCs w:val="20"/>
                <w:color w:val="auto"/>
              </w:rPr>
            </w:pPr>
            <w:r>
              <w:rPr>
                <w:rFonts w:ascii="Arial" w:cs="Arial" w:eastAsia="Arial" w:hAnsi="Arial"/>
                <w:sz w:val="13"/>
                <w:szCs w:val="13"/>
                <w:color w:val="auto"/>
                <w:w w:val="92"/>
              </w:rPr>
              <w:t>BCP Great Lakes Holdings</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Joint Venture</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LP(7)(9)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23,780,068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6,337,919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(517,632)</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29,600,355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30,077,688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2,648,637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32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(356,296)</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(2,611,423)</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(2,538,599)</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32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CLO Fund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Securities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6,379,580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(579,607)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582,206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(3,835,632)</w:t>
            </w:r>
          </w:p>
        </w:tc>
        <w:tc>
          <w:tcPr>
            <w:tcW w:w="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(2,546,548)</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582,206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32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(60,226)</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(1,131,933)</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32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CLO Fund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Securities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2,514,130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(232,157)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285,634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(1,609,400)</w:t>
            </w:r>
          </w:p>
        </w:tc>
        <w:tc>
          <w:tcPr>
            <w:tcW w:w="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(958,207)</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285,634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32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(1,084,589)</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(3,549,000)</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rPr>
              <w:t>(2,465,197)</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32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CLO Fund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Securities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8,530,751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(1,552,728)</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1,116,320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78"/>
              <w:spacing w:after="0"/>
              <w:rPr>
                <w:sz w:val="20"/>
                <w:szCs w:val="20"/>
                <w:color w:val="auto"/>
              </w:rPr>
            </w:pPr>
            <w:r>
              <w:rPr>
                <w:rFonts w:ascii="Arial" w:cs="Arial" w:eastAsia="Arial" w:hAnsi="Arial"/>
                <w:sz w:val="13"/>
                <w:szCs w:val="13"/>
                <w:color w:val="auto"/>
              </w:rPr>
              <w:t>(6,655,000)</w:t>
            </w:r>
          </w:p>
        </w:tc>
        <w:tc>
          <w:tcPr>
            <w:tcW w:w="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(1,439,343)</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1,116,320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460" w:type="dxa"/>
            <w:vAlign w:val="bottom"/>
            <w:shd w:val="clear" w:color="auto" w:fill="CFF0FC"/>
          </w:tcPr>
          <w:p>
            <w:pPr>
              <w:spacing w:after="0" w:line="149" w:lineRule="exact"/>
              <w:rPr>
                <w:sz w:val="20"/>
                <w:szCs w:val="20"/>
                <w:color w:val="auto"/>
              </w:rPr>
            </w:pPr>
            <w:r>
              <w:rPr>
                <w:rFonts w:ascii="Arial" w:cs="Arial" w:eastAsia="Arial" w:hAnsi="Arial"/>
                <w:sz w:val="13"/>
                <w:szCs w:val="13"/>
                <w:color w:val="auto"/>
                <w:w w:val="94"/>
              </w:rPr>
              <w:t>Navex Topco, Inc.(3)(4)(7)</w:t>
            </w:r>
          </w:p>
        </w:tc>
        <w:tc>
          <w:tcPr>
            <w:tcW w:w="1320" w:type="dxa"/>
            <w:vAlign w:val="bottom"/>
            <w:gridSpan w:val="2"/>
            <w:shd w:val="clear" w:color="auto" w:fill="CFF0FC"/>
          </w:tcPr>
          <w:p>
            <w:pPr>
              <w:ind w:left="40"/>
              <w:spacing w:after="0" w:line="149" w:lineRule="exact"/>
              <w:rPr>
                <w:sz w:val="20"/>
                <w:szCs w:val="20"/>
                <w:color w:val="auto"/>
              </w:rPr>
            </w:pPr>
            <w:r>
              <w:rPr>
                <w:rFonts w:ascii="Arial" w:cs="Arial" w:eastAsia="Arial" w:hAnsi="Arial"/>
                <w:sz w:val="13"/>
                <w:szCs w:val="13"/>
                <w:color w:val="auto"/>
              </w:rPr>
              <w:t>Electronics</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7,636,090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83,487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38"/>
              <w:spacing w:after="0" w:line="14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78"/>
              <w:spacing w:after="0" w:line="149" w:lineRule="exact"/>
              <w:rPr>
                <w:sz w:val="20"/>
                <w:szCs w:val="20"/>
                <w:color w:val="auto"/>
              </w:rPr>
            </w:pPr>
            <w:r>
              <w:rPr>
                <w:rFonts w:ascii="Arial" w:cs="Arial" w:eastAsia="Arial" w:hAnsi="Arial"/>
                <w:sz w:val="13"/>
                <w:szCs w:val="13"/>
                <w:color w:val="auto"/>
              </w:rPr>
              <w:t>(231,327)</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7,488,250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7,700,000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575,477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Zest Acquisition Corp.(3)</w:t>
            </w:r>
          </w:p>
        </w:tc>
        <w:tc>
          <w:tcPr>
            <w:tcW w:w="1320" w:type="dxa"/>
            <w:vAlign w:val="bottom"/>
            <w:gridSpan w:val="2"/>
          </w:tcPr>
          <w:p>
            <w:pPr>
              <w:ind w:left="40"/>
              <w:spacing w:after="0" w:line="134" w:lineRule="exact"/>
              <w:rPr>
                <w:sz w:val="20"/>
                <w:szCs w:val="20"/>
                <w:color w:val="auto"/>
              </w:rPr>
            </w:pPr>
            <w:r>
              <w:rPr>
                <w:rFonts w:ascii="Arial" w:cs="Arial" w:eastAsia="Arial" w:hAnsi="Arial"/>
                <w:sz w:val="13"/>
                <w:szCs w:val="13"/>
                <w:color w:val="auto"/>
                <w:w w:val="98"/>
              </w:rPr>
              <w:t>Healthcare, Education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(4)(7)</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and Childcare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3,306,092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2,808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78"/>
              <w:spacing w:after="0"/>
              <w:rPr>
                <w:sz w:val="20"/>
                <w:szCs w:val="20"/>
                <w:color w:val="auto"/>
              </w:rPr>
            </w:pPr>
            <w:r>
              <w:rPr>
                <w:rFonts w:ascii="Arial" w:cs="Arial" w:eastAsia="Arial" w:hAnsi="Arial"/>
                <w:sz w:val="13"/>
                <w:szCs w:val="13"/>
                <w:color w:val="auto"/>
              </w:rPr>
              <w:t>(17,500)</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3,291,400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310,292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OCI Holdings, LLC(3)(4)</w:t>
            </w:r>
          </w:p>
        </w:tc>
        <w:tc>
          <w:tcPr>
            <w:tcW w:w="1320" w:type="dxa"/>
            <w:vAlign w:val="bottom"/>
            <w:gridSpan w:val="2"/>
            <w:shd w:val="clear" w:color="auto" w:fill="CFF0FC"/>
          </w:tcPr>
          <w:p>
            <w:pPr>
              <w:ind w:left="40"/>
              <w:spacing w:after="0" w:line="134" w:lineRule="exact"/>
              <w:rPr>
                <w:sz w:val="20"/>
                <w:szCs w:val="20"/>
                <w:color w:val="auto"/>
              </w:rPr>
            </w:pPr>
            <w:r>
              <w:rPr>
                <w:rFonts w:ascii="Arial" w:cs="Arial" w:eastAsia="Arial" w:hAnsi="Arial"/>
                <w:sz w:val="13"/>
                <w:szCs w:val="13"/>
                <w:color w:val="auto"/>
              </w:rPr>
              <w:t>Healthcare &amp;</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(7)</w:t>
            </w:r>
          </w:p>
        </w:tc>
        <w:tc>
          <w:tcPr>
            <w:tcW w:w="132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Pharmaceuticals</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(2,706,977)</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284,696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460" w:type="dxa"/>
            <w:vAlign w:val="bottom"/>
          </w:tcPr>
          <w:p>
            <w:pPr>
              <w:spacing w:after="0" w:line="134" w:lineRule="exact"/>
              <w:rPr>
                <w:sz w:val="20"/>
                <w:szCs w:val="20"/>
                <w:color w:val="auto"/>
              </w:rPr>
            </w:pPr>
            <w:r>
              <w:rPr>
                <w:rFonts w:ascii="Arial" w:cs="Arial" w:eastAsia="Arial" w:hAnsi="Arial"/>
                <w:sz w:val="13"/>
                <w:szCs w:val="13"/>
                <w:color w:val="auto"/>
              </w:rPr>
              <w:t>GIG Rooster Holdings I,</w:t>
            </w:r>
          </w:p>
        </w:tc>
        <w:tc>
          <w:tcPr>
            <w:tcW w:w="132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Energy: Oil &amp;</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LLC (10)</w:t>
            </w: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Gas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(200,156)</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123,354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200,156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123,354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46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4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67,128,578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(434,817)</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3,308,133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2"/>
              </w:rPr>
              <w:t>(18,260,455)</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78"/>
              <w:spacing w:after="0"/>
              <w:rPr>
                <w:sz w:val="20"/>
                <w:szCs w:val="20"/>
                <w:color w:val="auto"/>
              </w:rPr>
            </w:pPr>
            <w:r>
              <w:rPr>
                <w:rFonts w:ascii="Arial" w:cs="Arial" w:eastAsia="Arial" w:hAnsi="Arial"/>
                <w:sz w:val="13"/>
                <w:szCs w:val="13"/>
                <w:color w:val="auto"/>
                <w:w w:val="94"/>
              </w:rPr>
              <w:t>(11,722,931)</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484,852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40,503,359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103,150,387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4,107,606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2,648,637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2"/>
              </w:rPr>
              <w:t>Total Affiliated Investments</w:t>
            </w:r>
          </w:p>
        </w:tc>
        <w:tc>
          <w:tcPr>
            <w:tcW w:w="4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88,840,092</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(434,817)</w:t>
            </w: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$ 3,308,133</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(18,260,455</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(13,477,872</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484,852</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60,459,933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5"/>
              </w:rPr>
              <w:t>146,409,816</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4,107,607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6,911,418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40" w:hanging="372"/>
        <w:spacing w:after="0" w:line="301" w:lineRule="auto"/>
        <w:tabs>
          <w:tab w:leader="none" w:pos="380" w:val="left"/>
        </w:tabs>
        <w:numPr>
          <w:ilvl w:val="0"/>
          <w:numId w:val="45"/>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8" w:lineRule="exact"/>
        <w:rPr>
          <w:sz w:val="20"/>
          <w:szCs w:val="20"/>
          <w:color w:val="auto"/>
        </w:rPr>
      </w:pPr>
    </w:p>
    <w:p>
      <w:pPr>
        <w:ind w:left="380" w:right="280" w:hanging="372"/>
        <w:spacing w:after="0" w:line="263" w:lineRule="auto"/>
        <w:tabs>
          <w:tab w:leader="none" w:pos="380" w:val="left"/>
        </w:tabs>
        <w:numPr>
          <w:ilvl w:val="0"/>
          <w:numId w:val="46"/>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5" w:lineRule="exact"/>
        <w:rPr>
          <w:sz w:val="20"/>
          <w:szCs w:val="20"/>
          <w:color w:val="auto"/>
        </w:rPr>
      </w:pPr>
    </w:p>
    <w:p>
      <w:pPr>
        <w:ind w:left="380" w:right="40" w:hanging="372"/>
        <w:spacing w:after="0" w:line="286" w:lineRule="auto"/>
        <w:tabs>
          <w:tab w:leader="none" w:pos="380" w:val="left"/>
        </w:tabs>
        <w:numPr>
          <w:ilvl w:val="0"/>
          <w:numId w:val="47"/>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6"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0" w:right="339" w:bottom="1440" w:gutter="0" w:footer="0" w:header="0"/>
        </w:sectPr>
      </w:pPr>
    </w:p>
    <w:bookmarkStart w:id="54" w:name="page55"/>
    <w:bookmarkEnd w:id="54"/>
    <w:p>
      <w:pPr>
        <w:ind w:left="380" w:hanging="372"/>
        <w:spacing w:after="0"/>
        <w:tabs>
          <w:tab w:leader="none" w:pos="380" w:val="left"/>
        </w:tabs>
        <w:numPr>
          <w:ilvl w:val="0"/>
          <w:numId w:val="49"/>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113" w:lineRule="exact"/>
        <w:rPr>
          <w:sz w:val="20"/>
          <w:szCs w:val="20"/>
          <w:color w:val="auto"/>
        </w:rPr>
      </w:pPr>
    </w:p>
    <w:p>
      <w:pPr>
        <w:ind w:left="380" w:right="320" w:hanging="372"/>
        <w:spacing w:after="0" w:line="261" w:lineRule="auto"/>
        <w:tabs>
          <w:tab w:leader="none" w:pos="380" w:val="left"/>
        </w:tabs>
        <w:numPr>
          <w:ilvl w:val="0"/>
          <w:numId w:val="50"/>
        </w:numPr>
        <w:rPr>
          <w:rFonts w:ascii="Arial" w:cs="Arial" w:eastAsia="Arial" w:hAnsi="Arial"/>
          <w:sz w:val="15"/>
          <w:szCs w:val="15"/>
          <w:color w:val="auto"/>
        </w:rPr>
      </w:pPr>
      <w:r>
        <w:rPr>
          <w:rFonts w:ascii="Arial" w:cs="Arial" w:eastAsia="Arial" w:hAnsi="Arial"/>
          <w:sz w:val="18"/>
          <w:szCs w:val="18"/>
          <w:color w:val="auto"/>
        </w:rPr>
        <w:t>Underlying assets of investment were liquidated in December 2020, remaining fair value of investment is based on future cash flow payment to be received in the first quarter of 2021.</w:t>
      </w:r>
    </w:p>
    <w:p>
      <w:pPr>
        <w:spacing w:after="0" w:line="184"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18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For the three months ended June 30, 2021 and 2020, the Company recognized $2.5 million and $1.0 million, respectively, in investment income from its investments in Joint Ventures. For the six months ended June 30, 2021 and 2020, the Company recognized $4.6 million and $2.6 million, respectively, in investment income from its investments in Joint Ventures. As of June 30, 2021 and December 31, 2020, the aggregate fair value of the Company’s investments in Joint Ventures was approximately $61.1 million and $49.3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88"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55"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3" w:lineRule="exact"/>
        <w:rPr>
          <w:sz w:val="20"/>
          <w:szCs w:val="20"/>
          <w:color w:val="auto"/>
        </w:rPr>
      </w:pPr>
    </w:p>
    <w:p>
      <w:pPr>
        <w:ind w:right="120" w:firstLine="374"/>
        <w:spacing w:after="0" w:line="273" w:lineRule="auto"/>
        <w:rPr>
          <w:sz w:val="20"/>
          <w:szCs w:val="20"/>
          <w:color w:val="auto"/>
        </w:rPr>
      </w:pPr>
      <w:r>
        <w:rPr>
          <w:rFonts w:ascii="Arial" w:cs="Arial" w:eastAsia="Arial" w:hAnsi="Arial"/>
          <w:sz w:val="17"/>
          <w:szCs w:val="17"/>
          <w:color w:val="auto"/>
        </w:rPr>
        <w:t>During the second quarter of 2021, the Company contributed an additional $2.5 million cash investment, increasing its equity ownership interest to 62.83%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68"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5"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6"/>
          </w:tcPr>
          <w:p>
            <w:pPr>
              <w:ind w:left="780"/>
              <w:spacing w:after="0"/>
              <w:rPr>
                <w:sz w:val="20"/>
                <w:szCs w:val="20"/>
                <w:color w:val="auto"/>
              </w:rPr>
            </w:pPr>
            <w:r>
              <w:rPr>
                <w:rFonts w:ascii="Arial" w:cs="Arial" w:eastAsia="Arial" w:hAnsi="Arial"/>
                <w:sz w:val="18"/>
                <w:szCs w:val="18"/>
                <w:b w:val="1"/>
                <w:bCs w:val="1"/>
                <w:color w:val="auto"/>
              </w:rPr>
              <w:t>KCAP Freedom 3 LLC</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020" w:type="dxa"/>
            <w:vAlign w:val="bottom"/>
            <w:gridSpan w:val="8"/>
          </w:tcPr>
          <w:p>
            <w:pPr>
              <w:jc w:val="center"/>
              <w:ind w:left="150"/>
              <w:spacing w:after="0"/>
              <w:rPr>
                <w:sz w:val="20"/>
                <w:szCs w:val="20"/>
                <w:color w:val="auto"/>
              </w:rPr>
            </w:pPr>
            <w:r>
              <w:rPr>
                <w:rFonts w:ascii="Arial" w:cs="Arial" w:eastAsia="Arial" w:hAnsi="Arial"/>
                <w:sz w:val="18"/>
                <w:szCs w:val="18"/>
                <w:color w:val="auto"/>
                <w:w w:val="91"/>
              </w:rPr>
              <w:t>Summarized Statement of Financial Condition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5"/>
            <w:vMerge w:val="restart"/>
          </w:tcPr>
          <w:p>
            <w:pPr>
              <w:jc w:val="center"/>
              <w:ind w:right="58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8"/>
              </w:rPr>
              <w:t>As of June 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Cash</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2,500,000</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31,928,079</w:t>
            </w:r>
          </w:p>
        </w:tc>
        <w:tc>
          <w:tcPr>
            <w:tcW w:w="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31,404,100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0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34,428,079</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31,404,100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182,389</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167,389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34,245,690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31,236,711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34,428,079</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31,404,100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4"/>
            <w:vMerge w:val="restart"/>
          </w:tcPr>
          <w:p>
            <w:pPr>
              <w:jc w:val="center"/>
              <w:ind w:left="470"/>
              <w:spacing w:after="0"/>
              <w:rPr>
                <w:sz w:val="20"/>
                <w:szCs w:val="20"/>
                <w:color w:val="auto"/>
              </w:rPr>
            </w:pPr>
            <w:r>
              <w:rPr>
                <w:rFonts w:ascii="Arial" w:cs="Arial" w:eastAsia="Arial" w:hAnsi="Arial"/>
                <w:sz w:val="18"/>
                <w:szCs w:val="18"/>
                <w:b w:val="1"/>
                <w:bCs w:val="1"/>
                <w:color w:val="auto"/>
                <w:w w:val="96"/>
              </w:rPr>
              <w:t>KCAP Freedom 3 LLC</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6"/>
          </w:tcPr>
          <w:p>
            <w:pPr>
              <w:jc w:val="center"/>
              <w:ind w:right="400"/>
              <w:spacing w:after="0"/>
              <w:rPr>
                <w:sz w:val="20"/>
                <w:szCs w:val="20"/>
                <w:color w:val="auto"/>
              </w:rPr>
            </w:pPr>
            <w:r>
              <w:rPr>
                <w:rFonts w:ascii="Arial" w:cs="Arial" w:eastAsia="Arial" w:hAnsi="Arial"/>
                <w:sz w:val="18"/>
                <w:szCs w:val="18"/>
                <w:color w:val="auto"/>
                <w:w w:val="89"/>
              </w:rPr>
              <w:t>Summarized Statement of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(unaudited)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10"/>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6"/>
          </w:tcPr>
          <w:p>
            <w:pPr>
              <w:ind w:left="66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11"/>
          </w:tcPr>
          <w:p>
            <w:pPr>
              <w:ind w:left="1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34"/>
        </w:trPr>
        <w:tc>
          <w:tcPr>
            <w:tcW w:w="350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1,764,197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7"/>
              </w:rPr>
              <w:t>1,178,220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w w:val="87"/>
              </w:rPr>
              <w:t>3,299,036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2,395,633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11,500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16,155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1,764,197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7"/>
              </w:rPr>
              <w:t>1,166,720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w w:val="87"/>
              </w:rPr>
              <w:t>3,282,881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2,364,133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(436,087)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7"/>
              </w:rPr>
              <w:t>3,835,990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87"/>
              </w:rPr>
              <w:t>1,329,918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(7,363,326)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1,328,110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7"/>
              </w:rPr>
              <w:t>5,002,710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w w:val="87"/>
              </w:rPr>
              <w:t>4,612,799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(4,999,193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6"/>
              </w:rPr>
              <w:t>KCAP Freedom 3 LLC</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4"/>
          </w:tcPr>
          <w:p>
            <w:pPr>
              <w:jc w:val="center"/>
              <w:ind w:left="470"/>
              <w:spacing w:after="0"/>
              <w:rPr>
                <w:sz w:val="20"/>
                <w:szCs w:val="20"/>
                <w:color w:val="auto"/>
              </w:rPr>
            </w:pPr>
            <w:r>
              <w:rPr>
                <w:rFonts w:ascii="Arial" w:cs="Arial" w:eastAsia="Arial" w:hAnsi="Arial"/>
                <w:sz w:val="18"/>
                <w:szCs w:val="18"/>
                <w:color w:val="auto"/>
                <w:w w:val="89"/>
              </w:rPr>
              <w:t>Schedule of Investments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4"/>
          </w:tcPr>
          <w:p>
            <w:pPr>
              <w:jc w:val="center"/>
              <w:ind w:left="470"/>
              <w:spacing w:after="0"/>
              <w:rPr>
                <w:sz w:val="20"/>
                <w:szCs w:val="20"/>
                <w:color w:val="auto"/>
              </w:rPr>
            </w:pPr>
            <w:r>
              <w:rPr>
                <w:rFonts w:ascii="Arial" w:cs="Arial" w:eastAsia="Arial" w:hAnsi="Arial"/>
                <w:sz w:val="18"/>
                <w:szCs w:val="18"/>
                <w:color w:val="auto"/>
                <w:w w:val="87"/>
              </w:rPr>
              <w:t>June 30, 2021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(unaudited)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Percentage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Ownership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by Joint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4"/>
          </w:tcPr>
          <w:p>
            <w:pPr>
              <w:jc w:val="right"/>
              <w:ind w:right="907"/>
              <w:spacing w:after="0"/>
              <w:rPr>
                <w:sz w:val="20"/>
                <w:szCs w:val="20"/>
                <w:color w:val="auto"/>
              </w:rPr>
            </w:pPr>
            <w:r>
              <w:rPr>
                <w:rFonts w:ascii="Arial" w:cs="Arial" w:eastAsia="Arial" w:hAnsi="Arial"/>
                <w:sz w:val="18"/>
                <w:szCs w:val="18"/>
                <w:b w:val="1"/>
                <w:bCs w:val="1"/>
                <w:color w:val="auto"/>
              </w:rPr>
              <w:t>Investment</w:t>
            </w: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Venture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5"/>
          </w:tcPr>
          <w:p>
            <w:pPr>
              <w:ind w:left="1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8"/>
        </w:trPr>
        <w:tc>
          <w:tcPr>
            <w:tcW w:w="3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w:t>
            </w: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60" w:type="dxa"/>
            <w:vAlign w:val="bottom"/>
            <w:gridSpan w:val="5"/>
            <w:shd w:val="clear" w:color="auto" w:fill="CFF0FC"/>
          </w:tcPr>
          <w:p>
            <w:pPr>
              <w:ind w:left="160"/>
              <w:spacing w:after="0"/>
              <w:rPr>
                <w:sz w:val="20"/>
                <w:szCs w:val="20"/>
                <w:color w:val="auto"/>
              </w:rPr>
            </w:pPr>
            <w:r>
              <w:rPr>
                <w:rFonts w:ascii="Arial" w:cs="Arial" w:eastAsia="Arial" w:hAnsi="Arial"/>
                <w:sz w:val="18"/>
                <w:szCs w:val="18"/>
                <w:color w:val="auto"/>
              </w:rPr>
              <w:t>effective interest 6.8%,</w:t>
            </w: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560" w:type="dxa"/>
            <w:vAlign w:val="bottom"/>
            <w:gridSpan w:val="5"/>
            <w:shd w:val="clear" w:color="auto" w:fill="CFF0FC"/>
          </w:tcPr>
          <w:p>
            <w:pPr>
              <w:ind w:left="160"/>
              <w:spacing w:after="0"/>
              <w:rPr>
                <w:sz w:val="20"/>
                <w:szCs w:val="20"/>
                <w:color w:val="auto"/>
              </w:rPr>
            </w:pPr>
            <w:r>
              <w:rPr>
                <w:rFonts w:ascii="Arial" w:cs="Arial" w:eastAsia="Arial" w:hAnsi="Arial"/>
                <w:sz w:val="18"/>
                <w:szCs w:val="18"/>
                <w:color w:val="auto"/>
              </w:rPr>
              <w:t>12/29 maturity</w:t>
            </w:r>
          </w:p>
        </w:tc>
        <w:tc>
          <w:tcPr>
            <w:tcW w:w="132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38,180,274</w:t>
            </w:r>
          </w:p>
        </w:tc>
        <w:tc>
          <w:tcPr>
            <w:tcW w:w="2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31,928,079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38,180,274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31,928,079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80" w:hanging="372"/>
        <w:spacing w:after="0" w:line="254" w:lineRule="auto"/>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Percentage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Ownership</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by Joint</w:t>
            </w:r>
          </w:p>
        </w:tc>
        <w:tc>
          <w:tcPr>
            <w:tcW w:w="20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216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Venture</w:t>
            </w:r>
          </w:p>
        </w:tc>
        <w:tc>
          <w:tcPr>
            <w:tcW w:w="200" w:type="dxa"/>
            <w:vAlign w:val="bottom"/>
          </w:tcPr>
          <w:p>
            <w:pPr>
              <w:spacing w:after="0"/>
              <w:rPr>
                <w:sz w:val="20"/>
                <w:szCs w:val="20"/>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980" w:type="dxa"/>
            <w:vAlign w:val="bottom"/>
            <w:shd w:val="clear" w:color="auto" w:fill="CFF0FC"/>
          </w:tcPr>
          <w:p>
            <w:pPr>
              <w:spacing w:after="0"/>
              <w:rPr>
                <w:sz w:val="18"/>
                <w:szCs w:val="18"/>
                <w:color w:val="auto"/>
              </w:rPr>
            </w:pPr>
          </w:p>
        </w:tc>
        <w:tc>
          <w:tcPr>
            <w:tcW w:w="232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effective interest 12.3%,</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p>
        </w:tc>
        <w:tc>
          <w:tcPr>
            <w:tcW w:w="232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12/29 maturity</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38,986,212</w:t>
            </w:r>
          </w:p>
        </w:tc>
        <w:tc>
          <w:tcPr>
            <w:tcW w:w="2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20"/>
                <w:szCs w:val="20"/>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38,986,212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380" w:hanging="372"/>
        <w:spacing w:after="0" w:line="254" w:lineRule="auto"/>
        <w:tabs>
          <w:tab w:leader="none" w:pos="380" w:val="left"/>
        </w:tabs>
        <w:numPr>
          <w:ilvl w:val="0"/>
          <w:numId w:val="53"/>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53"/>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9"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The fair value of the Company’s investment in the BCP Great Lakes Partnership at June 30, 2021 and December 31, 2020 was $38.6 million and $29.6 million. Fair value has been determined utilizing the practical expedient pursuant to ASC 820-10. Pursuant to the terms of the BCP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33" w:lineRule="exact"/>
        <w:rPr>
          <w:sz w:val="20"/>
          <w:szCs w:val="20"/>
          <w:color w:val="auto"/>
        </w:rPr>
      </w:pPr>
    </w:p>
    <w:p>
      <w:pPr>
        <w:ind w:right="340" w:firstLine="374"/>
        <w:spacing w:after="0" w:line="259" w:lineRule="auto"/>
        <w:rPr>
          <w:sz w:val="20"/>
          <w:szCs w:val="20"/>
          <w:color w:val="auto"/>
        </w:rPr>
      </w:pPr>
      <w:r>
        <w:rPr>
          <w:rFonts w:ascii="Arial" w:cs="Arial" w:eastAsia="Arial" w:hAnsi="Arial"/>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1940 Act). As of June 30, 2021 and December 31, 2020, the Company has a $11.4 million and $20.0 million, respectively unfunded commitment to the BCP Great Lakes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8"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firstLine="8"/>
        <w:spacing w:after="0" w:line="289" w:lineRule="auto"/>
        <w:tabs>
          <w:tab w:leader="none" w:pos="3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right="2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2"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4"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34"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49"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38" w:lineRule="exact"/>
        <w:rPr>
          <w:sz w:val="20"/>
          <w:szCs w:val="20"/>
          <w:color w:val="auto"/>
        </w:rPr>
      </w:pPr>
    </w:p>
    <w:p>
      <w:pPr>
        <w:ind w:right="42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June 30, 2021 (unaudited) and December 31, 2020,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8"/>
              </w:rPr>
              <w:t>As of June 30, 2021</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18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I</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NAV</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64,025,882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355,621,671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419,647,553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CLO Fund securities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17,064,290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17,064,290</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1,549,296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20,837,304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22,386,600</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Joint Ventures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22,422,334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38,647,542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61,069,876</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(1,802,675)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(1,802,675)</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1,549,296</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$ 64,025,882</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$ 414,142,924</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38,647,542</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$ 518,365,644</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7"/>
          </w:tcPr>
          <w:p>
            <w:pPr>
              <w:ind w:left="76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18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I</w:t>
            </w: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II</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Level III</w:t>
            </w:r>
          </w:p>
        </w:tc>
        <w:tc>
          <w:tcPr>
            <w:tcW w:w="8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NAV</w:t>
            </w:r>
          </w:p>
        </w:tc>
        <w:tc>
          <w:tcPr>
            <w:tcW w:w="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70,615,841</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334,245,014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404,860,855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CLO Fund securities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19,582,555</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1,407,907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12,536,969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Joint Ventures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19,748,808</w:t>
            </w:r>
          </w:p>
        </w:tc>
        <w:tc>
          <w:tcPr>
            <w:tcW w:w="1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29,600,355</w:t>
            </w: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49,349,163</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(1,108,618)</w:t>
            </w: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(1,108,618)</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1,407,907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$ 70,615,841</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$ 385,004,728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$ 29,600,355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$ 486,628,831</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ind w:right="820"/>
        <w:spacing w:after="0" w:line="277" w:lineRule="auto"/>
        <w:rPr>
          <w:sz w:val="20"/>
          <w:szCs w:val="20"/>
          <w:color w:val="auto"/>
        </w:rPr>
      </w:pPr>
      <w:r>
        <w:rPr>
          <w:rFonts w:ascii="Arial" w:cs="Arial" w:eastAsia="Arial" w:hAnsi="Arial"/>
          <w:sz w:val="18"/>
          <w:szCs w:val="18"/>
          <w:color w:val="auto"/>
        </w:rPr>
        <w:t>Level III investments. Investment values derived by a third-party pricing service are generally deemed to be Level III values. For those that have observable trades, the Company considers them to be Level II.</w:t>
      </w:r>
    </w:p>
    <w:p>
      <w:pPr>
        <w:spacing w:after="0" w:line="12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June 30, 2021 and December 31, 2020 was $38.6 million and $23.8 million. Fair value has been determined utilizing the practical expedient pursuant to ASC 820-10.</w:t>
      </w:r>
    </w:p>
    <w:p>
      <w:pPr>
        <w:spacing w:after="0" w:line="142"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19"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ind w:left="280"/>
              <w:spacing w:after="0"/>
              <w:rPr>
                <w:sz w:val="20"/>
                <w:szCs w:val="20"/>
                <w:color w:val="auto"/>
              </w:rPr>
            </w:pPr>
            <w:r>
              <w:rPr>
                <w:rFonts w:ascii="Arial" w:cs="Arial" w:eastAsia="Arial" w:hAnsi="Arial"/>
                <w:sz w:val="16"/>
                <w:szCs w:val="16"/>
                <w:b w:val="1"/>
                <w:bCs w:val="1"/>
                <w:color w:val="auto"/>
              </w:rPr>
              <w:t>Six Months Ended June 30, 2021</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Asset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Debt</w:t>
            </w:r>
          </w:p>
        </w:tc>
        <w:tc>
          <w:tcPr>
            <w:tcW w:w="11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CLO Fund</w:t>
            </w:r>
          </w:p>
        </w:tc>
        <w:tc>
          <w:tcPr>
            <w:tcW w:w="10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Manager</w:t>
            </w:r>
          </w:p>
        </w:tc>
        <w:tc>
          <w:tcPr>
            <w:tcW w:w="10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Joint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Securities</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Affiliate</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Ventures</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334,245,014</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19,582,555</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12,536,969</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19,748,808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(1,108,618)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385,004,728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Transfers out of Level III¹</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(3,419,926)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(1,927,802)</w:t>
            </w: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(5,347,728)</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Transfers into Level III²</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25,815,569</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25,815,570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Net accretion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16,292,455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16,292,455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Purchases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240,546,276</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8,300,165</w:t>
            </w: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251,346,442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20"/>
                <w:szCs w:val="20"/>
                <w:color w:val="auto"/>
              </w:rPr>
            </w:pPr>
            <w:r>
              <w:rPr>
                <w:rFonts w:ascii="Arial" w:cs="Arial" w:eastAsia="Arial" w:hAnsi="Arial"/>
                <w:sz w:val="16"/>
                <w:szCs w:val="16"/>
                <w:color w:val="auto"/>
              </w:rPr>
              <w:t>Sales/Paydowns/Return of Capital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(249,883,746)</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(5,842,501)</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(936,070)</w:t>
            </w: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(440,000)</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(257,102,317)</w:t>
            </w:r>
          </w:p>
        </w:tc>
        <w:tc>
          <w:tcPr>
            <w:tcW w:w="0" w:type="dxa"/>
            <w:vAlign w:val="bottom"/>
          </w:tcPr>
          <w:p>
            <w:pPr>
              <w:spacing w:after="0"/>
              <w:rPr>
                <w:sz w:val="1"/>
                <w:szCs w:val="1"/>
                <w:color w:val="auto"/>
              </w:rPr>
            </w:pPr>
          </w:p>
        </w:tc>
      </w:tr>
      <w:tr>
        <w:trPr>
          <w:trHeight w:val="219"/>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Total realized gain (loss) included in earnings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(3,567,188)</w:t>
            </w: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(5,323,484)</w:t>
            </w:r>
          </w:p>
        </w:tc>
        <w:tc>
          <w:tcPr>
            <w:tcW w:w="10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(8,450,672)</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6"/>
                <w:szCs w:val="16"/>
                <w:color w:val="auto"/>
              </w:rPr>
              <w:t>Change in unrealized gain (loss) included in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(4,406,783)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8,647,719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2,864,042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(694,057)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6,584,446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June 30, 2021</w:t>
            </w: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355,621,671</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17,064,290</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20,837,304</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ind w:left="6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22,422,334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(1,802,674)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414,142,924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w w:val="96"/>
              </w:rPr>
              <w:t>Changes in unrealized gains (losses) included in</w:t>
            </w: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rPr>
                <w:sz w:val="20"/>
                <w:szCs w:val="20"/>
                <w:color w:val="auto"/>
              </w:rPr>
            </w:pPr>
            <w:r>
              <w:rPr>
                <w:rFonts w:ascii="Arial" w:cs="Arial" w:eastAsia="Arial" w:hAnsi="Arial"/>
                <w:sz w:val="16"/>
                <w:szCs w:val="16"/>
                <w:color w:val="auto"/>
              </w:rPr>
              <w:t>earnings related to investments still held at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reporting date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8,317,497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3,324,235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2,926,613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173,525</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(694,057)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14,267,526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160" w:hanging="372"/>
        <w:spacing w:after="0" w:line="257" w:lineRule="auto"/>
        <w:tabs>
          <w:tab w:leader="none" w:pos="380" w:val="left"/>
        </w:tabs>
        <w:numPr>
          <w:ilvl w:val="0"/>
          <w:numId w:val="55"/>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$5.3 million relating to debt securities and equity securities for which pricing inputs, other than their quoted prices in active markets were observable as of June 30, 2021.</w:t>
      </w:r>
    </w:p>
    <w:p>
      <w:pPr>
        <w:spacing w:after="0" w:line="1" w:lineRule="exact"/>
        <w:rPr>
          <w:sz w:val="20"/>
          <w:szCs w:val="20"/>
          <w:color w:val="auto"/>
        </w:rPr>
      </w:pPr>
    </w:p>
    <w:p>
      <w:pPr>
        <w:ind w:left="380" w:right="80" w:hanging="372"/>
        <w:spacing w:after="0" w:line="261"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8"/>
          <w:szCs w:val="18"/>
          <w:color w:val="auto"/>
        </w:rPr>
        <w:t>Transfers into Level III represent a transfer of $25.8 million relating to debt securities for which pricing inputs, other than their quoted prices in active markets were unobservable as of June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8"/>
                <w:szCs w:val="18"/>
                <w:b w:val="1"/>
                <w:bCs w:val="1"/>
                <w:color w:val="auto"/>
                <w:w w:val="94"/>
              </w:rPr>
              <w:t>Year Ended December 31, 2020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center"/>
              <w:ind w:right="51"/>
              <w:spacing w:after="0" w:line="204" w:lineRule="exact"/>
              <w:rPr>
                <w:sz w:val="20"/>
                <w:szCs w:val="20"/>
                <w:color w:val="auto"/>
              </w:rPr>
            </w:pPr>
            <w:r>
              <w:rPr>
                <w:rFonts w:ascii="Arial" w:cs="Arial" w:eastAsia="Arial" w:hAnsi="Arial"/>
                <w:sz w:val="18"/>
                <w:szCs w:val="18"/>
                <w:b w:val="1"/>
                <w:bCs w:val="1"/>
                <w:color w:val="auto"/>
                <w:w w:val="85"/>
              </w:rPr>
              <w:t>Asset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CLO Fund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Manager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Joint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Securities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Affiliate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Ventures</w:t>
            </w:r>
          </w:p>
        </w:tc>
        <w:tc>
          <w:tcPr>
            <w:tcW w:w="60" w:type="dxa"/>
            <w:vAlign w:val="bottom"/>
          </w:tcPr>
          <w:p>
            <w:pPr>
              <w:spacing w:after="0"/>
              <w:rPr>
                <w:sz w:val="20"/>
                <w:szCs w:val="20"/>
                <w:color w:val="auto"/>
              </w:rPr>
            </w:pPr>
          </w:p>
        </w:tc>
        <w:tc>
          <w:tcPr>
            <w:tcW w:w="110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89"/>
              </w:rPr>
              <w:t>Derivatives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148,382,726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31,968,202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9,864,419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21,307,899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211,489,810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(5,522,415)</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(5,522,415)</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7,414,985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3,541,296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10,956,281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297,330,176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3,529,804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300,859,980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(100,652,817)</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(4,432,200)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(1,515,936)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(976,968)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(107,577,921)</w:t>
            </w:r>
          </w:p>
        </w:tc>
        <w:tc>
          <w:tcPr>
            <w:tcW w:w="0" w:type="dxa"/>
            <w:vAlign w:val="bottom"/>
          </w:tcPr>
          <w:p>
            <w:pPr>
              <w:spacing w:after="0"/>
              <w:rPr>
                <w:sz w:val="1"/>
                <w:szCs w:val="1"/>
                <w:color w:val="auto"/>
              </w:rPr>
            </w:pPr>
          </w:p>
        </w:tc>
      </w:tr>
      <w:tr>
        <w:trPr>
          <w:trHeight w:val="215"/>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(loss) included in</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7,928,224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(989,131)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976,968</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7,916,061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color w:val="auto"/>
                <w:w w:val="93"/>
              </w:rPr>
              <w:t>Change in unrealized gain (loss) included 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(25,928,306)</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(11,494,743)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1,647,812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(1,559,091)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(1,075,182)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(38,409,510)</w:t>
            </w: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334,245,014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19,582,555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12,536,969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19,748,808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(1,108,618</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385,004,728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6"/>
              </w:rPr>
              <w:t>included in earnings related to investments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still held at reporting date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(7,416,722)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(11,494,743)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1,647,812</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(1,559,091)</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(1,075,182)</w:t>
            </w: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(19,897,926)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20" w:hanging="372"/>
        <w:spacing w:after="0" w:line="25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$5.5 million relating to debt securities for which pricing inputs, other than their quoted prices in active markets were observable as of December 31, 2020.</w:t>
      </w:r>
    </w:p>
    <w:p>
      <w:pPr>
        <w:spacing w:after="0" w:line="1" w:lineRule="exact"/>
        <w:rPr>
          <w:sz w:val="20"/>
          <w:szCs w:val="20"/>
          <w:color w:val="auto"/>
        </w:rPr>
      </w:pPr>
    </w:p>
    <w:p>
      <w:pPr>
        <w:ind w:left="380" w:right="160" w:hanging="372"/>
        <w:spacing w:after="0" w:line="261" w:lineRule="auto"/>
        <w:tabs>
          <w:tab w:leader="none" w:pos="380" w:val="left"/>
        </w:tabs>
        <w:numPr>
          <w:ilvl w:val="0"/>
          <w:numId w:val="58"/>
        </w:numPr>
        <w:rPr>
          <w:rFonts w:ascii="Arial" w:cs="Arial" w:eastAsia="Arial" w:hAnsi="Arial"/>
          <w:sz w:val="15"/>
          <w:szCs w:val="15"/>
          <w:color w:val="auto"/>
        </w:rPr>
      </w:pPr>
      <w:r>
        <w:rPr>
          <w:rFonts w:ascii="Arial" w:cs="Arial" w:eastAsia="Arial" w:hAnsi="Arial"/>
          <w:sz w:val="18"/>
          <w:szCs w:val="18"/>
          <w:color w:val="auto"/>
        </w:rPr>
        <w:t>Transfers into Level III represent a transfer of $5.3 million relating to debt securities for which pricing inputs, other than their quoted prices in active markets were unobservable as of December 31, 2020.</w:t>
      </w:r>
    </w:p>
    <w:p>
      <w:pPr>
        <w:spacing w:after="0" w:line="144" w:lineRule="exact"/>
        <w:rPr>
          <w:sz w:val="20"/>
          <w:szCs w:val="20"/>
          <w:color w:val="auto"/>
        </w:rPr>
      </w:pPr>
    </w:p>
    <w:p>
      <w:pPr>
        <w:ind w:right="40" w:firstLine="374"/>
        <w:spacing w:after="0" w:line="279" w:lineRule="auto"/>
        <w:rPr>
          <w:sz w:val="20"/>
          <w:szCs w:val="20"/>
          <w:color w:val="auto"/>
        </w:rPr>
      </w:pPr>
      <w:r>
        <w:rPr>
          <w:rFonts w:ascii="Arial" w:cs="Arial" w:eastAsia="Arial" w:hAnsi="Arial"/>
          <w:sz w:val="17"/>
          <w:szCs w:val="17"/>
          <w:color w:val="auto"/>
        </w:rPr>
        <w:t>As of June 30, 2021 and December 31, 2020,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$64.0 million and $70.6 million as of June 30, 2021 and December 31,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ind w:left="380"/>
        <w:spacing w:after="0"/>
        <w:rPr>
          <w:sz w:val="20"/>
          <w:szCs w:val="20"/>
          <w:color w:val="auto"/>
        </w:rPr>
      </w:pPr>
      <w:r>
        <w:rPr>
          <w:rFonts w:ascii="Arial" w:cs="Arial" w:eastAsia="Arial" w:hAnsi="Arial"/>
          <w:sz w:val="18"/>
          <w:szCs w:val="18"/>
          <w:color w:val="auto"/>
        </w:rPr>
        <w:t>As of June 30, 2021,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4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2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4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540"/>
              <w:spacing w:after="0"/>
              <w:rPr>
                <w:sz w:val="20"/>
                <w:szCs w:val="20"/>
                <w:color w:val="auto"/>
              </w:rPr>
            </w:pPr>
            <w:r>
              <w:rPr>
                <w:rFonts w:ascii="Arial" w:cs="Arial" w:eastAsia="Arial" w:hAnsi="Arial"/>
                <w:sz w:val="16"/>
                <w:szCs w:val="16"/>
                <w:b w:val="1"/>
                <w:bCs w:val="1"/>
                <w:color w:val="auto"/>
              </w:rPr>
              <w:t>Techniques</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20" w:type="dxa"/>
            <w:vAlign w:val="bottom"/>
            <w:tcBorders>
              <w:bottom w:val="single" w:sz="8" w:color="auto"/>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11,210,641</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3.8x-9.2x (7.3x)</w:t>
            </w: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Multiple</w:t>
            </w: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Debt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0.1x-1.0x (0.8x)</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317,691,793</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3.9%-107.4% (11.9%)</w:t>
            </w:r>
          </w:p>
        </w:tc>
        <w:tc>
          <w:tcPr>
            <w:tcW w:w="0" w:type="dxa"/>
            <w:vAlign w:val="bottom"/>
          </w:tcPr>
          <w:p>
            <w:pPr>
              <w:spacing w:after="0"/>
              <w:rPr>
                <w:sz w:val="1"/>
                <w:szCs w:val="1"/>
                <w:color w:val="auto"/>
              </w:rPr>
            </w:pPr>
          </w:p>
        </w:tc>
      </w:tr>
      <w:tr>
        <w:trPr>
          <w:trHeight w:val="98"/>
        </w:trPr>
        <w:tc>
          <w:tcPr>
            <w:tcW w:w="404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40" w:type="dxa"/>
            <w:vAlign w:val="bottom"/>
            <w:tcBorders>
              <w:left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04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26,719,237</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Recent Transaction</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Transaction Price</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97.0 - 100.0 (98.4)</w:t>
            </w:r>
          </w:p>
        </w:tc>
        <w:tc>
          <w:tcPr>
            <w:tcW w:w="0" w:type="dxa"/>
            <w:vAlign w:val="bottom"/>
          </w:tcPr>
          <w:p>
            <w:pPr>
              <w:spacing w:after="0"/>
              <w:rPr>
                <w:sz w:val="1"/>
                <w:szCs w:val="1"/>
                <w:color w:val="auto"/>
              </w:rPr>
            </w:pPr>
          </w:p>
        </w:tc>
      </w:tr>
      <w:tr>
        <w:trPr>
          <w:trHeight w:val="60"/>
        </w:trPr>
        <w:tc>
          <w:tcPr>
            <w:tcW w:w="4040" w:type="dxa"/>
            <w:vAlign w:val="bottom"/>
            <w:tcBorders>
              <w:left w:val="single" w:sz="8" w:color="auto"/>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15,337,304</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0.0x-12.3x (8.2x)</w:t>
            </w:r>
          </w:p>
        </w:tc>
        <w:tc>
          <w:tcPr>
            <w:tcW w:w="0" w:type="dxa"/>
            <w:vAlign w:val="bottom"/>
          </w:tcPr>
          <w:p>
            <w:pPr>
              <w:spacing w:after="0"/>
              <w:rPr>
                <w:sz w:val="1"/>
                <w:szCs w:val="1"/>
                <w:color w:val="auto"/>
              </w:rPr>
            </w:pPr>
          </w:p>
        </w:tc>
      </w:tr>
      <w:tr>
        <w:trPr>
          <w:trHeight w:val="98"/>
        </w:trPr>
        <w:tc>
          <w:tcPr>
            <w:tcW w:w="4040" w:type="dxa"/>
            <w:vAlign w:val="bottom"/>
            <w:tcBorders>
              <w:left w:val="single" w:sz="8" w:color="auto"/>
              <w:right w:val="single" w:sz="8" w:color="auto"/>
            </w:tcBorders>
          </w:tcPr>
          <w:p>
            <w:pPr>
              <w:spacing w:after="0"/>
              <w:rPr>
                <w:sz w:val="8"/>
                <w:szCs w:val="8"/>
                <w:color w:val="auto"/>
              </w:rPr>
            </w:pPr>
          </w:p>
        </w:tc>
        <w:tc>
          <w:tcPr>
            <w:tcW w:w="340" w:type="dxa"/>
            <w:vAlign w:val="bottom"/>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Multiple /</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4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WACC</w:t>
            </w: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0.0x-8.0x (0.3x)</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5,500,000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18.3%-18.8% (18.6%)</w:t>
            </w:r>
          </w:p>
        </w:tc>
        <w:tc>
          <w:tcPr>
            <w:tcW w:w="0" w:type="dxa"/>
            <w:vAlign w:val="bottom"/>
          </w:tcPr>
          <w:p>
            <w:pPr>
              <w:spacing w:after="0"/>
              <w:rPr>
                <w:sz w:val="1"/>
                <w:szCs w:val="1"/>
                <w:color w:val="auto"/>
              </w:rPr>
            </w:pPr>
          </w:p>
        </w:tc>
      </w:tr>
      <w:tr>
        <w:trPr>
          <w:trHeight w:val="98"/>
        </w:trPr>
        <w:tc>
          <w:tcPr>
            <w:tcW w:w="404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4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13.0%-13.5% (13.1%)</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1.5%-2.5% (1.8%)</w:t>
            </w: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17,064,290</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20.5%-35.0% (29.2%)</w:t>
            </w: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65.0%-79.5% (70.8%)</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14.0%-15.0% (14.5%)</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2.8%-3.3% (3.0%)</w:t>
            </w: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22,422,334</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21.5%-31.5% (26.5%)</w:t>
            </w: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68.5%-78.5% (73.5%)</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Transacted</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(1,802,675)</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Value/Contractual</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Financing Rate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414,142,924</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100" w:hanging="372"/>
        <w:spacing w:after="0" w:line="290" w:lineRule="auto"/>
        <w:tabs>
          <w:tab w:leader="none" w:pos="380" w:val="left"/>
        </w:tabs>
        <w:numPr>
          <w:ilvl w:val="0"/>
          <w:numId w:val="59"/>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7" w:lineRule="exact"/>
        <w:rPr>
          <w:sz w:val="20"/>
          <w:szCs w:val="20"/>
          <w:color w:val="auto"/>
        </w:rPr>
      </w:pPr>
    </w:p>
    <w:p>
      <w:pPr>
        <w:ind w:left="5540" w:right="3580" w:hanging="5532"/>
        <w:spacing w:after="0" w:line="512" w:lineRule="auto"/>
        <w:tabs>
          <w:tab w:leader="none" w:pos="378" w:val="left"/>
        </w:tabs>
        <w:numPr>
          <w:ilvl w:val="0"/>
          <w:numId w:val="60"/>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ind w:left="380"/>
        <w:spacing w:after="0"/>
        <w:rPr>
          <w:sz w:val="20"/>
          <w:szCs w:val="20"/>
          <w:color w:val="auto"/>
        </w:rPr>
      </w:pPr>
      <w:r>
        <w:rPr>
          <w:rFonts w:ascii="Arial" w:cs="Arial" w:eastAsia="Arial" w:hAnsi="Arial"/>
          <w:sz w:val="18"/>
          <w:szCs w:val="18"/>
          <w:color w:val="auto"/>
        </w:rPr>
        <w:t>As of December 31, 2020,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4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4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8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Unobservable</w:t>
            </w:r>
          </w:p>
        </w:tc>
        <w:tc>
          <w:tcPr>
            <w:tcW w:w="192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4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4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Borders>
              <w:bottom w:val="single" w:sz="8" w:color="auto"/>
              <w:right w:val="single" w:sz="8" w:color="auto"/>
            </w:tcBorders>
            <w:shd w:val="clear" w:color="auto" w:fill="DAEEF3"/>
          </w:tcPr>
          <w:p>
            <w:pPr>
              <w:ind w:left="540"/>
              <w:spacing w:after="0"/>
              <w:rPr>
                <w:sz w:val="20"/>
                <w:szCs w:val="20"/>
                <w:color w:val="auto"/>
              </w:rPr>
            </w:pPr>
            <w:r>
              <w:rPr>
                <w:rFonts w:ascii="Arial" w:cs="Arial" w:eastAsia="Arial" w:hAnsi="Arial"/>
                <w:sz w:val="16"/>
                <w:szCs w:val="16"/>
                <w:b w:val="1"/>
                <w:bCs w:val="1"/>
                <w:color w:val="auto"/>
              </w:rPr>
              <w:t>Techniques</w:t>
            </w:r>
          </w:p>
        </w:tc>
        <w:tc>
          <w:tcPr>
            <w:tcW w:w="176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20" w:type="dxa"/>
            <w:vAlign w:val="bottom"/>
            <w:tcBorders>
              <w:bottom w:val="single" w:sz="8" w:color="auto"/>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8,651,448</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4.8x-7.5x (5.6x)</w:t>
            </w: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Multiple</w:t>
            </w: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Debt Securities</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0.0x-1.0x (0.7x)</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325,593,566</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5.2%-27.6% (10.2%)</w:t>
            </w:r>
          </w:p>
        </w:tc>
        <w:tc>
          <w:tcPr>
            <w:tcW w:w="0" w:type="dxa"/>
            <w:vAlign w:val="bottom"/>
          </w:tcPr>
          <w:p>
            <w:pPr>
              <w:spacing w:after="0"/>
              <w:rPr>
                <w:sz w:val="1"/>
                <w:szCs w:val="1"/>
                <w:color w:val="auto"/>
              </w:rPr>
            </w:pPr>
          </w:p>
        </w:tc>
      </w:tr>
      <w:tr>
        <w:trPr>
          <w:trHeight w:val="98"/>
        </w:trPr>
        <w:tc>
          <w:tcPr>
            <w:tcW w:w="4040" w:type="dxa"/>
            <w:vAlign w:val="bottom"/>
            <w:tcBorders>
              <w:left w:val="single" w:sz="8" w:color="auto"/>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4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7,036,969</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1.0x-9.0x (5.9x)</w:t>
            </w:r>
          </w:p>
        </w:tc>
        <w:tc>
          <w:tcPr>
            <w:tcW w:w="0" w:type="dxa"/>
            <w:vAlign w:val="bottom"/>
          </w:tcPr>
          <w:p>
            <w:pPr>
              <w:spacing w:after="0"/>
              <w:rPr>
                <w:sz w:val="1"/>
                <w:szCs w:val="1"/>
                <w:color w:val="auto"/>
              </w:rPr>
            </w:pPr>
          </w:p>
        </w:tc>
      </w:tr>
      <w:tr>
        <w:trPr>
          <w:trHeight w:val="98"/>
        </w:trPr>
        <w:tc>
          <w:tcPr>
            <w:tcW w:w="4040" w:type="dxa"/>
            <w:vAlign w:val="bottom"/>
            <w:tcBorders>
              <w:left w:val="single" w:sz="8" w:color="auto"/>
              <w:right w:val="single" w:sz="8" w:color="auto"/>
            </w:tcBorders>
          </w:tcPr>
          <w:p>
            <w:pPr>
              <w:spacing w:after="0"/>
              <w:rPr>
                <w:sz w:val="8"/>
                <w:szCs w:val="8"/>
                <w:color w:val="auto"/>
              </w:rPr>
            </w:pPr>
          </w:p>
        </w:tc>
        <w:tc>
          <w:tcPr>
            <w:tcW w:w="340" w:type="dxa"/>
            <w:vAlign w:val="bottom"/>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Multiple /</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40" w:type="dxa"/>
            <w:vAlign w:val="bottom"/>
            <w:tcBorders>
              <w:left w:val="single" w:sz="8" w:color="auto"/>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WACC</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0.0x-12.5x (0.6x)</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34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5,500,000</w:t>
            </w: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17.8%-18.5% (18.1%)</w:t>
            </w:r>
          </w:p>
        </w:tc>
        <w:tc>
          <w:tcPr>
            <w:tcW w:w="0" w:type="dxa"/>
            <w:vAlign w:val="bottom"/>
          </w:tcPr>
          <w:p>
            <w:pPr>
              <w:spacing w:after="0"/>
              <w:rPr>
                <w:sz w:val="1"/>
                <w:szCs w:val="1"/>
                <w:color w:val="auto"/>
              </w:rPr>
            </w:pPr>
          </w:p>
        </w:tc>
      </w:tr>
      <w:tr>
        <w:trPr>
          <w:trHeight w:val="98"/>
        </w:trPr>
        <w:tc>
          <w:tcPr>
            <w:tcW w:w="4040" w:type="dxa"/>
            <w:vAlign w:val="bottom"/>
            <w:tcBorders>
              <w:left w:val="single" w:sz="8" w:color="auto"/>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40" w:type="dxa"/>
            <w:vAlign w:val="bottom"/>
            <w:tcBorders>
              <w:left w:val="single" w:sz="8" w:color="auto"/>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13.0%-14.5% (13.8%)</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1.5%-4.0% (2.7%)</w:t>
            </w: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CLO Fund Securities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19,582,555</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20.5%-30.5% (25.5%)</w:t>
            </w: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69.5%-79.5% (74.5%)</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14.0%-16.0% (15.0%)</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3.0%-5.0% (4.0%)</w:t>
            </w: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Joint Ventures</w:t>
            </w:r>
          </w:p>
        </w:tc>
        <w:tc>
          <w:tcPr>
            <w:tcW w:w="34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19,748,808</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Discounted Cash Flow</w:t>
            </w: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21.0%-31.0% (26.0%)</w:t>
            </w: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69.0%-79.0% (74.0%)</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34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Transacted</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left w:val="single" w:sz="8" w:color="auto"/>
              <w:right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(1,108,618)</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Value/Contractual</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Financing Rate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385,004,728</w:t>
            </w:r>
          </w:p>
        </w:tc>
        <w:tc>
          <w:tcPr>
            <w:tcW w:w="1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100" w:hanging="372"/>
        <w:spacing w:after="0" w:line="290" w:lineRule="auto"/>
        <w:tabs>
          <w:tab w:leader="none" w:pos="380" w:val="left"/>
        </w:tabs>
        <w:numPr>
          <w:ilvl w:val="0"/>
          <w:numId w:val="61"/>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position at a nominal amount to account for the investment’s option value.</w:t>
      </w:r>
    </w:p>
    <w:p>
      <w:pPr>
        <w:spacing w:after="0" w:line="7"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71"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58"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firstLine="374"/>
        <w:spacing w:after="0" w:line="288"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38"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60" w:firstLine="374"/>
        <w:spacing w:after="0" w:line="307"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June 30, 2021 and December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8"/>
              </w:rPr>
              <w:t>June 30, 2021</w:t>
            </w: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right="540"/>
              <w:spacing w:after="0" w:line="204" w:lineRule="exact"/>
              <w:rPr>
                <w:sz w:val="20"/>
                <w:szCs w:val="20"/>
                <w:color w:val="auto"/>
              </w:rPr>
            </w:pPr>
            <w:r>
              <w:rPr>
                <w:rFonts w:ascii="Arial" w:cs="Arial" w:eastAsia="Arial" w:hAnsi="Arial"/>
                <w:sz w:val="18"/>
                <w:szCs w:val="18"/>
                <w:b w:val="1"/>
                <w:bCs w:val="1"/>
                <w:color w:val="auto"/>
                <w:w w:val="86"/>
              </w:rPr>
              <w:t>Derivative assets</w:t>
            </w:r>
          </w:p>
        </w:tc>
        <w:tc>
          <w:tcPr>
            <w:tcW w:w="160" w:type="dxa"/>
            <w:vAlign w:val="bottom"/>
          </w:tcPr>
          <w:p>
            <w:pPr>
              <w:spacing w:after="0"/>
              <w:rPr>
                <w:sz w:val="17"/>
                <w:szCs w:val="17"/>
                <w:color w:val="auto"/>
              </w:rPr>
            </w:pPr>
          </w:p>
        </w:tc>
        <w:tc>
          <w:tcPr>
            <w:tcW w:w="1420" w:type="dxa"/>
            <w:vAlign w:val="bottom"/>
            <w:gridSpan w:val="2"/>
          </w:tcPr>
          <w:p>
            <w:pPr>
              <w:jc w:val="center"/>
              <w:ind w:right="580"/>
              <w:spacing w:after="0" w:line="204" w:lineRule="exact"/>
              <w:rPr>
                <w:sz w:val="20"/>
                <w:szCs w:val="20"/>
                <w:color w:val="auto"/>
              </w:rPr>
            </w:pPr>
            <w:r>
              <w:rPr>
                <w:rFonts w:ascii="Arial" w:cs="Arial" w:eastAsia="Arial" w:hAnsi="Arial"/>
                <w:sz w:val="18"/>
                <w:szCs w:val="18"/>
                <w:b w:val="1"/>
                <w:bCs w:val="1"/>
                <w:color w:val="auto"/>
                <w:w w:val="87"/>
              </w:rPr>
              <w:t>Realized</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980"/>
              <w:spacing w:after="0"/>
              <w:rPr>
                <w:sz w:val="20"/>
                <w:szCs w:val="20"/>
                <w:color w:val="auto"/>
              </w:rPr>
            </w:pPr>
            <w:r>
              <w:rPr>
                <w:rFonts w:ascii="Arial" w:cs="Arial" w:eastAsia="Arial" w:hAnsi="Arial"/>
                <w:sz w:val="18"/>
                <w:szCs w:val="18"/>
                <w:b w:val="1"/>
                <w:bCs w:val="1"/>
                <w:color w:val="auto"/>
              </w:rPr>
              <w:t>Types of contracts</w:t>
            </w:r>
          </w:p>
        </w:tc>
        <w:tc>
          <w:tcPr>
            <w:tcW w:w="280" w:type="dxa"/>
            <w:vAlign w:val="bottom"/>
          </w:tcPr>
          <w:p>
            <w:pPr>
              <w:spacing w:after="0"/>
              <w:rPr>
                <w:sz w:val="20"/>
                <w:szCs w:val="20"/>
                <w:color w:val="auto"/>
              </w:rPr>
            </w:pP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Notional amounts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160" w:type="dxa"/>
            <w:vAlign w:val="bottom"/>
          </w:tcPr>
          <w:p>
            <w:pPr>
              <w:spacing w:after="0"/>
              <w:rPr>
                <w:sz w:val="20"/>
                <w:szCs w:val="20"/>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4"/>
              </w:rPr>
              <w:t>gain(loss)</w:t>
            </w:r>
          </w:p>
        </w:tc>
        <w:tc>
          <w:tcPr>
            <w:tcW w:w="12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Unrealized gain(loss)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5,500,000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(1,808,195)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440,000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(1,368,195)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(1,802,675)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440,000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(1,393,572)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gridSpan w:val="3"/>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gridSpan w:val="5"/>
          </w:tcPr>
          <w:p>
            <w:pPr>
              <w:spacing w:after="0"/>
              <w:rPr>
                <w:sz w:val="20"/>
                <w:szCs w:val="20"/>
                <w:color w:val="auto"/>
              </w:rPr>
            </w:pPr>
            <w:r>
              <w:rPr>
                <w:rFonts w:ascii="Arial" w:cs="Arial" w:eastAsia="Arial" w:hAnsi="Arial"/>
                <w:sz w:val="14"/>
                <w:szCs w:val="14"/>
                <w:color w:val="auto"/>
                <w:w w:val="99"/>
              </w:rPr>
              <w:t>(1) Net amount included in the derivative caption on the consolidated balance sheets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8"/>
              </w:rPr>
              <w:t>December 31, 2020</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5"/>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center"/>
              <w:ind w:right="540"/>
              <w:spacing w:after="0" w:line="204" w:lineRule="exact"/>
              <w:rPr>
                <w:sz w:val="20"/>
                <w:szCs w:val="20"/>
                <w:color w:val="auto"/>
              </w:rPr>
            </w:pPr>
            <w:r>
              <w:rPr>
                <w:rFonts w:ascii="Arial" w:cs="Arial" w:eastAsia="Arial" w:hAnsi="Arial"/>
                <w:sz w:val="18"/>
                <w:szCs w:val="18"/>
                <w:b w:val="1"/>
                <w:bCs w:val="1"/>
                <w:color w:val="auto"/>
                <w:w w:val="86"/>
              </w:rPr>
              <w:t>Derivative assets</w:t>
            </w:r>
          </w:p>
        </w:tc>
        <w:tc>
          <w:tcPr>
            <w:tcW w:w="160" w:type="dxa"/>
            <w:vAlign w:val="bottom"/>
          </w:tcPr>
          <w:p>
            <w:pPr>
              <w:spacing w:after="0"/>
              <w:rPr>
                <w:sz w:val="17"/>
                <w:szCs w:val="17"/>
                <w:color w:val="auto"/>
              </w:rPr>
            </w:pPr>
          </w:p>
        </w:tc>
        <w:tc>
          <w:tcPr>
            <w:tcW w:w="1420" w:type="dxa"/>
            <w:vAlign w:val="bottom"/>
            <w:gridSpan w:val="2"/>
          </w:tcPr>
          <w:p>
            <w:pPr>
              <w:jc w:val="center"/>
              <w:ind w:right="580"/>
              <w:spacing w:after="0" w:line="204" w:lineRule="exact"/>
              <w:rPr>
                <w:sz w:val="20"/>
                <w:szCs w:val="20"/>
                <w:color w:val="auto"/>
              </w:rPr>
            </w:pPr>
            <w:r>
              <w:rPr>
                <w:rFonts w:ascii="Arial" w:cs="Arial" w:eastAsia="Arial" w:hAnsi="Arial"/>
                <w:sz w:val="18"/>
                <w:szCs w:val="18"/>
                <w:b w:val="1"/>
                <w:bCs w:val="1"/>
                <w:color w:val="auto"/>
                <w:w w:val="87"/>
              </w:rPr>
              <w:t>Realized</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980"/>
              <w:spacing w:after="0"/>
              <w:rPr>
                <w:sz w:val="20"/>
                <w:szCs w:val="20"/>
                <w:color w:val="auto"/>
              </w:rPr>
            </w:pPr>
            <w:r>
              <w:rPr>
                <w:rFonts w:ascii="Arial" w:cs="Arial" w:eastAsia="Arial" w:hAnsi="Arial"/>
                <w:sz w:val="18"/>
                <w:szCs w:val="18"/>
                <w:b w:val="1"/>
                <w:bCs w:val="1"/>
                <w:color w:val="auto"/>
              </w:rPr>
              <w:t>Types of contracts</w:t>
            </w:r>
          </w:p>
        </w:tc>
        <w:tc>
          <w:tcPr>
            <w:tcW w:w="280" w:type="dxa"/>
            <w:vAlign w:val="bottom"/>
          </w:tcPr>
          <w:p>
            <w:pPr>
              <w:spacing w:after="0"/>
              <w:rPr>
                <w:sz w:val="20"/>
                <w:szCs w:val="20"/>
                <w:color w:val="auto"/>
              </w:rPr>
            </w:pP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Notional amounts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160" w:type="dxa"/>
            <w:vAlign w:val="bottom"/>
          </w:tcPr>
          <w:p>
            <w:pPr>
              <w:spacing w:after="0"/>
              <w:rPr>
                <w:sz w:val="20"/>
                <w:szCs w:val="20"/>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4"/>
              </w:rPr>
              <w:t>gain(loss)</w:t>
            </w:r>
          </w:p>
        </w:tc>
        <w:tc>
          <w:tcPr>
            <w:tcW w:w="12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Unrealized gain(loss)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Call option</w:t>
            </w:r>
          </w:p>
        </w:tc>
        <w:tc>
          <w:tcPr>
            <w:tcW w:w="28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Securities Swap and Option Agreement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5,500,000</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(1,120,695)</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(1,120,695)</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5,507,656</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(1,108,618)</w:t>
            </w:r>
          </w:p>
        </w:tc>
        <w:tc>
          <w:tcPr>
            <w:tcW w:w="4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0</wp:posOffset>
            </wp:positionV>
            <wp:extent cx="472630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26305" cy="254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Net amount included in the derivative caption on the consolidated balance sheets</w:t>
      </w:r>
    </w:p>
    <w:p>
      <w:pPr>
        <w:spacing w:after="0" w:line="200" w:lineRule="exact"/>
        <w:rPr>
          <w:sz w:val="20"/>
          <w:szCs w:val="20"/>
          <w:color w:val="auto"/>
        </w:rPr>
      </w:pPr>
    </w:p>
    <w:p>
      <w:pPr>
        <w:spacing w:after="0" w:line="219"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70" w:lineRule="exact"/>
        <w:rPr>
          <w:sz w:val="20"/>
          <w:szCs w:val="20"/>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211"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28"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63" w:name="page64"/>
    <w:bookmarkEnd w:id="63"/>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211"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29"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the Company are not impaired.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84" w:lineRule="exact"/>
        <w:rPr>
          <w:sz w:val="20"/>
          <w:szCs w:val="20"/>
          <w:color w:val="auto"/>
        </w:rPr>
      </w:pPr>
    </w:p>
    <w:p>
      <w:pPr>
        <w:ind w:right="240" w:firstLine="374"/>
        <w:spacing w:after="0" w:line="307" w:lineRule="auto"/>
        <w:rPr>
          <w:sz w:val="20"/>
          <w:szCs w:val="20"/>
          <w:color w:val="auto"/>
        </w:rPr>
      </w:pPr>
      <w:r>
        <w:rPr>
          <w:rFonts w:ascii="Arial" w:cs="Arial" w:eastAsia="Arial" w:hAnsi="Arial"/>
          <w:sz w:val="17"/>
          <w:szCs w:val="17"/>
          <w:color w:val="auto"/>
        </w:rPr>
        <w:t>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07"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84"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98" w:lineRule="exact"/>
        <w:rPr>
          <w:sz w:val="20"/>
          <w:szCs w:val="20"/>
          <w:color w:val="auto"/>
        </w:rPr>
      </w:pPr>
    </w:p>
    <w:p>
      <w:pPr>
        <w:ind w:right="20" w:firstLine="374"/>
        <w:spacing w:after="0" w:line="286" w:lineRule="auto"/>
        <w:rPr>
          <w:sz w:val="20"/>
          <w:szCs w:val="20"/>
          <w:color w:val="auto"/>
        </w:rPr>
      </w:pPr>
      <w:r>
        <w:rPr>
          <w:rFonts w:ascii="Arial" w:cs="Arial" w:eastAsia="Arial" w:hAnsi="Arial"/>
          <w:sz w:val="16"/>
          <w:szCs w:val="16"/>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33"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4" w:name="page65"/>
    <w:bookmarkEnd w:id="64"/>
    <w:p>
      <w:pPr>
        <w:ind w:firstLine="374"/>
        <w:spacing w:after="0" w:line="288"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43"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24" w:lineRule="exact"/>
        <w:rPr>
          <w:sz w:val="20"/>
          <w:szCs w:val="20"/>
          <w:color w:val="auto"/>
        </w:rPr>
      </w:pPr>
    </w:p>
    <w:p>
      <w:pPr>
        <w:ind w:right="2140" w:firstLine="374"/>
        <w:spacing w:after="0" w:line="461" w:lineRule="auto"/>
        <w:rPr>
          <w:sz w:val="20"/>
          <w:szCs w:val="20"/>
          <w:color w:val="auto"/>
        </w:rPr>
      </w:pPr>
      <w:r>
        <w:rPr>
          <w:rFonts w:ascii="Arial" w:cs="Arial" w:eastAsia="Arial" w:hAnsi="Arial"/>
          <w:sz w:val="18"/>
          <w:szCs w:val="18"/>
          <w:color w:val="auto"/>
        </w:rPr>
        <w:t xml:space="preserve">The fees that are payable under the Investment Advisory Agreement for any partial period will be appropriately prorated. </w:t>
      </w:r>
      <w:r>
        <w:rPr>
          <w:rFonts w:ascii="Arial" w:cs="Arial" w:eastAsia="Arial" w:hAnsi="Arial"/>
          <w:sz w:val="18"/>
          <w:szCs w:val="18"/>
          <w:i w:val="1"/>
          <w:iCs w:val="1"/>
          <w:color w:val="auto"/>
        </w:rPr>
        <w:t>Limitations of Liability and Indemnification</w:t>
      </w:r>
    </w:p>
    <w:p>
      <w:pPr>
        <w:ind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84" w:lineRule="exact"/>
        <w:rPr>
          <w:sz w:val="20"/>
          <w:szCs w:val="20"/>
          <w:color w:val="auto"/>
        </w:rPr>
      </w:pPr>
    </w:p>
    <w:p>
      <w:pPr>
        <w:ind w:right="60" w:firstLine="374"/>
        <w:spacing w:after="0" w:line="284" w:lineRule="auto"/>
        <w:rPr>
          <w:sz w:val="20"/>
          <w:szCs w:val="20"/>
          <w:color w:val="auto"/>
        </w:rPr>
      </w:pPr>
      <w:r>
        <w:rPr>
          <w:rFonts w:ascii="Arial" w:cs="Arial" w:eastAsia="Arial" w:hAnsi="Arial"/>
          <w:sz w:val="16"/>
          <w:szCs w:val="16"/>
          <w:color w:val="auto"/>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11, 2021. In reaching a decision to re-approve the Advisory Agreement,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w:t>
      </w:r>
    </w:p>
    <w:p>
      <w:pPr>
        <w:spacing w:after="0" w:line="1" w:lineRule="exact"/>
        <w:rPr>
          <w:sz w:val="20"/>
          <w:szCs w:val="20"/>
          <w:color w:val="auto"/>
        </w:rPr>
      </w:pPr>
    </w:p>
    <w:p>
      <w:pPr>
        <w:ind w:right="80" w:firstLine="8"/>
        <w:spacing w:after="0" w:line="273" w:lineRule="auto"/>
        <w:tabs>
          <w:tab w:leader="none" w:pos="24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48"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Board, including a majority of independent directors oversee and monitor the Company’s investment performance and, annually review the compensation we pay to the Adviser.</w:t>
      </w:r>
    </w:p>
    <w:p>
      <w:pPr>
        <w:spacing w:after="0" w:line="129"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Management fees for the three months ended June 30, 2021 and 2020, were approximately $1.9 million and $1.0 million, respectively. Incentive fees earned during the three months ended June 30, 2021 were approximately $2.3 million, none of which were waived pursuant to the Externalization Agreement. Incentive fees earned during the three months ended June 30, 2020 were approximately $455 thousand, all of which were waived pursuant to the Externalization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ind w:firstLine="374"/>
        <w:spacing w:after="0" w:line="259" w:lineRule="auto"/>
        <w:rPr>
          <w:sz w:val="20"/>
          <w:szCs w:val="20"/>
          <w:color w:val="auto"/>
        </w:rPr>
      </w:pPr>
      <w:r>
        <w:rPr>
          <w:rFonts w:ascii="Arial" w:cs="Arial" w:eastAsia="Arial" w:hAnsi="Arial"/>
          <w:sz w:val="18"/>
          <w:szCs w:val="18"/>
          <w:color w:val="auto"/>
        </w:rPr>
        <w:t>Management fees for the six months ended June 30, 2021 and 2020, were approximately $3.7 million and $2.0 million, respectively. Incentive fees earned during the six months ended June 30, 2021 were approximately $4.4 million, none of which were waived pursuant to the Externalization Agreement. Incentive fees earned during the six months ended June 30, 2020 were approximately $557 thousand, all of which were waived pursuant to the Externalization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right="180" w:firstLine="374"/>
        <w:spacing w:after="0" w:line="271"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73" w:lineRule="exact"/>
        <w:rPr>
          <w:sz w:val="20"/>
          <w:szCs w:val="20"/>
          <w:color w:val="auto"/>
        </w:rPr>
      </w:pPr>
    </w:p>
    <w:p>
      <w:pPr>
        <w:ind w:right="200" w:firstLine="374"/>
        <w:spacing w:after="0" w:line="255"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3"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11, 2021.</w:t>
      </w:r>
    </w:p>
    <w:p>
      <w:pPr>
        <w:spacing w:after="0" w:line="7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56" w:lineRule="exact"/>
        <w:rPr>
          <w:sz w:val="20"/>
          <w:szCs w:val="20"/>
          <w:color w:val="auto"/>
        </w:rPr>
      </w:pPr>
    </w:p>
    <w:p>
      <w:pPr>
        <w:jc w:val="both"/>
        <w:ind w:right="200" w:firstLine="374"/>
        <w:spacing w:after="0" w:line="263" w:lineRule="auto"/>
        <w:rPr>
          <w:sz w:val="20"/>
          <w:szCs w:val="20"/>
          <w:color w:val="auto"/>
        </w:rPr>
      </w:pPr>
      <w:r>
        <w:rPr>
          <w:rFonts w:ascii="Arial" w:cs="Arial" w:eastAsia="Arial" w:hAnsi="Arial"/>
          <w:sz w:val="18"/>
          <w:szCs w:val="18"/>
          <w:color w:val="auto"/>
        </w:rPr>
        <w:t>The Company incurred $0.7 million and $1.3 million, respectively, of Administrative services expense for the three and six months ended June 30, 2021. The Company incurred $0.4 million and $0.9 million, respectively, of Administrative services expense for the three and six months ended June 30,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Expenses under the Advisory and Administration Agreements</w:t>
      </w:r>
    </w:p>
    <w:p>
      <w:pPr>
        <w:spacing w:after="0" w:line="184"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67" w:lineRule="exact"/>
        <w:rPr>
          <w:sz w:val="20"/>
          <w:szCs w:val="20"/>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22" w:lineRule="exact"/>
        <w:rPr>
          <w:rFonts w:ascii="Arial" w:cs="Arial" w:eastAsia="Arial" w:hAnsi="Arial"/>
          <w:sz w:val="17"/>
          <w:szCs w:val="17"/>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ind w:left="740" w:right="46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8"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211"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2" w:lineRule="exact"/>
        <w:rPr>
          <w:rFonts w:ascii="Arial" w:cs="Arial" w:eastAsia="Arial" w:hAnsi="Arial"/>
          <w:sz w:val="18"/>
          <w:szCs w:val="18"/>
          <w:color w:val="auto"/>
        </w:rPr>
      </w:pPr>
    </w:p>
    <w:p>
      <w:pPr>
        <w:ind w:left="740" w:right="180" w:hanging="368"/>
        <w:spacing w:after="0" w:line="307" w:lineRule="auto"/>
        <w:tabs>
          <w:tab w:leader="none" w:pos="7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6" w:lineRule="exact"/>
        <w:rPr>
          <w:rFonts w:ascii="Arial" w:cs="Arial" w:eastAsia="Arial" w:hAnsi="Arial"/>
          <w:sz w:val="17"/>
          <w:szCs w:val="17"/>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211"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8"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225" w:lineRule="exact"/>
        <w:rPr>
          <w:sz w:val="20"/>
          <w:szCs w:val="20"/>
          <w:color w:val="auto"/>
        </w:rPr>
      </w:pPr>
    </w:p>
    <w:p>
      <w:pPr>
        <w:ind w:right="140" w:firstLine="374"/>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272"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BCP Special Opportunities Fund II LP, Logan Ridge Finance Corporation,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67" w:name="page68"/>
    <w:bookmarkEnd w:id="67"/>
    <w:p>
      <w:pPr>
        <w:ind w:left="380" w:hanging="372"/>
        <w:spacing w:after="0"/>
        <w:tabs>
          <w:tab w:leader="none" w:pos="3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Company’s debt obligations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As of</w:t>
            </w:r>
          </w:p>
        </w:tc>
        <w:tc>
          <w:tcPr>
            <w:tcW w:w="24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As of</w:t>
            </w:r>
          </w:p>
        </w:tc>
      </w:tr>
      <w:tr>
        <w:trPr>
          <w:trHeight w:val="224"/>
        </w:trPr>
        <w:tc>
          <w:tcPr>
            <w:tcW w:w="18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8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9"/>
              </w:rPr>
              <w:t>2021</w:t>
            </w:r>
          </w:p>
        </w:tc>
        <w:tc>
          <w:tcPr>
            <w:tcW w:w="1580" w:type="dxa"/>
            <w:vAlign w:val="bottom"/>
            <w:gridSpan w:val="2"/>
          </w:tcPr>
          <w:p>
            <w:pPr>
              <w:ind w:left="30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r>
      <w:tr>
        <w:trPr>
          <w:trHeight w:val="229"/>
        </w:trPr>
        <w:tc>
          <w:tcPr>
            <w:tcW w:w="7200" w:type="dxa"/>
            <w:vAlign w:val="bottom"/>
            <w:tcBorders>
              <w:bottom w:val="single" w:sz="8" w:color="CFF0FC"/>
            </w:tcBorders>
            <w:gridSpan w:val="2"/>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2018-2 Secured Notes (net of discount of: 2021-$1,491,277; 2020 - $2,444,512)</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162,371,420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249,418,186</w:t>
            </w:r>
          </w:p>
        </w:tc>
        <w:tc>
          <w:tcPr>
            <w:tcW w:w="120" w:type="dxa"/>
            <w:vAlign w:val="bottom"/>
            <w:shd w:val="clear" w:color="auto" w:fill="CFF0FC"/>
          </w:tcPr>
          <w:p>
            <w:pPr>
              <w:spacing w:after="0"/>
              <w:rPr>
                <w:sz w:val="19"/>
                <w:szCs w:val="19"/>
                <w:color w:val="auto"/>
              </w:rPr>
            </w:pPr>
          </w:p>
        </w:tc>
      </w:tr>
      <w:tr>
        <w:trPr>
          <w:trHeight w:val="215"/>
        </w:trPr>
        <w:tc>
          <w:tcPr>
            <w:tcW w:w="1800" w:type="dxa"/>
            <w:vAlign w:val="bottom"/>
          </w:tcPr>
          <w:p>
            <w:pPr>
              <w:spacing w:after="0"/>
              <w:rPr>
                <w:sz w:val="20"/>
                <w:szCs w:val="20"/>
                <w:color w:val="auto"/>
              </w:rPr>
            </w:pPr>
            <w:r>
              <w:rPr>
                <w:rFonts w:ascii="Arial" w:cs="Arial" w:eastAsia="Arial" w:hAnsi="Arial"/>
                <w:sz w:val="18"/>
                <w:szCs w:val="18"/>
                <w:color w:val="auto"/>
                <w:w w:val="90"/>
              </w:rPr>
              <w:t>4.875% Notes Due 2026</w:t>
            </w:r>
          </w:p>
        </w:tc>
        <w:tc>
          <w:tcPr>
            <w:tcW w:w="5400" w:type="dxa"/>
            <w:vAlign w:val="bottom"/>
          </w:tcPr>
          <w:p>
            <w:pPr>
              <w:ind w:left="20"/>
              <w:spacing w:after="0"/>
              <w:rPr>
                <w:sz w:val="20"/>
                <w:szCs w:val="20"/>
                <w:color w:val="auto"/>
              </w:rPr>
            </w:pPr>
            <w:r>
              <w:rPr>
                <w:rFonts w:ascii="Arial" w:cs="Arial" w:eastAsia="Arial" w:hAnsi="Arial"/>
                <w:sz w:val="18"/>
                <w:szCs w:val="18"/>
                <w:color w:val="auto"/>
                <w:w w:val="98"/>
              </w:rPr>
              <w:t>(net of discount of: 2021-$2,374,942; 2020 - $0, net of offering costs</w:t>
            </w: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of: 2021-$945,249; 2020 - $0)</w:t>
            </w:r>
          </w:p>
        </w:tc>
        <w:tc>
          <w:tcPr>
            <w:tcW w:w="4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104,679,809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2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Great Lakes Portman Ridge Funding LLC Revolving Credit Facility (net of offering costs of:</w:t>
            </w:r>
          </w:p>
        </w:tc>
        <w:tc>
          <w:tcPr>
            <w:tcW w:w="4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2021-$914,855; 2020 - $1,097,815)</w:t>
            </w:r>
          </w:p>
        </w:tc>
        <w:tc>
          <w:tcPr>
            <w:tcW w:w="4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68,156,043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48,223,083</w:t>
            </w:r>
          </w:p>
        </w:tc>
        <w:tc>
          <w:tcPr>
            <w:tcW w:w="120" w:type="dxa"/>
            <w:vAlign w:val="bottom"/>
            <w:shd w:val="clear" w:color="auto" w:fill="CFF0FC"/>
          </w:tcPr>
          <w:p>
            <w:pPr>
              <w:spacing w:after="0"/>
              <w:rPr>
                <w:sz w:val="20"/>
                <w:szCs w:val="20"/>
                <w:color w:val="auto"/>
              </w:rPr>
            </w:pP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w w:val="90"/>
              </w:rPr>
              <w:t>6.125% Notes Due 2022</w:t>
            </w:r>
          </w:p>
        </w:tc>
        <w:tc>
          <w:tcPr>
            <w:tcW w:w="5400" w:type="dxa"/>
            <w:vAlign w:val="bottom"/>
          </w:tcPr>
          <w:p>
            <w:pPr>
              <w:ind w:left="20"/>
              <w:spacing w:after="0"/>
              <w:rPr>
                <w:sz w:val="20"/>
                <w:szCs w:val="20"/>
                <w:color w:val="auto"/>
              </w:rPr>
            </w:pPr>
            <w:r>
              <w:rPr>
                <w:rFonts w:ascii="Arial" w:cs="Arial" w:eastAsia="Arial" w:hAnsi="Arial"/>
                <w:sz w:val="18"/>
                <w:szCs w:val="18"/>
                <w:color w:val="auto"/>
              </w:rPr>
              <w:t>(HCAP Notes)</w:t>
            </w: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28,750,000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800" w:type="dxa"/>
            <w:vAlign w:val="bottom"/>
            <w:shd w:val="clear" w:color="auto" w:fill="CFF0FC"/>
          </w:tcPr>
          <w:p>
            <w:pPr>
              <w:spacing w:after="0"/>
              <w:rPr>
                <w:sz w:val="20"/>
                <w:szCs w:val="20"/>
                <w:color w:val="auto"/>
              </w:rPr>
            </w:pPr>
            <w:r>
              <w:rPr>
                <w:rFonts w:ascii="Arial" w:cs="Arial" w:eastAsia="Arial" w:hAnsi="Arial"/>
                <w:sz w:val="18"/>
                <w:szCs w:val="18"/>
                <w:color w:val="auto"/>
                <w:w w:val="90"/>
              </w:rPr>
              <w:t>6.125% Notes Due 2022</w:t>
            </w:r>
          </w:p>
        </w:tc>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of offering costs of: 2020 - $1,058,351)</w:t>
            </w:r>
          </w:p>
        </w:tc>
        <w:tc>
          <w:tcPr>
            <w:tcW w:w="4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120" w:type="dxa"/>
            <w:vAlign w:val="bottom"/>
            <w:shd w:val="clear" w:color="auto" w:fill="CFF0FC"/>
          </w:tcPr>
          <w:p>
            <w:pPr>
              <w:spacing w:after="0"/>
              <w:rPr>
                <w:sz w:val="19"/>
                <w:szCs w:val="19"/>
                <w:color w:val="auto"/>
              </w:rPr>
            </w:pPr>
          </w:p>
        </w:tc>
      </w:tr>
      <w:tr>
        <w:trPr>
          <w:trHeight w:val="223"/>
        </w:trPr>
        <w:tc>
          <w:tcPr>
            <w:tcW w:w="18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363,957,272</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373,308,893</w:t>
            </w:r>
          </w:p>
        </w:tc>
        <w:tc>
          <w:tcPr>
            <w:tcW w:w="120" w:type="dxa"/>
            <w:vAlign w:val="bottom"/>
          </w:tcPr>
          <w:p>
            <w:pPr>
              <w:spacing w:after="0"/>
              <w:rPr>
                <w:sz w:val="19"/>
                <w:szCs w:val="19"/>
                <w:color w:val="auto"/>
              </w:rPr>
            </w:pPr>
          </w:p>
        </w:tc>
      </w:tr>
      <w:tr>
        <w:trPr>
          <w:trHeight w:val="20"/>
        </w:trPr>
        <w:tc>
          <w:tcPr>
            <w:tcW w:w="18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2021 were 3.4% and 5.7 years, respectively, and as of December 31, 2020 were 3.0% and 6.7 years, respectively.</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Notes Offering</w:t>
      </w:r>
    </w:p>
    <w:p>
      <w:pPr>
        <w:spacing w:after="0" w:line="225" w:lineRule="exact"/>
        <w:rPr>
          <w:sz w:val="20"/>
          <w:szCs w:val="20"/>
          <w:color w:val="auto"/>
        </w:rPr>
      </w:pPr>
    </w:p>
    <w:p>
      <w:pPr>
        <w:ind w:right="160" w:firstLine="374"/>
        <w:spacing w:after="0" w:line="273" w:lineRule="auto"/>
        <w:rPr>
          <w:sz w:val="20"/>
          <w:szCs w:val="20"/>
          <w:color w:val="auto"/>
        </w:rPr>
      </w:pPr>
      <w:r>
        <w:rPr>
          <w:rFonts w:ascii="Arial" w:cs="Arial" w:eastAsia="Arial" w:hAnsi="Arial"/>
          <w:sz w:val="17"/>
          <w:szCs w:val="17"/>
          <w:color w:val="auto"/>
        </w:rPr>
        <w:t>On April 30, 2021, the Company issued $80,000,000 in aggregate principal amount of unsecured 4.875% Notes due 2026 (the “4.875% Notes due 2026”) in a private placement exempt from registration under the Section 4(a)(2) of the Securities Act. The 4.875% Notes due 2026 have not been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spacing w:after="0" w:line="176"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185"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82" w:lineRule="exact"/>
        <w:rPr>
          <w:sz w:val="20"/>
          <w:szCs w:val="20"/>
          <w:color w:val="auto"/>
        </w:rPr>
      </w:pPr>
    </w:p>
    <w:p>
      <w:pPr>
        <w:jc w:val="both"/>
        <w:ind w:right="320" w:firstLine="374"/>
        <w:spacing w:after="0" w:line="287" w:lineRule="auto"/>
        <w:rPr>
          <w:sz w:val="20"/>
          <w:szCs w:val="20"/>
          <w:color w:val="auto"/>
        </w:rPr>
      </w:pPr>
      <w:r>
        <w:rPr>
          <w:rFonts w:ascii="Arial" w:cs="Arial" w:eastAsia="Arial" w:hAnsi="Arial"/>
          <w:sz w:val="16"/>
          <w:szCs w:val="16"/>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w:t>
      </w:r>
    </w:p>
    <w:p>
      <w:pPr>
        <w:spacing w:after="0" w:line="2"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139"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3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Registration Rights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20" w:firstLine="374"/>
        <w:spacing w:after="0" w:line="290" w:lineRule="auto"/>
        <w:rPr>
          <w:sz w:val="20"/>
          <w:szCs w:val="20"/>
          <w:color w:val="auto"/>
        </w:rPr>
      </w:pPr>
      <w:r>
        <w:rPr>
          <w:rFonts w:ascii="Arial" w:cs="Arial" w:eastAsia="Arial" w:hAnsi="Arial"/>
          <w:sz w:val="16"/>
          <w:szCs w:val="16"/>
          <w:color w:val="auto"/>
        </w:rPr>
        <w:t>In connection with the offering of 4.875% Notes due 2026, the Company entered into a Registration Rights Agreement, dated as of April 30, 2021 (the “Registration Rights Agreement”), with the purchasers of the 4.875% Notes due 2026. Pursuant to the Registration Rights Agreement, the Company is obligated to file with the SEC a registration statement relating to an offer to exchange the 4.875% Notes due 2026 for new notes issued by the Company that are registered under the Securities Act and otherwise have terms substantially identical to those of the 4.875% Notes due 2026, and to use its commercially reasonable efforts to cause such registration statement to be declared effective. If the Company is not able to effect the exchange offer, the Company will be obligated to file a shelf registration statement covering the resale of the 4.875% Notes due 2026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4.875% Notes due 2026.</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Sale of Additional 4.875% Notes due 2026</w:t>
      </w:r>
    </w:p>
    <w:p>
      <w:pPr>
        <w:spacing w:after="0" w:line="225"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On June 23, 2021, the Company issued $28,000,000 in aggregate principal amount of its 4.875% Notes due 2026 (the “New Notes”) in a private placement exempt from registration under the Section 4(a)(2) of the Securities Act. The New Notes have not been registered under the Securities Act or any state securities laws and may not be reoffered or resold in the United States absent registration or an applicable exemption from such registration requirements. The net proceeds to the Company were approximately $27.4 million, after deducting estimated offering expenses. The Company intends to use the net proceeds of the offering to redeem in full its HCAP Notes (as defined below), make investments in portfolio companies in accordance with its investment objectives, and for general corporate purposes.</w:t>
      </w:r>
    </w:p>
    <w:p>
      <w:pPr>
        <w:spacing w:after="0" w:line="19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New Notes were issued under the Indenture governing the 4.875% Notes due 2026. The New Notes were issued as “Additional Notes” under the Indenture and have identical terms to Company’s $80.0 million of aggregate principal amount of 4.875% Notes due 2026 that were issued on April 30, 2021, other than the issue date. The New Notes will be treated as a single class of notes with the Company’s existing 4.875% Notes due 2026 for all purposes under the Indenture.</w:t>
      </w:r>
    </w:p>
    <w:p>
      <w:pPr>
        <w:spacing w:after="0" w:line="145"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In connection with the issuance of the 4.875% Notes Due 2026, (including the New Notes) the Company incurred approximately $2.43 million of original issue discount, and $969 thousand of debt offering costs, both of which were being amortized over the expected term of the facility on an effective yield method.</w:t>
      </w:r>
    </w:p>
    <w:p>
      <w:pPr>
        <w:spacing w:after="0" w:line="156" w:lineRule="exact"/>
        <w:rPr>
          <w:sz w:val="20"/>
          <w:szCs w:val="20"/>
          <w:color w:val="auto"/>
        </w:rPr>
      </w:pPr>
    </w:p>
    <w:p>
      <w:pPr>
        <w:ind w:right="20" w:firstLine="374"/>
        <w:spacing w:after="0" w:line="279" w:lineRule="auto"/>
        <w:rPr>
          <w:sz w:val="20"/>
          <w:szCs w:val="20"/>
          <w:color w:val="auto"/>
        </w:rPr>
      </w:pPr>
      <w:r>
        <w:rPr>
          <w:rFonts w:ascii="Arial" w:cs="Arial" w:eastAsia="Arial" w:hAnsi="Arial"/>
          <w:sz w:val="17"/>
          <w:szCs w:val="17"/>
          <w:i w:val="1"/>
          <w:iCs w:val="1"/>
          <w:color w:val="auto"/>
        </w:rPr>
        <w:t xml:space="preserve">Fair Value of 4.875% Notes Due 2026. </w:t>
      </w:r>
      <w:r>
        <w:rPr>
          <w:rFonts w:ascii="Arial" w:cs="Arial" w:eastAsia="Arial" w:hAnsi="Arial"/>
          <w:sz w:val="17"/>
          <w:szCs w:val="17"/>
          <w:color w:val="auto"/>
        </w:rPr>
        <w:t>The 4.875% Notes Due 2026 were issued during the second quarter of 2021 and are carried at cost, net of</w:t>
      </w:r>
      <w:r>
        <w:rPr>
          <w:rFonts w:ascii="Arial" w:cs="Arial" w:eastAsia="Arial" w:hAnsi="Arial"/>
          <w:sz w:val="17"/>
          <w:szCs w:val="17"/>
          <w:i w:val="1"/>
          <w:iCs w:val="1"/>
          <w:color w:val="auto"/>
        </w:rPr>
        <w:t xml:space="preserve"> </w:t>
      </w:r>
      <w:r>
        <w:rPr>
          <w:rFonts w:ascii="Arial" w:cs="Arial" w:eastAsia="Arial" w:hAnsi="Arial"/>
          <w:sz w:val="17"/>
          <w:szCs w:val="17"/>
          <w:color w:val="auto"/>
        </w:rPr>
        <w:t>unamortized discount of approximately $2.37 million and unamortized offering costs of approximately $945 thousand as of June 30, 2021. The fair value of the Company’s outstanding 4.875% Notes Due 2026 was approximately $105.6 million at June 30, 2021. The fair value was determined based on the recent transaction price. The 4.875% Notes Due 2026 were categorized as Level II under the ASC 820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184"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w:t>
      </w:r>
    </w:p>
    <w:p>
      <w:pPr>
        <w:spacing w:after="0" w:line="155"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For the three and six months ended June 30, 2021 and 2020, interest expense related to the 6.125% Notes Due 2022 was approximately $1.2 million and $1.2 million, respectively.</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Redemption of 6.125% Notes due 2022</w:t>
      </w:r>
    </w:p>
    <w:p>
      <w:pPr>
        <w:spacing w:after="0" w:line="184"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On April 30, 2021, Company notified the trustee for the Company’s 6.125% Notes due 2022 of the Company’s election to redeem the $77.4 million aggregate principal amount of the 6.125% Notes due 2022 outstanding, and instructed the trustee to provide notice of such redemption to the holders of the 6.125% Notes due 2022 in accordance with the terms of the indenture governing the 6.125% Notes due 2022. The redemption was completed on May 30, 2021. Following the redemption, none of the 6.125% Notes due 2022 remain outstanding, and they were delisted from the NASDAQ Global Select Market. In connection with the issuance of the 6.125% Notes Due 2022, the Company incurred approximately $2.9 million of debt offering costs which were being amortized over the expected term of the facility on an effective yield method. In connection with the anticipated refinancing of the 6.125% Notes Due 2022 during the first quarter of 2021, the Company wrote off approximately $1.0 million of unamortized debt offering costs which are reflected in Realized Losses on Extinguishment of Debt on the Consolidated Statement of Operations. As of December 31, 2020 there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was approximately $1.1 million of unamortized debt offering costs included on the consolidated balance sheets as a reduction in the related debt liability.</w:t>
      </w:r>
    </w:p>
    <w:p>
      <w:pPr>
        <w:spacing w:after="0" w:line="221"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During the quarter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Fair Value of 6.125% Notes Due 2022. </w:t>
      </w:r>
      <w:r>
        <w:rPr>
          <w:rFonts w:ascii="Arial" w:cs="Arial" w:eastAsia="Arial" w:hAnsi="Arial"/>
          <w:sz w:val="16"/>
          <w:szCs w:val="16"/>
          <w:color w:val="auto"/>
        </w:rPr>
        <w:t>The 6.125% Notes Due 2022 were issued via public offering during the third quarter of 2017 and are carried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 net of offering costs $1.1 million at December 31, 2020. The fair value of the Company’s outstanding 6.125% Notes Due 2022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$78.1 million at December 31, 2020. The fair value was determined based on the closing price on December 31, 2020 for the 6.125% Notes Due 2022.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6.125% Notes Due 2022 were categorized as Level II under the ASC 820 Fair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 of HCAP Notes</w:t>
      </w:r>
    </w:p>
    <w:p>
      <w:pPr>
        <w:spacing w:after="0" w:line="225" w:lineRule="exact"/>
        <w:rPr>
          <w:sz w:val="20"/>
          <w:szCs w:val="20"/>
          <w:color w:val="auto"/>
        </w:rPr>
      </w:pPr>
    </w:p>
    <w:p>
      <w:pPr>
        <w:ind w:right="240" w:firstLine="374"/>
        <w:spacing w:after="0" w:line="263" w:lineRule="auto"/>
        <w:rPr>
          <w:sz w:val="20"/>
          <w:szCs w:val="20"/>
          <w:color w:val="auto"/>
        </w:rPr>
      </w:pPr>
      <w:r>
        <w:rPr>
          <w:rFonts w:ascii="Arial" w:cs="Arial" w:eastAsia="Arial" w:hAnsi="Arial"/>
          <w:sz w:val="18"/>
          <w:szCs w:val="18"/>
          <w:color w:val="auto"/>
        </w:rPr>
        <w:t>In connection with the closing of the HCAP Acquisition, on June 9, 2021, the Company entered into the HCAP Third Supplemental Indenture, effective as of the closing of the HCAP Acquisition. The HCAP Third Supplemental Indenture relates to the Company’s assumption of $28.75 million in aggregate principal amount of HCAP Notes.</w:t>
      </w:r>
    </w:p>
    <w:p>
      <w:pPr>
        <w:spacing w:after="0" w:line="183"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The HCAP Notes could be redeemed by the Company at any time at par value plus accrued and unpaid interest. No change of control offer was required to be made in respect of the HCAP Notes in connection with the consummation of the HCAP Acquisition.</w:t>
      </w:r>
    </w:p>
    <w:p>
      <w:pPr>
        <w:spacing w:after="0" w:line="175"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The Company redeemed the entire notional amount of $28.75 million of the HCAP Notes on July 23, 2021. See Note 13 below for more information regarding the redemption of the HCAP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160" w:firstLine="374"/>
        <w:spacing w:after="0" w:line="271"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73"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Borrowings under the Prior Revolving Credit Facility bore interest at a rate per annum equal to (i) in the case of LIBOR rate loans, an adjusted LIBOR rate for the applicable interest period plus 3.25% or (ii) in the case of base rate loans, the prime rate plus 3.25%.</w:t>
      </w:r>
    </w:p>
    <w:p>
      <w:pPr>
        <w:spacing w:after="0" w:line="62" w:lineRule="exact"/>
        <w:rPr>
          <w:sz w:val="20"/>
          <w:szCs w:val="20"/>
          <w:color w:val="auto"/>
        </w:rPr>
      </w:pPr>
    </w:p>
    <w:p>
      <w:pPr>
        <w:ind w:right="440" w:firstLine="374"/>
        <w:spacing w:after="0" w:line="279"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62"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3"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3" w:lineRule="exact"/>
        <w:rPr>
          <w:sz w:val="20"/>
          <w:szCs w:val="20"/>
          <w:color w:val="auto"/>
        </w:rPr>
      </w:pPr>
    </w:p>
    <w:p>
      <w:pPr>
        <w:ind w:right="160" w:firstLine="374"/>
        <w:spacing w:after="0" w:line="27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68" w:lineRule="exact"/>
        <w:rPr>
          <w:sz w:val="20"/>
          <w:szCs w:val="20"/>
          <w:color w:val="auto"/>
        </w:rPr>
      </w:pPr>
    </w:p>
    <w:p>
      <w:pPr>
        <w:ind w:right="140" w:firstLine="374"/>
        <w:spacing w:after="0" w:line="279" w:lineRule="auto"/>
        <w:rPr>
          <w:sz w:val="20"/>
          <w:szCs w:val="20"/>
          <w:color w:val="auto"/>
        </w:rPr>
      </w:pPr>
      <w:r>
        <w:rPr>
          <w:rFonts w:ascii="Arial" w:cs="Arial" w:eastAsia="Arial" w:hAnsi="Arial"/>
          <w:sz w:val="18"/>
          <w:szCs w:val="18"/>
          <w:color w:val="auto"/>
        </w:rPr>
        <w:t>At June 30, 2021, GLPRF LLC was in compliance with all of its debt covenants and $69.1 million principal amount of borrowings was outstanding under the Revolving Credit Facility. The fair value of GLPRF LLC debt outstanding was approximately $68.2 million at June 30, 2021 and categorized as Level III under the ASC 820 Fair Value Hierarchy</w:t>
      </w:r>
    </w:p>
    <w:p>
      <w:pPr>
        <w:spacing w:after="0" w:line="128"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For the three months ended June 30, 2021 and 2020 interest and fees expense related to the Revolving Credit Facility was approximately $0.8 million and $1.1 million, respectively. For the six months ended June 30, 2021 and 2020 interest and fees expense related to the Revolving Credit Facility was approximately $1.7 million and $2.1 million, respectively.</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2018-2 Secured Notes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20"/>
                <w:szCs w:val="20"/>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Outstanding</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Stated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2720" w:type="dxa"/>
            <w:vAlign w:val="bottom"/>
            <w:gridSpan w:val="4"/>
          </w:tcPr>
          <w:p>
            <w:pPr>
              <w:ind w:left="1100"/>
              <w:spacing w:after="0"/>
              <w:rPr>
                <w:sz w:val="20"/>
                <w:szCs w:val="20"/>
                <w:color w:val="auto"/>
              </w:rPr>
            </w:pPr>
            <w:r>
              <w:rPr>
                <w:rFonts w:ascii="Arial" w:cs="Arial" w:eastAsia="Arial" w:hAnsi="Arial"/>
                <w:sz w:val="18"/>
                <w:szCs w:val="18"/>
                <w:b w:val="1"/>
                <w:bCs w:val="1"/>
                <w:color w:val="auto"/>
              </w:rPr>
              <w:t>Carrying Value</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Principal at Par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8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Rating</w:t>
            </w:r>
            <w:r>
              <w:rPr>
                <w:rFonts w:ascii="Arial" w:cs="Arial" w:eastAsia="Arial" w:hAnsi="Arial"/>
                <w:sz w:val="15"/>
                <w:szCs w:val="15"/>
                <w:color w:val="auto"/>
                <w:w w:val="94"/>
              </w:rPr>
              <w:t>(1)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r>
              <w:rPr>
                <w:rFonts w:ascii="Arial" w:cs="Arial" w:eastAsia="Arial" w:hAnsi="Arial"/>
                <w:sz w:val="15"/>
                <w:szCs w:val="15"/>
                <w:b w:val="1"/>
                <w:bCs w:val="1"/>
                <w:color w:val="auto"/>
                <w:w w:val="99"/>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2018-2 Secured Notes:</w:t>
            </w: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LIBOR + 1.58%</w:t>
            </w:r>
          </w:p>
        </w:tc>
        <w:tc>
          <w:tcPr>
            <w:tcW w:w="1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vMerge w:val="restart"/>
          </w:tcPr>
          <w:p>
            <w:pPr>
              <w:ind w:left="240"/>
              <w:spacing w:after="0"/>
              <w:rPr>
                <w:sz w:val="20"/>
                <w:szCs w:val="20"/>
                <w:color w:val="auto"/>
              </w:rPr>
            </w:pPr>
            <w:r>
              <w:rPr>
                <w:rFonts w:ascii="Arial" w:cs="Arial" w:eastAsia="Arial" w:hAnsi="Arial"/>
                <w:sz w:val="18"/>
                <w:szCs w:val="18"/>
                <w:color w:val="auto"/>
              </w:rPr>
              <w:t>Class A-1R-R Notes</w:t>
            </w:r>
          </w:p>
        </w:tc>
        <w:tc>
          <w:tcPr>
            <w:tcW w:w="124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rPr>
              <w:t>AAA(sf)</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Class A-1T-R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89,587,410</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90,512,698</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+ 1.58%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AAA(sf)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Class A-2-R Notes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54,681,332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55,100,000</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LIBOR + 2.45%</w:t>
            </w:r>
          </w:p>
        </w:tc>
        <w:tc>
          <w:tcPr>
            <w:tcW w:w="18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AA (sf)</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Class B-R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18,102,679</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18,250,000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+ 3.17%</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A (sf)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162,371,420</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163,862,698</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80" w:right="340" w:hanging="372"/>
        <w:spacing w:after="0" w:line="189" w:lineRule="auto"/>
        <w:tabs>
          <w:tab w:leader="none" w:pos="380" w:val="left"/>
        </w:tabs>
        <w:numPr>
          <w:ilvl w:val="0"/>
          <w:numId w:val="70"/>
        </w:numPr>
        <w:rPr>
          <w:rFonts w:ascii="Arial" w:cs="Arial" w:eastAsia="Arial" w:hAnsi="Arial"/>
          <w:sz w:val="29"/>
          <w:szCs w:val="29"/>
          <w:color w:val="auto"/>
          <w:vertAlign w:val="superscript"/>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spacing w:after="0" w:line="10" w:lineRule="exact"/>
        <w:rPr>
          <w:rFonts w:ascii="Arial" w:cs="Arial" w:eastAsia="Arial" w:hAnsi="Arial"/>
          <w:sz w:val="29"/>
          <w:szCs w:val="29"/>
          <w:color w:val="auto"/>
          <w:vertAlign w:val="superscript"/>
        </w:rPr>
      </w:pPr>
    </w:p>
    <w:p>
      <w:pPr>
        <w:ind w:left="380" w:right="520" w:hanging="372"/>
        <w:spacing w:after="0" w:line="189" w:lineRule="auto"/>
        <w:tabs>
          <w:tab w:leader="none" w:pos="380" w:val="left"/>
        </w:tabs>
        <w:numPr>
          <w:ilvl w:val="0"/>
          <w:numId w:val="70"/>
        </w:numPr>
        <w:rPr>
          <w:rFonts w:ascii="Arial" w:cs="Arial" w:eastAsia="Arial" w:hAnsi="Arial"/>
          <w:sz w:val="29"/>
          <w:szCs w:val="29"/>
          <w:color w:val="auto"/>
          <w:vertAlign w:val="superscript"/>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ind w:left="380" w:hanging="372"/>
        <w:spacing w:after="0" w:line="183" w:lineRule="auto"/>
        <w:tabs>
          <w:tab w:leader="none" w:pos="380" w:val="left"/>
        </w:tabs>
        <w:numPr>
          <w:ilvl w:val="0"/>
          <w:numId w:val="70"/>
        </w:numPr>
        <w:rPr>
          <w:rFonts w:ascii="Arial" w:cs="Arial" w:eastAsia="Arial" w:hAnsi="Arial"/>
          <w:sz w:val="23"/>
          <w:szCs w:val="23"/>
          <w:color w:val="auto"/>
          <w:vertAlign w:val="superscript"/>
        </w:rPr>
      </w:pPr>
      <w:r>
        <w:rPr>
          <w:rFonts w:ascii="Arial" w:cs="Arial" w:eastAsia="Arial" w:hAnsi="Arial"/>
          <w:sz w:val="13"/>
          <w:szCs w:val="13"/>
          <w:color w:val="auto"/>
        </w:rPr>
        <w:t>Interest may be indexed to either the CP Rate (as defined in the governing indenture) or three-month USD LIBOR.</w:t>
      </w:r>
    </w:p>
    <w:p>
      <w:pPr>
        <w:spacing w:after="0" w:line="116" w:lineRule="exact"/>
        <w:rPr>
          <w:sz w:val="20"/>
          <w:szCs w:val="20"/>
          <w:color w:val="auto"/>
        </w:rPr>
      </w:pPr>
    </w:p>
    <w:p>
      <w:pPr>
        <w:ind w:right="160" w:firstLine="374"/>
        <w:spacing w:after="0" w:line="252"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93" w:lineRule="exact"/>
        <w:rPr>
          <w:sz w:val="20"/>
          <w:szCs w:val="20"/>
          <w:color w:val="auto"/>
        </w:rPr>
      </w:pPr>
    </w:p>
    <w:p>
      <w:pPr>
        <w:ind w:right="140" w:firstLine="374"/>
        <w:spacing w:after="0" w:line="291" w:lineRule="auto"/>
        <w:rPr>
          <w:sz w:val="20"/>
          <w:szCs w:val="20"/>
          <w:color w:val="auto"/>
        </w:rPr>
      </w:pPr>
      <w:r>
        <w:rPr>
          <w:rFonts w:ascii="Arial" w:cs="Arial" w:eastAsia="Arial" w:hAnsi="Arial"/>
          <w:sz w:val="16"/>
          <w:szCs w:val="16"/>
          <w:color w:val="auto"/>
        </w:rPr>
        <w:t>The CLO was executed by GF CLO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right="140"/>
        <w:spacing w:after="0" w:line="290" w:lineRule="auto"/>
        <w:rPr>
          <w:sz w:val="20"/>
          <w:szCs w:val="20"/>
          <w:color w:val="auto"/>
        </w:rPr>
      </w:pPr>
      <w:r>
        <w:rPr>
          <w:rFonts w:ascii="Arial" w:cs="Arial" w:eastAsia="Arial" w:hAnsi="Arial"/>
          <w:sz w:val="16"/>
          <w:szCs w:val="16"/>
          <w:color w:val="auto"/>
        </w:rPr>
        <w:t>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63"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During the first quarter of 2021, the Company redeemed approximately $88 million of the 2018-2 Secured Notes. In connection therewith, the Company recognized a realized loss on extinguishment of debt of approximately $0.9 million.</w:t>
      </w:r>
    </w:p>
    <w:p>
      <w:pPr>
        <w:spacing w:after="0" w:line="169"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fair value of the 2018-2 Notes approximated their carrying value on the consolidated statements of financial condition as of June 30, 2021 and are categorized as Level III under the ASC 820 Fair Value Hierarchy.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Loan Obligation Financing Covenants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documents governing the CLO include three overcollateralization tests which are comprised of the Class A Overcollateralization Test, the Class B Overcollateralization Test and the EoD Overcollateralization Test, each of which are individually defined below.</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documents governing the CLO include two coverage tests applicable to the 2018-2 Secured Notes as of June 30, 2021. The first test compares the amount of interest received on the collateral loans held by 2018-2 CLO to the amount of interest payable on the 2018-2 Secured Notes in respect of the amounts drawn and certain expenses. To meet this first test, at any time, the aggregate amount of interest received on the collateral loans must equal, after the payment of certain fees and expenses, at least 135.0% of the aggregate amount of interest payable on the Class A-1R-R Notes, the Class A-1T-R Notes and the Class A-2-R Notes (collectively, the “Class A-R Notes”) and 125.0% of the interest payable on the Class A-R Notes and Class B-R Notes, taken together.</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second test compares the aggregate assets that serve as collateral for the 2018-2 Secured Notes, or the Total Capitalization, as defined and calculated in accordance with the indenture, to the aggregate outstanding principal amount of the 2018-2 Secured Notes in respect of the amounts drawn. To meet this second test at any time, the Total Capitalization must equal at least (1) 128.0% of the aggregate outstanding principal amount of the Class A-R Notes (“Class A Overcollateralization Test”), and (2) 118.2% of the aggregate principal amount of the Class A-R Notes and Class B-R Notes, taken together (the test in clause (2), the “Class B Overcollateralization Test”).</w:t>
      </w:r>
    </w:p>
    <w:p>
      <w:pPr>
        <w:spacing w:after="0" w:line="19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If the coverage tests are not satisfied with respect to a quarterly payment date, the CLO may be required to apply amounts to the repayment of interest on and principal of the 2018-2 Notes prior to their maturity to the extent necessary to satisfy the applicable coverage tests. As a result, there may be reduced funds available for 2018-2 CLO to make additional investments or to make distributions on the 2018-2 Notes held by the Company. Additionally, compliance was measured on each day collateral loans are purchased, originated or sold and in connection with monthly reporting to the note holders.</w:t>
      </w:r>
    </w:p>
    <w:p>
      <w:pPr>
        <w:spacing w:after="0" w:line="1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Furthermore, if under the second coverage test the Total Capitalization equals 125.0% or less of the aggregate outstanding principal amount on the Class A-1R-R and Class A-1T-R Notes (“EoD Overcollateralization Test”), taken together remained so for ten business days, an event of default would be deemed to have occurred.</w:t>
      </w:r>
    </w:p>
    <w:p>
      <w:pPr>
        <w:spacing w:after="0" w:line="18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June 30, 2021, the trustee for the CLO has asserted that the Class A Overcollateralization Test, Class B Overcollateralization, and the EoD Overcollateralization Test were met.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about the Company’s senior securities is shown as of the dates indicated in the below table.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Total Amount</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Outstanding</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Involuntary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Exclusive of</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Liquidating</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Treasury</w:t>
            </w:r>
          </w:p>
        </w:tc>
        <w:tc>
          <w:tcPr>
            <w:tcW w:w="2000" w:type="dxa"/>
            <w:vAlign w:val="bottom"/>
            <w:gridSpan w:val="2"/>
          </w:tcPr>
          <w:p>
            <w:pPr>
              <w:ind w:left="60"/>
              <w:spacing w:after="0"/>
              <w:rPr>
                <w:sz w:val="20"/>
                <w:szCs w:val="20"/>
                <w:color w:val="auto"/>
              </w:rPr>
            </w:pPr>
            <w:r>
              <w:rPr>
                <w:rFonts w:ascii="Arial" w:cs="Arial" w:eastAsia="Arial" w:hAnsi="Arial"/>
                <w:sz w:val="18"/>
                <w:szCs w:val="18"/>
                <w:b w:val="1"/>
                <w:bCs w:val="1"/>
                <w:color w:val="auto"/>
              </w:rPr>
              <w:t>Asset Coverage per</w:t>
            </w: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Preference per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Value per</w:t>
            </w:r>
          </w:p>
        </w:tc>
      </w:tr>
      <w:tr>
        <w:trPr>
          <w:trHeight w:val="234"/>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 and Period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8"/>
              </w:rPr>
              <w:t>Securities</w:t>
            </w:r>
            <w:r>
              <w:rPr>
                <w:rFonts w:ascii="Arial" w:cs="Arial" w:eastAsia="Arial" w:hAnsi="Arial"/>
                <w:sz w:val="15"/>
                <w:szCs w:val="15"/>
                <w:b w:val="1"/>
                <w:bCs w:val="1"/>
                <w:color w:val="auto"/>
                <w:w w:val="88"/>
              </w:rPr>
              <w:t>(1)</w:t>
            </w:r>
          </w:p>
        </w:tc>
        <w:tc>
          <w:tcPr>
            <w:tcW w:w="380" w:type="dxa"/>
            <w:vAlign w:val="bottom"/>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Unit</w:t>
            </w:r>
            <w:r>
              <w:rPr>
                <w:rFonts w:ascii="Arial" w:cs="Arial" w:eastAsia="Arial" w:hAnsi="Arial"/>
                <w:sz w:val="15"/>
                <w:szCs w:val="15"/>
                <w:b w:val="1"/>
                <w:bCs w:val="1"/>
                <w:color w:val="auto"/>
              </w:rPr>
              <w:t>(2)</w:t>
            </w:r>
          </w:p>
        </w:tc>
        <w:tc>
          <w:tcPr>
            <w:tcW w:w="36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Unit</w:t>
            </w:r>
            <w:r>
              <w:rPr>
                <w:rFonts w:ascii="Arial" w:cs="Arial" w:eastAsia="Arial" w:hAnsi="Arial"/>
                <w:sz w:val="15"/>
                <w:szCs w:val="15"/>
                <w:b w:val="1"/>
                <w:bCs w:val="1"/>
                <w:color w:val="auto"/>
                <w:w w:val="93"/>
              </w:rPr>
              <w:t>(3)</w:t>
            </w:r>
          </w:p>
        </w:tc>
        <w:tc>
          <w:tcPr>
            <w:tcW w:w="3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(4)</w:t>
            </w:r>
          </w:p>
        </w:tc>
      </w:tr>
      <w:tr>
        <w:trPr>
          <w:trHeight w:val="223"/>
        </w:trPr>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Fiscal 2011</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3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Fiscal 2012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101,400</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3,050</w:t>
            </w:r>
          </w:p>
        </w:tc>
        <w:tc>
          <w:tcPr>
            <w:tcW w:w="3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Fiscal 2013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192,592</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3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Fiscal 2014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223,885</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2,140</w:t>
            </w:r>
          </w:p>
        </w:tc>
        <w:tc>
          <w:tcPr>
            <w:tcW w:w="3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Fiscal 2015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208,049</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Fiscal 2016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180,881</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2,048</w:t>
            </w:r>
          </w:p>
        </w:tc>
        <w:tc>
          <w:tcPr>
            <w:tcW w:w="3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Fiscal 2017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104,407</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3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Fiscal 2018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103,763</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2,490</w:t>
            </w:r>
          </w:p>
        </w:tc>
        <w:tc>
          <w:tcPr>
            <w:tcW w:w="3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Fiscal 2019</w:t>
            </w:r>
            <w:r>
              <w:rPr>
                <w:rFonts w:ascii="Arial" w:cs="Arial" w:eastAsia="Arial" w:hAnsi="Arial"/>
                <w:sz w:val="15"/>
                <w:szCs w:val="15"/>
                <w:color w:val="auto"/>
              </w:rPr>
              <w:t>(5)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156,978</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3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377,910</w:t>
            </w:r>
          </w:p>
        </w:tc>
        <w:tc>
          <w:tcPr>
            <w:tcW w:w="3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1,560</w:t>
            </w:r>
          </w:p>
        </w:tc>
        <w:tc>
          <w:tcPr>
            <w:tcW w:w="3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March 31, 2021</w:t>
            </w:r>
            <w:r>
              <w:rPr>
                <w:rFonts w:ascii="Arial" w:cs="Arial" w:eastAsia="Arial" w:hAnsi="Arial"/>
                <w:sz w:val="15"/>
                <w:szCs w:val="15"/>
                <w:color w:val="auto"/>
              </w:rPr>
              <w:t>(7)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309,660</w:t>
            </w: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3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June 30, 2021</w:t>
            </w:r>
            <w:r>
              <w:rPr>
                <w:rFonts w:ascii="Arial" w:cs="Arial" w:eastAsia="Arial" w:hAnsi="Arial"/>
                <w:sz w:val="15"/>
                <w:szCs w:val="15"/>
                <w:color w:val="auto"/>
              </w:rPr>
              <w:t>(8)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369,684</w:t>
            </w:r>
          </w:p>
        </w:tc>
        <w:tc>
          <w:tcPr>
            <w:tcW w:w="3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1,711</w:t>
            </w:r>
          </w:p>
        </w:tc>
        <w:tc>
          <w:tcPr>
            <w:tcW w:w="360" w:type="dxa"/>
            <w:vAlign w:val="bottom"/>
          </w:tcPr>
          <w:p>
            <w:pPr>
              <w:spacing w:after="0"/>
              <w:rPr>
                <w:sz w:val="20"/>
                <w:szCs w:val="20"/>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227"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PTMN’s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460" w:right="40" w:hanging="452"/>
        <w:spacing w:after="0" w:line="264"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spacing w:after="0" w:line="1" w:lineRule="exact"/>
        <w:rPr>
          <w:rFonts w:ascii="Arial" w:cs="Arial" w:eastAsia="Arial" w:hAnsi="Arial"/>
          <w:sz w:val="17"/>
          <w:szCs w:val="17"/>
          <w:color w:val="auto"/>
        </w:rPr>
      </w:pPr>
    </w:p>
    <w:p>
      <w:pPr>
        <w:ind w:left="460" w:right="160" w:hanging="452"/>
        <w:spacing w:after="0" w:line="281"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Not applicable, except with respect to the 7.375% Notes Due 2019 and the 6.125% Notes Due 2022, as other debt securities are not registered for public trading. For the years ended December 31, 2017, 2016, 2015, 2014, 2013 and for the period from October 17, 2012 (date of issuance) to December 31, 2012, the average market value per $1,000 of par value of the 7.375% Notes Due 2019 was $1,016.04, $1,000.00, $1,011.96, $1,037.72, $1,032.96 and $1,012.28,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spacing w:after="0" w:line="1"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December 31, 2019, the Total Amount Outstanding Exclusive of Treasury Securities consisted of 6.125% Notes Due 2022 of $77,407 and Revolving Credit Facilities of $79,571.</w:t>
      </w:r>
    </w:p>
    <w:p>
      <w:pPr>
        <w:ind w:left="460" w:right="68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December 31, 2020, the Total Amount Outstanding Exclusive of Treasury Securities consisted of 6.125% Notes Due 2022 of $76,726, Revolving Credit Facilities of $49,321 and 2018-2 Secured Notes of $251,863.</w:t>
      </w:r>
    </w:p>
    <w:p>
      <w:pPr>
        <w:ind w:left="460" w:right="16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March 31, 2021, the Total Amount Outstanding Exclusive of Treasury Securities consisted of 6.125% Notes Due 2022 of $76,726, Revolving Credit Facilities of $69,071 and 2018-2 Secured Notes of $163,863.</w:t>
      </w:r>
    </w:p>
    <w:p>
      <w:pPr>
        <w:ind w:left="460" w:right="160" w:hanging="452"/>
        <w:spacing w:after="0" w:line="26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of June 30, 2021, the Total Amount Outstanding Exclusive of Treasury Securities consisted of HCAP Notes of $28.8 million, 4.875% Notes due 2026 of $108 million, Revolving Credit Facilities of $69.1 million and 2018-2 Secured Notes of $163.9 million.</w:t>
      </w:r>
    </w:p>
    <w:p>
      <w:pPr>
        <w:spacing w:after="0" w:line="356"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88" w:lineRule="exact"/>
        <w:rPr>
          <w:sz w:val="20"/>
          <w:szCs w:val="20"/>
          <w:color w:val="auto"/>
        </w:rPr>
      </w:pPr>
    </w:p>
    <w:p>
      <w:pPr>
        <w:ind w:right="60" w:firstLine="374"/>
        <w:spacing w:after="0" w:line="271"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54"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3" w:name="page74"/>
    <w:bookmarkEnd w:id="73"/>
    <w:p>
      <w:pPr>
        <w:spacing w:after="0" w:line="288" w:lineRule="auto"/>
        <w:rPr>
          <w:sz w:val="20"/>
          <w:szCs w:val="20"/>
          <w:color w:val="auto"/>
        </w:rPr>
      </w:pPr>
      <w:r>
        <w:rPr>
          <w:rFonts w:ascii="Arial" w:cs="Arial" w:eastAsia="Arial" w:hAnsi="Arial"/>
          <w:sz w:val="16"/>
          <w:szCs w:val="16"/>
          <w:color w:val="auto"/>
        </w:rPr>
        <w:t>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reconciles net increase in net assets resulting from operations to taxable income for the three months ended June 30, 2021 and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6"/>
          </w:tcPr>
          <w:p>
            <w:pPr>
              <w:ind w:left="4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18,881,498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(25,769,235)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2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(8,234,727)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29,359,742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9,276,486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2,463,601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Book/tax differences related to mergers</w:t>
            </w: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(12,011,221)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book/tax differences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949,875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Taxable income before deductions for distributions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11,325,512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6,461,184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 per weighted</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40"/>
              <w:spacing w:after="0"/>
              <w:rPr>
                <w:sz w:val="20"/>
                <w:szCs w:val="20"/>
                <w:color w:val="auto"/>
              </w:rPr>
            </w:pPr>
            <w:r>
              <w:rPr>
                <w:rFonts w:ascii="Arial" w:cs="Arial" w:eastAsia="Arial" w:hAnsi="Arial"/>
                <w:sz w:val="18"/>
                <w:szCs w:val="18"/>
                <w:color w:val="auto"/>
              </w:rPr>
              <w:t>average basic shares for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0"/>
                <w:szCs w:val="20"/>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Taxable income before deductions for distributions per weighted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diluted shares for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and six months ended June 30, 2021, the Asset Manager Affiliates did not make any cash distributions to the Company.</w:t>
      </w:r>
    </w:p>
    <w:p>
      <w:pPr>
        <w:spacing w:after="0" w:line="83"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0" w:lineRule="exact"/>
        <w:rPr>
          <w:sz w:val="20"/>
          <w:szCs w:val="20"/>
          <w:color w:val="auto"/>
        </w:rPr>
      </w:pPr>
    </w:p>
    <w:p>
      <w:pPr>
        <w:ind w:right="60" w:firstLine="374"/>
        <w:spacing w:after="0" w:line="341" w:lineRule="auto"/>
        <w:rPr>
          <w:sz w:val="20"/>
          <w:szCs w:val="20"/>
          <w:color w:val="auto"/>
        </w:rPr>
      </w:pPr>
      <w:r>
        <w:rPr>
          <w:rFonts w:ascii="Arial" w:cs="Arial" w:eastAsia="Arial" w:hAnsi="Arial"/>
          <w:sz w:val="16"/>
          <w:szCs w:val="16"/>
          <w:color w:val="auto"/>
        </w:rPr>
        <w:t>At June 30, 2021, the Company had a net capital loss carryforward of $369.7 million to offset net capital gains. This net capital loss carryforward is not subject to expiration. A portion of the Company’s capital loss carryovers are subject to an annual use limitation under the Code and related regulations.</w:t>
      </w:r>
    </w:p>
    <w:p>
      <w:pPr>
        <w:spacing w:after="0" w:line="17"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The Company has certain taxable subsidiaries which have elected to be taxed as corporations for U.S. tax purposes. For the six months ended June 30, 2021, the taxable subsidiaries’ activity did not result in a material provision for income taxes. As of June 30, 2021, $158 thousand of refundable AMT tax credits receivable was included as an asset on the consolidated balance sheets. The taxable subsidiaries have, in aggregate, approximately $826 thousand of deferred tax liabilities (primarily due to net operating loss and capital loss carryovers) and no deferred tax liabilities. The Company has assessed the realizability of the deferred tax assets and recorded a full valuation allowance as of June 30, 2021. A portion of the taxable subsidiaries’ net operating loss and capital loss carryovers are subject to an annual use limitation under the Code and related regulations.</w:t>
      </w:r>
    </w:p>
    <w:p>
      <w:pPr>
        <w:spacing w:after="0" w:line="136"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line="255" w:lineRule="auto"/>
        <w:rPr>
          <w:sz w:val="20"/>
          <w:szCs w:val="20"/>
          <w:color w:val="auto"/>
        </w:rPr>
      </w:pPr>
      <w:r>
        <w:rPr>
          <w:rFonts w:ascii="Arial" w:cs="Arial" w:eastAsia="Arial" w:hAnsi="Arial"/>
          <w:sz w:val="18"/>
          <w:szCs w:val="18"/>
          <w:color w:val="auto"/>
        </w:rPr>
        <w:t>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0"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8"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2021 and December 31, 2020, the Company had $36.5 million and $32.9 million outstanding unfunded commitments, respectively.</w:t>
      </w:r>
    </w:p>
    <w:p>
      <w:pPr>
        <w:spacing w:after="0" w:line="52"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1940 Act). As of June 30, 2021 and December 31, 2020, the Company had a $11.4 million and $20.0 million, respectively unfunded commitment to the BCP Great Lakes Partnership, subject to the limitations noted above.</w:t>
      </w:r>
    </w:p>
    <w:p>
      <w:pPr>
        <w:spacing w:after="0" w:line="145"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auto"/>
        </w:rPr>
        <w:t>The Company is involved in litigation in the normal course of its operations and does not expect that the outcome of those litigations to have a material adverse impact to the Company’s financial position or results of operations.</w:t>
      </w:r>
    </w:p>
    <w:p>
      <w:pPr>
        <w:spacing w:after="0" w:line="129"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former office space. Such obligation was previously with Katonah Debt Advisors. During 2018, the Company and the Asset Manager Affiliates shared the cost of such lease pursuant to an Overhead Allocation agreement.</w:t>
      </w:r>
    </w:p>
    <w:p>
      <w:pPr>
        <w:spacing w:after="0" w:line="156"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w:t>
      </w:r>
    </w:p>
    <w:p>
      <w:pPr>
        <w:spacing w:after="0" w:line="77" w:lineRule="exact"/>
        <w:rPr>
          <w:sz w:val="20"/>
          <w:szCs w:val="20"/>
          <w:color w:val="auto"/>
        </w:rPr>
      </w:pPr>
    </w:p>
    <w:p>
      <w:pPr>
        <w:jc w:val="both"/>
        <w:ind w:right="100" w:firstLine="374"/>
        <w:spacing w:after="0" w:line="311" w:lineRule="auto"/>
        <w:rPr>
          <w:sz w:val="20"/>
          <w:szCs w:val="20"/>
          <w:color w:val="auto"/>
        </w:rPr>
      </w:pPr>
      <w:r>
        <w:rPr>
          <w:rFonts w:ascii="Arial" w:cs="Arial" w:eastAsia="Arial" w:hAnsi="Arial"/>
          <w:sz w:val="16"/>
          <w:szCs w:val="16"/>
          <w:color w:val="auto"/>
        </w:rPr>
        <w:t>During the second quarter of 2019, the Company recognized an impairment to the operating lease right-of-use asset of approximately $1.4 million to reduce the right-of-use asset to its estimated fair market value. The impairment charge was measured using a discounted cash flow analysis and recognized in the statement of operations during the second quarter of 2019 as a result of the Company’s estimated impact of entering into a sublease.</w:t>
      </w:r>
    </w:p>
    <w:p>
      <w:pPr>
        <w:spacing w:after="0" w:line="40"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8"/>
          <w:szCs w:val="18"/>
          <w:color w:val="auto"/>
        </w:rPr>
        <w:t>The Company may, from time to time, enter into commitments to fund investments. These unfunded commitments are assessed for fair value in accordance with ASC 820. As of June 30, 2021, the Company had the following outstanding commitments to fund investments in current portfolio companies: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Par Value</w:t>
            </w:r>
          </w:p>
        </w:tc>
      </w:tr>
      <w:tr>
        <w:trPr>
          <w:trHeight w:val="187"/>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5300" w:type="dxa"/>
            <w:vAlign w:val="bottom"/>
            <w:gridSpan w:val="2"/>
          </w:tcPr>
          <w:p>
            <w:pPr>
              <w:ind w:left="2140"/>
              <w:spacing w:after="0"/>
              <w:rPr>
                <w:sz w:val="20"/>
                <w:szCs w:val="20"/>
                <w:color w:val="auto"/>
              </w:rPr>
            </w:pPr>
            <w:r>
              <w:rPr>
                <w:rFonts w:ascii="Arial" w:cs="Arial" w:eastAsia="Arial" w:hAnsi="Arial"/>
                <w:sz w:val="14"/>
                <w:szCs w:val="14"/>
                <w:b w:val="1"/>
                <w:bCs w:val="1"/>
                <w:color w:val="auto"/>
              </w:rPr>
              <w:t>Investment</w:t>
            </w:r>
          </w:p>
        </w:tc>
        <w:tc>
          <w:tcPr>
            <w:tcW w:w="5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 2021</w:t>
            </w:r>
          </w:p>
        </w:tc>
      </w:tr>
      <w:tr>
        <w:trPr>
          <w:trHeight w:val="155"/>
        </w:trPr>
        <w:tc>
          <w:tcPr>
            <w:tcW w:w="43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AMCP Pet Holdings, Inc.</w:t>
            </w:r>
          </w:p>
        </w:tc>
        <w:tc>
          <w:tcPr>
            <w:tcW w:w="100" w:type="dxa"/>
            <w:vAlign w:val="bottom"/>
            <w:tcBorders>
              <w:top w:val="single" w:sz="8" w:color="CFF0FC"/>
            </w:tcBorders>
            <w:shd w:val="clear" w:color="auto" w:fill="CFF0FC"/>
          </w:tcPr>
          <w:p>
            <w:pPr>
              <w:spacing w:after="0"/>
              <w:rPr>
                <w:sz w:val="13"/>
                <w:szCs w:val="13"/>
                <w:color w:val="auto"/>
              </w:rPr>
            </w:pPr>
          </w:p>
        </w:tc>
        <w:tc>
          <w:tcPr>
            <w:tcW w:w="4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Senior Secured Loan — Delayed Draw Term Loan</w:t>
            </w:r>
          </w:p>
        </w:tc>
        <w:tc>
          <w:tcPr>
            <w:tcW w:w="3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1,000,000</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AMCP Pet Holdings, Inc.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Revolving Loan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750,000</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Analogic Corporation</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202,233</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Anthem Sports &amp; Entertainment Inc.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Revolving Loan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875,000</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BCP Great Lakes Holdings LP</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Joint Venture</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11,352,458</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Bristol Hospice</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821,918</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Centric Brands Inc.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692,109</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Circustrix Holdings, LLC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11,472</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Coastal Screen and Rail, LLC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850,000</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Datalink, LLC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 (First Lien)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525,000</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Global Integrated Flooring Systems Inc.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42,857</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Location Services Holdings, LLC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Revolving Credit</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1,458,333</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Luminii LLC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171,737</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Maxor National Pharmacy Services, LLC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585,000</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Naviga Inc.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301,567</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Priority Holdings, LLC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3,604,520</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PromptCare Companies, The</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Second Delayed Draw Term Loan</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100,364</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Redstone Holdco 2 LP</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Junior Secured Loan — Second Delayed Draw Term Loan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2,186,667</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Ritedose Holdings I, Inc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537,175</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gridSpan w:val="2"/>
          </w:tcPr>
          <w:p>
            <w:pPr>
              <w:spacing w:after="0"/>
              <w:rPr>
                <w:sz w:val="20"/>
                <w:szCs w:val="20"/>
                <w:color w:val="auto"/>
              </w:rPr>
            </w:pPr>
            <w:r>
              <w:rPr>
                <w:rFonts w:ascii="Arial" w:cs="Arial" w:eastAsia="Arial" w:hAnsi="Arial"/>
                <w:sz w:val="14"/>
                <w:szCs w:val="14"/>
                <w:color w:val="auto"/>
              </w:rPr>
              <w:t>Surge Busy Bee Holdings LLC</w:t>
            </w:r>
          </w:p>
        </w:tc>
        <w:tc>
          <w:tcPr>
            <w:tcW w:w="5300" w:type="dxa"/>
            <w:vAlign w:val="bottom"/>
            <w:gridSpan w:val="2"/>
          </w:tcPr>
          <w:p>
            <w:pPr>
              <w:jc w:val="right"/>
              <w:ind w:right="340"/>
              <w:spacing w:after="0"/>
              <w:rPr>
                <w:sz w:val="20"/>
                <w:szCs w:val="20"/>
                <w:color w:val="auto"/>
              </w:rPr>
            </w:pPr>
            <w:r>
              <w:rPr>
                <w:rFonts w:ascii="Arial" w:cs="Arial" w:eastAsia="Arial" w:hAnsi="Arial"/>
                <w:sz w:val="14"/>
                <w:szCs w:val="14"/>
                <w:color w:val="auto"/>
              </w:rPr>
              <w:t>Senior Secured Loan — Revolver</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450,000</w:t>
            </w:r>
          </w:p>
        </w:tc>
        <w:tc>
          <w:tcPr>
            <w:tcW w:w="60" w:type="dxa"/>
            <w:vAlign w:val="bottom"/>
          </w:tcPr>
          <w:p>
            <w:pPr>
              <w:spacing w:after="0"/>
              <w:rPr>
                <w:sz w:val="14"/>
                <w:szCs w:val="14"/>
                <w:color w:val="auto"/>
              </w:rPr>
            </w:pPr>
          </w:p>
        </w:tc>
      </w:tr>
      <w:tr>
        <w:trPr>
          <w:trHeight w:val="162"/>
        </w:trPr>
        <w:tc>
          <w:tcPr>
            <w:tcW w:w="44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TA/Weg Holdings, LLC</w:t>
            </w:r>
          </w:p>
        </w:tc>
        <w:tc>
          <w:tcPr>
            <w:tcW w:w="53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10,000,000</w:t>
            </w:r>
          </w:p>
        </w:tc>
        <w:tc>
          <w:tcPr>
            <w:tcW w:w="60" w:type="dxa"/>
            <w:vAlign w:val="bottom"/>
            <w:shd w:val="clear" w:color="auto" w:fill="CFF0FC"/>
          </w:tcPr>
          <w:p>
            <w:pPr>
              <w:spacing w:after="0"/>
              <w:rPr>
                <w:sz w:val="14"/>
                <w:szCs w:val="14"/>
                <w:color w:val="auto"/>
              </w:rPr>
            </w:pPr>
          </w:p>
        </w:tc>
      </w:tr>
      <w:tr>
        <w:trPr>
          <w:trHeight w:val="162"/>
        </w:trPr>
        <w:tc>
          <w:tcPr>
            <w:tcW w:w="44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TLE Holdings, LLC</w:t>
            </w:r>
          </w:p>
        </w:tc>
        <w:tc>
          <w:tcPr>
            <w:tcW w:w="5300" w:type="dxa"/>
            <w:vAlign w:val="bottom"/>
            <w:tcBorders>
              <w:bottom w:val="single" w:sz="8" w:color="CFF0FC"/>
            </w:tcBorders>
            <w:gridSpan w:val="2"/>
          </w:tcPr>
          <w:p>
            <w:pPr>
              <w:jc w:val="right"/>
              <w:ind w:right="340"/>
              <w:spacing w:after="0"/>
              <w:rPr>
                <w:sz w:val="20"/>
                <w:szCs w:val="20"/>
                <w:color w:val="auto"/>
              </w:rPr>
            </w:pPr>
            <w:r>
              <w:rPr>
                <w:rFonts w:ascii="Arial" w:cs="Arial" w:eastAsia="Arial" w:hAnsi="Arial"/>
                <w:sz w:val="14"/>
                <w:szCs w:val="14"/>
                <w:color w:val="auto"/>
              </w:rPr>
              <w:t>Senior Secured Loan — Delayed Draw Term Loan</w:t>
            </w: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60" w:type="dxa"/>
            <w:vAlign w:val="bottom"/>
            <w:tcBorders>
              <w:bottom w:val="single" w:sz="8" w:color="CFF0FC"/>
            </w:tcBorders>
          </w:tcPr>
          <w:p>
            <w:pPr>
              <w:spacing w:after="0"/>
              <w:rPr>
                <w:sz w:val="14"/>
                <w:szCs w:val="14"/>
                <w:color w:val="auto"/>
              </w:rPr>
            </w:pPr>
          </w:p>
        </w:tc>
      </w:tr>
      <w:tr>
        <w:trPr>
          <w:trHeight w:val="155"/>
        </w:trPr>
        <w:tc>
          <w:tcPr>
            <w:tcW w:w="44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Unfunded Portfolio Company Commitments</w:t>
            </w:r>
          </w:p>
        </w:tc>
        <w:tc>
          <w:tcPr>
            <w:tcW w:w="498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36,520,291</w:t>
            </w:r>
          </w:p>
        </w:tc>
        <w:tc>
          <w:tcPr>
            <w:tcW w:w="60" w:type="dxa"/>
            <w:vAlign w:val="bottom"/>
            <w:tcBorders>
              <w:bottom w:val="single" w:sz="8" w:color="CFF0FC"/>
            </w:tcBorders>
            <w:shd w:val="clear" w:color="auto" w:fill="CFF0FC"/>
          </w:tcPr>
          <w:p>
            <w:pPr>
              <w:spacing w:after="0"/>
              <w:rPr>
                <w:sz w:val="13"/>
                <w:szCs w:val="13"/>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components of Stockholders’ Equity for the six months ended June 30,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9"/>
              </w:rPr>
              <w:t>Six Months Ended June 30, 2021</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1120" w:type="dxa"/>
            <w:vAlign w:val="bottom"/>
          </w:tcPr>
          <w:p>
            <w:pPr>
              <w:jc w:val="center"/>
              <w:ind w:right="92"/>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Excess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Distributable</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of Par Value</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8"/>
              </w:rPr>
              <w:t>(loss) earnings</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2021</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751,642</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638,459,548</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(422,947,327)</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216,263,863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8,212,517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8,212,517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(6,920,751)</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(6,920,751)</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6,745,349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6,745,349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(4,509,854)</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(4,509,854)</w:t>
            </w:r>
          </w:p>
        </w:tc>
        <w:tc>
          <w:tcPr>
            <w:tcW w:w="0" w:type="dxa"/>
            <w:vAlign w:val="bottom"/>
          </w:tcPr>
          <w:p>
            <w:pPr>
              <w:spacing w:after="0"/>
              <w:rPr>
                <w:sz w:val="1"/>
                <w:szCs w:val="1"/>
                <w:color w:val="auto"/>
              </w:rPr>
            </w:pPr>
          </w:p>
        </w:tc>
      </w:tr>
      <w:tr>
        <w:trPr>
          <w:trHeight w:val="162"/>
        </w:trPr>
        <w:tc>
          <w:tcPr>
            <w:tcW w:w="5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63,675</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63,984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Balance at March 31, 2021</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751,951</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638,523,223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(419,420,066)</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219,855,108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Net investment income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3"/>
                <w:szCs w:val="13"/>
                <w:color w:val="auto"/>
              </w:rPr>
              <w:t>11,710,742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Arial" w:cs="Arial" w:eastAsia="Arial" w:hAnsi="Arial"/>
                <w:sz w:val="13"/>
                <w:szCs w:val="13"/>
                <w:color w:val="auto"/>
              </w:rPr>
              <w:t>11,710,742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(2,355,735)</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(2,355,735)</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1,489,378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1,489,378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(4,594,587)</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(4,594,587)</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164,334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165,024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Stock-repurchase</w:t>
            </w:r>
          </w:p>
        </w:tc>
        <w:tc>
          <w:tcPr>
            <w:tcW w:w="1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(1,572)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(378,332)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(379,904)</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3"/>
                <w:szCs w:val="13"/>
                <w:color w:val="auto"/>
              </w:rPr>
              <w:t>Private placement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13,813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4,005,784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4,019,597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3"/>
                <w:szCs w:val="13"/>
                <w:color w:val="auto"/>
              </w:rPr>
              <w:t>HCAP purchase (net of offering expenses)</w:t>
            </w:r>
          </w:p>
        </w:tc>
        <w:tc>
          <w:tcPr>
            <w:tcW w:w="1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152,525</w:t>
            </w:r>
          </w:p>
        </w:tc>
        <w:tc>
          <w:tcPr>
            <w:tcW w:w="2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38,542,164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38,694,689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20"/>
                <w:szCs w:val="20"/>
                <w:color w:val="auto"/>
              </w:rPr>
            </w:pPr>
            <w:r>
              <w:rPr>
                <w:rFonts w:ascii="Arial" w:cs="Arial" w:eastAsia="Arial" w:hAnsi="Arial"/>
                <w:sz w:val="13"/>
                <w:szCs w:val="13"/>
                <w:color w:val="auto"/>
              </w:rPr>
              <w:t>Balance, June 30, 2021</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917,407</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680,857,173</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(413,170,269)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268,604,311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9"/>
              </w:rPr>
              <w:t>Six Months Ended June 30, 2020</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8"/>
              </w:rPr>
              <w:t>Capital in</w:t>
            </w: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1100" w:type="dxa"/>
            <w:vAlign w:val="bottom"/>
          </w:tcPr>
          <w:p>
            <w:pPr>
              <w:jc w:val="center"/>
              <w:ind w:right="72"/>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Excess</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Distributable</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8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of Par Value</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(loss) earnings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2020</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448,297</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451,353,379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(299,603,106)</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152,198,570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Net investment income</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2,765,790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2,765,790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(894,041)</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(894,041)</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(30,924,682)</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(30,924,682)</w:t>
            </w: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(2,689,779)</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(2,689,779)</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Reinvested Dividends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Stock-repurchase</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(1,215)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(122,114)</w:t>
            </w: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(123,330)</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color w:val="auto"/>
              </w:rPr>
              <w:t>Balance at March 31, 2020</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0" w:type="dxa"/>
            <w:vAlign w:val="bottom"/>
            <w:vMerge w:val="continue"/>
          </w:tcPr>
          <w:p>
            <w:pPr>
              <w:spacing w:after="0"/>
              <w:rPr>
                <w:sz w:val="16"/>
                <w:szCs w:val="16"/>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447,259</w:t>
            </w:r>
          </w:p>
        </w:tc>
        <w:tc>
          <w:tcPr>
            <w:tcW w:w="140" w:type="dxa"/>
            <w:vAlign w:val="bottom"/>
          </w:tcPr>
          <w:p>
            <w:pPr>
              <w:spacing w:after="0"/>
              <w:rPr>
                <w:sz w:val="16"/>
                <w:szCs w:val="16"/>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451,268,171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(331,345,818)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120,369,612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8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Net investment income</w:t>
            </w: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2,599,906</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2,599,906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(881,151)</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(881,151)</w:t>
            </w: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1,564,939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1,564,939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Distributions to Stockholders</w:t>
            </w:r>
          </w:p>
        </w:tc>
        <w:tc>
          <w:tcPr>
            <w:tcW w:w="1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(2,683,782)</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(2,683,782)</w:t>
            </w: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Reinvested Dividends</w:t>
            </w: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27,894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Stock-repurchase</w:t>
            </w:r>
          </w:p>
        </w:tc>
        <w:tc>
          <w:tcPr>
            <w:tcW w:w="16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(281,456)</w:t>
            </w:r>
          </w:p>
        </w:tc>
        <w:tc>
          <w:tcPr>
            <w:tcW w:w="1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(283,995)</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June 30, 2020</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0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444,952</w:t>
            </w: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451,014,609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(330,745,906)</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120,713,655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2021, the Board of Directors of the Company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178"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During the second quarter of 2021, the Company repurchased 157,182 of its shares under the Renewed Stock Repurchase program at an aggregate cost of approximately $380 thousand. There were no share repurchases during the first quarter of 2021. During the three and six months ended June 30, 2020, the Company repurchased 253,896 and 375,444 shares, respectively under the Stock Repurchase Program at an aggregate cost of approximately $284 thousand and $407 thousand.</w:t>
      </w:r>
    </w:p>
    <w:p>
      <w:pPr>
        <w:spacing w:after="0" w:line="185"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As provided for in the Externalization Agreement, during the second quarter of 2021, the Advisor reinvested approximately $4.0 million cash, representing incentive fees received from the Company, and the Company issued 1,381,305 shares of stock to the Advisor in a private placement. The stock was issued at the Company’s most recently determined net asset value.</w:t>
      </w:r>
    </w:p>
    <w:p>
      <w:pPr>
        <w:spacing w:after="0" w:line="183"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During the three months ended June 30, 2021 and 2020, the Company issued 69,048 and 23,245, shares, respectively, of common stock under its dividend reinvestment plan. During the six months ended June 30, 2021 and 2020, the Company issued 99,959 and 40,989 shares, respectively, of common stock under its dividend reinvestment plan. The total number of shares of the Company’s common stock outstanding as of June 30, 2021 and December 31, 2020 was 91,740,765 and 75,164,230,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COMPENSATION PLANS</w:t>
      </w:r>
    </w:p>
    <w:p>
      <w:pPr>
        <w:spacing w:after="0" w:line="121"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Prior to March 31, 2019, 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77" w:name="page78"/>
    <w:bookmarkEnd w:id="77"/>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56"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2019 through March 31, 2019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8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per Share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Term (years)</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Value</w:t>
            </w:r>
            <w:r>
              <w:rPr>
                <w:rFonts w:ascii="Arial" w:cs="Arial" w:eastAsia="Arial" w:hAnsi="Arial"/>
                <w:sz w:val="15"/>
                <w:szCs w:val="15"/>
                <w:b w:val="1"/>
                <w:bCs w:val="1"/>
                <w:color w:val="auto"/>
                <w:w w:val="88"/>
              </w:rPr>
              <w:t>1</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2019</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gridSpan w:val="2"/>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March 31, 2019</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1"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84" w:lineRule="exact"/>
        <w:rPr>
          <w:sz w:val="20"/>
          <w:szCs w:val="20"/>
          <w:color w:val="auto"/>
        </w:rPr>
      </w:pPr>
    </w:p>
    <w:p>
      <w:pPr>
        <w:ind w:right="400" w:firstLine="374"/>
        <w:spacing w:after="0" w:line="263"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2019, the Company did not recognize any non-cash compensation expense related to stock options. At June 30, 2021, the Company had no remaining compensation costs related to unvested stock based awards.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98"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29" w:lineRule="exact"/>
        <w:rPr>
          <w:sz w:val="20"/>
          <w:szCs w:val="20"/>
          <w:color w:val="auto"/>
        </w:rPr>
      </w:pPr>
    </w:p>
    <w:p>
      <w:pPr>
        <w:ind w:left="600" w:hanging="218"/>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84" w:lineRule="exact"/>
        <w:rPr>
          <w:rFonts w:ascii="Arial" w:cs="Arial" w:eastAsia="Arial" w:hAnsi="Arial"/>
          <w:sz w:val="18"/>
          <w:szCs w:val="18"/>
          <w:color w:val="auto"/>
        </w:rPr>
      </w:pPr>
    </w:p>
    <w:p>
      <w:pPr>
        <w:ind w:left="640" w:hanging="258"/>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84"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42" w:lineRule="exact"/>
        <w:rPr>
          <w:sz w:val="20"/>
          <w:szCs w:val="20"/>
          <w:color w:val="auto"/>
        </w:rPr>
      </w:pPr>
    </w:p>
    <w:p>
      <w:pPr>
        <w:ind w:right="200" w:firstLine="37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20"/>
        <w:spacing w:after="0" w:line="322"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188"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No expense was recognized during the three months ended March 31, 2020 related to the 401K Plan. This Plan was terminated effective March 31, 2019.</w:t>
      </w:r>
    </w:p>
    <w:p>
      <w:pPr>
        <w:spacing w:after="0" w:line="164"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The Company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This Plan was terminated effective March 31, 2019, and no expense was recognized during the three and six months ended June 30, 2020.</w:t>
      </w:r>
    </w:p>
    <w:p>
      <w:pPr>
        <w:spacing w:after="0" w:line="148" w:lineRule="exact"/>
        <w:rPr>
          <w:sz w:val="20"/>
          <w:szCs w:val="20"/>
          <w:color w:val="auto"/>
        </w:rPr>
      </w:pPr>
    </w:p>
    <w:p>
      <w:pPr>
        <w:ind w:left="380" w:right="880" w:hanging="372"/>
        <w:spacing w:after="0" w:line="281" w:lineRule="auto"/>
        <w:tabs>
          <w:tab w:leader="none" w:pos="3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OF OHA INVESTMENT CORPORATION, GARRISON CAPITAL INC. AND HARVEST CAPITAL CREDIT CORPORATION</w:t>
      </w:r>
    </w:p>
    <w:p>
      <w:pPr>
        <w:spacing w:after="0" w:line="5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OHAI acquisition</w:t>
      </w:r>
    </w:p>
    <w:p>
      <w:pPr>
        <w:spacing w:after="0" w:line="117"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5"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traded at a price below 75% of its net asset value, we were obligated to initiate a share buyback program of up to $10 million to support the trading price of the combined entity for up to one year from the date such program is announced.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the Adviser,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10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10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10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10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10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0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10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0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10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10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10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1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10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left="380" w:right="360" w:hanging="372"/>
        <w:spacing w:after="0" w:line="292" w:lineRule="auto"/>
        <w:tabs>
          <w:tab w:leader="none" w:pos="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64" w:lineRule="exact"/>
        <w:rPr>
          <w:rFonts w:ascii="Arial" w:cs="Arial" w:eastAsia="Arial" w:hAnsi="Arial"/>
          <w:sz w:val="16"/>
          <w:szCs w:val="16"/>
          <w:color w:val="auto"/>
        </w:rPr>
      </w:pPr>
    </w:p>
    <w:p>
      <w:pPr>
        <w:ind w:left="380" w:right="560" w:hanging="372"/>
        <w:spacing w:after="0" w:line="292" w:lineRule="auto"/>
        <w:tabs>
          <w:tab w:leader="none" w:pos="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the Adviser.</w:t>
      </w:r>
    </w:p>
    <w:p>
      <w:pPr>
        <w:spacing w:after="0" w:line="168"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i w:val="1"/>
          <w:iCs w:val="1"/>
          <w:color w:val="auto"/>
        </w:rPr>
        <w:t>GARS acquisition</w:t>
      </w:r>
    </w:p>
    <w:p>
      <w:pPr>
        <w:spacing w:after="0" w:line="184"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$5.0 million of cash payment (deemed capital contribution) paid at closing directly to shareholders of GARS from the Adviser, was allocated to the GARS investments acquired, based on their relative fair values as of the date of acquisition. The fair value of the purchase consideration paid by the Company below the fair value of net assets acquired is considered the purchase discount. Immediately following the acquisition of GARS, the Company recorded GARS net assets at their respective fair values and, as a result, the purchase discount was allocated to the cost basis of the GARS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GARS investments acquired through their maturity. Upon the sale of any of the GARS acquired investments, the Company will recognize a realized gain or a reduction in realized losses with a corresponding reversal of the unrealized losses.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38,764,706</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Cash consideration to GARS shareholders</w:t>
            </w:r>
          </w:p>
        </w:tc>
        <w:tc>
          <w:tcPr>
            <w:tcW w:w="9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24,100,000</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$432,339)</w:t>
            </w:r>
          </w:p>
        </w:tc>
        <w:tc>
          <w:tcPr>
            <w:tcW w:w="9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1,167,661</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64,032,367</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9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$277,380,492)</w:t>
            </w:r>
          </w:p>
        </w:tc>
        <w:tc>
          <w:tcPr>
            <w:tcW w:w="9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317,802,548</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35,360,820</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9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1,871,232</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2,087,550</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9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357,122,150</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94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9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251,213,342</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1,454,384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9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252,667,726</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9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104,454,424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(40,422,057)</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80" w:right="440" w:hanging="372"/>
        <w:spacing w:after="0" w:line="292" w:lineRule="auto"/>
        <w:tabs>
          <w:tab w:leader="none" w:pos="3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the market price at closing of $1.26 as of October 28, 2020 and the 30,765,640 shares of common stock issued by the Company in conjunction with the merger.</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HCAP Acquisition and Assumption and Redemption of HCAP Notes</w:t>
      </w:r>
    </w:p>
    <w:p>
      <w:pPr>
        <w:spacing w:after="0" w:line="225"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On December 23, 2020, the Company entered into an Agreement and Plan of Merger (the “HCAP Merger Agreement”) with Harvest Capital Credit Corporation, a publicly traded BDC (“HCAP”), the Adviser and a wholly-owned merger subsidiary (the “Acquisition Sub”) of the Company (such transaction, the “HCAP Acquisition”).</w:t>
      </w:r>
    </w:p>
    <w:p>
      <w:pPr>
        <w:spacing w:after="0" w:line="183"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On June 8,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56" w:lineRule="exact"/>
        <w:rPr>
          <w:sz w:val="20"/>
          <w:szCs w:val="20"/>
          <w:color w:val="auto"/>
        </w:rPr>
      </w:pPr>
    </w:p>
    <w:p>
      <w:pPr>
        <w:ind w:right="60" w:firstLine="374"/>
        <w:spacing w:after="0" w:line="301" w:lineRule="auto"/>
        <w:rPr>
          <w:sz w:val="20"/>
          <w:szCs w:val="20"/>
          <w:color w:val="auto"/>
        </w:rPr>
      </w:pPr>
      <w:r>
        <w:rPr>
          <w:rFonts w:ascii="Arial" w:cs="Arial" w:eastAsia="Arial" w:hAnsi="Arial"/>
          <w:sz w:val="16"/>
          <w:szCs w:val="16"/>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$18,537,512.65 in cash payable by Company, (ii) 15,252,453 validly issued, fully paid and non-assessable shares of the Company’s common stock, par value $0.01 per share, and (iii) an additional cash payment from the Adviser of $2.15 million in the aggregate.</w:t>
      </w:r>
    </w:p>
    <w:p>
      <w:pPr>
        <w:spacing w:after="0" w:line="183"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With respect to the merger consideration from PTMN,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PTMN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right="20"/>
        <w:spacing w:after="0" w:line="277" w:lineRule="auto"/>
        <w:rPr>
          <w:sz w:val="20"/>
          <w:szCs w:val="20"/>
          <w:color w:val="auto"/>
        </w:rPr>
      </w:pPr>
      <w:r>
        <w:rPr>
          <w:rFonts w:ascii="Arial" w:cs="Arial" w:eastAsia="Arial" w:hAnsi="Arial"/>
          <w:sz w:val="18"/>
          <w:szCs w:val="18"/>
          <w:color w:val="auto"/>
        </w:rPr>
        <w:t>(other than Cancelled Shares) with respect to which an Election was not made or that was transferred after the election deadline on June 2, 2021 was treated as a “Non-Electing Share.”</w:t>
      </w:r>
    </w:p>
    <w:p>
      <w:pPr>
        <w:spacing w:after="0" w:line="169"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PTMN common stock, while each Non-Electing Share received, in aggregate, approximately 3.86 shares of PTMN common stock.</w:t>
      </w:r>
    </w:p>
    <w:p>
      <w:pPr>
        <w:spacing w:after="0" w:line="176"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The HCAP Acquisition was accounted for in accordance with the asset acquisition method of accounting as detailed in ASC Topic 805-50. The fair value of the consideration paid, and transaction costs incurred to complete the merger by the Company, including $2.15 million of cash payment (deemed capital contribution) paid at closing directly to shareholders of HCAP from the Adviser, was allocated to the HCAP investments acquired, based on their relative fair values as of the date of acquisition. The fair value of the purchase consideration paid by the Company below the fair value of net assets acquired is considered the purchase discount. Immediately following the acquisition of HCAP, the Company recorded HCAP net assets at their respective fair values and, as a result, the purchase discount was allocated to the cost basis of the HCAP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HCAP investments acquired through their maturity. Upon the sale of any of the HCAP acquired investments, the Company will recognize a realized gain or a reduction in realized losses with a corresponding reversal of the unrealized losses.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37,063,461</w:t>
            </w:r>
          </w:p>
        </w:tc>
        <w:tc>
          <w:tcPr>
            <w:tcW w:w="10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 xml:space="preserve">Cash consideration to HCAP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20,687,513</w:t>
            </w:r>
          </w:p>
        </w:tc>
        <w:tc>
          <w:tcPr>
            <w:tcW w:w="10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$518,774)</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881,226</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58,632,200</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Investments, at fair value (amortized cost of $53,811,838)</w:t>
            </w:r>
          </w:p>
        </w:tc>
        <w:tc>
          <w:tcPr>
            <w:tcW w:w="980" w:type="dxa"/>
            <w:vAlign w:val="bottom"/>
            <w:gridSpan w:val="2"/>
          </w:tcPr>
          <w:p>
            <w:pPr>
              <w:jc w:val="right"/>
              <w:ind w:right="849"/>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57,620,640</w:t>
            </w:r>
          </w:p>
        </w:tc>
        <w:tc>
          <w:tcPr>
            <w:tcW w:w="10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32,118,574</w:t>
            </w:r>
          </w:p>
        </w:tc>
        <w:tc>
          <w:tcPr>
            <w:tcW w:w="10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431,454</w:t>
            </w:r>
          </w:p>
        </w:tc>
        <w:tc>
          <w:tcPr>
            <w:tcW w:w="10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2,664,932</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92,835,600</w:t>
            </w:r>
          </w:p>
        </w:tc>
        <w:tc>
          <w:tcPr>
            <w:tcW w:w="10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28,750,000</w:t>
            </w:r>
          </w:p>
        </w:tc>
        <w:tc>
          <w:tcPr>
            <w:tcW w:w="10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1,644,600</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30,394,600</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62,441,000</w:t>
            </w:r>
          </w:p>
        </w:tc>
        <w:tc>
          <w:tcPr>
            <w:tcW w:w="100" w:type="dxa"/>
            <w:vAlign w:val="bottom"/>
            <w:shd w:val="clear" w:color="auto" w:fill="CFF0FC"/>
          </w:tcPr>
          <w:p>
            <w:pPr>
              <w:spacing w:after="0"/>
              <w:rPr>
                <w:sz w:val="19"/>
                <w:szCs w:val="19"/>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(3,808,800)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5" w:lineRule="exact"/>
        <w:rPr>
          <w:sz w:val="20"/>
          <w:szCs w:val="20"/>
          <w:color w:val="auto"/>
        </w:rPr>
      </w:pPr>
    </w:p>
    <w:p>
      <w:pPr>
        <w:ind w:left="380" w:hanging="372"/>
        <w:spacing w:after="0"/>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on the market price at closing of $2.43 as of June 9, 2021 and the 15,252,453 shares of common stock issued by the Company in conjunction with the merger.</w:t>
      </w:r>
    </w:p>
    <w:p>
      <w:pPr>
        <w:spacing w:after="0" w:line="149" w:lineRule="exact"/>
        <w:rPr>
          <w:rFonts w:ascii="Arial" w:cs="Arial" w:eastAsia="Arial" w:hAnsi="Arial"/>
          <w:sz w:val="14"/>
          <w:szCs w:val="14"/>
          <w:color w:val="auto"/>
        </w:rPr>
      </w:pPr>
    </w:p>
    <w:p>
      <w:pPr>
        <w:ind w:left="380" w:right="380" w:hanging="372"/>
        <w:spacing w:after="0" w:line="292" w:lineRule="auto"/>
        <w:tabs>
          <w:tab w:leader="none" w:pos="3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Approximately $18.5 million cash consideration paid by the Company plus $2.15 million cash payment paid at closing directly to shareholders of HCAP from the Adviser.</w:t>
      </w:r>
    </w:p>
    <w:p>
      <w:pPr>
        <w:spacing w:after="0" w:line="168" w:lineRule="exact"/>
        <w:rPr>
          <w:sz w:val="20"/>
          <w:szCs w:val="20"/>
          <w:color w:val="auto"/>
        </w:rPr>
      </w:pPr>
    </w:p>
    <w:p>
      <w:pPr>
        <w:ind w:right="180" w:firstLine="749"/>
        <w:spacing w:after="0" w:line="307" w:lineRule="auto"/>
        <w:rPr>
          <w:sz w:val="20"/>
          <w:szCs w:val="20"/>
          <w:color w:val="auto"/>
        </w:rPr>
      </w:pPr>
      <w:r>
        <w:rPr>
          <w:rFonts w:ascii="Arial" w:cs="Arial" w:eastAsia="Arial" w:hAnsi="Arial"/>
          <w:sz w:val="17"/>
          <w:szCs w:val="17"/>
          <w:color w:val="auto"/>
        </w:rPr>
        <w:t>On June 9, 2021, the Company entered into the HCAP Third Supplemental Indenture, effective as of the closing of the HCAP Acquisition. The HCAP Third Supplemental Indenture relates to the Company’s assumption of $28.75 million in aggregate principal amount of the HCAP Notes.</w:t>
      </w:r>
    </w:p>
    <w:p>
      <w:pPr>
        <w:spacing w:after="0" w:line="107"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right="40" w:firstLine="749"/>
        <w:spacing w:after="0" w:line="277" w:lineRule="auto"/>
        <w:rPr>
          <w:sz w:val="20"/>
          <w:szCs w:val="20"/>
          <w:color w:val="auto"/>
        </w:rPr>
      </w:pPr>
      <w:r>
        <w:rPr>
          <w:rFonts w:ascii="Arial" w:cs="Arial" w:eastAsia="Arial" w:hAnsi="Arial"/>
          <w:sz w:val="18"/>
          <w:szCs w:val="18"/>
          <w:color w:val="auto"/>
        </w:rPr>
        <w:t>The HCAP Notes could be redeemed by the Company at any time at par value plus accrued and unpaid interest. On July 23, 2021, the Company redeemed the entire notional amount of $28.75 million of the HCAP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15"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On August 4, 2021, our Board declared a cash distribution of $0.06 per share of common stock. The distribution is payable on August 31, 2021 to stockholders of record at the close of business as of August 17, 2021.</w:t>
      </w:r>
    </w:p>
    <w:p>
      <w:pPr>
        <w:spacing w:after="0" w:line="169" w:lineRule="exact"/>
        <w:rPr>
          <w:sz w:val="20"/>
          <w:szCs w:val="20"/>
          <w:color w:val="auto"/>
        </w:rPr>
      </w:pPr>
    </w:p>
    <w:p>
      <w:pPr>
        <w:ind w:firstLine="374"/>
        <w:spacing w:after="0" w:line="279" w:lineRule="auto"/>
        <w:rPr>
          <w:sz w:val="20"/>
          <w:szCs w:val="20"/>
          <w:color w:val="auto"/>
        </w:rPr>
      </w:pPr>
      <w:r>
        <w:rPr>
          <w:rFonts w:ascii="Arial" w:cs="Arial" w:eastAsia="Arial" w:hAnsi="Arial"/>
          <w:sz w:val="17"/>
          <w:szCs w:val="17"/>
          <w:color w:val="auto"/>
        </w:rPr>
        <w:t>On June 24, 2021, the Company notified the trustee for the Company’s HCAP Notes of the Company’s election to redeem the $28.75 million aggregate principal amount of the HCAP Notes outstanding, and instructed the trustee to provide notice of such redemptions to the holders of such notes in accordance with the terms of the indenture governing the HCAP Notes. The Company completed the redemption on July 23, 2021. Following the redemption, none of the HCAP Notes remain outstanding, and they were delisted from the NASDAQ Global Select Market.</w:t>
      </w:r>
    </w:p>
    <w:p>
      <w:pPr>
        <w:spacing w:after="0" w:line="170"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On August 4, 2021, the Company’s Board approved a reverse stock split of its common stock (the “Reverse Stock Split”) at the ratio of 1-10. As a result of the Reverse Stock Split, every 10 shares of the Company’s outstanding common stock will be automatically combined into one share of outstanding common stock. Any fractional shares to be received as a result of the Reverse Stock Split will be redeemed for cash. The Company expects to complete the Reverse Stock Split in the third quarter of 2021.</w:t>
      </w:r>
    </w:p>
    <w:p>
      <w:pPr>
        <w:spacing w:after="0" w:line="185"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has evaluated events and transactions occurring subsequent to June 30, 2021 for items that should potentially be recognized or disclosed in these financial statements. Other than as described above, management has determined that there are no other material subsequent events that would require adjustment to, or disclosure in, these unaudited consolidated financial statements.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00" w:right="419" w:bottom="1440" w:gutter="0" w:footer="0" w:header="0"/>
        </w:sectPr>
      </w:pPr>
    </w:p>
    <w:bookmarkStart w:id="83" w:name="page84"/>
    <w:bookmarkEnd w:id="83"/>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8" w:lineRule="exact"/>
        <w:rPr>
          <w:sz w:val="20"/>
          <w:szCs w:val="20"/>
          <w:color w:val="auto"/>
        </w:rPr>
      </w:pPr>
    </w:p>
    <w:p>
      <w:pPr>
        <w:ind w:right="100" w:firstLine="374"/>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our condensed and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2020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8" w:lineRule="exact"/>
        <w:rPr>
          <w:sz w:val="20"/>
          <w:szCs w:val="20"/>
          <w:color w:val="auto"/>
        </w:rPr>
      </w:pPr>
    </w:p>
    <w:p>
      <w:pPr>
        <w:ind w:right="220" w:firstLine="374"/>
        <w:spacing w:after="0" w:line="275"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business development company (“BDC”) under the Investment Company Act of 1940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spacing w:after="0" w:line="74" w:lineRule="exact"/>
        <w:rPr>
          <w:sz w:val="20"/>
          <w:szCs w:val="20"/>
          <w:color w:val="auto"/>
        </w:rPr>
      </w:pPr>
    </w:p>
    <w:p>
      <w:pPr>
        <w:jc w:val="both"/>
        <w:ind w:right="20" w:firstLine="374"/>
        <w:spacing w:after="0" w:line="311" w:lineRule="auto"/>
        <w:rPr>
          <w:sz w:val="20"/>
          <w:szCs w:val="20"/>
          <w:color w:val="auto"/>
        </w:rPr>
      </w:pPr>
      <w:r>
        <w:rPr>
          <w:rFonts w:ascii="Arial" w:cs="Arial" w:eastAsia="Arial" w:hAnsi="Arial"/>
          <w:sz w:val="16"/>
          <w:szCs w:val="16"/>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40" w:lineRule="exact"/>
        <w:rPr>
          <w:sz w:val="20"/>
          <w:szCs w:val="20"/>
          <w:color w:val="auto"/>
        </w:rPr>
      </w:pPr>
    </w:p>
    <w:p>
      <w:pPr>
        <w:ind w:right="80" w:firstLine="374"/>
        <w:spacing w:after="0" w:line="296" w:lineRule="auto"/>
        <w:rPr>
          <w:sz w:val="20"/>
          <w:szCs w:val="20"/>
          <w:color w:val="auto"/>
        </w:rPr>
      </w:pPr>
      <w:r>
        <w:rPr>
          <w:rFonts w:ascii="Arial" w:cs="Arial" w:eastAsia="Arial" w:hAnsi="Arial"/>
          <w:sz w:val="16"/>
          <w:szCs w:val="16"/>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52"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Depending on the duration of the novel coronavirus (also known as “COVID-19”) pandemic and the extent of its impact on our portfolio companies’ operations and our net investment income, any future distributions to our stockholders may be for amounts less than our historical distributions, may be made less frequently than historical practices, and may be made in part cash and part stock, subject to a limitation that the aggregate amount of cash to be distributed to all stockholders must be at least 20% of the aggregate declared distribution.</w:t>
      </w:r>
    </w:p>
    <w:p>
      <w:pPr>
        <w:spacing w:after="0" w:line="55"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right="140" w:firstLine="374"/>
        <w:spacing w:after="0" w:line="286" w:lineRule="auto"/>
        <w:rPr>
          <w:sz w:val="20"/>
          <w:szCs w:val="20"/>
          <w:color w:val="auto"/>
        </w:rPr>
      </w:pPr>
      <w:r>
        <w:rPr>
          <w:rFonts w:ascii="Arial" w:cs="Arial" w:eastAsia="Arial" w:hAnsi="Arial"/>
          <w:sz w:val="17"/>
          <w:szCs w:val="17"/>
          <w:color w:val="auto"/>
        </w:rPr>
        <w:t>During the fourth quarter of 2020, LibreMax sold its minority stake in the Adviser to a wholly-owned subsidiary of Mount Logan. An affiliate of BC Partners serves as administrator to Mount Logan, and certain officers and directors of the Company serve in similar capacities for Mount Logan. In addition, Mount Logan owns a minority equity stake in the Advisor, and Mount Logan owns a minority equity stake in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Externalization</w:t>
      </w:r>
    </w:p>
    <w:p>
      <w:pPr>
        <w:spacing w:after="0" w:line="117" w:lineRule="exact"/>
        <w:rPr>
          <w:sz w:val="20"/>
          <w:szCs w:val="20"/>
          <w:color w:val="auto"/>
        </w:rPr>
      </w:pPr>
    </w:p>
    <w:p>
      <w:pPr>
        <w:jc w:val="both"/>
        <w:ind w:right="60" w:firstLine="374"/>
        <w:spacing w:after="0" w:line="311" w:lineRule="auto"/>
        <w:rPr>
          <w:sz w:val="20"/>
          <w:szCs w:val="20"/>
          <w:color w:val="auto"/>
        </w:rPr>
      </w:pPr>
      <w:r>
        <w:rPr>
          <w:rFonts w:ascii="Arial" w:cs="Arial" w:eastAsia="Arial" w:hAnsi="Arial"/>
          <w:sz w:val="16"/>
          <w:szCs w:val="16"/>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40"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In November 2020, the Adviser purchased approximately $570 thousand newly issued shares of our common stock in connection therewith, and in May 2021, the Adviser purchased approximately $4.0 million of newly issued shares of our common stock in connection therewith. In both cases, the shares were issued at the most recently determined net asset value per share of our common stock. The obligations of the Advisor to use incentive fees to purchase shares expired on April 1, 2021.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OHAI Transaction</w:t>
      </w:r>
    </w:p>
    <w:p>
      <w:pPr>
        <w:spacing w:after="0" w:line="117"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GARS Transaction</w:t>
      </w:r>
    </w:p>
    <w:p>
      <w:pPr>
        <w:spacing w:after="0" w:line="117"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June 24, 2020, we entered into an Agreement and Plan of Merger (the “GARS Merger Agreement”) with Garrison Capital Inc., a publicly traded BDC (“GARS”), the Adviser and a wholly-owned merger subsidiary of the Company (such transaction, the “GARS Acquisition”), and on October 28, 2020 we completed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7" w:lineRule="exact"/>
        <w:rPr>
          <w:sz w:val="20"/>
          <w:szCs w:val="20"/>
          <w:color w:val="auto"/>
        </w:rPr>
      </w:pPr>
    </w:p>
    <w:p>
      <w:pPr>
        <w:jc w:val="center"/>
        <w:ind w:right="200"/>
        <w:spacing w:after="0" w:line="290" w:lineRule="auto"/>
        <w:rPr>
          <w:sz w:val="20"/>
          <w:szCs w:val="20"/>
          <w:color w:val="auto"/>
        </w:rPr>
      </w:pPr>
      <w:r>
        <w:rPr>
          <w:rFonts w:ascii="Arial" w:cs="Arial" w:eastAsia="Arial" w:hAnsi="Arial"/>
          <w:sz w:val="16"/>
          <w:szCs w:val="16"/>
          <w:color w:val="auto"/>
        </w:rPr>
        <w:t>In accordance with the terms of the GARS Merger Agreement, each share of common stock, par value $0.001 per share, of GARS (the “GARS Common Stock”) issued and outstanding was converted into the right to receive (i) an amount in cash, without interest, equal to approximately $1.19 and</w:t>
      </w:r>
    </w:p>
    <w:p>
      <w:pPr>
        <w:spacing w:after="0" w:line="1" w:lineRule="exact"/>
        <w:rPr>
          <w:sz w:val="20"/>
          <w:szCs w:val="20"/>
          <w:color w:val="auto"/>
        </w:rPr>
      </w:pPr>
    </w:p>
    <w:p>
      <w:pPr>
        <w:ind w:right="60" w:firstLine="8"/>
        <w:spacing w:after="0" w:line="273" w:lineRule="auto"/>
        <w:tabs>
          <w:tab w:leader="none" w:pos="26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 In connection with the closing of the GARS Acquisition, the Board approved an increase in the size of the Board from seven members to nine members, and appointed each of Matthew Westwood and Joseph Morea to serve on the Board.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HCAP Acquisition and Assumption and Redemption of HCAP Notes</w:t>
      </w:r>
    </w:p>
    <w:p>
      <w:pPr>
        <w:spacing w:after="0" w:line="184"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On December 23, 2020, we entered into an Agreement and Plan of Merger (the “HCAP Merger Agreement”) with Harvest Capital Credit Corporation, a publicly traded BDC (“HCAP”), the Adviser and a wholly-owned merger subsidiary (the “Acquisition Sub”) of the Company (such transaction, the “HCAP Acquisition”).</w:t>
      </w:r>
    </w:p>
    <w:p>
      <w:pPr>
        <w:spacing w:after="0" w:line="156"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On June 9, 2021 the Company completed the HCAP Acquisition, pursuant to the terms and conditions of the HCAP Merger Agreement. To effect the acquisition, the Acquisition Sub merged with and into HCAP, with HCAP surviving the merger as the Company’s wholly owned subsidiary. Immediately thereafter and as a single integrated transaction, HCAP consummated a second merger, whereby HCAP merged with and into the Company, with the Company surviving the merger. As a result of, and as of the effective time of, the second merger, HCAP’s separate corporate existence ceased.</w:t>
      </w:r>
    </w:p>
    <w:p>
      <w:pPr>
        <w:spacing w:after="0" w:line="142"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Under the terms of the HCAP Merger Agreement, HCAP stockholders as of immediately prior to the effective time of the first merger (other than shares held by a subsidiary of HCAP or held, directly or indirectly, by the Company or Acquisition Sub, and all treasury shares (collectively, “Cancelled Shares”)) received a combination of (i) $18.54 million in cash paid by the Company, (ii) 15,252,453 validly issued, fully paid and non-assessable shares of the Company’s common stock, par value $0.01 per share, and (iii) an additional cash payment from the Adviser of $2.15 million in the aggregate.</w:t>
      </w:r>
    </w:p>
    <w:p>
      <w:pPr>
        <w:spacing w:after="0" w:line="115"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With respect to the merger consideration from PTMN, HCAP stockholders as of immediately prior to the effective time of the first merger (other than Cancelled Shares) were entitled, with respect to all or any portion of the shares of HCAP common stock they held as of the effective time of the first merger, to elect to receive the merger consideration in the form of cash (an “Election”) or in the form of PTMN common stock, subject to certain conditions and limitations in the merger agreement. Any HCAP stockholder who did not validly make an Election was deemed to have elected to receive shares of the Company’s common stock with respect to the merger consideration as payment for their shares of HCAP common stock. Each share of HCAP common stock (other than Cancelled Shares) with respect to which an Election was made was treated as an “Electing Share” and each share of HCAP Common Stock (other than Cancelled Shares) with respect to which an Election was not made or that was transferred after the election deadline on June 2, 2021 was treated as a “Non-Electing Share.”</w:t>
      </w:r>
    </w:p>
    <w:p>
      <w:pPr>
        <w:spacing w:after="0" w:line="182"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Pursuant to the conditions of and adjustment mechanisms in the HCAP Merger Agreement, 475,806 Electing Shares were converted to Non-Electing Shares for purposes of calculating the total mix of consideration to be paid to each Electing Share in order to ensure that the value of the aggregate cash consideration paid to holders of the Electing Shares equaled the aggregate cash consideration that HCAP received from the Company under the terms of the HCAP Merger Agreement. Accordingly, as a result of the Elections received from HCAP stockholders and any resulting adjustment under the terms of the HCAP Merger Agreement, each Electing Share received, in aggregate, approximately $7.43 in cash and 0.74 shares of PTMN common stock, while each Non-Electing Share received, in aggregate, approximately 3.86 shares of PTMN common stock.</w:t>
      </w:r>
    </w:p>
    <w:p>
      <w:pPr>
        <w:spacing w:after="0" w:line="176"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On June 9, 2021, the Company entered into a third supplemental indenture (the “HCAP Third Supplemental Indenture”) by and between the Company and U.S. Bank National Association, as trustee (the “Trustee”), effective as of the closing of the HCAP Acquisition. The HCAP Third Supplemental Indenture relates to the Company’s assumption of $28.75 million in aggregate principal amount of HCAP’s 6.125% Notes due September 15, 2022 (the “HCAP Notes”).</w:t>
      </w:r>
    </w:p>
    <w:p>
      <w:pPr>
        <w:spacing w:after="0" w:line="158" w:lineRule="exact"/>
        <w:rPr>
          <w:sz w:val="20"/>
          <w:szCs w:val="20"/>
          <w:color w:val="auto"/>
        </w:rPr>
      </w:pPr>
    </w:p>
    <w:p>
      <w:pPr>
        <w:ind w:firstLine="749"/>
        <w:spacing w:after="0" w:line="256" w:lineRule="auto"/>
        <w:rPr>
          <w:sz w:val="20"/>
          <w:szCs w:val="20"/>
          <w:color w:val="auto"/>
        </w:rPr>
      </w:pPr>
      <w:r>
        <w:rPr>
          <w:rFonts w:ascii="Arial" w:cs="Arial" w:eastAsia="Arial" w:hAnsi="Arial"/>
          <w:sz w:val="18"/>
          <w:szCs w:val="18"/>
          <w:color w:val="auto"/>
        </w:rPr>
        <w:t>Pursuant to the HCAP Third Supplemental Indenture, the Company expressly assumed the due and punctual payment of the principal of (and premium, if any) and interest, if any, on the HCAP Notes and the performance of HCAP’s covenants under the base indenture, dated as of January 27, 2015, by and between HCAP and the Trustee, as supplemented by the second supplemental indenture, dated as of August 24, 2017, by and between HCAP and the Trustee. No change of control offer was required to be made in respect of the HCAP Notes in connection with the consummation of the HCAP Acquisition.</w:t>
      </w:r>
    </w:p>
    <w:p>
      <w:pPr>
        <w:spacing w:after="0" w:line="15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HCAP Notes could be redeemed by the Company at any time at par value plus accrued and unpaid interest. On July 23, 2021, the Company redeemed the entire notional amount of $28.75 million of the HCAP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02"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right="240" w:firstLine="374"/>
        <w:spacing w:after="0" w:line="277" w:lineRule="auto"/>
        <w:rPr>
          <w:sz w:val="20"/>
          <w:szCs w:val="20"/>
          <w:color w:val="auto"/>
        </w:rPr>
      </w:pPr>
      <w:r>
        <w:rPr>
          <w:rFonts w:ascii="Arial" w:cs="Arial" w:eastAsia="Arial" w:hAnsi="Arial"/>
          <w:sz w:val="18"/>
          <w:szCs w:val="18"/>
          <w:color w:val="auto"/>
        </w:rPr>
        <w:t>Total portfolio investment activity (excluding activity in short-term investments) for the six months ended June 30, 2021 (unaudited) and for the year ended December 31, 2020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Asset</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3"/>
                <w:szCs w:val="13"/>
                <w:b w:val="1"/>
                <w:bCs w:val="1"/>
                <w:color w:val="auto"/>
              </w:rPr>
              <w:t>Debt</w:t>
            </w:r>
          </w:p>
        </w:tc>
        <w:tc>
          <w:tcPr>
            <w:tcW w:w="18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3"/>
                <w:szCs w:val="13"/>
                <w:b w:val="1"/>
                <w:bCs w:val="1"/>
                <w:color w:val="auto"/>
              </w:rPr>
              <w:t>CLO Fund</w:t>
            </w:r>
          </w:p>
        </w:tc>
        <w:tc>
          <w:tcPr>
            <w:tcW w:w="18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Arial" w:cs="Arial" w:eastAsia="Arial" w:hAnsi="Arial"/>
                <w:sz w:val="13"/>
                <w:szCs w:val="13"/>
                <w:b w:val="1"/>
                <w:bCs w:val="1"/>
                <w:color w:val="auto"/>
              </w:rPr>
              <w:t>Manager</w:t>
            </w:r>
          </w:p>
        </w:tc>
        <w:tc>
          <w:tcPr>
            <w:tcW w:w="18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Arial" w:cs="Arial" w:eastAsia="Arial" w:hAnsi="Arial"/>
                <w:sz w:val="13"/>
                <w:szCs w:val="13"/>
                <w:b w:val="1"/>
                <w:bCs w:val="1"/>
                <w:color w:val="auto"/>
              </w:rPr>
              <w:t>Joint</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Affiliates</w:t>
            </w:r>
          </w:p>
        </w:tc>
        <w:tc>
          <w:tcPr>
            <w:tcW w:w="1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Ventures</w:t>
            </w:r>
          </w:p>
        </w:tc>
        <w:tc>
          <w:tcPr>
            <w:tcW w:w="14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Derivatives</w:t>
            </w:r>
          </w:p>
        </w:tc>
        <w:tc>
          <w:tcPr>
            <w:tcW w:w="20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45"/>
        </w:trPr>
        <w:tc>
          <w:tcPr>
            <w:tcW w:w="2140" w:type="dxa"/>
            <w:vAlign w:val="bottom"/>
            <w:tcBorders>
              <w:top w:val="single" w:sz="8" w:color="CFF0FC"/>
            </w:tcBorders>
            <w:shd w:val="clear" w:color="auto" w:fill="CFF0FC"/>
          </w:tcPr>
          <w:p>
            <w:pPr>
              <w:spacing w:after="0" w:line="144" w:lineRule="exact"/>
              <w:rPr>
                <w:sz w:val="20"/>
                <w:szCs w:val="20"/>
                <w:color w:val="auto"/>
              </w:rPr>
            </w:pPr>
            <w:r>
              <w:rPr>
                <w:rFonts w:ascii="Arial" w:cs="Arial" w:eastAsia="Arial" w:hAnsi="Arial"/>
                <w:sz w:val="13"/>
                <w:szCs w:val="13"/>
                <w:color w:val="auto"/>
              </w:rPr>
              <w:t>Fair Value at December 31, 2019</w:t>
            </w: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2020 Activity:</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186,802,908</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31,968,202</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9,864,419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45,087,967</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(33,437)</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273,690,061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380,765,492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4,937,711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14,098,055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399,801,258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(198,364,694)</w:t>
            </w: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(4,432,200)</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(1,515,936)</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(7,760,136)</w:t>
            </w:r>
          </w:p>
        </w:tc>
        <w:tc>
          <w:tcPr>
            <w:tcW w:w="1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(976,968)</w:t>
            </w:r>
          </w:p>
        </w:tc>
        <w:tc>
          <w:tcPr>
            <w:tcW w:w="2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(213,049,934)</w:t>
            </w: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8,228,390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3,541,296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11,769,686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7,616,860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(989,131)</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976,968</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7,604,698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19,811,899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(11,494,743)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1,647,812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(2,076,723)</w:t>
            </w: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(1,075,182)</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6,813,063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140" w:type="dxa"/>
            <w:vAlign w:val="bottom"/>
            <w:tcBorders>
              <w:top w:val="single" w:sz="8" w:color="CFF0FC"/>
            </w:tcBorders>
            <w:shd w:val="clear" w:color="auto" w:fill="CFF0FC"/>
          </w:tcPr>
          <w:p>
            <w:pPr>
              <w:spacing w:after="0" w:line="144" w:lineRule="exact"/>
              <w:rPr>
                <w:sz w:val="20"/>
                <w:szCs w:val="20"/>
                <w:color w:val="auto"/>
              </w:rPr>
            </w:pPr>
            <w:r>
              <w:rPr>
                <w:rFonts w:ascii="Arial" w:cs="Arial" w:eastAsia="Arial" w:hAnsi="Arial"/>
                <w:sz w:val="13"/>
                <w:szCs w:val="13"/>
                <w:color w:val="auto"/>
              </w:rPr>
              <w:t>Fair Value at December 31, 2020</w:t>
            </w: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2021 Activity (unaudited):</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404,860,855</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19,582,555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13,944,876</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49,349,163</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(1,108,618)</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486,628,832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140,604,432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11,002,832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21,689,821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173,297,084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(136,640,645)</w:t>
            </w: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(5,842,501)</w:t>
            </w: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(6,254,652)</w:t>
            </w: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(10,559,879)</w:t>
            </w:r>
          </w:p>
        </w:tc>
        <w:tc>
          <w:tcPr>
            <w:tcW w:w="140" w:type="dxa"/>
            <w:vAlign w:val="bottom"/>
            <w:shd w:val="clear" w:color="auto" w:fill="CFF0FC"/>
          </w:tcPr>
          <w:p>
            <w:pPr>
              <w:spacing w:after="0"/>
              <w:rPr>
                <w:sz w:val="14"/>
                <w:szCs w:val="14"/>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(440,000)</w:t>
            </w:r>
          </w:p>
        </w:tc>
        <w:tc>
          <w:tcPr>
            <w:tcW w:w="2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(159,737,677)</w:t>
            </w: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17,224,036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4,862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17,228,898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(3,555,414)</w:t>
            </w: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(5,323,484)</w:t>
            </w: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997,798</w:t>
            </w:r>
          </w:p>
        </w:tc>
        <w:tc>
          <w:tcPr>
            <w:tcW w:w="1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440,000</w:t>
            </w:r>
          </w:p>
        </w:tc>
        <w:tc>
          <w:tcPr>
            <w:tcW w:w="1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(7,441,100)</w:t>
            </w:r>
          </w:p>
        </w:tc>
        <w:tc>
          <w:tcPr>
            <w:tcW w:w="0" w:type="dxa"/>
            <w:vAlign w:val="bottom"/>
          </w:tcPr>
          <w:p>
            <w:pPr>
              <w:spacing w:after="0"/>
              <w:rPr>
                <w:sz w:val="1"/>
                <w:szCs w:val="1"/>
                <w:color w:val="auto"/>
              </w:rPr>
            </w:pPr>
          </w:p>
        </w:tc>
      </w:tr>
      <w:tr>
        <w:trPr>
          <w:trHeight w:val="162"/>
        </w:trPr>
        <w:tc>
          <w:tcPr>
            <w:tcW w:w="214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(2,845,710)</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8,647,719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2,690,885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590,770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(694,057)</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8,389,606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Fair Value at June 30, 2021</w:t>
            </w: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14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419,647,553</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17,064,290</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22,386,600</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61,069,876</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(1,802,675)</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518,365,644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June 30, 2021 and December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June 30, 2021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90"/>
              <w:spacing w:after="0" w:line="204" w:lineRule="exact"/>
              <w:rPr>
                <w:sz w:val="20"/>
                <w:szCs w:val="20"/>
                <w:color w:val="auto"/>
              </w:rPr>
            </w:pPr>
            <w:r>
              <w:rPr>
                <w:rFonts w:ascii="Arial" w:cs="Arial" w:eastAsia="Arial" w:hAnsi="Arial"/>
                <w:sz w:val="18"/>
                <w:szCs w:val="18"/>
                <w:b w:val="1"/>
                <w:bCs w:val="1"/>
                <w:color w:val="auto"/>
                <w:w w:val="93"/>
              </w:rPr>
              <w:t>Cost/Amortized</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420"/>
              <w:spacing w:after="0" w:line="204" w:lineRule="exact"/>
              <w:rPr>
                <w:sz w:val="20"/>
                <w:szCs w:val="20"/>
                <w:color w:val="auto"/>
              </w:rPr>
            </w:pPr>
            <w:r>
              <w:rPr>
                <w:rFonts w:ascii="Arial" w:cs="Arial" w:eastAsia="Arial" w:hAnsi="Arial"/>
                <w:sz w:val="18"/>
                <w:szCs w:val="18"/>
                <w:b w:val="1"/>
                <w:bCs w:val="1"/>
                <w:color w:val="auto"/>
                <w:w w:val="91"/>
              </w:rPr>
              <w:t>Cost/Amortized</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333,708,309</w:t>
            </w: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351,699,217</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304,539,184</w:t>
            </w: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328,845,612</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76,595,157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67,905,491</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87,977,057</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75,807,477</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34,561,828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17,064,290</w:t>
            </w:r>
          </w:p>
        </w:tc>
        <w:tc>
          <w:tcPr>
            <w:tcW w:w="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30,344,541</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22,386,600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66,062,400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61,069,876</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(1,802,675)</w:t>
            </w:r>
          </w:p>
        </w:tc>
        <w:tc>
          <w:tcPr>
            <w:tcW w:w="920" w:type="dxa"/>
            <w:vAlign w:val="bottom"/>
            <w:gridSpan w:val="4"/>
          </w:tcPr>
          <w:p>
            <w:pPr>
              <w:jc w:val="right"/>
              <w:ind w:right="4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(1,108,618)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559,510,244</w:t>
            </w:r>
          </w:p>
        </w:tc>
        <w:tc>
          <w:tcPr>
            <w:tcW w:w="28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518,365,644</w:t>
            </w:r>
          </w:p>
        </w:tc>
        <w:tc>
          <w:tcPr>
            <w:tcW w:w="2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486,628,831</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320" w:top="300" w:right="239" w:bottom="1440" w:gutter="0" w:footer="0" w:header="0"/>
        </w:sectPr>
      </w:pPr>
    </w:p>
    <w:bookmarkStart w:id="87" w:name="page88"/>
    <w:bookmarkEnd w:id="87"/>
    <w:p>
      <w:pPr>
        <w:ind w:left="760" w:right="440" w:hanging="348"/>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June 30, 2021 and December 31, 2020,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jc w:val="center"/>
              <w:ind w:left="231"/>
              <w:spacing w:after="0"/>
              <w:rPr>
                <w:sz w:val="20"/>
                <w:szCs w:val="20"/>
                <w:color w:val="auto"/>
              </w:rPr>
            </w:pPr>
            <w:r>
              <w:rPr>
                <w:rFonts w:ascii="Arial" w:cs="Arial" w:eastAsia="Arial" w:hAnsi="Arial"/>
                <w:sz w:val="18"/>
                <w:szCs w:val="18"/>
                <w:b w:val="1"/>
                <w:bCs w:val="1"/>
                <w:color w:val="auto"/>
                <w:w w:val="88"/>
              </w:rPr>
              <w:t>June 30, 2021</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92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440" w:type="dxa"/>
            <w:vAlign w:val="bottom"/>
          </w:tcPr>
          <w:p>
            <w:pPr>
              <w:jc w:val="right"/>
              <w:ind w:right="30"/>
              <w:spacing w:after="0"/>
              <w:rPr>
                <w:sz w:val="20"/>
                <w:szCs w:val="20"/>
                <w:color w:val="auto"/>
              </w:rPr>
            </w:pPr>
            <w:r>
              <w:rPr>
                <w:rFonts w:ascii="Arial" w:cs="Arial" w:eastAsia="Arial" w:hAnsi="Arial"/>
                <w:sz w:val="16"/>
                <w:szCs w:val="16"/>
                <w:b w:val="1"/>
                <w:bCs w:val="1"/>
                <w:color w:val="auto"/>
              </w:rPr>
              <w:t>%¹</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11,850,320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11,971,389</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10,844,322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11,722,521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w w:val="94"/>
              </w:rPr>
              <w:t>Banking, Finance, Insurance &amp; Real Estate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29,935,358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29,939,875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31,121,723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6,217,369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6,716,524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Capital Equipment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19,635,008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18,261,954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8,204,690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5,219,236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5,632,081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34,561,827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17,064,290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15,551,016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16,840,907</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19,319,382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21,740,256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34,858,844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5,601,428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6,285,310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2,793,546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2,584,298</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2,502,994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23,515,677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25,768,940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Energy: Oil &amp; Gas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11,353,113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5,308,757</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6,878,115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8,225,721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8,415,813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1,579,613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1,352,000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1,270,880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9,811,460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9,704,148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14,059,921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13,791,048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75,826,051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69,758,865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83,481,401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78,823,040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57,264,491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59,385,279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32,949,892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35,052,389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66,062,400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61,069,875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Machinery (Non-Agrclt/Constr/Electr)</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7,187,923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8,202,388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w w:val="99"/>
              </w:rPr>
              <w:t>Media: Advertising, Printing &amp; Publishing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3,011,845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3,444,268</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3,170,254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4,237,273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4,208,879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Media: Diversified &amp; Production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2,515,517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2,550,000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2,612,250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Metals &amp; Mining</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13,048,999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13,608,222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5,895,874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6,743,994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5,790,208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6,597,338</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Services: Business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58,084,192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58,786,353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58,027,464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60,119,401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Services: Consumer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3,836,548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3,835,592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4,241,127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4,198,243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Telecommunications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6,323,332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6,146,701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9,023,109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Textiles and Leather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12,402,666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11,071,555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12,415,194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10,860,696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2,164,194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2,404,610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Transportation: Consumer</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7,843,313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7,840,000</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559,510,244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518,365,644</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486,628,831</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2"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color w:val="auto"/>
        </w:rPr>
        <w:t>At June 30, 2021 and December 31, 2020, the weighted average contractual interest rate on our loans and debt securities was approximately 8.4% and 7.8%, respectively. At June 30, 2021 and December 31, 2020, the weighted average contractual interest rate on our loans and debt securities, excluding non-accrual and partial non-accrual investments, and excluding CLO Fund Securities and Joint Ventures, was approximately 8.3% and 7.7%,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firstLine="374"/>
        <w:spacing w:after="0" w:line="286" w:lineRule="auto"/>
        <w:rPr>
          <w:sz w:val="20"/>
          <w:szCs w:val="20"/>
          <w:color w:val="auto"/>
        </w:rPr>
      </w:pPr>
      <w:r>
        <w:rPr>
          <w:rFonts w:ascii="Arial" w:cs="Arial" w:eastAsia="Arial" w:hAnsi="Arial"/>
          <w:sz w:val="17"/>
          <w:szCs w:val="17"/>
          <w:color w:val="auto"/>
        </w:rPr>
        <w:t>The investment portfolio (excluding our investments in the CLO Funds, Joint Ventures and short-term investments) at June 30, 2021 was spread across 29 different industries and 191 different entities with an average par balance per entity of approximately $3.1 million. As of June 30, 2021, eight of our investments were on non-accrual status. As of December 31, 2020, eight of our investments were on non-accrual status.</w:t>
      </w:r>
    </w:p>
    <w:p>
      <w:pPr>
        <w:spacing w:after="0" w:line="137" w:lineRule="exact"/>
        <w:rPr>
          <w:sz w:val="20"/>
          <w:szCs w:val="20"/>
          <w:color w:val="auto"/>
        </w:rPr>
      </w:pPr>
    </w:p>
    <w:p>
      <w:pPr>
        <w:ind w:right="60" w:firstLine="374"/>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June 30, 2021 and December 31, 2020, the total amount of non-qualifying assets to total assets was approximately 13.4% and 13.8% of total assets, respectively. The majority of non-qualifying assets were the Company’s investments in joint ventures, in the aggregate representing approximately 9.4% and 8.2%, of the total assets as of June 30, 2021 and December 31, 2020, and our total assets including our investments in CLO Funds, which are typically domiciled outside the U.S. and represented approximately 2.6% and 3.3% of total assets on such dates, respectively.</w:t>
      </w:r>
    </w:p>
    <w:p>
      <w:pPr>
        <w:spacing w:after="0" w:line="55" w:lineRule="exact"/>
        <w:rPr>
          <w:sz w:val="20"/>
          <w:szCs w:val="20"/>
          <w:color w:val="auto"/>
        </w:rPr>
      </w:pPr>
    </w:p>
    <w:p>
      <w:pPr>
        <w:ind w:right="80" w:firstLine="374"/>
        <w:spacing w:after="0" w:line="296" w:lineRule="auto"/>
        <w:rPr>
          <w:sz w:val="20"/>
          <w:szCs w:val="20"/>
          <w:color w:val="auto"/>
        </w:rPr>
      </w:pPr>
      <w:r>
        <w:rPr>
          <w:rFonts w:ascii="Arial" w:cs="Arial" w:eastAsia="Arial" w:hAnsi="Arial"/>
          <w:sz w:val="16"/>
          <w:szCs w:val="16"/>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88" w:lineRule="exact"/>
        <w:rPr>
          <w:sz w:val="20"/>
          <w:szCs w:val="20"/>
          <w:color w:val="auto"/>
        </w:rPr>
      </w:pPr>
    </w:p>
    <w:p>
      <w:pPr>
        <w:ind w:right="40" w:firstLine="374"/>
        <w:spacing w:after="0" w:line="288" w:lineRule="auto"/>
        <w:rPr>
          <w:sz w:val="20"/>
          <w:szCs w:val="20"/>
          <w:color w:val="auto"/>
        </w:rPr>
      </w:pPr>
      <w:r>
        <w:rPr>
          <w:rFonts w:ascii="Arial" w:cs="Arial" w:eastAsia="Arial" w:hAnsi="Arial"/>
          <w:sz w:val="16"/>
          <w:szCs w:val="16"/>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In the fourth quarter of 2020, Libremax disposed of its equity interest in the Adviser and as a result, CLO funds managed by Libremax or its affiliates were reclassified to CLO funds managed by non-affiliates. As of June 30, 2021, our Asset Manager Affiliates had approximately $300 million of par value of assets under management, for which management fees were waived and thus were deemed to have no value.</w:t>
      </w:r>
    </w:p>
    <w:p>
      <w:pPr>
        <w:spacing w:after="0" w:line="63"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48" w:lineRule="exact"/>
        <w:rPr>
          <w:sz w:val="20"/>
          <w:szCs w:val="20"/>
          <w:color w:val="auto"/>
        </w:rPr>
      </w:pPr>
    </w:p>
    <w:p>
      <w:pPr>
        <w:ind w:right="340" w:firstLine="374"/>
        <w:spacing w:after="0" w:line="301" w:lineRule="auto"/>
        <w:rPr>
          <w:sz w:val="20"/>
          <w:szCs w:val="20"/>
          <w:color w:val="auto"/>
        </w:rPr>
      </w:pPr>
      <w:r>
        <w:rPr>
          <w:rFonts w:ascii="Arial" w:cs="Arial" w:eastAsia="Arial" w:hAnsi="Arial"/>
          <w:sz w:val="16"/>
          <w:szCs w:val="16"/>
          <w:color w:val="auto"/>
        </w:rPr>
        <w:t>Although the investment in the Asset Manager Affiliates is deemed to have no value at June 30, 2021 and December 31, 2020,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188"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June 30, 2021 and December 31, 2020, we had approximately $17.1 million and $19.6 million, respectively, invested in CLO Fund Securities, issued primarily by CLO Funds managed by the Disposed Manager Affiliates.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25" w:lineRule="exact"/>
        <w:rPr>
          <w:sz w:val="20"/>
          <w:szCs w:val="20"/>
          <w:color w:val="auto"/>
        </w:rPr>
      </w:pPr>
    </w:p>
    <w:p>
      <w:pPr>
        <w:ind w:right="60" w:firstLine="499"/>
        <w:spacing w:after="0" w:line="255" w:lineRule="auto"/>
        <w:rPr>
          <w:sz w:val="20"/>
          <w:szCs w:val="20"/>
          <w:color w:val="auto"/>
        </w:rPr>
      </w:pPr>
      <w:r>
        <w:rPr>
          <w:rFonts w:ascii="Arial" w:cs="Arial" w:eastAsia="Arial" w:hAnsi="Arial"/>
          <w:sz w:val="18"/>
          <w:szCs w:val="18"/>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Our CLO Fund investments are generally thinly traded or have only a limited trading market. CLO Funds are typically privately offered and sold, even in the secondary market. As a result, investments in CLO Funds may be characterized as illiquid securities. In addition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9" w:name="page90"/>
    <w:bookmarkEnd w:id="89"/>
    <w:p>
      <w:pPr>
        <w:ind w:right="40"/>
        <w:spacing w:after="0" w:line="270" w:lineRule="auto"/>
        <w:rPr>
          <w:sz w:val="20"/>
          <w:szCs w:val="20"/>
          <w:color w:val="auto"/>
        </w:rPr>
      </w:pPr>
      <w:r>
        <w:rPr>
          <w:rFonts w:ascii="Arial" w:cs="Arial" w:eastAsia="Arial" w:hAnsi="Arial"/>
          <w:sz w:val="17"/>
          <w:szCs w:val="17"/>
          <w:color w:val="auto"/>
        </w:rPr>
        <w:t>to the general risks associated with investing in debt securities, CLO Funds carry additional risks, including, but not limited to: (i) the possibility that distributions from collateral securities will not be adequate to make interest or other payments; (ii) the quality of the collateral may decline in value or default; (iii) the fact that the Company’s investments in CLO tranches will likely be subordinate to other senior classes of note tranches thereof; and (iv) the complex structure of the security may not be fully understood at the time of investment and may produce disputes with the CLO Fund or unexpected investment results. The Company’s net asset value may also decline over time if the Company’s principal recovery with respect to CLO subordinated note investments is less than the price that the Company paid for those investments. For a more detailed discussion of the risks related to our investments in CLO Funds, please see “Risk Factors — Risks Related to Our Investments — Our investments may be risky, and you could lose all or part of your investment.” in Part I, “Item 1A. Risk Factors” in our Annual Report on Form 10-K for the year ended December 31, 2020.</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CLO Fund Securities as of June 30, 2021 and December 31, 2020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Pr>
          <w:p>
            <w:pPr>
              <w:spacing w:after="0"/>
              <w:rPr>
                <w:sz w:val="20"/>
                <w:szCs w:val="20"/>
                <w:color w:val="auto"/>
              </w:rPr>
            </w:pPr>
          </w:p>
        </w:tc>
        <w:tc>
          <w:tcPr>
            <w:tcW w:w="2600" w:type="dxa"/>
            <w:vAlign w:val="bottom"/>
            <w:gridSpan w:val="5"/>
          </w:tcPr>
          <w:p>
            <w:pPr>
              <w:ind w:left="440"/>
              <w:spacing w:after="0"/>
              <w:rPr>
                <w:sz w:val="20"/>
                <w:szCs w:val="20"/>
                <w:color w:val="auto"/>
              </w:rPr>
            </w:pPr>
            <w:r>
              <w:rPr>
                <w:rFonts w:ascii="Arial" w:cs="Arial" w:eastAsia="Arial" w:hAnsi="Arial"/>
                <w:sz w:val="18"/>
                <w:szCs w:val="18"/>
                <w:b w:val="1"/>
                <w:bCs w:val="1"/>
                <w:color w:val="auto"/>
              </w:rPr>
              <w:t xml:space="preserve">December 31, 2020 </w:t>
            </w:r>
            <w:r>
              <w:rPr>
                <w:rFonts w:ascii="Arial" w:cs="Arial" w:eastAsia="Arial" w:hAnsi="Arial"/>
                <w:sz w:val="15"/>
                <w:szCs w:val="15"/>
                <w:b w:val="1"/>
                <w:bCs w:val="1"/>
                <w:color w:val="auto"/>
              </w:rPr>
              <w:t>2</w:t>
            </w:r>
          </w:p>
        </w:tc>
      </w:tr>
      <w:tr>
        <w:trPr>
          <w:trHeight w:val="204"/>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204" w:lineRule="exact"/>
              <w:rPr>
                <w:sz w:val="20"/>
                <w:szCs w:val="20"/>
                <w:color w:val="auto"/>
              </w:rPr>
            </w:pPr>
            <w:r>
              <w:rPr>
                <w:rFonts w:ascii="Arial" w:cs="Arial" w:eastAsia="Arial" w:hAnsi="Arial"/>
                <w:sz w:val="18"/>
                <w:szCs w:val="18"/>
                <w:b w:val="1"/>
                <w:bCs w:val="1"/>
                <w:color w:val="auto"/>
                <w:w w:val="93"/>
              </w:rPr>
              <w:t>Amortized</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40"/>
              <w:spacing w:after="0" w:line="204"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Cost</w:t>
            </w:r>
          </w:p>
        </w:tc>
        <w:tc>
          <w:tcPr>
            <w:tcW w:w="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Catamaran CLO 2013- 1 Ltd.</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5,766,803</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3,198,642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6,219,310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2,611,423</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9,735,921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5,435,075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9,998,258</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3,835,632</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1,138,560</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1,305,200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1,272,501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1,322,100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6,065,598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6,065,598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3,012,589</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477,373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4,141,981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1,609,400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8,872,484</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3,549,000</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8,842,357</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6,648,000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9,157,681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6,655,000</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34,561,828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17,064,290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45,727,813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19,582,555</w:t>
            </w:r>
          </w:p>
        </w:tc>
        <w:tc>
          <w:tcPr>
            <w:tcW w:w="1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8"/>
          <w:szCs w:val="18"/>
          <w:color w:val="auto"/>
        </w:rPr>
        <w:t>Represents percentage of class held at June 30, 2021.</w:t>
      </w:r>
    </w:p>
    <w:p>
      <w:pPr>
        <w:spacing w:after="0" w:line="117"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5"/>
          <w:szCs w:val="15"/>
          <w:color w:val="auto"/>
        </w:rPr>
      </w:pPr>
      <w:r>
        <w:rPr>
          <w:rFonts w:ascii="Arial" w:cs="Arial" w:eastAsia="Arial" w:hAnsi="Arial"/>
          <w:sz w:val="18"/>
          <w:szCs w:val="18"/>
          <w:color w:val="auto"/>
        </w:rPr>
        <w:t>As of December 31, 2020, the CLO Funds managed by Libremax were assigned to CLO Funds managed by non-affiliates.</w:t>
      </w:r>
    </w:p>
    <w:p>
      <w:pPr>
        <w:spacing w:after="0" w:line="225" w:lineRule="exact"/>
        <w:rPr>
          <w:sz w:val="20"/>
          <w:szCs w:val="20"/>
          <w:color w:val="auto"/>
        </w:rPr>
      </w:pPr>
    </w:p>
    <w:p>
      <w:pPr>
        <w:ind w:right="100" w:firstLine="374"/>
        <w:spacing w:after="0" w:line="270" w:lineRule="auto"/>
        <w:rPr>
          <w:sz w:val="20"/>
          <w:szCs w:val="20"/>
          <w:color w:val="auto"/>
        </w:rPr>
      </w:pPr>
      <w:r>
        <w:rPr>
          <w:rFonts w:ascii="Arial" w:cs="Arial" w:eastAsia="Arial" w:hAnsi="Arial"/>
          <w:sz w:val="17"/>
          <w:szCs w:val="17"/>
          <w:color w:val="auto"/>
        </w:rPr>
        <w:t>As a result of the severe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It is also possible, based upon the severe economic consequences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 As of June 30, 2021, three of the four CLO funds whose distributions to the Company had been temporarily interrupted in 2020 have resumed making distributions to the Company. The estimated timing and amount of future distributions, if any, from such other CLO Fund Securities is uncertain.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88"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right="360"/>
        <w:spacing w:after="0" w:line="263" w:lineRule="auto"/>
        <w:rPr>
          <w:sz w:val="20"/>
          <w:szCs w:val="20"/>
          <w:color w:val="auto"/>
        </w:rPr>
      </w:pPr>
      <w:r>
        <w:rPr>
          <w:rFonts w:ascii="Arial" w:cs="Arial" w:eastAsia="Arial" w:hAnsi="Arial"/>
          <w:sz w:val="18"/>
          <w:szCs w:val="18"/>
          <w:color w:val="auto"/>
        </w:rPr>
        <w:t>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42" w:lineRule="exact"/>
        <w:rPr>
          <w:sz w:val="20"/>
          <w:szCs w:val="20"/>
          <w:color w:val="auto"/>
        </w:rPr>
      </w:pPr>
    </w:p>
    <w:p>
      <w:pPr>
        <w:ind w:right="12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29" w:lineRule="exact"/>
        <w:rPr>
          <w:sz w:val="20"/>
          <w:szCs w:val="20"/>
          <w:color w:val="auto"/>
        </w:rPr>
      </w:pPr>
    </w:p>
    <w:p>
      <w:pPr>
        <w:ind w:right="40" w:firstLine="374"/>
        <w:spacing w:after="0" w:line="293" w:lineRule="auto"/>
        <w:rPr>
          <w:sz w:val="20"/>
          <w:szCs w:val="20"/>
          <w:color w:val="auto"/>
        </w:rPr>
      </w:pPr>
      <w:r>
        <w:rPr>
          <w:rFonts w:ascii="Arial" w:cs="Arial" w:eastAsia="Arial" w:hAnsi="Arial"/>
          <w:sz w:val="16"/>
          <w:szCs w:val="16"/>
          <w:color w:val="auto"/>
        </w:rPr>
        <w:t>During the second quarter of 2021, the Company contributed an additional $2.5 million cash investment to the Joint Venture, increasing its equity ownership interest to 62.83% in the Joint Venture. While we own a 62.83%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22"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As of</w:t>
            </w:r>
          </w:p>
        </w:tc>
      </w:t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 June 30,</w:t>
            </w:r>
          </w:p>
        </w:tc>
        <w:tc>
          <w:tcPr>
            <w:tcW w:w="200" w:type="dxa"/>
            <w:vAlign w:val="bottom"/>
          </w:tcPr>
          <w:p>
            <w:pPr>
              <w:spacing w:after="0"/>
              <w:rPr>
                <w:sz w:val="18"/>
                <w:szCs w:val="18"/>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r>
      <w:tr>
        <w:trPr>
          <w:trHeight w:val="229"/>
        </w:trPr>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33"/>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31,928,079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34,428,079</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182,389</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167,389</w:t>
            </w:r>
          </w:p>
        </w:tc>
        <w:tc>
          <w:tcPr>
            <w:tcW w:w="100" w:type="dxa"/>
            <w:vAlign w:val="bottom"/>
            <w:shd w:val="clear" w:color="auto" w:fill="CFF0FC"/>
          </w:tcPr>
          <w:p>
            <w:pPr>
              <w:spacing w:after="0"/>
              <w:rPr>
                <w:sz w:val="18"/>
                <w:szCs w:val="18"/>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34,245,690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31,236,711</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34,428,079</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340" w:type="dxa"/>
            <w:vAlign w:val="bottom"/>
            <w:gridSpan w:val="5"/>
          </w:tcPr>
          <w:p>
            <w:pPr>
              <w:spacing w:after="0"/>
              <w:rPr>
                <w:sz w:val="20"/>
                <w:szCs w:val="20"/>
                <w:color w:val="auto"/>
              </w:rPr>
            </w:pPr>
            <w:r>
              <w:rPr>
                <w:rFonts w:ascii="Arial" w:cs="Arial" w:eastAsia="Arial" w:hAnsi="Arial"/>
                <w:sz w:val="18"/>
                <w:szCs w:val="18"/>
                <w:b w:val="1"/>
                <w:bCs w:val="1"/>
                <w:color w:val="auto"/>
                <w:w w:val="90"/>
              </w:rPr>
              <w:t>Three Months Ended June 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jc w:val="right"/>
              <w:ind w:right="101"/>
              <w:spacing w:after="0"/>
              <w:rPr>
                <w:sz w:val="20"/>
                <w:szCs w:val="20"/>
                <w:color w:val="auto"/>
              </w:rPr>
            </w:pPr>
            <w:r>
              <w:rPr>
                <w:rFonts w:ascii="Arial" w:cs="Arial" w:eastAsia="Arial" w:hAnsi="Arial"/>
                <w:sz w:val="18"/>
                <w:szCs w:val="18"/>
                <w:b w:val="1"/>
                <w:bCs w:val="1"/>
                <w:color w:val="auto"/>
                <w:w w:val="90"/>
              </w:rPr>
              <w:t>Six Months Ended June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CFF0FC"/>
            </w:tcBorders>
          </w:tcPr>
          <w:p>
            <w:pPr>
              <w:spacing w:after="0"/>
              <w:rPr>
                <w:sz w:val="20"/>
                <w:szCs w:val="20"/>
                <w:color w:val="auto"/>
              </w:rPr>
            </w:pPr>
          </w:p>
        </w:tc>
        <w:tc>
          <w:tcPr>
            <w:tcW w:w="20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1,764,197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1,178,220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3,299,036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2,395,633</w:t>
            </w: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0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1,764,197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1,166,720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3,282,881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2,364,133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(436,087)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3,835,990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1,329,918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(7,363,326)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1,328,110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5,002,710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4,612,799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(4,999,193</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0" w:type="dxa"/>
            <w:vAlign w:val="bottom"/>
            <w:vMerge w:val="restart"/>
          </w:tcPr>
          <w:p>
            <w:pPr>
              <w:jc w:val="right"/>
              <w:ind w:right="390"/>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6"/>
              </w:rPr>
              <w:t>KCAP Freedom 3 LLC</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2"/>
          </w:tcPr>
          <w:p>
            <w:pPr>
              <w:jc w:val="center"/>
              <w:ind w:left="1030"/>
              <w:spacing w:after="0"/>
              <w:rPr>
                <w:sz w:val="20"/>
                <w:szCs w:val="20"/>
                <w:color w:val="auto"/>
              </w:rPr>
            </w:pPr>
            <w:r>
              <w:rPr>
                <w:rFonts w:ascii="Arial" w:cs="Arial" w:eastAsia="Arial" w:hAnsi="Arial"/>
                <w:sz w:val="18"/>
                <w:szCs w:val="18"/>
                <w:color w:val="auto"/>
                <w:w w:val="89"/>
              </w:rPr>
              <w:t>Schedule of Investments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2"/>
          </w:tcPr>
          <w:p>
            <w:pPr>
              <w:jc w:val="center"/>
              <w:ind w:left="1030"/>
              <w:spacing w:after="0"/>
              <w:rPr>
                <w:sz w:val="20"/>
                <w:szCs w:val="20"/>
                <w:color w:val="auto"/>
              </w:rPr>
            </w:pPr>
            <w:r>
              <w:rPr>
                <w:rFonts w:ascii="Arial" w:cs="Arial" w:eastAsia="Arial" w:hAnsi="Arial"/>
                <w:sz w:val="18"/>
                <w:szCs w:val="18"/>
                <w:color w:val="auto"/>
                <w:w w:val="87"/>
              </w:rPr>
              <w:t>June 30, 2021</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2"/>
          </w:tcPr>
          <w:p>
            <w:pPr>
              <w:jc w:val="center"/>
              <w:ind w:left="1030"/>
              <w:spacing w:after="0"/>
              <w:rPr>
                <w:sz w:val="20"/>
                <w:szCs w:val="20"/>
                <w:color w:val="auto"/>
              </w:rPr>
            </w:pPr>
            <w:r>
              <w:rPr>
                <w:rFonts w:ascii="Arial" w:cs="Arial" w:eastAsia="Arial" w:hAnsi="Arial"/>
                <w:sz w:val="18"/>
                <w:szCs w:val="18"/>
                <w:color w:val="auto"/>
                <w:w w:val="92"/>
              </w:rPr>
              <w:t>(unaudited)</w:t>
            </w: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Ownership</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by Joint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40" w:type="dxa"/>
            <w:vAlign w:val="bottom"/>
          </w:tcPr>
          <w:p>
            <w:pPr>
              <w:spacing w:after="0"/>
              <w:rPr>
                <w:sz w:val="20"/>
                <w:szCs w:val="20"/>
                <w:color w:val="auto"/>
              </w:rPr>
            </w:pPr>
          </w:p>
        </w:tc>
        <w:tc>
          <w:tcPr>
            <w:tcW w:w="356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Venture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8"/>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p>
        </w:tc>
        <w:tc>
          <w:tcPr>
            <w:tcW w:w="37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6.8%, 12/29 maturity</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280"/>
              <w:spacing w:after="0"/>
              <w:rPr>
                <w:sz w:val="20"/>
                <w:szCs w:val="20"/>
                <w:color w:val="auto"/>
              </w:rPr>
            </w:pPr>
            <w:r>
              <w:rPr>
                <w:rFonts w:ascii="Arial" w:cs="Arial" w:eastAsia="Arial" w:hAnsi="Arial"/>
                <w:sz w:val="18"/>
                <w:szCs w:val="18"/>
                <w:color w:val="auto"/>
                <w:w w:val="88"/>
              </w:rPr>
              <w:t>38,180,274</w:t>
            </w:r>
          </w:p>
        </w:tc>
        <w:tc>
          <w:tcPr>
            <w:tcW w:w="2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31,928,079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8"/>
              </w:rPr>
              <w:t>38,180,274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31,928,079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80" w:hanging="372"/>
        <w:spacing w:after="0" w:line="254" w:lineRule="auto"/>
        <w:tabs>
          <w:tab w:leader="none" w:pos="380" w:val="left"/>
        </w:tabs>
        <w:numPr>
          <w:ilvl w:val="0"/>
          <w:numId w:val="88"/>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88"/>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Percentage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Ownership</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by Joint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40" w:type="dxa"/>
            <w:vAlign w:val="bottom"/>
          </w:tcPr>
          <w:p>
            <w:pPr>
              <w:spacing w:after="0"/>
              <w:rPr>
                <w:sz w:val="20"/>
                <w:szCs w:val="20"/>
                <w:color w:val="auto"/>
              </w:rPr>
            </w:pP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Venture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Great Lakes KCAP F3C Senior, LLC</w:t>
            </w:r>
            <w:r>
              <w:rPr>
                <w:rFonts w:ascii="Arial" w:cs="Arial" w:eastAsia="Arial" w:hAnsi="Arial"/>
                <w:sz w:val="15"/>
                <w:szCs w:val="15"/>
                <w:color w:val="auto"/>
                <w:w w:val="97"/>
              </w:rPr>
              <w:t>(1)(2)</w:t>
            </w:r>
          </w:p>
        </w:tc>
        <w:tc>
          <w:tcPr>
            <w:tcW w:w="140" w:type="dxa"/>
            <w:vAlign w:val="bottom"/>
            <w:tcBorders>
              <w:top w:val="single" w:sz="8" w:color="CFF0FC"/>
            </w:tcBorders>
            <w:shd w:val="clear" w:color="auto" w:fill="CFF0FC"/>
          </w:tcPr>
          <w:p>
            <w:pPr>
              <w:spacing w:after="0"/>
              <w:rPr>
                <w:sz w:val="18"/>
                <w:szCs w:val="18"/>
                <w:color w:val="auto"/>
              </w:rPr>
            </w:pPr>
          </w:p>
        </w:tc>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34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12.3%, 12/29 maturity</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38,986,212</w:t>
            </w:r>
          </w:p>
        </w:tc>
        <w:tc>
          <w:tcPr>
            <w:tcW w:w="2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20"/>
                <w:szCs w:val="20"/>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38,986,212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100" w:type="dxa"/>
            <w:vAlign w:val="bottom"/>
          </w:tcPr>
          <w:p>
            <w:pPr>
              <w:spacing w:after="0"/>
              <w:rPr>
                <w:sz w:val="19"/>
                <w:szCs w:val="19"/>
                <w:color w:val="auto"/>
              </w:rPr>
            </w:pPr>
          </w:p>
        </w:tc>
      </w:tr>
    </w:tbl>
    <w:p>
      <w:pPr>
        <w:spacing w:after="0" w:line="390" w:lineRule="exact"/>
        <w:rPr>
          <w:sz w:val="20"/>
          <w:szCs w:val="20"/>
          <w:color w:val="auto"/>
        </w:rPr>
      </w:pPr>
    </w:p>
    <w:p>
      <w:pPr>
        <w:ind w:left="380" w:hanging="372"/>
        <w:spacing w:after="0" w:line="250" w:lineRule="auto"/>
        <w:tabs>
          <w:tab w:leader="none" w:pos="380" w:val="left"/>
        </w:tabs>
        <w:numPr>
          <w:ilvl w:val="0"/>
          <w:numId w:val="89"/>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3" w:lineRule="exact"/>
        <w:rPr>
          <w:rFonts w:ascii="Arial" w:cs="Arial" w:eastAsia="Arial" w:hAnsi="Arial"/>
          <w:sz w:val="15"/>
          <w:szCs w:val="15"/>
          <w:color w:val="auto"/>
        </w:rPr>
      </w:pPr>
    </w:p>
    <w:p>
      <w:pPr>
        <w:ind w:left="380" w:right="640" w:hanging="372"/>
        <w:spacing w:after="0" w:line="258" w:lineRule="auto"/>
        <w:tabs>
          <w:tab w:leader="none" w:pos="380" w:val="left"/>
        </w:tabs>
        <w:numPr>
          <w:ilvl w:val="0"/>
          <w:numId w:val="89"/>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BCP Great Lakes Partnership</w:t>
      </w:r>
    </w:p>
    <w:p>
      <w:pPr>
        <w:spacing w:after="0" w:line="229"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and together with the Joint Venture, the “Joint Ventures”).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85"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fair value of our investment in the BCP Great Lakes Partnership at June 30, 2021 and December 31, 2020 was $38.6 million and $29.6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ind w:right="80" w:firstLine="374"/>
        <w:spacing w:after="0" w:line="259"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Investment Company Act of 1940). As of June 30, 2021 and December 31, 2020, we have a $11.4 million and $20.0 million, respectively unfunded commitment to the BCP Great Lakes Partnership.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8" w:lineRule="exact"/>
        <w:rPr>
          <w:sz w:val="20"/>
          <w:szCs w:val="20"/>
          <w:color w:val="auto"/>
        </w:rPr>
      </w:pPr>
    </w:p>
    <w:p>
      <w:pPr>
        <w:ind w:right="40" w:firstLine="374"/>
        <w:spacing w:after="0" w:line="256"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4"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4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5"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our fomer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were reflected as “managed by non-affiliates”. Effective April 1, 2019, as a result of the Externalization and related transactions, CLO Fund investments managed by LibreMax were assigned to CLO Funds Managed by Affiliates. During the fourth quarter of 2020, Libremax disposed of its interest in Sierra Crest and accordingly, the CLO Funds managed by Libremax or its affiliates were reclassified to CLO Funds Managed by Non-Affiliates as of December 31, 2020 and prospectively.</w:t>
      </w:r>
    </w:p>
    <w:p>
      <w:pPr>
        <w:spacing w:after="0" w:line="123"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43"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3" w:name="page94"/>
    <w:bookmarkEnd w:id="93"/>
    <w:p>
      <w:pPr>
        <w:ind w:firstLine="374"/>
        <w:spacing w:after="0" w:line="290" w:lineRule="auto"/>
        <w:rPr>
          <w:sz w:val="20"/>
          <w:szCs w:val="20"/>
          <w:color w:val="auto"/>
        </w:rPr>
      </w:pPr>
      <w:r>
        <w:rPr>
          <w:rFonts w:ascii="Arial" w:cs="Arial" w:eastAsia="Arial" w:hAnsi="Arial"/>
          <w:sz w:val="16"/>
          <w:szCs w:val="16"/>
          <w:i w:val="1"/>
          <w:iCs w:val="1"/>
          <w:color w:val="auto"/>
        </w:rPr>
        <w:t xml:space="preserve">Asset Manager Affiliates. </w:t>
      </w:r>
      <w:r>
        <w:rPr>
          <w:rFonts w:ascii="Arial" w:cs="Arial" w:eastAsia="Arial" w:hAnsi="Arial"/>
          <w:sz w:val="16"/>
          <w:szCs w:val="16"/>
          <w:color w:val="auto"/>
        </w:rPr>
        <w:t>Our Asset Manager Affiliates was deemed to have no value at June 30, 2021 and December 31, 2020. There were no</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from the Asset Manager Affiliates during 2020 and the first quarter of 2021.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each of June 30, 2021 and December 31, 2020.</w:t>
      </w:r>
    </w:p>
    <w:p>
      <w:pPr>
        <w:spacing w:after="0" w:line="136"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i w:val="1"/>
          <w:iCs w:val="1"/>
          <w:color w:val="auto"/>
        </w:rPr>
        <w:t xml:space="preserve">Investment in Joint Ventures. </w:t>
      </w:r>
      <w:r>
        <w:rPr>
          <w:rFonts w:ascii="Arial" w:cs="Arial" w:eastAsia="Arial" w:hAnsi="Arial"/>
          <w:sz w:val="17"/>
          <w:szCs w:val="17"/>
          <w:color w:val="auto"/>
        </w:rPr>
        <w:t>For the three months ended June 30, 2021 and 2020, the Company recognized $2.5 million and $1.0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in investment income from its investments in Joint Ventures. For the six months ended June 30, 2021 and 2020, the Company recognized $4.6 million and $2.6 million, respectively, in investment income from its investments in Joint Ventures. As of June 30, 2021 and December 31, 2020, the fair value of our investments in Joint Ventures was approximately $61.1 million and $49.3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42"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2" w:lineRule="exact"/>
        <w:rPr>
          <w:sz w:val="20"/>
          <w:szCs w:val="20"/>
          <w:color w:val="auto"/>
        </w:rPr>
      </w:pPr>
    </w:p>
    <w:p>
      <w:pPr>
        <w:ind w:right="460" w:firstLine="374"/>
        <w:spacing w:after="0" w:line="307" w:lineRule="auto"/>
        <w:rPr>
          <w:sz w:val="20"/>
          <w:szCs w:val="20"/>
          <w:color w:val="auto"/>
        </w:rPr>
      </w:pPr>
      <w:r>
        <w:rPr>
          <w:rFonts w:ascii="Arial" w:cs="Arial" w:eastAsia="Arial" w:hAnsi="Arial"/>
          <w:sz w:val="17"/>
          <w:szCs w:val="17"/>
          <w:color w:val="auto"/>
        </w:rPr>
        <w:t>Investment income for the three months ended June 30, 2021 and 2020 was approximately $21.5 million and $7.3 million, respectively. Of these amounts, approximately $18.0 million and $5.2 million, respectively was attributable to interest income on our Debt Securities Portfolio.</w:t>
      </w:r>
    </w:p>
    <w:p>
      <w:pPr>
        <w:spacing w:after="0" w:line="107" w:lineRule="exact"/>
        <w:rPr>
          <w:sz w:val="20"/>
          <w:szCs w:val="20"/>
          <w:color w:val="auto"/>
        </w:rPr>
      </w:pPr>
    </w:p>
    <w:p>
      <w:pPr>
        <w:ind w:right="520" w:firstLine="374"/>
        <w:spacing w:after="0" w:line="307" w:lineRule="auto"/>
        <w:rPr>
          <w:sz w:val="20"/>
          <w:szCs w:val="20"/>
          <w:color w:val="auto"/>
        </w:rPr>
      </w:pPr>
      <w:r>
        <w:rPr>
          <w:rFonts w:ascii="Arial" w:cs="Arial" w:eastAsia="Arial" w:hAnsi="Arial"/>
          <w:sz w:val="17"/>
          <w:szCs w:val="17"/>
          <w:color w:val="auto"/>
        </w:rPr>
        <w:t>Investment income for the six months ended June 30, 2021 and 2020 was approximately $39.8 million and $15.1 million, respectively. Of these amounts, approximately $33.2 million and $10.1 million, respectively was attributable to interest income on our Debt Securities Portfolio.</w:t>
      </w:r>
    </w:p>
    <w:p>
      <w:pPr>
        <w:spacing w:after="0" w:line="10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At June 30, 2021 and December 31, 2020, the weighted average contractual interest rate on our loans and debt securities was approximately 8.4% and 10.9%, respectively. At June 30, 2021 and December 31, 2020, the weighted average contractual interest rate on our loans and debt securities, excluding non-accrual and partial non-accrual investments, was approximately 8.3% and 9.0%, respectively.</w:t>
      </w:r>
    </w:p>
    <w:p>
      <w:pPr>
        <w:spacing w:after="0" w:line="156"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45"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color w:val="auto"/>
        </w:rPr>
        <w:t>For the three months ended June 30, 2021 and 2020, approximately $0.8 million and $0.9 million, respectively, of investment income was attributable to investments in CLO Fund Securities. For the six months ended June 30, 2021 and 2020, approximately $1.5 million and $2.1 million, respectively, of investment income was attributable to investments in CLO Fund Securities. On a tax basis, the Company recognized $3.9 million and $2.6 million of taxable distributable income on distributions from our CLO Fund Securities during the six months ended June 30, 2021 and 2020,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2" w:lineRule="exact"/>
        <w:rPr>
          <w:sz w:val="20"/>
          <w:szCs w:val="20"/>
          <w:color w:val="auto"/>
        </w:rPr>
      </w:pPr>
    </w:p>
    <w:p>
      <w:pPr>
        <w:jc w:val="both"/>
        <w:ind w:right="720" w:firstLine="374"/>
        <w:spacing w:after="0" w:line="286" w:lineRule="auto"/>
        <w:rPr>
          <w:sz w:val="20"/>
          <w:szCs w:val="20"/>
          <w:color w:val="auto"/>
        </w:rPr>
      </w:pPr>
      <w:r>
        <w:rPr>
          <w:rFonts w:ascii="Arial" w:cs="Arial" w:eastAsia="Arial" w:hAnsi="Arial"/>
          <w:sz w:val="17"/>
          <w:szCs w:val="17"/>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4" w:name="page95"/>
    <w:bookmarkEnd w:id="94"/>
    <w:p>
      <w:pPr>
        <w:ind w:right="280"/>
        <w:spacing w:after="0" w:line="290" w:lineRule="auto"/>
        <w:rPr>
          <w:sz w:val="20"/>
          <w:szCs w:val="20"/>
          <w:color w:val="auto"/>
        </w:rPr>
      </w:pPr>
      <w:r>
        <w:rPr>
          <w:rFonts w:ascii="Arial" w:cs="Arial" w:eastAsia="Arial" w:hAnsi="Arial"/>
          <w:sz w:val="16"/>
          <w:szCs w:val="16"/>
          <w:color w:val="auto"/>
        </w:rPr>
        <w:t>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 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36" w:lineRule="exact"/>
        <w:rPr>
          <w:sz w:val="20"/>
          <w:szCs w:val="20"/>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22" w:lineRule="exact"/>
        <w:rPr>
          <w:rFonts w:ascii="Arial" w:cs="Arial" w:eastAsia="Arial" w:hAnsi="Arial"/>
          <w:sz w:val="17"/>
          <w:szCs w:val="17"/>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11"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8"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211"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2" w:lineRule="exact"/>
        <w:rPr>
          <w:rFonts w:ascii="Arial" w:cs="Arial" w:eastAsia="Arial" w:hAnsi="Arial"/>
          <w:sz w:val="18"/>
          <w:szCs w:val="18"/>
          <w:color w:val="auto"/>
        </w:rPr>
      </w:pPr>
    </w:p>
    <w:p>
      <w:pPr>
        <w:ind w:left="740" w:right="180" w:hanging="368"/>
        <w:spacing w:after="0" w:line="307" w:lineRule="auto"/>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6" w:lineRule="exact"/>
        <w:rPr>
          <w:rFonts w:ascii="Arial" w:cs="Arial" w:eastAsia="Arial" w:hAnsi="Arial"/>
          <w:sz w:val="17"/>
          <w:szCs w:val="17"/>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211"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8" w:lineRule="exact"/>
        <w:rPr>
          <w:rFonts w:ascii="Arial" w:cs="Arial" w:eastAsia="Arial" w:hAnsi="Arial"/>
          <w:sz w:val="18"/>
          <w:szCs w:val="18"/>
          <w:color w:val="auto"/>
        </w:rPr>
      </w:pPr>
    </w:p>
    <w:p>
      <w:pPr>
        <w:ind w:left="740" w:hanging="368"/>
        <w:spacing w:after="0"/>
        <w:tabs>
          <w:tab w:leader="none" w:pos="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95" w:name="page96"/>
    <w:bookmarkEnd w:id="95"/>
    <w:p>
      <w:pPr>
        <w:ind w:left="740" w:hanging="368"/>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Management Fees and Incentive Fees. </w:t>
      </w:r>
      <w:r>
        <w:rPr>
          <w:rFonts w:ascii="Arial" w:cs="Arial" w:eastAsia="Arial" w:hAnsi="Arial"/>
          <w:sz w:val="16"/>
          <w:szCs w:val="16"/>
          <w:color w:val="auto"/>
        </w:rPr>
        <w:t>Management fees for the three months ended June 30, 2021 and 2020, were approximately $1.9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 million, respectively. Incentive fees earned during the three months ended June 30, 2021 were approximately $2.3 million, none of which were waived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Externalization Agreement. Incentive fees earned during the three months ended June 30, 2020 were approximately $455 thousand, all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were waived pursuant to the Externalization Agreement.</w:t>
      </w:r>
    </w:p>
    <w:p>
      <w:pPr>
        <w:spacing w:after="0" w:line="18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Management fees for the six months ended June 30, 2021 and 2020, were approximately $3.7 million and $2.0 million, respectively. Incentive fees earned during the six months ended June 30, 2021 were approximately $4.4 million, none of which were waived pursuant to the Externalization Agreement. Incentive fees earned during the six months ended June 30, 2020 were approximately $557 thousand, all of which were waived pursuant to the Externalization Agreement.</w:t>
      </w:r>
    </w:p>
    <w:p>
      <w:pPr>
        <w:spacing w:after="0" w:line="145"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 xml:space="preserve">During the second quarter of 2021, the </w:t>
      </w:r>
      <w:r>
        <w:rPr>
          <w:rFonts w:ascii="Arial" w:cs="Arial" w:eastAsia="Arial" w:hAnsi="Arial"/>
          <w:sz w:val="18"/>
          <w:szCs w:val="18"/>
          <w:color w:val="231F20"/>
        </w:rPr>
        <w:t>Advisor reinvested approximately $4.0 million of incentive fees in newly issued shares of our common stock in</w:t>
      </w:r>
      <w:r>
        <w:rPr>
          <w:rFonts w:ascii="Arial" w:cs="Arial" w:eastAsia="Arial" w:hAnsi="Arial"/>
          <w:sz w:val="18"/>
          <w:szCs w:val="18"/>
          <w:color w:val="auto"/>
        </w:rPr>
        <w:t xml:space="preserve"> </w:t>
      </w:r>
      <w:r>
        <w:rPr>
          <w:rFonts w:ascii="Arial" w:cs="Arial" w:eastAsia="Arial" w:hAnsi="Arial"/>
          <w:sz w:val="18"/>
          <w:szCs w:val="18"/>
          <w:color w:val="231F20"/>
        </w:rPr>
        <w:t>connection therewith the Externalization Agreement. The shares were issued at the most recently determined net asset value per share of our common stock. The obligations of the Advisor to use incentive fees to purchase shares expired on April 1, 2021.</w:t>
      </w:r>
    </w:p>
    <w:p>
      <w:pPr>
        <w:spacing w:after="0" w:line="142"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i w:val="1"/>
          <w:iCs w:val="1"/>
          <w:color w:val="auto"/>
        </w:rPr>
        <w:t>Interest and Amortization of Debt Issuance Costs</w:t>
      </w:r>
      <w:r>
        <w:rPr>
          <w:rFonts w:ascii="Arial" w:cs="Arial" w:eastAsia="Arial" w:hAnsi="Arial"/>
          <w:sz w:val="17"/>
          <w:szCs w:val="17"/>
          <w:color w:val="auto"/>
        </w:rPr>
        <w:t>. Interest expense is dependent on the average outstanding balance on our borrowings and,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index rate for the period. Debt issuance costs represent fees, and other direct costs incurred in connection with our borrowings. These amounts are capitalized and amortized ratably over the expected term of the borrowing. In anticipation of the refinancing of the 6.125% Notes due 2022, during the first quarter of 2021, approximately $1.0 million of unamortized debt issuance costs related to these notes were written off and reflected in Realized Losses on Extinguishment of Debt in the Consolidated Statement of Operations.</w:t>
      </w:r>
    </w:p>
    <w:p>
      <w:pPr>
        <w:spacing w:after="0" w:line="148"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For the three months ended June 30, 2021 and 2020, interest expense and amortization on debt issuance costs for the period was approximately $3.5 million and $2.4 million, respectively, on average debt outstanding of $344 million and $149 million, respectively.</w:t>
      </w:r>
    </w:p>
    <w:p>
      <w:pPr>
        <w:spacing w:after="0" w:line="129" w:lineRule="exact"/>
        <w:rPr>
          <w:sz w:val="20"/>
          <w:szCs w:val="20"/>
          <w:color w:val="auto"/>
        </w:rPr>
      </w:pPr>
    </w:p>
    <w:p>
      <w:pPr>
        <w:ind w:right="420" w:firstLine="315"/>
        <w:spacing w:after="0" w:line="277" w:lineRule="auto"/>
        <w:rPr>
          <w:sz w:val="20"/>
          <w:szCs w:val="20"/>
          <w:color w:val="auto"/>
        </w:rPr>
      </w:pPr>
      <w:r>
        <w:rPr>
          <w:rFonts w:ascii="Arial" w:cs="Arial" w:eastAsia="Arial" w:hAnsi="Arial"/>
          <w:sz w:val="18"/>
          <w:szCs w:val="18"/>
          <w:color w:val="auto"/>
        </w:rPr>
        <w:t>For the six months ended June 30, 2021 and 2020, interest expense and amortization on debt issuance costs for the period was approximately $6.9 million and $4.7 million, respectively.</w:t>
      </w:r>
    </w:p>
    <w:p>
      <w:pPr>
        <w:spacing w:after="0" w:line="129"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i w:val="1"/>
          <w:iCs w:val="1"/>
          <w:color w:val="auto"/>
        </w:rPr>
        <w:t>Compensation Expense</w:t>
      </w:r>
      <w:r>
        <w:rPr>
          <w:rFonts w:ascii="Arial" w:cs="Arial" w:eastAsia="Arial" w:hAnsi="Arial"/>
          <w:sz w:val="18"/>
          <w:szCs w:val="18"/>
          <w:color w:val="auto"/>
        </w:rPr>
        <w:t>. 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64" w:lineRule="exact"/>
        <w:rPr>
          <w:sz w:val="20"/>
          <w:szCs w:val="20"/>
          <w:color w:val="auto"/>
        </w:rPr>
      </w:pPr>
    </w:p>
    <w:p>
      <w:pPr>
        <w:ind w:right="340" w:firstLine="374"/>
        <w:spacing w:after="0" w:line="341" w:lineRule="auto"/>
        <w:rPr>
          <w:sz w:val="20"/>
          <w:szCs w:val="20"/>
          <w:color w:val="auto"/>
        </w:rPr>
      </w:pPr>
      <w:r>
        <w:rPr>
          <w:rFonts w:ascii="Arial" w:cs="Arial" w:eastAsia="Arial" w:hAnsi="Arial"/>
          <w:sz w:val="16"/>
          <w:szCs w:val="16"/>
          <w:i w:val="1"/>
          <w:iCs w:val="1"/>
          <w:color w:val="auto"/>
        </w:rPr>
        <w:t>Professional Fees, Administrative Services Expense and General Administrative Expenses</w:t>
      </w:r>
      <w:r>
        <w:rPr>
          <w:rFonts w:ascii="Arial" w:cs="Arial" w:eastAsia="Arial" w:hAnsi="Arial"/>
          <w:sz w:val="16"/>
          <w:szCs w:val="16"/>
          <w:color w:val="auto"/>
        </w:rPr>
        <w:t>. The balance of our expenses includes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legal, accounting, director fees, valuation and other professional services), insurance costs, Administrative services and other costs.</w:t>
      </w:r>
    </w:p>
    <w:p>
      <w:pPr>
        <w:spacing w:after="0" w:line="84"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For the three months ended June 30, 2021 and 2020, respectively, professional fees and insurance expenses totaled approximately $0.9 million and $0.7 million. For the three months ended June 30, 2021 and 2020, Administrative services expenses incurred pursuant to the Administration Agreement was approximately $0.7 million and $0.4 million, respectively. Other general and administrative costs totaled approximately $0.5 million and $0.2 million for the three months ended June 30, 2021 and 2020, respectively.</w:t>
      </w:r>
    </w:p>
    <w:p>
      <w:pPr>
        <w:spacing w:after="0" w:line="145"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For the six months ended June 30, 2021 and 2020, professional fees and insurance expenses totaled approximately $2.6 million and $1.7 million respectively.</w:t>
      </w:r>
    </w:p>
    <w:p>
      <w:pPr>
        <w:spacing w:after="0" w:line="142" w:lineRule="exact"/>
        <w:rPr>
          <w:sz w:val="20"/>
          <w:szCs w:val="20"/>
          <w:color w:val="auto"/>
        </w:rPr>
      </w:pPr>
    </w:p>
    <w:p>
      <w:pPr>
        <w:ind w:right="100" w:firstLine="374"/>
        <w:spacing w:after="0" w:line="254" w:lineRule="auto"/>
        <w:rPr>
          <w:sz w:val="20"/>
          <w:szCs w:val="20"/>
          <w:color w:val="auto"/>
        </w:rPr>
      </w:pPr>
      <w:r>
        <w:rPr>
          <w:rFonts w:ascii="Arial" w:cs="Arial" w:eastAsia="Arial" w:hAnsi="Arial"/>
          <w:sz w:val="18"/>
          <w:szCs w:val="18"/>
          <w:color w:val="auto"/>
        </w:rPr>
        <w:t>Total expenses for the six months ended June 30, 2021 and 2020 were approximately $19.9 million and $9.7 million, respectively. For the six months ended June 30, 2020, we incurred approximately $3.4 million in total expenses in connection with the Externalization and approximately $1.4 million related to a non-cash impairment charge to write down the value of the right-of-use asset for the lease of office space formerly occupied by the Company prior to the Externalization. The impairment charge related to our write down of the lease right-of-use asset is recorded as a separate line item within the expense section of the consolidated statement of operations. For the six months ended June 30, 2021 and 2020, interest expense and amortization on debt issuance costs for the period was approximately $6.9 million and $4.7 million, respectively, on average debt outstanding of $340 million and $154 million,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96" w:name="page97"/>
    <w:bookmarkEnd w:id="96"/>
    <w:p>
      <w:pPr>
        <w:ind w:left="38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84" w:lineRule="exact"/>
        <w:rPr>
          <w:sz w:val="20"/>
          <w:szCs w:val="20"/>
          <w:color w:val="auto"/>
        </w:rPr>
      </w:pPr>
    </w:p>
    <w:p>
      <w:pPr>
        <w:ind w:right="100" w:firstLine="374"/>
        <w:spacing w:after="0" w:line="271" w:lineRule="auto"/>
        <w:rPr>
          <w:sz w:val="20"/>
          <w:szCs w:val="20"/>
          <w:color w:val="auto"/>
        </w:rPr>
      </w:pPr>
      <w:r>
        <w:rPr>
          <w:rFonts w:ascii="Arial" w:cs="Arial" w:eastAsia="Arial" w:hAnsi="Arial"/>
          <w:sz w:val="17"/>
          <w:szCs w:val="17"/>
          <w:color w:val="auto"/>
        </w:rPr>
        <w:t>Net investment income and net realized gains (losses) represents the change in stockholder’s equity before net unrealized appreciation or depreciation on investments. For the three months ended June 30, 2021 net investment income and net realized gains were approximately $9.4 million, or $0.12 per share. For the three months ended June 30, 2020, net investment income and net realized losses were approximately $1.7 million, or $0.04 per share. For the six months ended June 30, 2021, net investment income and net realized losses were approximately $12.5 million, or $0.16 per share. For the six months ended June 30, 2020, net investment income and net realized gains were approximately $3.4 million, or $0.08 per share. Net investment income represents the income earned on our investments less operating and interest expense before net realized gains or losses and unrealized appreciation or depreciation on investments.</w:t>
      </w:r>
    </w:p>
    <w:p>
      <w:pPr>
        <w:spacing w:after="0" w:line="140" w:lineRule="exact"/>
        <w:rPr>
          <w:sz w:val="20"/>
          <w:szCs w:val="20"/>
          <w:color w:val="auto"/>
        </w:rPr>
      </w:pPr>
    </w:p>
    <w:p>
      <w:pPr>
        <w:ind w:right="160" w:firstLine="374"/>
        <w:spacing w:after="0" w:line="255"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six months ended June 30, 2021, GAAP-basis net investment income was approximately $19.9 million or $0.25 per share, while tax-basis distributable income was approximately $11.3 million or $0.14 per share. For the six months ended June 30, 2020, GAAP-basis net investment income was approximately $5.4 million or $0.12 per basic share, while tax-basis distributable income was approximately $6.5 million or $0.14 per share.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188" w:lineRule="exact"/>
        <w:rPr>
          <w:sz w:val="20"/>
          <w:szCs w:val="20"/>
          <w:color w:val="auto"/>
        </w:rPr>
      </w:pPr>
    </w:p>
    <w:p>
      <w:pPr>
        <w:ind w:right="80" w:firstLine="374"/>
        <w:spacing w:after="0" w:line="291" w:lineRule="auto"/>
        <w:rPr>
          <w:sz w:val="20"/>
          <w:szCs w:val="20"/>
          <w:color w:val="auto"/>
        </w:rPr>
      </w:pPr>
      <w:r>
        <w:rPr>
          <w:rFonts w:ascii="Arial" w:cs="Arial" w:eastAsia="Arial" w:hAnsi="Arial"/>
          <w:sz w:val="16"/>
          <w:szCs w:val="16"/>
          <w:color w:val="auto"/>
        </w:rPr>
        <w:t>During the six months ended June 30, 2021, our total investments had net unrealized appreciation of approximately $8.2 million. Included in the net unrealized appreciation are unrealized appreciation on CLO Fund Securities of approximately $8.6 million, unrealized appreciation on equity securities of approximately $2.7 million, an unrealized appreciation of $0.6 million on our Joint Ventures investment, unrealized depreciation on our debt securities of $3.0 million, and unrealized depreciation of $0.7 million on our derivatives. During the six months ended June 30, 2020, our total investments had net unrealized depreciation of approximately $29.4 million. Included in the net unrealized depreciation are unrealized depreciation on CLO Fund Securities of approximately $14.6 million, unrealized appreciation on equity securities of approximately $74 thousand, an unrealized depreciation of $5.8 million on our Joint Ventures investment, unrealized depreciation on our debt securities of $8.5 million and unrealized depreciation of $0.5 million on our derivatives.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net increase in stockholders’ equity resulting from operations for the six months ended June 30, 2021 was $18.9 million, or $0.24 per basic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stockholders’ equity resulting from operations for the six months ended June 30, 2020 was $25.8 million, or $0.58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8"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June 30, 2021 and December 31, 2020 the fair value of investments and cash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Investments at 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December 31, 2020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65,655,197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Restricted Cash</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47,617,658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75,913,411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Loan</w:t>
            </w:r>
          </w:p>
        </w:tc>
        <w:tc>
          <w:tcPr>
            <w:tcW w:w="3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351,699,217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328,845,612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Junior Secured Loan</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67,905,491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75,807,477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3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CLO Fund Securities</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17,064,290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3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22,386,600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Joint Ventures</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61,069,876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49,349,163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3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(1,802,675)</w:t>
            </w:r>
          </w:p>
        </w:tc>
        <w:tc>
          <w:tcPr>
            <w:tcW w:w="1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(1,108,618)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631,638,499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569,532,250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0" w:type="dxa"/>
            <w:vAlign w:val="bottom"/>
            <w:vMerge w:val="restart"/>
          </w:tcPr>
          <w:p>
            <w:pPr>
              <w:jc w:val="right"/>
              <w:ind w:right="111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705" w:right="319" w:bottom="1440" w:gutter="0" w:footer="0" w:header="0"/>
        </w:sectPr>
      </w:pPr>
    </w:p>
    <w:bookmarkStart w:id="97" w:name="page98"/>
    <w:bookmarkEnd w:id="97"/>
    <w:p>
      <w:pPr>
        <w:ind w:right="120" w:firstLine="374"/>
        <w:spacing w:after="0" w:line="273"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June 30, 2021, we had approximately $370 million of par value of outstanding borrowings and our asset coverage ratio of total assets to total borrowings was 171%, compliant with the minimum asset coverage level of 150% generally required for a BDC by the 1940 Act. We may also borrow amounts of up to 5% of the value of our total assets for temporary purposes.</w:t>
      </w:r>
    </w:p>
    <w:p>
      <w:pPr>
        <w:spacing w:after="0" w:line="119"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 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Outstanding Notes</w:t>
      </w:r>
    </w:p>
    <w:p>
      <w:pPr>
        <w:spacing w:after="0" w:line="23" w:lineRule="exact"/>
        <w:rPr>
          <w:sz w:val="20"/>
          <w:szCs w:val="20"/>
          <w:color w:val="auto"/>
        </w:rPr>
      </w:pPr>
    </w:p>
    <w:p>
      <w:pPr>
        <w:ind w:right="160" w:firstLine="374"/>
        <w:spacing w:after="0" w:line="269" w:lineRule="auto"/>
        <w:rPr>
          <w:sz w:val="20"/>
          <w:szCs w:val="20"/>
          <w:color w:val="auto"/>
        </w:rPr>
      </w:pPr>
      <w:r>
        <w:rPr>
          <w:rFonts w:ascii="Arial" w:cs="Arial" w:eastAsia="Arial" w:hAnsi="Arial"/>
          <w:sz w:val="17"/>
          <w:szCs w:val="17"/>
          <w:color w:val="auto"/>
        </w:rPr>
        <w:t>On April 30, 2021, the Company issued $80,000,000 in aggregate principal amount of unsecured 4.875% Notes due 2026 (the “4.875% Notes due 2026”) in a private placement exempt from registration under the Section 4(a)(2) of the Securities Act. The 4.875% Notes due 2026 have not been registered under the Securities Act or any state securities laws and may not be reoffered or resold in the United States absent registration or an applicable exemption from such registration requirements. The net proceeds to the Company were approximately $77.7 million, after deducting estimated offering expenses. The Company used the net proceeds of the offering to redeem in full its 6.125% Notes due 2022, to make investments in portfolio companies in accordance with its investment objectives, and for general corporate purposes.</w:t>
      </w:r>
    </w:p>
    <w:p>
      <w:pPr>
        <w:spacing w:after="0" w:line="181"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185"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82" w:lineRule="exact"/>
        <w:rPr>
          <w:sz w:val="20"/>
          <w:szCs w:val="20"/>
          <w:color w:val="auto"/>
        </w:rPr>
      </w:pPr>
    </w:p>
    <w:p>
      <w:pPr>
        <w:jc w:val="both"/>
        <w:ind w:right="320" w:firstLine="374"/>
        <w:spacing w:after="0" w:line="287" w:lineRule="auto"/>
        <w:rPr>
          <w:sz w:val="20"/>
          <w:szCs w:val="20"/>
          <w:color w:val="auto"/>
        </w:rPr>
      </w:pPr>
      <w:r>
        <w:rPr>
          <w:rFonts w:ascii="Arial" w:cs="Arial" w:eastAsia="Arial" w:hAnsi="Arial"/>
          <w:sz w:val="16"/>
          <w:szCs w:val="16"/>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w:t>
      </w:r>
    </w:p>
    <w:p>
      <w:pPr>
        <w:spacing w:after="0" w:line="2"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color w:val="auto"/>
        </w:rPr>
        <w:t>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139" w:lineRule="exact"/>
        <w:rPr>
          <w:sz w:val="20"/>
          <w:szCs w:val="20"/>
          <w:color w:val="auto"/>
        </w:rPr>
      </w:pPr>
    </w:p>
    <w:p>
      <w:pPr>
        <w:jc w:val="both"/>
        <w:ind w:right="100" w:firstLine="374"/>
        <w:spacing w:after="0" w:line="263" w:lineRule="auto"/>
        <w:rPr>
          <w:sz w:val="20"/>
          <w:szCs w:val="20"/>
          <w:color w:val="auto"/>
        </w:rPr>
      </w:pPr>
      <w:r>
        <w:rPr>
          <w:rFonts w:ascii="Arial" w:cs="Arial" w:eastAsia="Arial" w:hAnsi="Arial"/>
          <w:sz w:val="18"/>
          <w:szCs w:val="18"/>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98" w:name="page99"/>
    <w:bookmarkEnd w:id="98"/>
    <w:p>
      <w:pPr>
        <w:ind w:left="380"/>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In connection with the offering of 4.875% Notes due 2026, the Company entered into a Registration Rights Agreement, dated as of April 30, 2021 (the “Registration Rights Agreement”), with the purchasers of the 4.875% Notes due 2026. Pursuant to the Registration Rights Agreement, the Company is obligated to file with the SEC a registration statement relating to an offer to exchange the 4.875% Notes due 2026 for new notes issued by the Company that are registered under the Securities Act and otherwise have terms substantially identical to those of the 4.875% Notes due 2026, and to use its commercially reasonable efforts to cause such registration statement to be declared effective. If the Company is not able to effect the exchange offer, the Company will be obligated to file a shelf registration statement covering the resale of the 4.875% Notes due 2026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4.875% Notes due 2026.</w:t>
      </w:r>
    </w:p>
    <w:p>
      <w:pPr>
        <w:spacing w:after="0" w:line="123" w:lineRule="exact"/>
        <w:rPr>
          <w:sz w:val="20"/>
          <w:szCs w:val="20"/>
          <w:color w:val="auto"/>
        </w:rPr>
      </w:pPr>
    </w:p>
    <w:p>
      <w:pPr>
        <w:ind w:firstLine="374"/>
        <w:spacing w:after="0" w:line="253" w:lineRule="auto"/>
        <w:rPr>
          <w:sz w:val="20"/>
          <w:szCs w:val="20"/>
          <w:color w:val="auto"/>
        </w:rPr>
      </w:pPr>
      <w:r>
        <w:rPr>
          <w:rFonts w:ascii="Arial" w:cs="Arial" w:eastAsia="Arial" w:hAnsi="Arial"/>
          <w:sz w:val="18"/>
          <w:szCs w:val="18"/>
          <w:color w:val="auto"/>
        </w:rPr>
        <w:t>June 23, 2021 the Company closed a private placement of $28.0 million in aggregate principal amount of 4.875% senior unsecured notes due 2026. These notes have identical terms to the Company’s $80.0 of aggregate principal amount of 4.875% Notes due 2026 that were issued on April 30, 2021 (collectively, the 4.875% Notes due 2026). The net proceeds to the Company were approximately $27.4 million, after deducting payment of fees and estimated offering expenses. The Notes bear an interest rate of 4.875% per year, payable semiannually and will mature on April 30, 2026 and may be repaid in whole or in part, at Portman Ridge’s option, at any time or from time to time at par plus a “make-whole” premium, if applicable. The Company intends to use the net proceeds of the private placement to redeem in full its 6.125% Senior Unsecured Notes due September 2022 assumed in connection with the recent merger with HCAP (the “HCAP Notes”), make investments in portfolio companies in accordance with its investment objectives, and for general corporate purposes.</w:t>
      </w:r>
    </w:p>
    <w:p>
      <w:pPr>
        <w:spacing w:after="0" w:line="169"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During the third quarter of 2017, we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The indenture governing the 6.125% Notes Due 2022 contains certain restrictive covenants, including compliance with certain provisions of the 1940 Act relating to borrowing and dividends.</w:t>
      </w:r>
    </w:p>
    <w:p>
      <w:pPr>
        <w:spacing w:after="0" w:line="119"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During the three months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 On April 30, 2021, Company notified the trustee for the Company’s 6.125% Notes due 2022 of the Company’s election to redeem the $77.4 million aggregate principal amount of the 6.125% Notes due 2022 outstanding and instructed the trustee to provide notice of such redemption to the holders of the 6.125% Notes due 2022 in accordance with the terms of the indenture governing the 6.125% Notes due 2022. The redemption was completed on May 30, 2021. Following the redemption, none of the 6.125% Notes due 2022 remain outstanding, and they were delisted from the NASDAQ Global Select Market.</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HCAP Notes</w:t>
      </w:r>
    </w:p>
    <w:p>
      <w:pPr>
        <w:spacing w:after="0" w:line="198" w:lineRule="exact"/>
        <w:rPr>
          <w:sz w:val="20"/>
          <w:szCs w:val="20"/>
          <w:color w:val="auto"/>
        </w:rPr>
      </w:pPr>
    </w:p>
    <w:p>
      <w:pPr>
        <w:ind w:right="440" w:firstLine="374"/>
        <w:spacing w:after="0" w:line="277" w:lineRule="auto"/>
        <w:rPr>
          <w:sz w:val="20"/>
          <w:szCs w:val="20"/>
          <w:color w:val="auto"/>
        </w:rPr>
      </w:pPr>
      <w:r>
        <w:rPr>
          <w:rFonts w:ascii="Arial" w:cs="Arial" w:eastAsia="Arial" w:hAnsi="Arial"/>
          <w:sz w:val="18"/>
          <w:szCs w:val="18"/>
          <w:color w:val="auto"/>
        </w:rPr>
        <w:t>In connection with the HCAP Acquisition, the Company assumed $28.75 million of HCAP Notes. These notes were redeemed in full on July 23, 2021.</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paid a fee on any undrawn amounts of 0.375% per annum; provided that if 50% or less of the Prior Revolving Credit Facility was drawn, the fee would be 0.50% per annum.</w:t>
      </w:r>
    </w:p>
    <w:p>
      <w:pPr>
        <w:spacing w:after="0" w:line="55"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3" w:lineRule="exact"/>
        <w:rPr>
          <w:sz w:val="20"/>
          <w:szCs w:val="20"/>
          <w:color w:val="auto"/>
        </w:rPr>
      </w:pPr>
    </w:p>
    <w:p>
      <w:pPr>
        <w:ind w:right="60" w:firstLine="374"/>
        <w:spacing w:after="0" w:line="256"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3" w:lineRule="exact"/>
        <w:rPr>
          <w:sz w:val="20"/>
          <w:szCs w:val="20"/>
          <w:color w:val="auto"/>
        </w:rPr>
      </w:pPr>
    </w:p>
    <w:p>
      <w:pPr>
        <w:ind w:right="320" w:firstLine="374"/>
        <w:spacing w:after="0" w:line="286"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56" w:lineRule="exact"/>
        <w:rPr>
          <w:sz w:val="20"/>
          <w:szCs w:val="20"/>
          <w:color w:val="auto"/>
        </w:rPr>
      </w:pPr>
    </w:p>
    <w:p>
      <w:pPr>
        <w:ind w:right="100" w:firstLine="374"/>
        <w:spacing w:after="0" w:line="275" w:lineRule="auto"/>
        <w:rPr>
          <w:sz w:val="20"/>
          <w:szCs w:val="20"/>
          <w:color w:val="auto"/>
        </w:rPr>
      </w:pPr>
      <w:r>
        <w:rPr>
          <w:rFonts w:ascii="Arial" w:cs="Arial" w:eastAsia="Arial" w:hAnsi="Arial"/>
          <w:sz w:val="17"/>
          <w:szCs w:val="17"/>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67"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77"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At June 30, 2021, GLPRF LLC was in compliance with all of its debt covenants and $69.1 million principal amount of borrowings was outstanding under the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2018-2 Secured Notes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Stated</w:t>
            </w:r>
          </w:p>
        </w:tc>
        <w:tc>
          <w:tcPr>
            <w:tcW w:w="0" w:type="dxa"/>
            <w:vAlign w:val="bottom"/>
          </w:tcPr>
          <w:p>
            <w:pPr>
              <w:spacing w:after="0"/>
              <w:rPr>
                <w:sz w:val="1"/>
                <w:szCs w:val="1"/>
                <w:color w:val="auto"/>
              </w:rPr>
            </w:pP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2720" w:type="dxa"/>
            <w:vAlign w:val="bottom"/>
            <w:gridSpan w:val="4"/>
          </w:tcPr>
          <w:p>
            <w:pPr>
              <w:ind w:left="1100"/>
              <w:spacing w:after="0"/>
              <w:rPr>
                <w:sz w:val="20"/>
                <w:szCs w:val="20"/>
                <w:color w:val="auto"/>
              </w:rPr>
            </w:pPr>
            <w:r>
              <w:rPr>
                <w:rFonts w:ascii="Arial" w:cs="Arial" w:eastAsia="Arial" w:hAnsi="Arial"/>
                <w:sz w:val="18"/>
                <w:szCs w:val="18"/>
                <w:b w:val="1"/>
                <w:bCs w:val="1"/>
                <w:color w:val="auto"/>
              </w:rPr>
              <w:t>Carrying Value</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Principal at Par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8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Rating</w:t>
            </w:r>
            <w:r>
              <w:rPr>
                <w:rFonts w:ascii="Arial" w:cs="Arial" w:eastAsia="Arial" w:hAnsi="Arial"/>
                <w:sz w:val="15"/>
                <w:szCs w:val="15"/>
                <w:color w:val="auto"/>
                <w:w w:val="94"/>
              </w:rPr>
              <w:t>(1)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r>
              <w:rPr>
                <w:rFonts w:ascii="Arial" w:cs="Arial" w:eastAsia="Arial" w:hAnsi="Arial"/>
                <w:sz w:val="15"/>
                <w:szCs w:val="15"/>
                <w:b w:val="1"/>
                <w:bCs w:val="1"/>
                <w:color w:val="auto"/>
                <w:w w:val="99"/>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2018-2 Secured Notes:</w:t>
            </w: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LIBOR + 1.58%</w:t>
            </w:r>
          </w:p>
        </w:tc>
        <w:tc>
          <w:tcPr>
            <w:tcW w:w="1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vMerge w:val="restart"/>
          </w:tcPr>
          <w:p>
            <w:pPr>
              <w:ind w:left="240"/>
              <w:spacing w:after="0"/>
              <w:rPr>
                <w:sz w:val="20"/>
                <w:szCs w:val="20"/>
                <w:color w:val="auto"/>
              </w:rPr>
            </w:pPr>
            <w:r>
              <w:rPr>
                <w:rFonts w:ascii="Arial" w:cs="Arial" w:eastAsia="Arial" w:hAnsi="Arial"/>
                <w:sz w:val="18"/>
                <w:szCs w:val="18"/>
                <w:color w:val="auto"/>
              </w:rPr>
              <w:t>Class A-1R-R Notes</w:t>
            </w:r>
          </w:p>
        </w:tc>
        <w:tc>
          <w:tcPr>
            <w:tcW w:w="124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rPr>
              <w:t>AAA(sf)</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Class A-1T-R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89,587,410</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90,512,698</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+ 1.58%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AAA(sf)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ind w:left="240"/>
              <w:spacing w:after="0"/>
              <w:rPr>
                <w:sz w:val="20"/>
                <w:szCs w:val="20"/>
                <w:color w:val="auto"/>
              </w:rPr>
            </w:pPr>
            <w:r>
              <w:rPr>
                <w:rFonts w:ascii="Arial" w:cs="Arial" w:eastAsia="Arial" w:hAnsi="Arial"/>
                <w:sz w:val="18"/>
                <w:szCs w:val="18"/>
                <w:color w:val="auto"/>
              </w:rPr>
              <w:t>Class A-2-R Notes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54,681,332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55,100,000</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LIBOR + 2.45%</w:t>
            </w:r>
          </w:p>
        </w:tc>
        <w:tc>
          <w:tcPr>
            <w:tcW w:w="18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AA (sf)</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Class B-R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18,102,679</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18,250,000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LIBOR + 3.17%</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A (sf)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162,371,420</w:t>
            </w:r>
          </w:p>
        </w:tc>
        <w:tc>
          <w:tcPr>
            <w:tcW w:w="4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163,862,698</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80" w:right="340" w:hanging="372"/>
        <w:spacing w:after="0" w:line="189" w:lineRule="auto"/>
        <w:tabs>
          <w:tab w:leader="none" w:pos="380" w:val="left"/>
        </w:tabs>
        <w:numPr>
          <w:ilvl w:val="0"/>
          <w:numId w:val="92"/>
        </w:numPr>
        <w:rPr>
          <w:rFonts w:ascii="Arial" w:cs="Arial" w:eastAsia="Arial" w:hAnsi="Arial"/>
          <w:sz w:val="29"/>
          <w:szCs w:val="29"/>
          <w:color w:val="auto"/>
          <w:vertAlign w:val="superscript"/>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ind w:left="380" w:right="520" w:hanging="372"/>
        <w:spacing w:after="0" w:line="187" w:lineRule="auto"/>
        <w:tabs>
          <w:tab w:leader="none" w:pos="380" w:val="left"/>
        </w:tabs>
        <w:numPr>
          <w:ilvl w:val="0"/>
          <w:numId w:val="92"/>
        </w:numPr>
        <w:rPr>
          <w:rFonts w:ascii="Arial" w:cs="Arial" w:eastAsia="Arial" w:hAnsi="Arial"/>
          <w:sz w:val="29"/>
          <w:szCs w:val="29"/>
          <w:color w:val="auto"/>
          <w:vertAlign w:val="superscript"/>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spacing w:after="0" w:line="1" w:lineRule="exact"/>
        <w:rPr>
          <w:rFonts w:ascii="Arial" w:cs="Arial" w:eastAsia="Arial" w:hAnsi="Arial"/>
          <w:sz w:val="29"/>
          <w:szCs w:val="29"/>
          <w:color w:val="auto"/>
          <w:vertAlign w:val="superscript"/>
        </w:rPr>
      </w:pPr>
    </w:p>
    <w:p>
      <w:pPr>
        <w:ind w:left="380" w:hanging="372"/>
        <w:spacing w:after="0" w:line="183" w:lineRule="auto"/>
        <w:tabs>
          <w:tab w:leader="none" w:pos="380" w:val="left"/>
        </w:tabs>
        <w:numPr>
          <w:ilvl w:val="0"/>
          <w:numId w:val="92"/>
        </w:numPr>
        <w:rPr>
          <w:rFonts w:ascii="Arial" w:cs="Arial" w:eastAsia="Arial" w:hAnsi="Arial"/>
          <w:sz w:val="23"/>
          <w:szCs w:val="23"/>
          <w:color w:val="auto"/>
          <w:vertAlign w:val="superscript"/>
        </w:rPr>
      </w:pPr>
      <w:r>
        <w:rPr>
          <w:rFonts w:ascii="Arial" w:cs="Arial" w:eastAsia="Arial" w:hAnsi="Arial"/>
          <w:sz w:val="13"/>
          <w:szCs w:val="13"/>
          <w:color w:val="auto"/>
        </w:rPr>
        <w:t>Interest may be indexed to either the CP Rate (as defined in the governing indenture) or three-month USD LIBOR.</w:t>
      </w:r>
    </w:p>
    <w:p>
      <w:pPr>
        <w:spacing w:after="0" w:line="116" w:lineRule="exact"/>
        <w:rPr>
          <w:sz w:val="20"/>
          <w:szCs w:val="20"/>
          <w:color w:val="auto"/>
        </w:rPr>
      </w:pPr>
    </w:p>
    <w:p>
      <w:pPr>
        <w:ind w:right="160" w:firstLine="374"/>
        <w:spacing w:after="0" w:line="252"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93" w:lineRule="exact"/>
        <w:rPr>
          <w:sz w:val="20"/>
          <w:szCs w:val="20"/>
          <w:color w:val="auto"/>
        </w:rPr>
      </w:pPr>
    </w:p>
    <w:p>
      <w:pPr>
        <w:ind w:right="140" w:firstLine="374"/>
        <w:spacing w:after="0" w:line="256" w:lineRule="auto"/>
        <w:rPr>
          <w:sz w:val="20"/>
          <w:szCs w:val="20"/>
          <w:color w:val="auto"/>
        </w:rPr>
      </w:pPr>
      <w:r>
        <w:rPr>
          <w:rFonts w:ascii="Arial" w:cs="Arial" w:eastAsia="Arial" w:hAnsi="Arial"/>
          <w:sz w:val="18"/>
          <w:szCs w:val="18"/>
          <w:color w:val="auto"/>
        </w:rPr>
        <w:t>The CLO was executed by GF CLO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spacing w:after="0" w:line="269" w:lineRule="auto"/>
        <w:rPr>
          <w:sz w:val="20"/>
          <w:szCs w:val="20"/>
          <w:color w:val="auto"/>
        </w:rPr>
      </w:pPr>
      <w:r>
        <w:rPr>
          <w:rFonts w:ascii="Arial" w:cs="Arial" w:eastAsia="Arial" w:hAnsi="Arial"/>
          <w:sz w:val="17"/>
          <w:szCs w:val="17"/>
          <w:color w:val="auto"/>
        </w:rPr>
        <w:t>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79"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auto"/>
        </w:rPr>
        <w:t>During the first quarter of 2021, the Company redeemed approximately $88 million of the 2018-2 Secured Notes. In connection therewith, the Company recognized a realized loss on extinguishment of debt of approximately $0.9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2"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29" w:lineRule="exact"/>
        <w:rPr>
          <w:sz w:val="20"/>
          <w:szCs w:val="20"/>
          <w:color w:val="auto"/>
        </w:rPr>
      </w:pPr>
    </w:p>
    <w:p>
      <w:pPr>
        <w:ind w:left="740" w:hanging="368"/>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11"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29"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29"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42"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2" w:lineRule="exact"/>
        <w:rPr>
          <w:sz w:val="20"/>
          <w:szCs w:val="20"/>
          <w:color w:val="auto"/>
        </w:rPr>
      </w:pPr>
    </w:p>
    <w:p>
      <w:pPr>
        <w:ind w:right="480" w:firstLine="374"/>
        <w:spacing w:after="0" w:line="307" w:lineRule="auto"/>
        <w:rPr>
          <w:sz w:val="20"/>
          <w:szCs w:val="20"/>
          <w:color w:val="auto"/>
        </w:rPr>
      </w:pPr>
      <w:r>
        <w:rPr>
          <w:rFonts w:ascii="Arial" w:cs="Arial" w:eastAsia="Arial" w:hAnsi="Arial"/>
          <w:sz w:val="17"/>
          <w:szCs w:val="17"/>
          <w:color w:val="auto"/>
        </w:rPr>
        <w:t>On August 4, 2021, our Board declared a cash distribution of $0.06 per share of common stock, consistent with the current dividend policy. The distribution is payable on August 31, 2021 to shareholders of record at the close of business as of August 17, 2021.</w:t>
      </w:r>
    </w:p>
    <w:p>
      <w:pPr>
        <w:spacing w:after="0" w:line="39"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We are also prohibited by the 1940 Act and the indenture governing our 4.875% Notes due 2026 from declaring dividends (except a dividend payable in our stock) or making distributions on our common stock, or purchasing any such stock, if, at the time of declaration or at the time of any such purchase, our asset coverage, as defined in the 1940 Act, is below the threshold specified in Section 18(a)(1)(B) as modified by Section 61(a)(2) of the 1940 Act or any successor provisions thereto of the 1940 Act, 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1" w:name="page102"/>
    <w:bookmarkEnd w:id="101"/>
    <w:p>
      <w:pPr>
        <w:ind w:right="40"/>
        <w:spacing w:after="0" w:line="296" w:lineRule="auto"/>
        <w:rPr>
          <w:sz w:val="20"/>
          <w:szCs w:val="20"/>
          <w:color w:val="auto"/>
        </w:rPr>
      </w:pPr>
      <w:r>
        <w:rPr>
          <w:rFonts w:ascii="Arial" w:cs="Arial" w:eastAsia="Arial" w:hAnsi="Arial"/>
          <w:sz w:val="16"/>
          <w:szCs w:val="16"/>
          <w:color w:val="auto"/>
        </w:rPr>
        <w:t>deducting the amount of such dividend, distribution or purchase price, as the case may be, and giving effect, in each case (i) to any exemptive relief granted to us by the SEC and (ii) to any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Declaration</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40" w:type="dxa"/>
            <w:vAlign w:val="bottom"/>
          </w:tcPr>
          <w:p>
            <w:pPr>
              <w:spacing w:after="0"/>
              <w:rPr>
                <w:sz w:val="20"/>
                <w:szCs w:val="20"/>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6/1/2021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2/12/2021</w:t>
            </w:r>
          </w:p>
        </w:tc>
        <w:tc>
          <w:tcPr>
            <w:tcW w:w="14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2/22/2021</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3/2/2021</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2021</w:t>
            </w:r>
          </w:p>
        </w:tc>
        <w:tc>
          <w:tcPr>
            <w:tcW w:w="2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8/28/2020</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2/5/2020</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20" w:type="dxa"/>
            <w:vAlign w:val="bottom"/>
            <w:tcBorders>
              <w:bottom w:val="single" w:sz="8" w:color="CFF0FC"/>
            </w:tcBorders>
            <w:gridSpan w:val="3"/>
          </w:tcPr>
          <w:p>
            <w:pPr>
              <w:ind w:left="660"/>
              <w:spacing w:after="0"/>
              <w:rPr>
                <w:sz w:val="20"/>
                <w:szCs w:val="20"/>
                <w:color w:val="auto"/>
              </w:rPr>
            </w:pPr>
            <w:r>
              <w:rPr>
                <w:rFonts w:ascii="Arial" w:cs="Arial" w:eastAsia="Arial" w:hAnsi="Arial"/>
                <w:sz w:val="18"/>
                <w:szCs w:val="18"/>
                <w:color w:val="auto"/>
                <w:w w:val="95"/>
              </w:rPr>
              <w:t>12/12/2018</w:t>
            </w:r>
            <w:r>
              <w:rPr>
                <w:rFonts w:ascii="Arial" w:cs="Arial" w:eastAsia="Arial" w:hAnsi="Arial"/>
                <w:sz w:val="15"/>
                <w:szCs w:val="15"/>
                <w:color w:val="auto"/>
                <w:w w:val="95"/>
              </w:rPr>
              <w:t>1</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740" w:hanging="368"/>
        <w:spacing w:after="0"/>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100" w:firstLine="374"/>
        <w:spacing w:after="0" w:line="288" w:lineRule="auto"/>
        <w:rPr>
          <w:sz w:val="20"/>
          <w:szCs w:val="20"/>
          <w:color w:val="auto"/>
        </w:rPr>
      </w:pPr>
      <w:r>
        <w:rPr>
          <w:rFonts w:ascii="Arial" w:cs="Arial" w:eastAsia="Arial" w:hAnsi="Arial"/>
          <w:sz w:val="16"/>
          <w:szCs w:val="16"/>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4.875% Notes Due 2026. The timing and actual number of shares repurchased will depend on a variety of factors, including legal requirements, price, and economic and market conditions. This Stock Repurchase Program may be suspended or discontinued at any time. On March 11, 2021, the Board of Directors of the Company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170" w:lineRule="exact"/>
        <w:rPr>
          <w:sz w:val="20"/>
          <w:szCs w:val="20"/>
          <w:color w:val="auto"/>
        </w:rPr>
      </w:pPr>
    </w:p>
    <w:p>
      <w:pPr>
        <w:ind w:right="160" w:firstLine="374"/>
        <w:spacing w:after="0" w:line="279" w:lineRule="auto"/>
        <w:rPr>
          <w:sz w:val="20"/>
          <w:szCs w:val="20"/>
          <w:color w:val="auto"/>
        </w:rPr>
      </w:pPr>
      <w:r>
        <w:rPr>
          <w:rFonts w:ascii="Arial" w:cs="Arial" w:eastAsia="Arial" w:hAnsi="Arial"/>
          <w:sz w:val="17"/>
          <w:szCs w:val="17"/>
          <w:color w:val="auto"/>
        </w:rPr>
        <w:t>During the three months ended June 30, 2021, the Company repurchased 157,182 shares under the Renewed Stock Repurchase Program at an aggregate cost of approximately $380 thousand. There were no share repurchases during the first quarter of 2021. During the three months ended June 30, 2020, the Company repurchased 253,896 shares at an aggregate cost of $284 thousand. During the six months ended June 30, 2020, the Company repurchased 375,444 of shares under the Stock Repurchase Program at an aggregate cost of approximately $407 thousand.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374"/>
        <w:spacing w:after="0" w:line="256" w:lineRule="auto"/>
        <w:rPr>
          <w:sz w:val="20"/>
          <w:szCs w:val="20"/>
          <w:color w:val="auto"/>
        </w:rPr>
      </w:pPr>
      <w:r>
        <w:rPr>
          <w:rFonts w:ascii="Arial" w:cs="Arial" w:eastAsia="Arial" w:hAnsi="Arial"/>
          <w:sz w:val="18"/>
          <w:szCs w:val="18"/>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June 30, 2021 and December 31, 2020, we had approximately $36.5 million and $32.9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ind w:right="400"/>
        <w:spacing w:after="0" w:line="277" w:lineRule="auto"/>
        <w:rPr>
          <w:sz w:val="20"/>
          <w:szCs w:val="20"/>
          <w:color w:val="auto"/>
        </w:rPr>
      </w:pPr>
      <w:r>
        <w:rPr>
          <w:rFonts w:ascii="Arial" w:cs="Arial" w:eastAsia="Arial" w:hAnsi="Arial"/>
          <w:sz w:val="18"/>
          <w:szCs w:val="18"/>
          <w:color w:val="auto"/>
        </w:rPr>
        <w:t>commitments to fund investments, respectively. We may also enter into derivative contracts with off-balance sheet risk in connection with its investing activities.</w:t>
      </w:r>
    </w:p>
    <w:p>
      <w:pPr>
        <w:spacing w:after="0" w:line="6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We have made an aggregate commitment to the BCP Great Lakes Partnership of $50 million, subject to certain limitations (including that we are not obligated to fund capital calls if such funding would cause us to be out of compliance with certain provisions of the 1940 Act). As of June 30, 2021 and December 31, 2020, we had a $11.4 million and $20.0 million, respectively unfunded commitment to the BCP Great Lakes Partnership, subject to the limitations noted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89"/>
              </w:rPr>
              <w:t>Payments Due by Period</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40"/>
              <w:spacing w:after="0" w:line="204" w:lineRule="exact"/>
              <w:rPr>
                <w:sz w:val="20"/>
                <w:szCs w:val="20"/>
                <w:color w:val="auto"/>
              </w:rPr>
            </w:pPr>
            <w:r>
              <w:rPr>
                <w:rFonts w:ascii="Arial" w:cs="Arial" w:eastAsia="Arial" w:hAnsi="Arial"/>
                <w:sz w:val="18"/>
                <w:szCs w:val="18"/>
                <w:b w:val="1"/>
                <w:bCs w:val="1"/>
                <w:color w:val="auto"/>
                <w:w w:val="85"/>
              </w:rPr>
              <w:t>Less than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 xml:space="preserve">one year </w:t>
            </w:r>
            <w:r>
              <w:rPr>
                <w:rFonts w:ascii="Arial" w:cs="Arial" w:eastAsia="Arial" w:hAnsi="Arial"/>
                <w:sz w:val="15"/>
                <w:szCs w:val="15"/>
                <w:b w:val="1"/>
                <w:bCs w:val="1"/>
                <w:color w:val="auto"/>
                <w:w w:val="90"/>
              </w:rPr>
              <w:t>(1)</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2 - 3 years</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4 - 5 years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$ 369,683,596</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$ 28,750,000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$ 69,070,898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$ 108,000,000</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$ 163,862,698</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6" w:lineRule="exact"/>
        <w:rPr>
          <w:sz w:val="20"/>
          <w:szCs w:val="20"/>
          <w:color w:val="auto"/>
        </w:rPr>
      </w:pPr>
    </w:p>
    <w:p>
      <w:pPr>
        <w:ind w:left="380" w:right="160" w:hanging="372"/>
        <w:spacing w:after="0" w:line="189" w:lineRule="auto"/>
        <w:tabs>
          <w:tab w:leader="none" w:pos="380" w:val="left"/>
        </w:tabs>
        <w:numPr>
          <w:ilvl w:val="0"/>
          <w:numId w:val="95"/>
        </w:numPr>
        <w:rPr>
          <w:rFonts w:ascii="Arial" w:cs="Arial" w:eastAsia="Arial" w:hAnsi="Arial"/>
          <w:sz w:val="29"/>
          <w:szCs w:val="29"/>
          <w:color w:val="auto"/>
          <w:vertAlign w:val="superscript"/>
        </w:rPr>
      </w:pPr>
      <w:r>
        <w:rPr>
          <w:rFonts w:ascii="Arial" w:cs="Arial" w:eastAsia="Arial" w:hAnsi="Arial"/>
          <w:sz w:val="16"/>
          <w:szCs w:val="16"/>
          <w:color w:val="auto"/>
        </w:rPr>
        <w:t>On June 24, 2021, the Company notified the trustee for the Company’s HCAP Notes of the Company’s election to redeem the approximately $28.8 million aggregate principal amount of the HCAP Notes. The redemption occurred on July 23,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8"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r>
        <w:rPr>
          <w:rFonts w:ascii="Arial" w:cs="Arial" w:eastAsia="Arial" w:hAnsi="Arial"/>
          <w:sz w:val="17"/>
          <w:szCs w:val="17"/>
          <w:i w:val="1"/>
          <w:iCs w:val="1"/>
          <w:color w:val="auto"/>
        </w:rPr>
        <w:t>.</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98" w:lineRule="exact"/>
        <w:rPr>
          <w:sz w:val="20"/>
          <w:szCs w:val="20"/>
          <w:color w:val="auto"/>
        </w:rPr>
      </w:pPr>
    </w:p>
    <w:p>
      <w:pPr>
        <w:ind w:right="540" w:firstLine="37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29"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50"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58"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29"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ind w:right="100" w:firstLine="8"/>
        <w:spacing w:after="0" w:line="277" w:lineRule="auto"/>
        <w:tabs>
          <w:tab w:leader="none" w:pos="3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Fair Value, the FASB has issued various staff positions clarifying the initial standard (see Note 2 to the consolidated financial statements: “Significant Accounting Policies — Investments”).</w:t>
      </w:r>
    </w:p>
    <w:p>
      <w:pPr>
        <w:spacing w:after="0" w:line="142"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29" w:lineRule="exact"/>
        <w:rPr>
          <w:sz w:val="20"/>
          <w:szCs w:val="20"/>
          <w:color w:val="auto"/>
        </w:rPr>
      </w:pPr>
    </w:p>
    <w:p>
      <w:pPr>
        <w:ind w:left="740" w:right="220" w:hanging="368"/>
        <w:spacing w:after="0" w:line="311" w:lineRule="auto"/>
        <w:tabs>
          <w:tab w:leader="none" w:pos="7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107" w:lineRule="exact"/>
        <w:rPr>
          <w:rFonts w:ascii="Arial" w:cs="Arial" w:eastAsia="Arial" w:hAnsi="Arial"/>
          <w:sz w:val="16"/>
          <w:szCs w:val="16"/>
          <w:color w:val="auto"/>
        </w:rPr>
      </w:pPr>
    </w:p>
    <w:p>
      <w:pPr>
        <w:ind w:left="740" w:right="80" w:hanging="368"/>
        <w:spacing w:after="0" w:line="296" w:lineRule="auto"/>
        <w:tabs>
          <w:tab w:leader="none" w:pos="7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19" w:lineRule="exact"/>
        <w:rPr>
          <w:rFonts w:ascii="Arial" w:cs="Arial" w:eastAsia="Arial" w:hAnsi="Arial"/>
          <w:sz w:val="16"/>
          <w:szCs w:val="16"/>
          <w:color w:val="auto"/>
        </w:rPr>
      </w:pPr>
    </w:p>
    <w:p>
      <w:pPr>
        <w:ind w:left="740" w:hanging="368"/>
        <w:spacing w:after="0" w:line="293" w:lineRule="auto"/>
        <w:tabs>
          <w:tab w:leader="none" w:pos="7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22" w:lineRule="exact"/>
        <w:rPr>
          <w:sz w:val="20"/>
          <w:szCs w:val="20"/>
          <w:color w:val="auto"/>
        </w:rPr>
      </w:pPr>
    </w:p>
    <w:p>
      <w:pPr>
        <w:ind w:right="6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38" w:lineRule="exact"/>
        <w:rPr>
          <w:sz w:val="20"/>
          <w:szCs w:val="20"/>
          <w:color w:val="auto"/>
        </w:rPr>
      </w:pPr>
    </w:p>
    <w:p>
      <w:pPr>
        <w:ind w:right="360" w:firstLine="374"/>
        <w:spacing w:after="0" w:line="311"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21"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28"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4" w:name="page105"/>
    <w:bookmarkEnd w:id="104"/>
    <w:p>
      <w:pPr>
        <w:ind w:right="120"/>
        <w:spacing w:after="0" w:line="277" w:lineRule="auto"/>
        <w:rPr>
          <w:sz w:val="20"/>
          <w:szCs w:val="20"/>
          <w:color w:val="auto"/>
        </w:rPr>
      </w:pPr>
      <w:r>
        <w:rPr>
          <w:rFonts w:ascii="Arial" w:cs="Arial" w:eastAsia="Arial" w:hAnsi="Arial"/>
          <w:sz w:val="18"/>
          <w:szCs w:val="18"/>
          <w:color w:val="auto"/>
        </w:rPr>
        <w:t>under management. The Asset Manager Affiliates are classified as a Level III investment (as described above). Any change in value from period to period is recognized as net change in unrealized appreciation or depreciation.</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184"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38"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48"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2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Board may consider other methods of valuation to determine the fair value of investments as appropriate in conformity with GAAP.</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4"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Interest income, including amortization of premium and accretion of discount and accrual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2021, eight of our investments were on non-accrual status.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198"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0" w:right="359" w:bottom="1440" w:gutter="0" w:footer="0" w:header="0"/>
        </w:sectPr>
      </w:pPr>
    </w:p>
    <w:bookmarkStart w:id="105" w:name="page106"/>
    <w:bookmarkEnd w:id="105"/>
    <w:p>
      <w:pPr>
        <w:ind w:right="40" w:firstLine="374"/>
        <w:spacing w:after="0" w:line="270"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 For U.S. tax purposes, these CLO equity investments are treated as PFICs. Taxable income is provided on a PFIC statement, where income and capital gains are determined based on the U.S. shareholder's proportionate ownership of the PFIC.</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184"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Fee Income</w:t>
      </w:r>
    </w:p>
    <w:p>
      <w:pPr>
        <w:spacing w:after="0" w:line="184"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198" w:lineRule="exact"/>
        <w:rPr>
          <w:sz w:val="20"/>
          <w:szCs w:val="20"/>
          <w:color w:val="auto"/>
        </w:rPr>
      </w:pPr>
    </w:p>
    <w:p>
      <w:pPr>
        <w:ind w:right="140" w:firstLine="374"/>
        <w:spacing w:after="0" w:line="296" w:lineRule="auto"/>
        <w:rPr>
          <w:sz w:val="20"/>
          <w:szCs w:val="20"/>
          <w:color w:val="auto"/>
        </w:rPr>
      </w:pPr>
      <w:r>
        <w:rPr>
          <w:rFonts w:ascii="Arial" w:cs="Arial" w:eastAsia="Arial" w:hAnsi="Arial"/>
          <w:sz w:val="16"/>
          <w:szCs w:val="16"/>
          <w:color w:val="auto"/>
        </w:rPr>
        <w:t>As a result of the Closing we will no longer issue stock options or restricted stock under the Company’s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Non-Employee Director Plan that was outstanding immediately prior to the Externalization (each, a “Company Stock Option”) was cancelled in exchange for the payment in cash to the holder thereof.</w:t>
      </w:r>
    </w:p>
    <w:p>
      <w:pPr>
        <w:spacing w:after="0" w:line="119"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made to stockholders in connection with the Externalization.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198" w:lineRule="exact"/>
        <w:rPr>
          <w:sz w:val="20"/>
          <w:szCs w:val="20"/>
          <w:color w:val="auto"/>
        </w:rPr>
      </w:pPr>
    </w:p>
    <w:p>
      <w:pPr>
        <w:ind w:firstLine="374"/>
        <w:spacing w:after="0" w:line="256"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intends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184" w:lineRule="exact"/>
        <w:rPr>
          <w:sz w:val="20"/>
          <w:szCs w:val="20"/>
          <w:color w:val="auto"/>
        </w:rPr>
      </w:pPr>
    </w:p>
    <w:p>
      <w:pPr>
        <w:ind w:right="54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169"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On August 4, 2021, our Board declared a cash distribution of $0.06 per share of common stock. The distribution is payable on August 31, 2021 to stockholders of record at the close of business as of August 17, 2021.</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106" w:name="page107"/>
    <w:bookmarkEnd w:id="106"/>
    <w:p>
      <w:pPr>
        <w:ind w:left="380"/>
        <w:spacing w:after="0"/>
        <w:rPr>
          <w:sz w:val="20"/>
          <w:szCs w:val="20"/>
          <w:color w:val="auto"/>
        </w:rPr>
      </w:pPr>
      <w:r>
        <w:rPr>
          <w:rFonts w:ascii="Arial" w:cs="Arial" w:eastAsia="Arial" w:hAnsi="Arial"/>
          <w:sz w:val="18"/>
          <w:szCs w:val="18"/>
          <w:color w:val="auto"/>
        </w:rPr>
        <w:t>The following table sets forth the quarterly distributions paid by us for the 2021, 2020 and 2019 calendar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Declaration</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40" w:type="dxa"/>
            <w:vAlign w:val="bottom"/>
          </w:tcPr>
          <w:p>
            <w:pPr>
              <w:spacing w:after="0"/>
              <w:rPr>
                <w:sz w:val="20"/>
                <w:szCs w:val="20"/>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b w:val="1"/>
                <w:bCs w:val="1"/>
                <w:color w:val="auto"/>
              </w:rPr>
              <w:t>Date</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2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6/1/2021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2/12/2021</w:t>
            </w:r>
          </w:p>
        </w:tc>
        <w:tc>
          <w:tcPr>
            <w:tcW w:w="14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2/22/2021</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3/2/2021</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2021</w:t>
            </w:r>
          </w:p>
        </w:tc>
        <w:tc>
          <w:tcPr>
            <w:tcW w:w="2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8/28/2020</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3/17/2020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2/5/2020</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8/5/2019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3/20/2019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20" w:type="dxa"/>
            <w:vAlign w:val="bottom"/>
            <w:tcBorders>
              <w:bottom w:val="single" w:sz="8" w:color="CFF0FC"/>
            </w:tcBorders>
            <w:gridSpan w:val="3"/>
          </w:tcPr>
          <w:p>
            <w:pPr>
              <w:ind w:left="660"/>
              <w:spacing w:after="0"/>
              <w:rPr>
                <w:sz w:val="20"/>
                <w:szCs w:val="20"/>
                <w:color w:val="auto"/>
              </w:rPr>
            </w:pPr>
            <w:r>
              <w:rPr>
                <w:rFonts w:ascii="Arial" w:cs="Arial" w:eastAsia="Arial" w:hAnsi="Arial"/>
                <w:sz w:val="18"/>
                <w:szCs w:val="18"/>
                <w:color w:val="auto"/>
                <w:w w:val="95"/>
              </w:rPr>
              <w:t>12/12/2018</w:t>
            </w:r>
            <w:r>
              <w:rPr>
                <w:rFonts w:ascii="Arial" w:cs="Arial" w:eastAsia="Arial" w:hAnsi="Arial"/>
                <w:sz w:val="15"/>
                <w:szCs w:val="15"/>
                <w:color w:val="auto"/>
                <w:w w:val="95"/>
              </w:rPr>
              <w:t>1</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740" w:hanging="368"/>
        <w:spacing w:after="0"/>
        <w:tabs>
          <w:tab w:leader="none" w:pos="7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20" w:firstLine="374"/>
        <w:spacing w:after="0" w:line="279" w:lineRule="auto"/>
        <w:rPr>
          <w:sz w:val="20"/>
          <w:szCs w:val="20"/>
          <w:color w:val="auto"/>
        </w:rPr>
      </w:pPr>
      <w:r>
        <w:rPr>
          <w:rFonts w:ascii="Arial" w:cs="Arial" w:eastAsia="Arial" w:hAnsi="Arial"/>
          <w:sz w:val="17"/>
          <w:szCs w:val="17"/>
          <w:color w:val="auto"/>
        </w:rPr>
        <w:t>On June 24, 2021, the Company notified the trustee for the Company’s HCAP Notes of the Company’s election to redeem the approximately $28.8 million aggregate principal amount of the HCAP Notes outstanding, and instructed the trustee to provide notice of such redemptions to the holders of such notes in accordance with the terms of the indenture governing the HCAP Notes. The Company completed the redemption on July 23, 2021. Following the redemption, none of the HCAP Notes remain outstanding, and they were delisted from the NASDAQ Global Select Market.</w:t>
      </w:r>
    </w:p>
    <w:p>
      <w:pPr>
        <w:spacing w:after="0" w:line="170" w:lineRule="exact"/>
        <w:rPr>
          <w:sz w:val="20"/>
          <w:szCs w:val="20"/>
          <w:color w:val="auto"/>
        </w:rPr>
      </w:pPr>
    </w:p>
    <w:p>
      <w:pPr>
        <w:jc w:val="both"/>
        <w:ind w:right="120" w:firstLine="374"/>
        <w:spacing w:after="0" w:line="259" w:lineRule="auto"/>
        <w:rPr>
          <w:sz w:val="20"/>
          <w:szCs w:val="20"/>
          <w:color w:val="auto"/>
        </w:rPr>
      </w:pPr>
      <w:r>
        <w:rPr>
          <w:rFonts w:ascii="Arial" w:cs="Arial" w:eastAsia="Arial" w:hAnsi="Arial"/>
          <w:sz w:val="18"/>
          <w:szCs w:val="18"/>
          <w:color w:val="auto"/>
        </w:rPr>
        <w:t>On August 4, 2021, our Board approved a reverse stock split of our common stock (the “Reverse Stock Split”) at the ratio of 1- 10. As a result of the Reverse Stock Split, every 10 shares of our outstanding common stock will be automatically combined into one share of outstanding common stock. Any fractional shares to be received as a result of the Reverse Stock Split will be redeemed for cash. We expect to complete the Reverse Stock Split in the third quarter of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7" w:name="page108"/>
    <w:bookmarkEnd w:id="107"/>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8"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4"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134"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June 30, 2021, approximately 75% of our Debt Securities Portfolio were either floating rate with a spread to an interest rate index such as LIBOR or the prime rate. 71.8% of these floating rate loans contain LIBOR floors ranging between 0.25% and 2.25%. We generally expect that future portfolio investments will predominately be floating rate investments. As of June 30, 2021, we had $369.7 million (par value) of borrowings outstanding at a current weighted average rate of 3.4%, of which $136.8 million par value had a fixed rate and $232.9 million par value has a floating rate.</w:t>
      </w:r>
    </w:p>
    <w:p>
      <w:pPr>
        <w:spacing w:after="0" w:line="148"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spacing w:after="0" w:line="107"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42" w:lineRule="exact"/>
        <w:rPr>
          <w:sz w:val="20"/>
          <w:szCs w:val="20"/>
          <w:color w:val="auto"/>
        </w:rPr>
      </w:pPr>
    </w:p>
    <w:p>
      <w:pPr>
        <w:ind w:right="320" w:firstLine="374"/>
        <w:spacing w:after="0" w:line="263"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2021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Impact on net investment income from</w:t>
            </w:r>
          </w:p>
        </w:tc>
      </w:tr>
      <w:tr>
        <w:trPr>
          <w:trHeight w:val="234"/>
        </w:trPr>
        <w:tc>
          <w:tcPr>
            <w:tcW w:w="4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89"/>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20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24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(1,329,253)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1,454,578</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156,178</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120,990</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85,803</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ind w:right="200" w:firstLine="374"/>
        <w:spacing w:after="0" w:line="263" w:lineRule="auto"/>
        <w:rPr>
          <w:sz w:val="20"/>
          <w:szCs w:val="20"/>
          <w:color w:val="auto"/>
        </w:rPr>
      </w:pPr>
      <w:r>
        <w:rPr>
          <w:rFonts w:ascii="Arial" w:cs="Arial" w:eastAsia="Arial" w:hAnsi="Arial"/>
          <w:sz w:val="18"/>
          <w:szCs w:val="18"/>
          <w:color w:val="auto"/>
        </w:rPr>
        <w:t>As shown above, net investment income assuming a 1% increase in interest rates would decrease by approximately $1.3 million on an annualized basis. If the increase in rates was more significant, such as 2% or 3%, the net effect on net investment income would be an increase of approximately $58 thousand and $1.5 million, respectively.</w:t>
      </w:r>
    </w:p>
    <w:p>
      <w:pPr>
        <w:spacing w:after="0" w:line="156" w:lineRule="exact"/>
        <w:rPr>
          <w:sz w:val="20"/>
          <w:szCs w:val="20"/>
          <w:color w:val="auto"/>
        </w:rPr>
      </w:pPr>
    </w:p>
    <w:p>
      <w:pPr>
        <w:ind w:right="20" w:firstLine="374"/>
        <w:spacing w:after="0" w:line="286" w:lineRule="auto"/>
        <w:rPr>
          <w:sz w:val="20"/>
          <w:szCs w:val="20"/>
          <w:color w:val="auto"/>
        </w:rPr>
      </w:pPr>
      <w:r>
        <w:rPr>
          <w:rFonts w:ascii="Arial" w:cs="Arial" w:eastAsia="Arial" w:hAnsi="Arial"/>
          <w:sz w:val="17"/>
          <w:szCs w:val="17"/>
          <w:color w:val="auto"/>
        </w:rPr>
        <w:t>On an annualized basis, a decrease in interest rates of 1%, 2% and 3% would result in an increase in net investment income of approximately $156 thousand, $121 thousand and $86 thousand, respectively. The effect on net investment income from declines in interest rates impacted by interest rate floors on certain of our floating rate investments, as there is no floor on our floating rate debt facility and the 2018-2 Secured Notes.</w:t>
      </w:r>
    </w:p>
    <w:p>
      <w:pPr>
        <w:spacing w:after="0" w:line="124"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198" w:lineRule="exact"/>
        <w:rPr>
          <w:sz w:val="20"/>
          <w:szCs w:val="20"/>
          <w:color w:val="auto"/>
        </w:rPr>
      </w:pPr>
    </w:p>
    <w:p>
      <w:pPr>
        <w:ind w:right="20" w:firstLine="374"/>
        <w:spacing w:after="0" w:line="263" w:lineRule="auto"/>
        <w:rPr>
          <w:sz w:val="20"/>
          <w:szCs w:val="20"/>
          <w:color w:val="auto"/>
        </w:rPr>
      </w:pPr>
      <w:r>
        <w:rPr>
          <w:rFonts w:ascii="Arial" w:cs="Arial" w:eastAsia="Arial" w:hAnsi="Arial"/>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line="271" w:lineRule="auto"/>
        <w:rPr>
          <w:sz w:val="20"/>
          <w:szCs w:val="20"/>
          <w:color w:val="auto"/>
        </w:rPr>
      </w:pPr>
      <w:r>
        <w:rPr>
          <w:rFonts w:ascii="Arial" w:cs="Arial" w:eastAsia="Arial" w:hAnsi="Arial"/>
          <w:sz w:val="17"/>
          <w:szCs w:val="17"/>
          <w:color w:val="auto"/>
        </w:rPr>
        <w:t>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54" w:lineRule="exact"/>
        <w:rPr>
          <w:sz w:val="20"/>
          <w:szCs w:val="20"/>
          <w:color w:val="auto"/>
        </w:rPr>
      </w:pPr>
    </w:p>
    <w:p>
      <w:pPr>
        <w:ind w:right="180" w:firstLine="374"/>
        <w:spacing w:after="0" w:line="275"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3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4" w:lineRule="exact"/>
        <w:rPr>
          <w:sz w:val="20"/>
          <w:szCs w:val="20"/>
          <w:color w:val="auto"/>
        </w:rPr>
      </w:pPr>
    </w:p>
    <w:p>
      <w:pPr>
        <w:ind w:right="40" w:firstLine="37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ended June 30, 2021 that have materially affected, or are reasonably likely to materially affect, our internal control over financial reporting.</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Company is not currently a party to any material legal proceedings except as set forth below.</w:t>
      </w:r>
    </w:p>
    <w:p>
      <w:pPr>
        <w:spacing w:after="0" w:line="117"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 xml:space="preserve">HCAP and certain of its officer and directors as well as JMP Group LLC were named as defendants in two putative stockholder class action lawsuits, both filed in the Court of Chancery in the State of Delaware, captioned </w:t>
      </w:r>
      <w:r>
        <w:rPr>
          <w:rFonts w:ascii="Arial" w:cs="Arial" w:eastAsia="Arial" w:hAnsi="Arial"/>
          <w:sz w:val="17"/>
          <w:szCs w:val="17"/>
          <w:i w:val="1"/>
          <w:iCs w:val="1"/>
          <w:color w:val="auto"/>
        </w:rPr>
        <w:t>Stewart Thompson v. Joseph Jolson, et al.</w:t>
      </w:r>
      <w:r>
        <w:rPr>
          <w:rFonts w:ascii="Arial" w:cs="Arial" w:eastAsia="Arial" w:hAnsi="Arial"/>
          <w:sz w:val="17"/>
          <w:szCs w:val="17"/>
          <w:color w:val="auto"/>
        </w:rPr>
        <w:t xml:space="preserve">, Case No. 2021-0164 and </w:t>
      </w:r>
      <w:r>
        <w:rPr>
          <w:rFonts w:ascii="Arial" w:cs="Arial" w:eastAsia="Arial" w:hAnsi="Arial"/>
          <w:sz w:val="17"/>
          <w:szCs w:val="17"/>
          <w:i w:val="1"/>
          <w:iCs w:val="1"/>
          <w:color w:val="auto"/>
        </w:rPr>
        <w:t>Ronald Tornese</w:t>
      </w:r>
      <w:r>
        <w:rPr>
          <w:rFonts w:ascii="Arial" w:cs="Arial" w:eastAsia="Arial" w:hAnsi="Arial"/>
          <w:sz w:val="17"/>
          <w:szCs w:val="17"/>
          <w:color w:val="auto"/>
        </w:rPr>
        <w:t xml:space="preserve"> </w:t>
      </w:r>
      <w:r>
        <w:rPr>
          <w:rFonts w:ascii="Arial" w:cs="Arial" w:eastAsia="Arial" w:hAnsi="Arial"/>
          <w:sz w:val="17"/>
          <w:szCs w:val="17"/>
          <w:i w:val="1"/>
          <w:iCs w:val="1"/>
          <w:color w:val="auto"/>
        </w:rPr>
        <w:t>v. Joseph Jolson, et al.</w:t>
      </w:r>
      <w:r>
        <w:rPr>
          <w:rFonts w:ascii="Arial" w:cs="Arial" w:eastAsia="Arial" w:hAnsi="Arial"/>
          <w:sz w:val="17"/>
          <w:szCs w:val="17"/>
          <w:color w:val="auto"/>
        </w:rPr>
        <w:t>, Case No. 2021-0167 (the “Delaware Actions”). The complaints in the Delaware Actions allege certain breaches of fiduciary duties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against the defendants as well as aiding and abetting claims against JMP Group LLC and HCAP’s Chief Executive Officer concerning HCAP’s proposed merger with the Company and Acquisition Sub that resulted in the merger with and into the Company. In addition, HCAP and certain of its officer and directors, among others, were named as defendants in stockholder actions, filed in the Supreme Court of the State of New York, captioned </w:t>
      </w:r>
      <w:r>
        <w:rPr>
          <w:rFonts w:ascii="Arial" w:cs="Arial" w:eastAsia="Arial" w:hAnsi="Arial"/>
          <w:sz w:val="17"/>
          <w:szCs w:val="17"/>
          <w:i w:val="1"/>
          <w:iCs w:val="1"/>
          <w:color w:val="auto"/>
        </w:rPr>
        <w:t>Greg</w:t>
      </w:r>
      <w:r>
        <w:rPr>
          <w:rFonts w:ascii="Arial" w:cs="Arial" w:eastAsia="Arial" w:hAnsi="Arial"/>
          <w:sz w:val="17"/>
          <w:szCs w:val="17"/>
          <w:color w:val="auto"/>
        </w:rPr>
        <w:t xml:space="preserve"> </w:t>
      </w:r>
      <w:r>
        <w:rPr>
          <w:rFonts w:ascii="Arial" w:cs="Arial" w:eastAsia="Arial" w:hAnsi="Arial"/>
          <w:sz w:val="17"/>
          <w:szCs w:val="17"/>
          <w:i w:val="1"/>
          <w:iCs w:val="1"/>
          <w:color w:val="auto"/>
        </w:rPr>
        <w:t>Ramanauskas v. Harvest Capital Credit Corp, et al</w:t>
      </w:r>
      <w:r>
        <w:rPr>
          <w:rFonts w:ascii="Arial" w:cs="Arial" w:eastAsia="Arial" w:hAnsi="Arial"/>
          <w:sz w:val="17"/>
          <w:szCs w:val="17"/>
          <w:color w:val="auto"/>
        </w:rPr>
        <w:t>., Case No. 651524/2021, alleging certain breaches of fiduciary duties against individual defendants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aiding and abetting claims against HCAP, the Company, Acquisition Sub, and the Adviser (the “New York State Action”) and in the Eastern District of New York, captioned </w:t>
      </w:r>
      <w:r>
        <w:rPr>
          <w:rFonts w:ascii="Arial" w:cs="Arial" w:eastAsia="Arial" w:hAnsi="Arial"/>
          <w:sz w:val="17"/>
          <w:szCs w:val="17"/>
          <w:i w:val="1"/>
          <w:iCs w:val="1"/>
          <w:color w:val="auto"/>
        </w:rPr>
        <w:t>Kyle Kruchok v. Harvest Capital Credit Corp., et al.</w:t>
      </w:r>
      <w:r>
        <w:rPr>
          <w:rFonts w:ascii="Arial" w:cs="Arial" w:eastAsia="Arial" w:hAnsi="Arial"/>
          <w:sz w:val="17"/>
          <w:szCs w:val="17"/>
          <w:color w:val="auto"/>
        </w:rPr>
        <w:t>, Case No. 1:21-cv-01573, alleging violations of Section 14(a) of the Exchange Act against HCAP and certain officers and directors, and Section 20(a) of the Exchange Act against individual defendants (the “New York Federal Action”) (collectively with the Delaware Actions, the “Litigations”).</w:t>
      </w:r>
    </w:p>
    <w:p>
      <w:pPr>
        <w:spacing w:after="0" w:line="71"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 complaints in the Delaware Actions and the New York State Action generally allege that the defendants breached their fiduciary duties in connection with the proposed merger and caused to be filed with the SEC an allegedly materially incomplete and misleading registration statement on Form N-14 relating to the proposed merger. The complaint in the New York Federal Action generally alleges that the defendants made materially false and misleading statements and/or omissions in the registration statement on Form N-14 relating to the proposed merger. The plaintiffs in the Litigations asked the court to enjoin the proposed merger, and to award attorneys’ fees and costs, among other relief. Further, the plaintiffs in the Delaware Actions ask the court to direct the defendants to account to plaintiffs and the putative class for all damages suffered as a result of the alleged wrongdoing. The plaintiffs in the New York Federal Action also ask for rescissory damages.</w:t>
      </w:r>
    </w:p>
    <w:p>
      <w:pPr>
        <w:spacing w:after="0" w:line="73" w:lineRule="exact"/>
        <w:rPr>
          <w:sz w:val="20"/>
          <w:szCs w:val="20"/>
          <w:color w:val="auto"/>
        </w:rPr>
      </w:pPr>
    </w:p>
    <w:p>
      <w:pPr>
        <w:ind w:right="100" w:firstLine="374"/>
        <w:spacing w:after="0" w:line="259" w:lineRule="auto"/>
        <w:rPr>
          <w:sz w:val="20"/>
          <w:szCs w:val="20"/>
          <w:color w:val="auto"/>
        </w:rPr>
      </w:pPr>
      <w:r>
        <w:rPr>
          <w:rFonts w:ascii="Arial" w:cs="Arial" w:eastAsia="Arial" w:hAnsi="Arial"/>
          <w:sz w:val="18"/>
          <w:szCs w:val="18"/>
          <w:color w:val="auto"/>
        </w:rPr>
        <w:t>On April 19, 2021, plaintiffs in the Delaware Action filed a motion for expedited proceedings, which was subsequently withdrawn. On June 9, 2021, HCAP merged with and into the Company with the Company as the surviving corporation. As a result, the Company became responsible for any claims against HCAP as well as for any advancement and/or indemnification owed to the former officers and directors of HCAP. On June 17, 2021, the plaintiffs in the New York Federal Action filed a notice of voluntary dismissal.</w:t>
      </w:r>
    </w:p>
    <w:p>
      <w:pPr>
        <w:spacing w:after="0" w:line="77" w:lineRule="exact"/>
        <w:rPr>
          <w:sz w:val="20"/>
          <w:szCs w:val="20"/>
          <w:color w:val="auto"/>
        </w:rPr>
      </w:pPr>
    </w:p>
    <w:p>
      <w:pPr>
        <w:ind w:right="320" w:firstLine="374"/>
        <w:spacing w:after="0" w:line="275" w:lineRule="auto"/>
        <w:rPr>
          <w:sz w:val="20"/>
          <w:szCs w:val="20"/>
          <w:color w:val="auto"/>
        </w:rPr>
      </w:pPr>
      <w:r>
        <w:rPr>
          <w:rFonts w:ascii="Arial" w:cs="Arial" w:eastAsia="Arial" w:hAnsi="Arial"/>
          <w:sz w:val="17"/>
          <w:szCs w:val="17"/>
          <w:color w:val="auto"/>
        </w:rPr>
        <w:t>The Delaware Actions as well as the New York State Action remain at the early stage. We and the former HCAP officers and directors intend to defend ourselves vigorously against the allegations in the aforementioned actions to the extent they proceed. Neither the outcome of the lawsuits nor an estimate of any reasonably possible losses is determinable at this time. While we and HCAP maintain directors’ and officers’ insurance that provides coverage for claims such as those alleged in the complaints, an adverse judgment for monetary damages in excess of or outside of available insurance coverage could have a material adverse effect on our operations and liquidity.</w:t>
      </w:r>
    </w:p>
    <w:p>
      <w:pPr>
        <w:spacing w:after="0" w:line="13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 w:lineRule="exact"/>
        <w:rPr>
          <w:sz w:val="20"/>
          <w:szCs w:val="20"/>
          <w:color w:val="auto"/>
        </w:rPr>
      </w:pPr>
    </w:p>
    <w:p>
      <w:pPr>
        <w:ind w:right="320" w:firstLine="749"/>
        <w:spacing w:after="0" w:line="250" w:lineRule="auto"/>
        <w:rPr>
          <w:sz w:val="20"/>
          <w:szCs w:val="20"/>
          <w:color w:val="auto"/>
        </w:rPr>
      </w:pPr>
      <w:r>
        <w:rPr>
          <w:rFonts w:ascii="Arial" w:cs="Arial" w:eastAsia="Arial" w:hAnsi="Arial"/>
          <w:sz w:val="18"/>
          <w:szCs w:val="18"/>
          <w:color w:val="auto"/>
        </w:rPr>
        <w:t>Other than the items noted below, there have been no material changes during fiscal 2021 to the risk factors that were included in our Annual Report on Form 10-K for the year ended December 31, 2020.</w:t>
      </w:r>
    </w:p>
    <w:p>
      <w:pPr>
        <w:spacing w:after="0"/>
        <w:rPr>
          <w:sz w:val="20"/>
          <w:szCs w:val="20"/>
          <w:color w:val="auto"/>
        </w:rPr>
      </w:pPr>
      <w:r>
        <w:rPr>
          <w:rFonts w:ascii="Arial" w:cs="Arial" w:eastAsia="Arial" w:hAnsi="Arial"/>
          <w:sz w:val="18"/>
          <w:szCs w:val="18"/>
          <w:b w:val="1"/>
          <w:bCs w:val="1"/>
          <w:color w:val="auto"/>
        </w:rPr>
        <w:t>Risks Relating to the 4.875% Notes due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4.875% Notes due 2026 are unsecured and therefore are effectively subordinated to any secured indebtedness we may incur.</w:t>
      </w:r>
    </w:p>
    <w:p>
      <w:pPr>
        <w:spacing w:after="0" w:line="9" w:lineRule="exact"/>
        <w:rPr>
          <w:sz w:val="20"/>
          <w:szCs w:val="20"/>
          <w:color w:val="auto"/>
        </w:rPr>
      </w:pPr>
    </w:p>
    <w:p>
      <w:pPr>
        <w:ind w:right="60" w:firstLine="749"/>
        <w:spacing w:after="0" w:line="281" w:lineRule="auto"/>
        <w:rPr>
          <w:sz w:val="20"/>
          <w:szCs w:val="20"/>
          <w:color w:val="auto"/>
        </w:rPr>
      </w:pPr>
      <w:r>
        <w:rPr>
          <w:rFonts w:ascii="Arial" w:cs="Arial" w:eastAsia="Arial" w:hAnsi="Arial"/>
          <w:sz w:val="16"/>
          <w:szCs w:val="16"/>
          <w:color w:val="auto"/>
        </w:rPr>
        <w:t>The 4.875% Notes due 2026 are not secured by any of our assets or any of the assets of our subsidiaries. As a result, the 4.875% Notes due 2026 are effectively subordinated to any secured indebtedness we or our subsidiaries have currently incurred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4.875% Notes due 2026.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4.875% Notes due 2026 will be subordinated structurally to the indebtedness and other liabilities of our subsidiaries.</w:t>
      </w:r>
    </w:p>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ind w:right="40" w:firstLine="749"/>
        <w:spacing w:after="0" w:line="266" w:lineRule="auto"/>
        <w:rPr>
          <w:sz w:val="20"/>
          <w:szCs w:val="20"/>
          <w:color w:val="auto"/>
        </w:rPr>
      </w:pPr>
      <w:r>
        <w:rPr>
          <w:rFonts w:ascii="Arial" w:cs="Arial" w:eastAsia="Arial" w:hAnsi="Arial"/>
          <w:sz w:val="17"/>
          <w:szCs w:val="17"/>
          <w:color w:val="auto"/>
        </w:rPr>
        <w:t>The 4.875% Notes due 2026 are obligations exclusively of Portman Ridge Finance Corporation and not of any of our subsidiaries. None of our subsidiaries are guarantors of the 4.875% Notes due 2026, and the 4.875% Notes due 2026 will not be required to be guaranteed by any subsidiaries we may acquire or create in the future. Except to the extent we are a creditor with recognized claims against our subsidiaries, all claims of creditors, including trade creditors, of our subsidiaries will have priority over our claims (and therefore the claims of our creditors, including holders of the 4.875% Notes due 2026)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4.875% Notes due 2026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4.875% Notes due 2026. In addition, our subsidiaries may incur substantial additional indebtedness in the future, all of which would be structurally senior to the 4.875% Notes due 2026.</w:t>
      </w:r>
    </w:p>
    <w:p>
      <w:pPr>
        <w:spacing w:after="0" w:line="5"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b w:val="1"/>
          <w:bCs w:val="1"/>
          <w:i w:val="1"/>
          <w:iCs w:val="1"/>
          <w:color w:val="auto"/>
        </w:rPr>
        <w:t>There is currently no public market for the 4.875% Notes due 2026. If an active trading market for the 4.875% Notes due 2026 does not develop or is not maintained, holders of the 4.875% Notes due 2026 may not be able to sell them.</w:t>
      </w:r>
    </w:p>
    <w:p>
      <w:pPr>
        <w:ind w:firstLine="749"/>
        <w:spacing w:after="0" w:line="264" w:lineRule="auto"/>
        <w:rPr>
          <w:sz w:val="20"/>
          <w:szCs w:val="20"/>
          <w:color w:val="auto"/>
        </w:rPr>
      </w:pPr>
      <w:r>
        <w:rPr>
          <w:rFonts w:ascii="Arial" w:cs="Arial" w:eastAsia="Arial" w:hAnsi="Arial"/>
          <w:sz w:val="17"/>
          <w:szCs w:val="17"/>
          <w:color w:val="auto"/>
        </w:rPr>
        <w:t>The 4.875% Notes due 2026 are a new issue of debt securities for which there currently is no trading market. We do not currently intend to apply for listing of the 4.875% Notes due 2026 on any securities exchange or for quotation of the 4.875% Notes due 2026 on any automated dealer quotation system. If no active trading market develops, you may not be able to resell your 4.875% Notes due 2026 at their fair market value or at all. If the 4.875% Notes due 2026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Accordingly, we cannot assure you that an active and liquid trading market will develop or continue for the 4.875% Notes due 2026, that you will be able to sell your 4.875% Notes due 2026 at a particular time or that the price you receive when you sell will be favorable. To the extent an active trading market does not develop, the liquidity and trading price for the 4.875% Notes due 2026 may be harmed. Accordingly, you may be required to bear the financial risk of an investment in the 4.875% Notes due 2026 for an indefinite period of time.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restrictions on the ability to transfer or resell the 4.875% Notes due 2026.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4.875% Notes due 2026 have not been registered under the Securities Act of 1933, as amended (the “Securities Act”). Accordingly,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4.875% Notes due 2026 may only be offered or sold in transactions that are not subject to, or that are otherwise exempt from, the registration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Act and applicable state securities laws or pursuant to an effective registration statement. Therefore, you may transfer or resell the 4.875%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2026 in the U.S. only in a transaction exempt from the registration requirements of Securities Act and applicable state securities laws or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an effective registration statement, and you may be required to bear the risk of your investment until the maturity of the 4.875% Notes due 2026.</w:t>
      </w:r>
    </w:p>
    <w:p>
      <w:pPr>
        <w:spacing w:after="0" w:line="20" w:lineRule="exact"/>
        <w:rPr>
          <w:sz w:val="20"/>
          <w:szCs w:val="20"/>
          <w:color w:val="auto"/>
        </w:rPr>
      </w:pPr>
    </w:p>
    <w:p>
      <w:pPr>
        <w:ind w:right="160" w:firstLine="749"/>
        <w:spacing w:after="0" w:line="281" w:lineRule="auto"/>
        <w:rPr>
          <w:sz w:val="20"/>
          <w:szCs w:val="20"/>
          <w:color w:val="auto"/>
        </w:rPr>
      </w:pPr>
      <w:r>
        <w:rPr>
          <w:rFonts w:ascii="Arial" w:cs="Arial" w:eastAsia="Arial" w:hAnsi="Arial"/>
          <w:sz w:val="16"/>
          <w:szCs w:val="16"/>
          <w:color w:val="auto"/>
        </w:rPr>
        <w:t>Although under the registration rights agreement we are required to consummate an offer to exchange the 4.875% Notes due 2026 for substantially equivalent registered securities or to register the resale of the 4.875% Notes due 2026, until the exchange offer is consummated or such a registration statement has been declared effective, as the case may be, holders of the 4.875% Notes due 2026 may not offer or sell the 4.875% Notes due 2026 except pursuant to an exemption from, or in a transaction not subject to, the registration requirements of the Securities Act and applicable state securities laws or pursuant to an effective registration statement. The SEC, however, has broad discretion to determine whether any registration statement will be declared effective and may delay or deny effectiveness of any such registration statement filed by us for a variety of reasons. Our ability to have declared effective by the SEC a registration statement pertaining to the registered exchange offer on a timely basis will depend upon our ability to resolve any issues that may be raised by the SEC. No assurance can be given as to when a registration statement with respect to the 4.875% Notes due 2026 will become effective. Failure to have the registration statement become effective could adversely affect the liquidity and price of the 4.875% Notes due 2026.</w:t>
      </w:r>
    </w:p>
    <w:p>
      <w:pPr>
        <w:spacing w:after="0" w:line="3"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4.875% Notes due 2026 and our other debt.</w:t>
      </w:r>
    </w:p>
    <w:p>
      <w:pPr>
        <w:ind w:left="7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89" w:lineRule="exact"/>
        <w:rPr>
          <w:sz w:val="20"/>
          <w:szCs w:val="20"/>
          <w:color w:val="auto"/>
        </w:rPr>
      </w:pPr>
    </w:p>
    <w:p>
      <w:pPr>
        <w:ind w:left="1120" w:hanging="371"/>
        <w:spacing w:after="0"/>
        <w:tabs>
          <w:tab w:leader="none" w:pos="11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making it more difficult for us to meet our payment and other obligations under the 4.875% Notes due 2026 and our other outstanding debt;</w:t>
      </w:r>
    </w:p>
    <w:p>
      <w:pPr>
        <w:spacing w:after="0" w:line="234" w:lineRule="exact"/>
        <w:rPr>
          <w:rFonts w:ascii="Arial" w:cs="Arial" w:eastAsia="Arial" w:hAnsi="Arial"/>
          <w:sz w:val="16"/>
          <w:szCs w:val="16"/>
          <w:color w:val="auto"/>
        </w:rPr>
      </w:pPr>
    </w:p>
    <w:p>
      <w:pPr>
        <w:ind w:left="1120" w:right="980" w:hanging="371"/>
        <w:spacing w:after="0" w:line="341" w:lineRule="auto"/>
        <w:tabs>
          <w:tab w:leader="none" w:pos="11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ind w:left="1120" w:right="120" w:hanging="371"/>
        <w:spacing w:after="0" w:line="277"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142" w:lineRule="exact"/>
        <w:rPr>
          <w:rFonts w:ascii="Arial" w:cs="Arial" w:eastAsia="Arial" w:hAnsi="Arial"/>
          <w:sz w:val="18"/>
          <w:szCs w:val="18"/>
          <w:color w:val="auto"/>
        </w:rPr>
      </w:pPr>
    </w:p>
    <w:p>
      <w:pPr>
        <w:ind w:left="1120" w:right="740" w:hanging="371"/>
        <w:spacing w:after="0" w:line="277"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128" w:lineRule="exact"/>
        <w:rPr>
          <w:rFonts w:ascii="Arial" w:cs="Arial" w:eastAsia="Arial" w:hAnsi="Arial"/>
          <w:sz w:val="18"/>
          <w:szCs w:val="18"/>
          <w:color w:val="auto"/>
        </w:rPr>
      </w:pPr>
    </w:p>
    <w:p>
      <w:pPr>
        <w:ind w:left="1120" w:right="140" w:hanging="371"/>
        <w:spacing w:after="0" w:line="277" w:lineRule="auto"/>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35" w:lineRule="exact"/>
        <w:rPr>
          <w:sz w:val="20"/>
          <w:szCs w:val="20"/>
          <w:color w:val="auto"/>
        </w:rPr>
      </w:pPr>
    </w:p>
    <w:p>
      <w:pPr>
        <w:ind w:right="80" w:firstLine="749"/>
        <w:spacing w:after="0" w:line="258"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4.875% Notes due 2026 and our other debt.</w:t>
      </w:r>
    </w:p>
    <w:p>
      <w:pPr>
        <w:spacing w:after="0" w:line="1" w:lineRule="exact"/>
        <w:rPr>
          <w:sz w:val="20"/>
          <w:szCs w:val="20"/>
          <w:color w:val="auto"/>
        </w:rPr>
      </w:pPr>
    </w:p>
    <w:p>
      <w:pPr>
        <w:ind w:firstLine="749"/>
        <w:spacing w:after="0" w:line="250"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4.875% Notes due 2026 and our other debt and to fund other liquidity needs. If we are not able to generate sufficient cash flow to service our debt obligations, we may need to refinance or restructure our debt, including the 4.875% Notes due 2026, sell assets, reduce or delay capital investments, or seek to raise additional capital. If we are unable to implement one or more of these alternatives, we may not be able to meet our payment obligations under the 4.875% Notes due 2026 and our other debt.</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4.875% Notes due 2026 could cause the liquidity or market value of the 4.875% Notes due 2026 to decline significantly.</w:t>
      </w:r>
    </w:p>
    <w:p>
      <w:pPr>
        <w:ind w:right="40" w:firstLine="749"/>
        <w:spacing w:after="0" w:line="250"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4.875% Notes due 2026. These credit ratings may not reflect the potential impact of risks relating to the structure or marketing of the 4.875% Notes due 2026. Credit ratings are not a recommendation to buy, sell or hold any security, and may be revised or withdrawn at any time by the issuing organization in its sole discretion.</w:t>
      </w:r>
    </w:p>
    <w:p>
      <w:pPr>
        <w:spacing w:after="0" w:line="1" w:lineRule="exact"/>
        <w:rPr>
          <w:sz w:val="20"/>
          <w:szCs w:val="20"/>
          <w:color w:val="auto"/>
        </w:rPr>
      </w:pPr>
    </w:p>
    <w:p>
      <w:pPr>
        <w:jc w:val="both"/>
        <w:ind w:right="160" w:firstLine="749"/>
        <w:spacing w:after="0" w:line="264" w:lineRule="auto"/>
        <w:rPr>
          <w:sz w:val="20"/>
          <w:szCs w:val="20"/>
          <w:color w:val="auto"/>
        </w:rPr>
      </w:pPr>
      <w:r>
        <w:rPr>
          <w:rFonts w:ascii="Arial" w:cs="Arial" w:eastAsia="Arial" w:hAnsi="Arial"/>
          <w:sz w:val="17"/>
          <w:szCs w:val="17"/>
          <w:color w:val="auto"/>
        </w:rPr>
        <w:t>The 4.875% Notes due 2026 are rated by Egan-Jones Ratings Company (“EJR”). There can be no assurance that EJR’s credit rating will remain for any given period of time or that such credit rating will not be lowered or withdrawn entirely by EJR if in its judgment future circumstances relating to the basis of the credit rating, such as adverse changes in our business, financial condition and results of operations, so warrant.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governing the 4.875% Notes due 2026 contains limited protection for holders of the 4.875% Notes due 2026.</w:t>
      </w:r>
    </w:p>
    <w:p>
      <w:pPr>
        <w:spacing w:after="0" w:line="9" w:lineRule="exact"/>
        <w:rPr>
          <w:sz w:val="20"/>
          <w:szCs w:val="20"/>
          <w:color w:val="auto"/>
        </w:rPr>
      </w:pPr>
    </w:p>
    <w:p>
      <w:pPr>
        <w:ind w:right="420" w:firstLine="749"/>
        <w:spacing w:after="0" w:line="273" w:lineRule="auto"/>
        <w:rPr>
          <w:sz w:val="20"/>
          <w:szCs w:val="20"/>
          <w:color w:val="auto"/>
        </w:rPr>
      </w:pPr>
      <w:r>
        <w:rPr>
          <w:rFonts w:ascii="Arial" w:cs="Arial" w:eastAsia="Arial" w:hAnsi="Arial"/>
          <w:sz w:val="17"/>
          <w:szCs w:val="17"/>
          <w:color w:val="auto"/>
        </w:rPr>
        <w:t>The indenture governing the 4.875% Notes due 2026 offers limited protection to holders of the 4.875% Notes due 2026. The terms of the indenture and the 4.875% Notes due 2026 do not restrict our or any of our subsidiaries’ ability to engage in, or otherwise be a party to, a variety of corporate transactions, circumstances or events that could have an adverse impact on your investment in the 4.875% Notes due 2026. In particular, the terms of the indenture and the 4.875% Notes due 2026 do not place any restrictions on our or our subsidiaries’ ability to:</w:t>
      </w:r>
    </w:p>
    <w:p>
      <w:pPr>
        <w:spacing w:after="0" w:line="54" w:lineRule="exact"/>
        <w:rPr>
          <w:sz w:val="20"/>
          <w:szCs w:val="20"/>
          <w:color w:val="auto"/>
        </w:rPr>
      </w:pPr>
    </w:p>
    <w:p>
      <w:pPr>
        <w:ind w:left="1120" w:right="120" w:hanging="371"/>
        <w:spacing w:after="0" w:line="270" w:lineRule="auto"/>
        <w:tabs>
          <w:tab w:leader="none" w:pos="11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issue securities or otherwise incur additional indebtedness or other obligations, including (1) any indebtedness or other obligations that would be equal in right of payment to the 4.875% Notes due 2026, (2) any indebtedness or other obligations that would be secured and therefore rank effectively senior in right of payment to the 4.875% Notes due 2026 to the extent of the values of the assets securing such debt, (3) indebtedness of ours that is guaranteed by one or more of our subsidiaries and which therefore is structurally senior to the 4.875% Notes due 2026 and (4) securities, indebtedness or obligations issued or incurred by our subsidiaries that would be senior to our equity interests in our subsidiaries and therefore rank structurally senior to the 4.875% Notes due 2026 with respect to the assets of our subsidiaries, in each case other than an incurrence of indebtedness that would cause a violation of Section 18(a)(1)(A) of the 1940 Act as modified by Section 61(a)(2) of the 1940 Act;</w:t>
      </w:r>
    </w:p>
    <w:p>
      <w:pPr>
        <w:spacing w:after="0" w:line="141" w:lineRule="exact"/>
        <w:rPr>
          <w:rFonts w:ascii="Arial" w:cs="Arial" w:eastAsia="Arial" w:hAnsi="Arial"/>
          <w:sz w:val="17"/>
          <w:szCs w:val="17"/>
          <w:color w:val="auto"/>
        </w:rPr>
      </w:pPr>
    </w:p>
    <w:p>
      <w:pPr>
        <w:ind w:left="1120" w:right="60" w:hanging="371"/>
        <w:spacing w:after="0" w:line="255"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4.875% Notes due 2026, including preferred stock or subordinated indebtedness, in each case other than dividends, purchases, redemptions or payments that would cause a violation of Section 18(a)(1)(B) as modified by Section 61(a)(2) of the 1940 Act or any successor provisions, giving effect to any no-action relief granted by the SEC to another BDC and upon which we may reasonably rely (or to us if we determine to seek such similar SEC no-action or other relief) permitting the BDC to declare any cash dividend or distribution notwithstanding the prohibition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ind w:left="1120" w:right="440"/>
        <w:spacing w:after="0" w:line="277" w:lineRule="auto"/>
        <w:rPr>
          <w:sz w:val="20"/>
          <w:szCs w:val="20"/>
          <w:color w:val="auto"/>
        </w:rPr>
      </w:pPr>
      <w:r>
        <w:rPr>
          <w:rFonts w:ascii="Arial" w:cs="Arial" w:eastAsia="Arial" w:hAnsi="Arial"/>
          <w:sz w:val="18"/>
          <w:szCs w:val="18"/>
          <w:color w:val="auto"/>
        </w:rPr>
        <w:t>contained in Section 18(a)(1)(B) as modified by Section 61(a)(2) of the 1940 Act in order to maintain the BDC’s status as a RIC under Subchapter M of the Code;</w:t>
      </w:r>
    </w:p>
    <w:p>
      <w:pPr>
        <w:spacing w:after="0" w:line="142" w:lineRule="exact"/>
        <w:rPr>
          <w:sz w:val="20"/>
          <w:szCs w:val="20"/>
          <w:color w:val="auto"/>
        </w:rPr>
      </w:pPr>
    </w:p>
    <w:p>
      <w:pPr>
        <w:ind w:left="1120" w:hanging="37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11" w:lineRule="exact"/>
        <w:rPr>
          <w:rFonts w:ascii="Arial" w:cs="Arial" w:eastAsia="Arial" w:hAnsi="Arial"/>
          <w:sz w:val="18"/>
          <w:szCs w:val="18"/>
          <w:color w:val="auto"/>
        </w:rPr>
      </w:pPr>
    </w:p>
    <w:p>
      <w:pPr>
        <w:ind w:left="1120" w:hanging="37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11" w:lineRule="exact"/>
        <w:rPr>
          <w:rFonts w:ascii="Arial" w:cs="Arial" w:eastAsia="Arial" w:hAnsi="Arial"/>
          <w:sz w:val="18"/>
          <w:szCs w:val="18"/>
          <w:color w:val="auto"/>
        </w:rPr>
      </w:pPr>
    </w:p>
    <w:p>
      <w:pPr>
        <w:ind w:left="1120" w:hanging="37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11" w:lineRule="exact"/>
        <w:rPr>
          <w:rFonts w:ascii="Arial" w:cs="Arial" w:eastAsia="Arial" w:hAnsi="Arial"/>
          <w:sz w:val="18"/>
          <w:szCs w:val="18"/>
          <w:color w:val="auto"/>
        </w:rPr>
      </w:pPr>
    </w:p>
    <w:p>
      <w:pPr>
        <w:ind w:left="1120" w:hanging="37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11" w:lineRule="exact"/>
        <w:rPr>
          <w:rFonts w:ascii="Arial" w:cs="Arial" w:eastAsia="Arial" w:hAnsi="Arial"/>
          <w:sz w:val="18"/>
          <w:szCs w:val="18"/>
          <w:color w:val="auto"/>
        </w:rPr>
      </w:pPr>
    </w:p>
    <w:p>
      <w:pPr>
        <w:ind w:left="1120" w:hanging="37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17"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In addition, the terms of the indenture and the 4.875% Notes due 2026 do not protect holders of the 4.875% Notes due 2026 in the event that we experience changes (including significant adverse changes) in our financial condition, results of operations or credit ratings, as they will not require that we or our subsidiaries adhere to any financial tests or ratios or specified levels of net worth, revenues, income, cash flow or liquidity other than as described above.</w:t>
      </w:r>
    </w:p>
    <w:p>
      <w:pPr>
        <w:spacing w:after="0" w:line="1"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7"/>
          <w:szCs w:val="17"/>
          <w:color w:val="auto"/>
        </w:rPr>
        <w:t>Our ability to recapitalize, incur additional debt and take a number of other actions will not be limited by the terms of the 4.875% Notes due 2026 and may have important consequences for you as a holder of the 4.875% Notes due 2026, including making it more difficult for us to satisfy our obligations with respect to the 4.875% Notes due 2026 or negatively affecting the trading value of the 4.875% Notes due 2026.</w:t>
      </w:r>
    </w:p>
    <w:p>
      <w:pPr>
        <w:spacing w:after="0" w:line="2" w:lineRule="exact"/>
        <w:rPr>
          <w:sz w:val="20"/>
          <w:szCs w:val="20"/>
          <w:color w:val="auto"/>
        </w:rPr>
      </w:pPr>
    </w:p>
    <w:p>
      <w:pPr>
        <w:ind w:right="180" w:firstLine="749"/>
        <w:spacing w:after="0" w:line="250"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4.875% Notes due 2026, including additional covenants and events of default. The issuance or incurrence of any such debt with incremental protections could affect the market for and trading levels and prices of the 4.875% Notes due 2026.</w:t>
      </w:r>
    </w:p>
    <w:p>
      <w:pPr>
        <w:spacing w:after="0"/>
        <w:rPr>
          <w:sz w:val="20"/>
          <w:szCs w:val="20"/>
          <w:color w:val="auto"/>
        </w:rPr>
      </w:pPr>
      <w:r>
        <w:rPr>
          <w:rFonts w:ascii="Arial" w:cs="Arial" w:eastAsia="Arial" w:hAnsi="Arial"/>
          <w:sz w:val="18"/>
          <w:szCs w:val="18"/>
          <w:b w:val="1"/>
          <w:bCs w:val="1"/>
          <w:i w:val="1"/>
          <w:iCs w:val="1"/>
          <w:color w:val="auto"/>
        </w:rPr>
        <w:t>We may not be able to repurchase the 4.875% Notes due 2026 upon a Change of Control Repurchase Event.</w:t>
      </w:r>
    </w:p>
    <w:p>
      <w:pPr>
        <w:spacing w:after="0" w:line="9" w:lineRule="exact"/>
        <w:rPr>
          <w:sz w:val="20"/>
          <w:szCs w:val="20"/>
          <w:color w:val="auto"/>
        </w:rPr>
      </w:pPr>
    </w:p>
    <w:p>
      <w:pPr>
        <w:ind w:right="20" w:firstLine="749"/>
        <w:spacing w:after="0" w:line="251" w:lineRule="auto"/>
        <w:rPr>
          <w:sz w:val="20"/>
          <w:szCs w:val="20"/>
          <w:color w:val="auto"/>
        </w:rPr>
      </w:pPr>
      <w:r>
        <w:rPr>
          <w:rFonts w:ascii="Arial" w:cs="Arial" w:eastAsia="Arial" w:hAnsi="Arial"/>
          <w:sz w:val="18"/>
          <w:szCs w:val="18"/>
          <w:color w:val="auto"/>
        </w:rPr>
        <w:t>We may not be able to repurchase the 4.875% Notes due 2026 upon a Change of Control Repurchase Event (as defined in the indenture governing the 4.875% Notes due 2026) because we may not have sufficient funds. Upon a Change of Control Repurchase Event, holders of the 4.875% Notes due 2026 may require us to repurchase for cash some or all of the 4.875% Notes due 2026 at a repurchase price equal to 100% of the aggregate principal amount of the 4.875% Notes due 2026 being repurchased, plus accrued and unpaid interest to, but not including, the repurchase date. Our failure to purchase such tendered 4.875% Notes due 2026 upon the occurrence of such Change of Control Repurchase Event would cause an event of default under the indenture governing the 4.875% Notes due 2026 and may cause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4.875% Notes due 2026.</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8" w:lineRule="exact"/>
        <w:rPr>
          <w:sz w:val="20"/>
          <w:szCs w:val="20"/>
          <w:color w:val="auto"/>
        </w:rPr>
      </w:pPr>
    </w:p>
    <w:p>
      <w:pPr>
        <w:ind w:right="100" w:firstLine="374"/>
        <w:spacing w:after="0" w:line="256" w:lineRule="auto"/>
        <w:rPr>
          <w:sz w:val="20"/>
          <w:szCs w:val="20"/>
          <w:color w:val="auto"/>
        </w:rPr>
      </w:pPr>
      <w:r>
        <w:rPr>
          <w:rFonts w:ascii="Arial" w:cs="Arial" w:eastAsia="Arial" w:hAnsi="Arial"/>
          <w:sz w:val="18"/>
          <w:szCs w:val="18"/>
          <w:color w:val="auto"/>
        </w:rPr>
        <w:t>Other than the shares issued pursuant to our dividend reinvestment plan (“DRIP”),we did not engage in any sales of unregistered securities during the six months ended June 30, 2021, except as previously reported by us on our current reports on Form 8-K. We issued a total of 99,959 shares of common stock under our dividend reinvestment plan (“DRIP”) during the six months ended June 30, 2021. This issuance was not subject to the registration requirements of the Securities Act. For the six months ended June 30, 2021, the aggregate value of the shares of our common stock issued under our DRIP was approximately $229 thousand.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information regarding recent repurchases of shares of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 Under the Program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1"/>
              </w:rPr>
              <w:t>Shares Purchased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(Dollars in Thousands)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1-March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April 1-June 30, 2020</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July 1-September 30, 2020</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October 1-December 31, 2020</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December 31, 2020</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March 11-March 31, 2021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April 1-June 30, 2021 </w:t>
            </w:r>
            <w:r>
              <w:rPr>
                <w:rFonts w:ascii="Arial" w:cs="Arial" w:eastAsia="Arial" w:hAnsi="Arial"/>
                <w:sz w:val="15"/>
                <w:szCs w:val="15"/>
                <w:color w:val="auto"/>
              </w:rPr>
              <w:t>(b)</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157,182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157,182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June 30, 2021</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157,182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157,182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891,585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891,585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40" w:right="20" w:hanging="368"/>
        <w:spacing w:after="0" w:line="283" w:lineRule="auto"/>
        <w:tabs>
          <w:tab w:leader="none" w:pos="7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On March 5, 2020, the Board of Directors of the Company approved a $10 million stock repurchase program. Under this repurchase program, shares could be repurchased from time to time in open market transactions, in privately negotiated transactions or otherwise subject to any law or agreement to which we were party including any restrictions under the 1940 Act and in the indentures for our debt securities. On March 11, 2021, the Board of Directors of the Company authorized a renewed stock repurchase program of up to $10 million (the “Renewed Stock Repurchase Program”) for an approximately one-year period, effective March 11, 2021 and terminating on March 31, 2022. Under this repurchase program, shares may be repurchased from time to time in open market transactions, in privately negotiated transactions or otherwise subject to any law or agreement to which we are party including any restrictions in the 1940 Act or the indenture for our 4.875% Notes Due 2026. The timing and actual number of shares repurchased will depend on a variety of factors, including legal requirements, price, and economic and market conditions. This Renewed Stock Repurchase Program may be suspended or discontinued at any time. Subject to these restrictions, we will selectively pursue opportunities to repurchase shares which are accretive to net asset value per share.</w:t>
      </w:r>
    </w:p>
    <w:p>
      <w:pPr>
        <w:spacing w:after="0" w:line="2" w:lineRule="exact"/>
        <w:rPr>
          <w:rFonts w:ascii="Arial" w:cs="Arial" w:eastAsia="Arial" w:hAnsi="Arial"/>
          <w:sz w:val="16"/>
          <w:szCs w:val="16"/>
          <w:color w:val="auto"/>
        </w:rPr>
      </w:pPr>
    </w:p>
    <w:p>
      <w:pPr>
        <w:ind w:left="740" w:hanging="368"/>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repurchases made during the three months ended June 30, 2021 were made between June 1, 2021 and June 30, 2021.</w:t>
      </w:r>
    </w:p>
    <w:p>
      <w:pPr>
        <w:spacing w:after="0" w:line="237"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4" w:name="page115"/>
    <w:bookmarkEnd w:id="114"/>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August 4, 2021, Andrew Devine resigned from his position as Chief Compliance Officer of the Company, effective as of such date.</w:t>
      </w:r>
    </w:p>
    <w:p>
      <w:pPr>
        <w:spacing w:after="0" w:line="198"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On August 4, 2021, the Board of Directors of the Company appointed David Held as Chief Compliance Officer of the Company, effective as of August 4, 2021.</w:t>
      </w:r>
    </w:p>
    <w:p>
      <w:pPr>
        <w:spacing w:after="0" w:line="129"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David Held, 51, joined BC Partners LLP in June 2021. Since June 2021, he has served as Chief Compliance Officer, Credit for BC Partners in New York City and has served as Chief Compliance Officer of Sierra Crest Investment Management. Between 2015 and 2021, he served as Chief Compliance Officer of Lyxor Asset Management Inc. Prior to his role at Lyxor Asset Management Inc., between 2012 and 2014 he served as Senior Compliance Officer at American Securities LLC in New York City and between 2008 and 2012 he served as Chief Compliance Officer at AXA Investment Managers Inc. in Greenwich, CT. Prior to his career in compliance, he was a securities and regulatory attorney in private practice. Mr. Held holds a J.D. from Georgetown University Law Center.</w:t>
      </w:r>
    </w:p>
    <w:p>
      <w:pPr>
        <w:spacing w:after="0" w:line="150"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The Company does not pay cash compensation or provide other benefits directly to Mr. Held or to any of its executive officers. Mr. Held is an employee of BC Partners LLP, the indirect sole owner of the Company's Administrator, which is compensated for the services it provides to the Company pursuant to the terms of the Administration Agreement. Pursuant to the Administration Agreement, the Company makes payments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Mr. Held.</w:t>
      </w:r>
    </w:p>
    <w:p>
      <w:pPr>
        <w:spacing w:after="0" w:line="133"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color w:val="auto"/>
        </w:rPr>
        <w:t>Mr. Held: (i) was not appointed as the Company's Chief Compliance Officer pursuant to any arrangement or understanding with any other person; (ii) does not have a family relationship with any of the Company's directors or other executive officers; and (iii) other than as disclosed herein, has not engaged, since the beginning of the Company's last fiscal year, nor proposes to engage, in any transaction in which the Company was or is a participant.</w:t>
      </w:r>
    </w:p>
    <w:p>
      <w:pPr>
        <w:spacing w:after="0" w:line="10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60" w:type="dxa"/>
            <w:vAlign w:val="bottom"/>
            <w:gridSpan w:val="22"/>
          </w:tcPr>
          <w:p>
            <w:pPr>
              <w:ind w:left="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1"/>
        </w:trPr>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80" w:type="dxa"/>
            <w:vAlign w:val="bottom"/>
            <w:gridSpan w:val="21"/>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Number</w:t>
            </w: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8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40" w:type="dxa"/>
            <w:vAlign w:val="bottom"/>
            <w:tcBorders>
              <w:top w:val="single" w:sz="8" w:color="auto"/>
            </w:tcBorders>
          </w:tcPr>
          <w:p>
            <w:pPr>
              <w:spacing w:after="0"/>
              <w:rPr>
                <w:rFonts w:ascii="Arial" w:cs="Arial" w:eastAsia="Arial" w:hAnsi="Arial"/>
                <w:sz w:val="18"/>
                <w:szCs w:val="18"/>
                <w:color w:val="0000EE"/>
                <w:w w:val="87"/>
              </w:rPr>
            </w:pPr>
            <w:hyperlink r:id="rId200">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tcBorders>
              <w:top w:val="single" w:sz="8" w:color="auto"/>
            </w:tcBorders>
            <w:gridSpan w:val="26"/>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Agreement and Plan of Merger, dated as of December 23, 2020 by and among the Company, Rye Acquisition Sub Inc., Harvest Capital Credit</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tcBorders>
              <w:bottom w:val="single" w:sz="8" w:color="0000EE"/>
            </w:tcBorders>
            <w:gridSpan w:val="22"/>
          </w:tcPr>
          <w:p>
            <w:pPr>
              <w:spacing w:after="0" w:line="195"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Corporation, and Sierra Crest Investment Management LLC (incorporated by reference to Exhibit 2.1 of the Current Report on Form 8-K filed</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60" w:type="dxa"/>
            <w:vAlign w:val="bottom"/>
            <w:gridSpan w:val="26"/>
          </w:tcPr>
          <w:p>
            <w:pPr>
              <w:spacing w:after="0" w:line="195" w:lineRule="exact"/>
              <w:rPr>
                <w:rFonts w:ascii="Arial" w:cs="Arial" w:eastAsia="Arial" w:hAnsi="Arial"/>
                <w:sz w:val="18"/>
                <w:szCs w:val="18"/>
                <w:color w:val="0000EE"/>
              </w:rPr>
            </w:pPr>
            <w:hyperlink r:id="rId200">
              <w:r>
                <w:rPr>
                  <w:rFonts w:ascii="Arial" w:cs="Arial" w:eastAsia="Arial" w:hAnsi="Arial"/>
                  <w:sz w:val="18"/>
                  <w:szCs w:val="18"/>
                  <w:color w:val="0000EE"/>
                </w:rPr>
                <w:t>December 28, 2020).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5"/>
              </w:rPr>
            </w:pPr>
            <w:hyperlink r:id="rId201">
              <w:r>
                <w:rPr>
                  <w:rFonts w:ascii="Arial" w:cs="Arial" w:eastAsia="Arial" w:hAnsi="Arial"/>
                  <w:sz w:val="18"/>
                  <w:szCs w:val="18"/>
                  <w:color w:val="0000EE"/>
                  <w:w w:val="95"/>
                </w:rPr>
                <w:t>Form of Certificate of Incorporation of Company (incorporated by reference to the exhibit included in Pre-Effective Amendment No. 1 on</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Form N-2, as filed on October 6, 2006 ).</w:t>
              </w:r>
            </w:hyperlink>
          </w:p>
        </w:tc>
        <w:tc>
          <w:tcPr>
            <w:tcW w:w="7020" w:type="dxa"/>
            <w:vAlign w:val="bottom"/>
            <w:tcBorders>
              <w:top w:val="single" w:sz="8" w:color="0000EE"/>
            </w:tcBorders>
            <w:gridSpan w:val="13"/>
          </w:tcPr>
          <w:p>
            <w:pPr>
              <w:spacing w:after="0"/>
              <w:rPr>
                <w:sz w:val="17"/>
                <w:szCs w:val="17"/>
                <w:color w:val="auto"/>
              </w:rPr>
            </w:pPr>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00" w:type="dxa"/>
            <w:vAlign w:val="bottom"/>
            <w:gridSpan w:val="3"/>
          </w:tcPr>
          <w:p>
            <w:pPr>
              <w:spacing w:after="0"/>
              <w:rPr>
                <w:rFonts w:ascii="Arial" w:cs="Arial" w:eastAsia="Arial" w:hAnsi="Arial"/>
                <w:sz w:val="18"/>
                <w:szCs w:val="18"/>
                <w:color w:val="0000EE"/>
              </w:rPr>
            </w:pPr>
            <w:hyperlink r:id="rId202">
              <w:r>
                <w:rPr>
                  <w:rFonts w:ascii="Arial" w:cs="Arial" w:eastAsia="Arial" w:hAnsi="Arial"/>
                  <w:sz w:val="18"/>
                  <w:szCs w:val="18"/>
                  <w:color w:val="0000EE"/>
                </w:rPr>
                <w:t>3.</w:t>
              </w:r>
              <w:r>
                <w:rPr>
                  <w:rFonts w:ascii="Arial" w:cs="Arial" w:eastAsia="Arial" w:hAnsi="Arial"/>
                  <w:sz w:val="18"/>
                  <w:szCs w:val="18"/>
                  <w:u w:val="single" w:color="auto"/>
                  <w:color w:val="0000EE"/>
                </w:rPr>
                <w:t>1.1</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4"/>
              </w:rPr>
            </w:pPr>
            <w:hyperlink r:id="rId202">
              <w:r>
                <w:rPr>
                  <w:rFonts w:ascii="Arial" w:cs="Arial" w:eastAsia="Arial" w:hAnsi="Arial"/>
                  <w:sz w:val="18"/>
                  <w:szCs w:val="18"/>
                  <w:color w:val="0000EE"/>
                  <w:w w:val="94"/>
                </w:rPr>
                <w:t>Certificate of Amendment to Certificate of Incorporation of Portman Ridge Finance Corporation (incorporated by reference to Exhibit 3.1 of</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r:id="rId202">
              <w:r>
                <w:rPr>
                  <w:rFonts w:ascii="Arial" w:cs="Arial" w:eastAsia="Arial" w:hAnsi="Arial"/>
                  <w:sz w:val="18"/>
                  <w:szCs w:val="18"/>
                  <w:color w:val="0000EE"/>
                </w:rPr>
                <w:t>the Current Report on Form 8-K, as filed on April 2, 2019).</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2"/>
              </w:rPr>
            </w:pPr>
            <w:hyperlink r:id="rId203">
              <w:r>
                <w:rPr>
                  <w:rFonts w:ascii="Arial" w:cs="Arial" w:eastAsia="Arial" w:hAnsi="Arial"/>
                  <w:sz w:val="18"/>
                  <w:szCs w:val="18"/>
                  <w:color w:val="0000EE"/>
                  <w:w w:val="92"/>
                </w:rPr>
                <w:t>Third Amended and Restated Bylaws of Portman Ridge Finance Corporation, dated as of July 20, 2021 (incorporated by reference to Exhibit</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r:id="rId203">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Current Report on Form 8-K, as filed on July 21, 2021).</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0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Form of Base Indenture between the Company and U.S. Bank National Association (incorporated by reference to Exhibit D.2 of the</w:t>
              </w:r>
            </w:hyperlink>
          </w:p>
        </w:tc>
        <w:tc>
          <w:tcPr>
            <w:tcW w:w="8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60" w:type="dxa"/>
            <w:vAlign w:val="bottom"/>
            <w:gridSpan w:val="26"/>
          </w:tcPr>
          <w:p>
            <w:pPr>
              <w:spacing w:after="0" w:line="195" w:lineRule="exact"/>
              <w:rPr>
                <w:rFonts w:ascii="Arial" w:cs="Arial" w:eastAsia="Arial" w:hAnsi="Arial"/>
                <w:sz w:val="18"/>
                <w:szCs w:val="18"/>
                <w:color w:val="0000EE"/>
              </w:rPr>
            </w:pPr>
            <w:hyperlink r:id="rId204">
              <w:r>
                <w:rPr>
                  <w:rFonts w:ascii="Arial" w:cs="Arial" w:eastAsia="Arial" w:hAnsi="Arial"/>
                  <w:sz w:val="18"/>
                  <w:szCs w:val="18"/>
                  <w:color w:val="0000EE"/>
                </w:rPr>
                <w:t>Registration Statement in Form N-2 filed on October 3, 2012).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Third Supplemental Indenture between the Company and U.S. Bank National Association relating to the 4.875% Notes due 2026 (incorporated</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by reference to Exhibit 4.1 of the Current Report on Form 8-K filed on May 3, 2021).</w:t>
              </w:r>
            </w:hyperlink>
          </w:p>
        </w:tc>
        <w:tc>
          <w:tcPr>
            <w:tcW w:w="414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rPr>
            </w:pPr>
            <w:hyperlink r:id="rId205">
              <w:r>
                <w:rPr>
                  <w:rFonts w:ascii="Arial" w:cs="Arial" w:eastAsia="Arial" w:hAnsi="Arial"/>
                  <w:sz w:val="18"/>
                  <w:szCs w:val="18"/>
                  <w:color w:val="0000EE"/>
                </w:rPr>
                <w:t>Form of 4.875% Notes due 2026 (incorporated by reference to Exhibit 4.2).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0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tcBorders>
              <w:bottom w:val="single" w:sz="8" w:color="0000EE"/>
            </w:tcBorders>
            <w:gridSpan w:val="21"/>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Registration Rights Agreement, dated as of April 30, 2021, by and among the Company and the Purchasers (as defined therein) (incorporated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tcBorders>
              <w:bottom w:val="single" w:sz="8" w:color="0000EE"/>
            </w:tcBorders>
            <w:gridSpan w:val="10"/>
          </w:tcPr>
          <w:p>
            <w:pPr>
              <w:spacing w:after="0" w:line="195" w:lineRule="exact"/>
              <w:rPr>
                <w:rFonts w:ascii="Arial" w:cs="Arial" w:eastAsia="Arial" w:hAnsi="Arial"/>
                <w:sz w:val="18"/>
                <w:szCs w:val="18"/>
                <w:color w:val="0000EE"/>
                <w:w w:val="92"/>
              </w:rPr>
            </w:pPr>
            <w:hyperlink r:id="rId206">
              <w:r>
                <w:rPr>
                  <w:rFonts w:ascii="Arial" w:cs="Arial" w:eastAsia="Arial" w:hAnsi="Arial"/>
                  <w:sz w:val="18"/>
                  <w:szCs w:val="18"/>
                  <w:color w:val="0000EE"/>
                  <w:w w:val="92"/>
                </w:rPr>
                <w:t>by reference to Exhibit 4.3 of the Current Report on Form 8-K filed on May 3, 2021).</w:t>
              </w:r>
            </w:hyperlink>
          </w:p>
        </w:tc>
        <w:tc>
          <w:tcPr>
            <w:tcW w:w="4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0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tcBorders>
              <w:bottom w:val="single" w:sz="8" w:color="0000EE"/>
            </w:tcBorders>
            <w:gridSpan w:val="18"/>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Form of Base Indenture between Harvest Capital Credit Corporation and U.S. Bank National Association (Incorporated by reference to Pre-</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60" w:type="dxa"/>
            <w:vAlign w:val="bottom"/>
            <w:gridSpan w:val="26"/>
          </w:tcPr>
          <w:p>
            <w:pPr>
              <w:spacing w:after="0" w:line="195" w:lineRule="exact"/>
              <w:rPr>
                <w:rFonts w:ascii="Arial" w:cs="Arial" w:eastAsia="Arial" w:hAnsi="Arial"/>
                <w:sz w:val="18"/>
                <w:szCs w:val="18"/>
                <w:color w:val="0000EE"/>
              </w:rPr>
            </w:pPr>
            <w:hyperlink r:id="rId207">
              <w:r>
                <w:rPr>
                  <w:rFonts w:ascii="Arial" w:cs="Arial" w:eastAsia="Arial" w:hAnsi="Arial"/>
                  <w:sz w:val="18"/>
                  <w:szCs w:val="18"/>
                  <w:color w:val="0000EE"/>
                </w:rPr>
                <w:t>Effective Amendment No. 1 to the Registration Statement on Form N-2, File No. 333-198362, filed on November 7, 2014).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Second Supplemental Indenture between Harvest Capital Credit Corporation and U.S. Bank National Association, as trustee (incorporated</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herein by reference to Exhibit 4.2 of Harvest Capital Credit Corporation’s Form 8-A filed on August 24, 2017).</w:t>
              </w:r>
            </w:hyperlink>
          </w:p>
        </w:tc>
        <w:tc>
          <w:tcPr>
            <w:tcW w:w="1920" w:type="dxa"/>
            <w:vAlign w:val="bottom"/>
            <w:tcBorders>
              <w:top w:val="single" w:sz="8" w:color="0000EE"/>
            </w:tcBorders>
            <w:gridSpan w:val="4"/>
          </w:tcPr>
          <w:p>
            <w:pPr>
              <w:spacing w:after="0"/>
              <w:rPr>
                <w:sz w:val="17"/>
                <w:szCs w:val="17"/>
                <w:color w:val="auto"/>
              </w:rPr>
            </w:pPr>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Form of Global Note with respect to the 6.125% Notes due 2022 (incorporated herein by reference to Exhibit 4.2 of Harvest Capital Credit</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Corporation’s Form 8-A filed on August 24, 2017).</w:t>
              </w:r>
            </w:hyperlink>
          </w:p>
        </w:tc>
        <w:tc>
          <w:tcPr>
            <w:tcW w:w="6280" w:type="dxa"/>
            <w:vAlign w:val="bottom"/>
            <w:tcBorders>
              <w:top w:val="single" w:sz="8" w:color="0000EE"/>
            </w:tcBorders>
            <w:gridSpan w:val="13"/>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20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Arial" w:cs="Arial" w:eastAsia="Arial" w:hAnsi="Arial"/>
                <w:sz w:val="18"/>
                <w:szCs w:val="18"/>
                <w:color w:val="0000EE"/>
                <w:w w:val="89"/>
              </w:rPr>
            </w:pPr>
            <w:hyperlink r:id="rId209">
              <w:r>
                <w:rPr>
                  <w:rFonts w:ascii="Arial" w:cs="Arial" w:eastAsia="Arial" w:hAnsi="Arial"/>
                  <w:sz w:val="18"/>
                  <w:szCs w:val="18"/>
                  <w:color w:val="0000EE"/>
                  <w:w w:val="89"/>
                </w:rPr>
                <w:t>Third Supplemental Indenture, dated as of June 9, 2021, by and between the Company and U.S. National Bank Association, as trustee</w:t>
              </w:r>
            </w:hyperlink>
          </w:p>
        </w:tc>
        <w:tc>
          <w:tcPr>
            <w:tcW w:w="7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60" w:type="dxa"/>
            <w:vAlign w:val="bottom"/>
            <w:gridSpan w:val="26"/>
          </w:tcPr>
          <w:p>
            <w:pPr>
              <w:spacing w:after="0" w:line="195" w:lineRule="exact"/>
              <w:rPr>
                <w:rFonts w:ascii="Arial" w:cs="Arial" w:eastAsia="Arial" w:hAnsi="Arial"/>
                <w:sz w:val="18"/>
                <w:szCs w:val="18"/>
                <w:color w:val="0000EE"/>
              </w:rPr>
            </w:pPr>
            <w:hyperlink r:id="rId209">
              <w:r>
                <w:rPr>
                  <w:rFonts w:ascii="Arial" w:cs="Arial" w:eastAsia="Arial" w:hAnsi="Arial"/>
                  <w:sz w:val="18"/>
                  <w:szCs w:val="18"/>
                  <w:color w:val="0000EE"/>
                </w:rPr>
                <w:t>(incorporated by reference to Exhibit 4.4 of the Company’s Form 8-A on June 9, 2021).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1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40" w:type="dxa"/>
            <w:vAlign w:val="bottom"/>
          </w:tcPr>
          <w:p>
            <w:pPr>
              <w:spacing w:after="0"/>
              <w:rPr>
                <w:rFonts w:ascii="Arial" w:cs="Arial" w:eastAsia="Arial" w:hAnsi="Arial"/>
                <w:sz w:val="18"/>
                <w:szCs w:val="18"/>
                <w:color w:val="0000EE"/>
                <w:w w:val="87"/>
              </w:rPr>
            </w:pPr>
            <w:hyperlink r:id="rId20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89"/>
              </w:rPr>
            </w:pPr>
            <w:hyperlink r:id="rId209">
              <w:r>
                <w:rPr>
                  <w:rFonts w:ascii="Arial" w:cs="Arial" w:eastAsia="Arial" w:hAnsi="Arial"/>
                  <w:sz w:val="18"/>
                  <w:szCs w:val="18"/>
                  <w:color w:val="0000EE"/>
                  <w:w w:val="89"/>
                </w:rPr>
                <w:t>Registration Rights Agreement, dated as of June 23, 2021, by and among the Company and the Purchasers (as defined therein) (incorporated by</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340" w:type="dxa"/>
            <w:vAlign w:val="bottom"/>
            <w:tcBorders>
              <w:top w:val="single" w:sz="8" w:color="0000EE"/>
            </w:tcBorders>
            <w:gridSpan w:val="25"/>
          </w:tcPr>
          <w:p>
            <w:pPr>
              <w:spacing w:after="0" w:line="195" w:lineRule="exact"/>
              <w:rPr>
                <w:rFonts w:ascii="Arial" w:cs="Arial" w:eastAsia="Arial" w:hAnsi="Arial"/>
                <w:sz w:val="18"/>
                <w:szCs w:val="18"/>
                <w:color w:val="0000EE"/>
              </w:rPr>
            </w:pPr>
            <w:hyperlink r:id="rId209">
              <w:r>
                <w:rPr>
                  <w:rFonts w:ascii="Arial" w:cs="Arial" w:eastAsia="Arial" w:hAnsi="Arial"/>
                  <w:sz w:val="18"/>
                  <w:szCs w:val="18"/>
                  <w:color w:val="0000EE"/>
                </w:rPr>
                <w:t>reference to Exhibit 4.3 of the Current Report on Form 8-K filed on June 24,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140" w:type="dxa"/>
            <w:vAlign w:val="bottom"/>
            <w:gridSpan w:val="7"/>
            <w:shd w:val="clear" w:color="auto" w:fill="0000EE"/>
          </w:tcPr>
          <w:p>
            <w:pPr>
              <w:spacing w:after="0" w:line="20" w:lineRule="exact"/>
              <w:rPr>
                <w:sz w:val="1"/>
                <w:szCs w:val="1"/>
                <w:color w:val="auto"/>
              </w:rPr>
            </w:pPr>
          </w:p>
        </w:tc>
        <w:tc>
          <w:tcPr>
            <w:tcW w:w="412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18">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1**</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Certification of Chief Executive Officer Pursuant to Rule 13a-14(a) under the Securities Exchange Act of 1934, as adopted pursuant to Section</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5"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302 of the Sarbanes-Oxley Act of 2002.</w:t>
              </w:r>
            </w:hyperlink>
          </w:p>
        </w:tc>
        <w:tc>
          <w:tcPr>
            <w:tcW w:w="74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00" w:type="dxa"/>
            <w:vAlign w:val="bottom"/>
            <w:gridSpan w:val="3"/>
          </w:tcPr>
          <w:p>
            <w:pPr>
              <w:spacing w:after="0"/>
              <w:rPr>
                <w:rFonts w:ascii="Arial" w:cs="Arial" w:eastAsia="Arial" w:hAnsi="Arial"/>
                <w:sz w:val="18"/>
                <w:szCs w:val="18"/>
                <w:color w:val="0000EE"/>
                <w:w w:val="97"/>
              </w:rPr>
            </w:pPr>
            <w:hyperlink w:anchor="page119">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2**</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Certification of Chief Financial Officer Pursuant to Rule 13a-14(a) under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90"/>
              </w:rPr>
            </w:pPr>
            <w:hyperlink w:anchor="page119">
              <w:r>
                <w:rPr>
                  <w:rFonts w:ascii="Arial" w:cs="Arial" w:eastAsia="Arial" w:hAnsi="Arial"/>
                  <w:sz w:val="18"/>
                  <w:szCs w:val="18"/>
                  <w:color w:val="0000EE"/>
                  <w:w w:val="90"/>
                </w:rPr>
                <w:t>302 of the Sarbanes-Oxley Act of 2002.</w:t>
              </w:r>
            </w:hyperlink>
          </w:p>
        </w:tc>
        <w:tc>
          <w:tcPr>
            <w:tcW w:w="7340" w:type="dxa"/>
            <w:vAlign w:val="bottom"/>
            <w:tcBorders>
              <w:top w:val="single" w:sz="8" w:color="0000EE"/>
            </w:tcBorders>
            <w:gridSpan w:val="19"/>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00" w:type="dxa"/>
            <w:vAlign w:val="bottom"/>
            <w:gridSpan w:val="3"/>
          </w:tcPr>
          <w:p>
            <w:pPr>
              <w:spacing w:after="0"/>
              <w:rPr>
                <w:rFonts w:ascii="Arial" w:cs="Arial" w:eastAsia="Arial" w:hAnsi="Arial"/>
                <w:sz w:val="18"/>
                <w:szCs w:val="18"/>
                <w:color w:val="0000EE"/>
                <w:w w:val="97"/>
              </w:rPr>
            </w:pPr>
            <w:hyperlink w:anchor="page120">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60" w:type="dxa"/>
            <w:vAlign w:val="bottom"/>
            <w:gridSpan w:val="26"/>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Certification of Chief Executive Officer Pursuant to 18 U. S. C. 1350, as adopted pursuant to Section 906 of the Sarbanes-Oxley Act of 2002.</w:t>
              </w:r>
            </w:hyperlink>
          </w:p>
        </w:tc>
        <w:tc>
          <w:tcPr>
            <w:tcW w:w="0" w:type="dxa"/>
            <w:vAlign w:val="bottom"/>
          </w:tcPr>
          <w:p>
            <w:pPr>
              <w:spacing w:after="0"/>
              <w:rPr>
                <w:sz w:val="1"/>
                <w:szCs w:val="1"/>
                <w:color w:val="auto"/>
              </w:rPr>
            </w:pPr>
          </w:p>
        </w:tc>
      </w:tr>
      <w:tr>
        <w:trPr>
          <w:trHeight w:val="317"/>
        </w:trPr>
        <w:tc>
          <w:tcPr>
            <w:tcW w:w="5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121">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Certification of Chief Financial Officer Pursuant to 18 U. S. C. 1350, as adopted pursuant to Section 906 of the Sarbanes-Oxley Act of 2002.</w:t>
              </w:r>
            </w:hyperlink>
          </w:p>
        </w:tc>
        <w:tc>
          <w:tcPr>
            <w:tcW w:w="80" w:type="dxa"/>
            <w:vAlign w:val="bottom"/>
            <w:tcBorders>
              <w:top w:val="single" w:sz="8" w:color="0000EE"/>
            </w:tcBorders>
          </w:tcPr>
          <w:p>
            <w:pPr>
              <w:spacing w:after="0"/>
              <w:rPr>
                <w:sz w:val="24"/>
                <w:szCs w:val="24"/>
                <w:color w:val="auto"/>
              </w:rPr>
            </w:pPr>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left="380" w:hanging="372"/>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188" w:lineRule="exact"/>
        <w:rPr>
          <w:sz w:val="20"/>
          <w:szCs w:val="20"/>
          <w:color w:val="auto"/>
        </w:rPr>
      </w:pPr>
    </w:p>
    <w:p>
      <w:pPr>
        <w:ind w:right="54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PORTMAN RIDGE FINANCE CORPORATION</w:t>
            </w:r>
          </w:p>
        </w:tc>
      </w:tr>
      <w:tr>
        <w:trPr>
          <w:trHeight w:val="431"/>
        </w:trPr>
        <w:tc>
          <w:tcPr>
            <w:tcW w:w="3580" w:type="dxa"/>
            <w:vAlign w:val="bottom"/>
          </w:tcPr>
          <w:p>
            <w:pPr>
              <w:spacing w:after="0"/>
              <w:rPr>
                <w:sz w:val="20"/>
                <w:szCs w:val="20"/>
                <w:color w:val="auto"/>
              </w:rPr>
            </w:pPr>
            <w:r>
              <w:rPr>
                <w:rFonts w:ascii="Arial" w:cs="Arial" w:eastAsia="Arial" w:hAnsi="Arial"/>
                <w:sz w:val="18"/>
                <w:szCs w:val="18"/>
                <w:color w:val="auto"/>
              </w:rPr>
              <w:t>Date: August 5, 2021</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1"/>
              </w:rPr>
              <w:t>Edward Goldthorpe</w:t>
            </w:r>
          </w:p>
        </w:tc>
      </w:tr>
      <w:tr>
        <w:trPr>
          <w:trHeight w:val="216"/>
        </w:trPr>
        <w:tc>
          <w:tcPr>
            <w:tcW w:w="3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31"/>
        </w:trPr>
        <w:tc>
          <w:tcPr>
            <w:tcW w:w="3580" w:type="dxa"/>
            <w:vAlign w:val="bottom"/>
          </w:tcPr>
          <w:p>
            <w:pPr>
              <w:spacing w:after="0"/>
              <w:rPr>
                <w:sz w:val="20"/>
                <w:szCs w:val="20"/>
                <w:color w:val="auto"/>
              </w:rPr>
            </w:pPr>
            <w:r>
              <w:rPr>
                <w:rFonts w:ascii="Arial" w:cs="Arial" w:eastAsia="Arial" w:hAnsi="Arial"/>
                <w:sz w:val="18"/>
                <w:szCs w:val="18"/>
                <w:color w:val="auto"/>
              </w:rPr>
              <w:t>Date: August 5, 2021</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040" w:type="dxa"/>
            <w:vAlign w:val="bottom"/>
          </w:tcPr>
          <w:p>
            <w:pPr>
              <w:jc w:val="center"/>
              <w:spacing w:after="0"/>
              <w:rPr>
                <w:sz w:val="20"/>
                <w:szCs w:val="20"/>
                <w:color w:val="auto"/>
              </w:rPr>
            </w:pPr>
            <w:r>
              <w:rPr>
                <w:rFonts w:ascii="Arial" w:cs="Arial" w:eastAsia="Arial" w:hAnsi="Arial"/>
                <w:sz w:val="18"/>
                <w:szCs w:val="18"/>
                <w:color w:val="auto"/>
                <w:w w:val="87"/>
              </w:rPr>
              <w:t>/s/ Jason Roos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0</wp:posOffset>
            </wp:positionV>
            <wp:extent cx="32023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color w:val="auto"/>
        </w:rPr>
        <w:t>Jason Roos</w:t>
      </w:r>
    </w:p>
    <w:p>
      <w:pPr>
        <w:spacing w:after="0" w:line="22"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Edward Goldthorpe, certify that:</w:t>
      </w:r>
    </w:p>
    <w:p>
      <w:pPr>
        <w:spacing w:after="0" w:line="184" w:lineRule="exact"/>
        <w:rPr>
          <w:sz w:val="20"/>
          <w:szCs w:val="20"/>
          <w:color w:val="auto"/>
        </w:rPr>
      </w:pPr>
    </w:p>
    <w:p>
      <w:pPr>
        <w:ind w:left="1000" w:right="680" w:hanging="493"/>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Portman Ridge Finance Corporation (the “registrant”);</w:t>
      </w:r>
    </w:p>
    <w:p>
      <w:pPr>
        <w:spacing w:after="0" w:line="12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1000" w:hanging="493"/>
        <w:spacing w:after="0" w:line="307"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1520" w:right="140" w:hanging="501"/>
        <w:spacing w:after="0" w:line="286" w:lineRule="auto"/>
        <w:tabs>
          <w:tab w:leader="none" w:pos="152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520" w:right="200" w:hanging="501"/>
        <w:spacing w:after="0" w:line="263" w:lineRule="auto"/>
        <w:tabs>
          <w:tab w:leader="none" w:pos="15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jc w:val="both"/>
        <w:ind w:left="1520" w:hanging="501"/>
        <w:spacing w:after="0" w:line="341" w:lineRule="auto"/>
        <w:tabs>
          <w:tab w:leader="none" w:pos="15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520" w:hanging="501"/>
        <w:spacing w:after="0" w:line="263" w:lineRule="auto"/>
        <w:tabs>
          <w:tab w:leader="none" w:pos="15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1000" w:right="460" w:hanging="493"/>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8"/>
          <w:szCs w:val="18"/>
          <w:color w:val="auto"/>
        </w:rPr>
      </w:pPr>
    </w:p>
    <w:p>
      <w:pPr>
        <w:ind w:left="1520" w:right="260" w:hanging="501"/>
        <w:spacing w:after="0" w:line="341" w:lineRule="auto"/>
        <w:tabs>
          <w:tab w:leader="none" w:pos="15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20" w:right="540" w:hanging="501"/>
        <w:spacing w:after="0" w:line="277" w:lineRule="auto"/>
        <w:tabs>
          <w:tab w:leader="none" w:pos="15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288925</wp:posOffset>
            </wp:positionV>
            <wp:extent cx="975995" cy="419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9759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-127635</wp:posOffset>
            </wp:positionV>
            <wp:extent cx="32791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Jason Roos, certify that:</w:t>
      </w:r>
    </w:p>
    <w:p>
      <w:pPr>
        <w:spacing w:after="0" w:line="184" w:lineRule="exact"/>
        <w:rPr>
          <w:sz w:val="20"/>
          <w:szCs w:val="20"/>
          <w:color w:val="auto"/>
        </w:rPr>
      </w:pPr>
    </w:p>
    <w:p>
      <w:pPr>
        <w:ind w:left="1000" w:right="680" w:hanging="493"/>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Portman Ridge Finance Corporation (the “registrant”);</w:t>
      </w:r>
    </w:p>
    <w:p>
      <w:pPr>
        <w:spacing w:after="0" w:line="12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8"/>
          <w:szCs w:val="18"/>
          <w:color w:val="auto"/>
        </w:rPr>
      </w:pPr>
    </w:p>
    <w:p>
      <w:pPr>
        <w:ind w:left="1000" w:hanging="493"/>
        <w:spacing w:after="0" w:line="307"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8"/>
          <w:szCs w:val="18"/>
          <w:color w:val="auto"/>
        </w:rPr>
      </w:pPr>
    </w:p>
    <w:p>
      <w:pPr>
        <w:ind w:left="1520" w:right="140" w:hanging="501"/>
        <w:spacing w:after="0" w:line="286" w:lineRule="auto"/>
        <w:tabs>
          <w:tab w:leader="none" w:pos="15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7"/>
          <w:szCs w:val="17"/>
          <w:color w:val="auto"/>
        </w:rPr>
      </w:pPr>
    </w:p>
    <w:p>
      <w:pPr>
        <w:ind w:left="1520" w:right="200" w:hanging="501"/>
        <w:spacing w:after="0" w:line="263" w:lineRule="auto"/>
        <w:tabs>
          <w:tab w:leader="none" w:pos="15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jc w:val="both"/>
        <w:ind w:left="1520" w:hanging="501"/>
        <w:spacing w:after="0" w:line="341" w:lineRule="auto"/>
        <w:tabs>
          <w:tab w:leader="none" w:pos="15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520" w:hanging="501"/>
        <w:spacing w:after="0" w:line="263" w:lineRule="auto"/>
        <w:tabs>
          <w:tab w:leader="none" w:pos="15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8"/>
          <w:szCs w:val="18"/>
          <w:color w:val="auto"/>
        </w:rPr>
      </w:pPr>
    </w:p>
    <w:p>
      <w:pPr>
        <w:ind w:left="1000" w:right="460" w:hanging="493"/>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8"/>
          <w:szCs w:val="18"/>
          <w:color w:val="auto"/>
        </w:rPr>
      </w:pPr>
    </w:p>
    <w:p>
      <w:pPr>
        <w:ind w:left="1520" w:right="260" w:hanging="501"/>
        <w:spacing w:after="0" w:line="341" w:lineRule="auto"/>
        <w:tabs>
          <w:tab w:leader="none" w:pos="152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520" w:right="540" w:hanging="501"/>
        <w:spacing w:after="0" w:line="277" w:lineRule="auto"/>
        <w:tabs>
          <w:tab w:leader="none" w:pos="15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14605</wp:posOffset>
            </wp:positionV>
            <wp:extent cx="2363470" cy="3594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2363470" cy="3594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54"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-127635</wp:posOffset>
            </wp:positionV>
            <wp:extent cx="32791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3"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June 30, 2021 (the “Report”), I, Edward Goldthorpe, President and Chief Executive Officer of the Company, certify, pursuant to 18 U.S.C. §1350, as adopted pursuant to §906 of the Sarbanes-Oxley Act of 2002, that:</w:t>
      </w:r>
    </w:p>
    <w:p>
      <w:pPr>
        <w:spacing w:after="0" w:line="142" w:lineRule="exact"/>
        <w:rPr>
          <w:sz w:val="20"/>
          <w:szCs w:val="20"/>
          <w:color w:val="auto"/>
        </w:rPr>
      </w:pPr>
    </w:p>
    <w:p>
      <w:pPr>
        <w:ind w:left="1000" w:hanging="493"/>
        <w:spacing w:after="0"/>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1000" w:right="580" w:hanging="493"/>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14605</wp:posOffset>
            </wp:positionV>
            <wp:extent cx="975995" cy="419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9759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-127635</wp:posOffset>
            </wp:positionV>
            <wp:extent cx="32708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3"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June 30, 2021 (the “Report”), I, Jason Roos, Chief Financial Officer of the Company, certify, pursuant to 18 U.S.C. §1350, as adopted pursuant to §906 of the Sarbanes-Oxley Act of 2002, that:</w:t>
      </w:r>
    </w:p>
    <w:p>
      <w:pPr>
        <w:spacing w:after="0" w:line="142" w:lineRule="exact"/>
        <w:rPr>
          <w:sz w:val="20"/>
          <w:szCs w:val="20"/>
          <w:color w:val="auto"/>
        </w:rPr>
      </w:pPr>
    </w:p>
    <w:p>
      <w:pPr>
        <w:ind w:left="1000" w:hanging="493"/>
        <w:spacing w:after="0"/>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07" w:lineRule="exact"/>
        <w:rPr>
          <w:rFonts w:ascii="Arial" w:cs="Arial" w:eastAsia="Arial" w:hAnsi="Arial"/>
          <w:sz w:val="16"/>
          <w:szCs w:val="16"/>
          <w:color w:val="auto"/>
        </w:rPr>
      </w:pPr>
    </w:p>
    <w:p>
      <w:pPr>
        <w:ind w:left="1000" w:right="580" w:hanging="493"/>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14605</wp:posOffset>
            </wp:positionV>
            <wp:extent cx="2354580" cy="3683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2354580" cy="3683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68"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-127635</wp:posOffset>
            </wp:positionV>
            <wp:extent cx="32791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1"/>
      <w:numFmt w:val="bullet"/>
      <w:start w:val="1"/>
    </w:lvl>
  </w:abstractNum>
  <w:abstractNum w:abstractNumId="6">
    <w:nsid w:val="180115BE"/>
    <w:multiLevelType w:val="hybridMultilevel"/>
    <w:lvl w:ilvl="0">
      <w:lvlJc w:val="left"/>
      <w:lvlText w:val="2"/>
      <w:numFmt w:val="bullet"/>
      <w:start w:val="1"/>
    </w:lvl>
  </w:abstractNum>
  <w:abstractNum w:abstractNumId="7">
    <w:nsid w:val="235BA861"/>
    <w:multiLevelType w:val="hybridMultilevel"/>
    <w:lvl w:ilvl="0">
      <w:lvlJc w:val="left"/>
      <w:lvlText w:val="%1"/>
      <w:numFmt w:val="decimal"/>
      <w:start w:val="18"/>
    </w:lvl>
  </w:abstractNum>
  <w:abstractNum w:abstractNumId="8">
    <w:nsid w:val="47398C89"/>
    <w:multiLevelType w:val="hybridMultilevel"/>
    <w:lvl w:ilvl="0">
      <w:lvlJc w:val="left"/>
      <w:lvlText w:val="%1"/>
      <w:numFmt w:val="decimal"/>
      <w:start w:val="23"/>
    </w:lvl>
  </w:abstractNum>
  <w:abstractNum w:abstractNumId="9">
    <w:nsid w:val="354FE9F9"/>
    <w:multiLevelType w:val="hybridMultilevel"/>
    <w:lvl w:ilvl="0">
      <w:lvlJc w:val="left"/>
      <w:lvlText w:val="%1"/>
      <w:numFmt w:val="decimal"/>
      <w:start w:val="26"/>
    </w:lvl>
  </w:abstractNum>
  <w:abstractNum w:abstractNumId="10">
    <w:nsid w:val="15B5AF5C"/>
    <w:multiLevelType w:val="hybridMultilevel"/>
    <w:lvl w:ilvl="0">
      <w:lvlJc w:val="left"/>
      <w:lvlText w:val="1"/>
      <w:numFmt w:val="bullet"/>
      <w:start w:val="1"/>
    </w:lvl>
  </w:abstractNum>
  <w:abstractNum w:abstractNumId="11">
    <w:nsid w:val="741226BB"/>
    <w:multiLevelType w:val="hybridMultilevel"/>
    <w:lvl w:ilvl="0">
      <w:lvlJc w:val="left"/>
      <w:lvlText w:val="2"/>
      <w:numFmt w:val="bullet"/>
      <w:start w:val="1"/>
    </w:lvl>
  </w:abstractNum>
  <w:abstractNum w:abstractNumId="12">
    <w:nsid w:val="D34B6A8"/>
    <w:multiLevelType w:val="hybridMultilevel"/>
    <w:lvl w:ilvl="0">
      <w:lvlJc w:val="left"/>
      <w:lvlText w:val="7"/>
      <w:numFmt w:val="bullet"/>
      <w:start w:val="1"/>
    </w:lvl>
  </w:abstractNum>
  <w:abstractNum w:abstractNumId="13">
    <w:nsid w:val="10233C99"/>
    <w:multiLevelType w:val="hybridMultilevel"/>
    <w:lvl w:ilvl="0">
      <w:lvlJc w:val="left"/>
      <w:lvlText w:val="8"/>
      <w:numFmt w:val="bullet"/>
      <w:start w:val="1"/>
    </w:lvl>
  </w:abstractNum>
  <w:abstractNum w:abstractNumId="14">
    <w:nsid w:val="3F6AB60F"/>
    <w:multiLevelType w:val="hybridMultilevel"/>
    <w:lvl w:ilvl="0">
      <w:lvlJc w:val="left"/>
      <w:lvlText w:val="9"/>
      <w:numFmt w:val="bullet"/>
      <w:start w:val="1"/>
    </w:lvl>
  </w:abstractNum>
  <w:abstractNum w:abstractNumId="15">
    <w:nsid w:val="61574095"/>
    <w:multiLevelType w:val="hybridMultilevel"/>
    <w:lvl w:ilvl="0">
      <w:lvlJc w:val="left"/>
      <w:lvlText w:val="%1"/>
      <w:numFmt w:val="decimal"/>
      <w:start w:val="10"/>
    </w:lvl>
  </w:abstractNum>
  <w:abstractNum w:abstractNumId="16">
    <w:nsid w:val="7E0C57B1"/>
    <w:multiLevelType w:val="hybridMultilevel"/>
    <w:lvl w:ilvl="0">
      <w:lvlJc w:val="left"/>
      <w:lvlText w:val="%1"/>
      <w:numFmt w:val="decimal"/>
      <w:start w:val="16"/>
    </w:lvl>
  </w:abstractNum>
  <w:abstractNum w:abstractNumId="17">
    <w:nsid w:val="77AE35EB"/>
    <w:multiLevelType w:val="hybridMultilevel"/>
    <w:lvl w:ilvl="0">
      <w:lvlJc w:val="left"/>
      <w:lvlText w:val="1"/>
      <w:numFmt w:val="bullet"/>
      <w:start w:val="1"/>
    </w:lvl>
  </w:abstractNum>
  <w:abstractNum w:abstractNumId="18">
    <w:nsid w:val="579BE4F1"/>
    <w:multiLevelType w:val="hybridMultilevel"/>
    <w:lvl w:ilvl="0">
      <w:lvlJc w:val="left"/>
      <w:lvlText w:val="2"/>
      <w:numFmt w:val="bullet"/>
      <w:start w:val="1"/>
    </w:lvl>
  </w:abstractNum>
  <w:abstractNum w:abstractNumId="19">
    <w:nsid w:val="310C50B3"/>
    <w:multiLevelType w:val="hybridMultilevel"/>
    <w:lvl w:ilvl="0">
      <w:lvlJc w:val="left"/>
      <w:lvlText w:val="3"/>
      <w:numFmt w:val="bullet"/>
      <w:start w:val="1"/>
    </w:lvl>
  </w:abstractNum>
  <w:abstractNum w:abstractNumId="20">
    <w:nsid w:val="5FF87E05"/>
    <w:multiLevelType w:val="hybridMultilevel"/>
    <w:lvl w:ilvl="0">
      <w:lvlJc w:val="left"/>
      <w:lvlText w:val="4"/>
      <w:numFmt w:val="bullet"/>
      <w:start w:val="1"/>
    </w:lvl>
  </w:abstractNum>
  <w:abstractNum w:abstractNumId="21">
    <w:nsid w:val="2F305DEF"/>
    <w:multiLevelType w:val="hybridMultilevel"/>
    <w:lvl w:ilvl="0">
      <w:lvlJc w:val="left"/>
      <w:lvlText w:val="5"/>
      <w:numFmt w:val="bullet"/>
      <w:start w:val="1"/>
    </w:lvl>
  </w:abstractNum>
  <w:abstractNum w:abstractNumId="22">
    <w:nsid w:val="25A70BF7"/>
    <w:multiLevelType w:val="hybridMultilevel"/>
    <w:lvl w:ilvl="0">
      <w:lvlJc w:val="left"/>
      <w:lvlText w:val="6"/>
      <w:numFmt w:val="bullet"/>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2"/>
    </w:lvl>
  </w:abstractNum>
  <w:abstractNum w:abstractNumId="25">
    <w:nsid w:val="1F48EAA1"/>
    <w:multiLevelType w:val="hybridMultilevel"/>
    <w:lvl w:ilvl="0">
      <w:lvlJc w:val="left"/>
      <w:lvlText w:val="%1:"/>
      <w:numFmt w:val="decimal"/>
      <w:start w:val="820"/>
    </w:lvl>
  </w:abstractNum>
  <w:abstractNum w:abstractNumId="26">
    <w:nsid w:val="1381823A"/>
    <w:multiLevelType w:val="hybridMultilevel"/>
    <w:lvl w:ilvl="0">
      <w:lvlJc w:val="left"/>
      <w:lvlText w:val="%1."/>
      <w:numFmt w:val="decimal"/>
      <w:start w:val="3"/>
    </w:lvl>
  </w:abstractNum>
  <w:abstractNum w:abstractNumId="27">
    <w:nsid w:val="5DB70AE5"/>
    <w:multiLevelType w:val="hybridMultilevel"/>
    <w:lvl w:ilvl="0">
      <w:lvlJc w:val="left"/>
      <w:lvlText w:val="%1."/>
      <w:numFmt w:val="decimal"/>
      <w:start w:val="4"/>
    </w:lvl>
  </w:abstractNum>
  <w:abstractNum w:abstractNumId="28">
    <w:nsid w:val="100F8FCA"/>
    <w:multiLevelType w:val="hybridMultilevel"/>
    <w:lvl w:ilvl="0">
      <w:lvlJc w:val="left"/>
      <w:lvlText w:val="1"/>
      <w:numFmt w:val="bullet"/>
      <w:start w:val="1"/>
    </w:lvl>
  </w:abstractNum>
  <w:abstractNum w:abstractNumId="29">
    <w:nsid w:val="6590700B"/>
    <w:multiLevelType w:val="hybridMultilevel"/>
    <w:lvl w:ilvl="0">
      <w:lvlJc w:val="left"/>
      <w:lvlText w:val="2"/>
      <w:numFmt w:val="bullet"/>
      <w:start w:val="1"/>
    </w:lvl>
  </w:abstractNum>
  <w:abstractNum w:abstractNumId="30">
    <w:nsid w:val="15014ACB"/>
    <w:multiLevelType w:val="hybridMultilevel"/>
    <w:lvl w:ilvl="0">
      <w:lvlJc w:val="left"/>
      <w:lvlText w:val="1"/>
      <w:numFmt w:val="bullet"/>
      <w:start w:val="1"/>
    </w:lvl>
  </w:abstractNum>
  <w:abstractNum w:abstractNumId="31">
    <w:nsid w:val="5F5E7FD0"/>
    <w:multiLevelType w:val="hybridMultilevel"/>
    <w:lvl w:ilvl="0">
      <w:lvlJc w:val="left"/>
      <w:lvlText w:val="2"/>
      <w:numFmt w:val="bullet"/>
      <w:start w:val="1"/>
    </w:lvl>
  </w:abstractNum>
  <w:abstractNum w:abstractNumId="32">
    <w:nsid w:val="98A3148"/>
    <w:multiLevelType w:val="hybridMultilevel"/>
    <w:lvl w:ilvl="0">
      <w:lvlJc w:val="left"/>
      <w:lvlText w:val="1"/>
      <w:numFmt w:val="bullet"/>
      <w:start w:val="1"/>
    </w:lvl>
  </w:abstractNum>
  <w:abstractNum w:abstractNumId="33">
    <w:nsid w:val="799D0247"/>
    <w:multiLevelType w:val="hybridMultilevel"/>
    <w:lvl w:ilvl="0">
      <w:lvlJc w:val="left"/>
      <w:lvlText w:val="2"/>
      <w:numFmt w:val="bullet"/>
      <w:start w:val="1"/>
    </w:lvl>
  </w:abstractNum>
  <w:abstractNum w:abstractNumId="34">
    <w:nsid w:val="6B94764"/>
    <w:multiLevelType w:val="hybridMultilevel"/>
    <w:lvl w:ilvl="0">
      <w:lvlJc w:val="left"/>
      <w:lvlText w:val="3"/>
      <w:numFmt w:val="bullet"/>
      <w:start w:val="1"/>
    </w:lvl>
  </w:abstractNum>
  <w:abstractNum w:abstractNumId="35">
    <w:nsid w:val="42C296BD"/>
    <w:multiLevelType w:val="hybridMultilevel"/>
    <w:lvl w:ilvl="0">
      <w:lvlJc w:val="left"/>
      <w:lvlText w:val="4"/>
      <w:numFmt w:val="bullet"/>
      <w:start w:val="1"/>
    </w:lvl>
  </w:abstractNum>
  <w:abstractNum w:abstractNumId="36">
    <w:nsid w:val="168E121F"/>
    <w:multiLevelType w:val="hybridMultilevel"/>
    <w:lvl w:ilvl="0">
      <w:lvlJc w:val="left"/>
      <w:lvlText w:val="5"/>
      <w:numFmt w:val="bullet"/>
      <w:start w:val="1"/>
    </w:lvl>
  </w:abstractNum>
  <w:abstractNum w:abstractNumId="37">
    <w:nsid w:val="1EBA5D23"/>
    <w:multiLevelType w:val="hybridMultilevel"/>
    <w:lvl w:ilvl="0">
      <w:lvlJc w:val="left"/>
      <w:lvlText w:val="6"/>
      <w:numFmt w:val="bullet"/>
      <w:start w:val="1"/>
    </w:lvl>
  </w:abstractNum>
  <w:abstractNum w:abstractNumId="38">
    <w:nsid w:val="661E3F1E"/>
    <w:multiLevelType w:val="hybridMultilevel"/>
    <w:lvl w:ilvl="0">
      <w:lvlJc w:val="left"/>
      <w:lvlText w:val="7"/>
      <w:numFmt w:val="bullet"/>
      <w:start w:val="1"/>
    </w:lvl>
  </w:abstractNum>
  <w:abstractNum w:abstractNumId="39">
    <w:nsid w:val="5DC79EA8"/>
    <w:multiLevelType w:val="hybridMultilevel"/>
    <w:lvl w:ilvl="0">
      <w:lvlJc w:val="left"/>
      <w:lvlText w:val="8"/>
      <w:numFmt w:val="bullet"/>
      <w:start w:val="1"/>
    </w:lvl>
  </w:abstractNum>
  <w:abstractNum w:abstractNumId="40">
    <w:nsid w:val="540A471C"/>
    <w:multiLevelType w:val="hybridMultilevel"/>
    <w:lvl w:ilvl="0">
      <w:lvlJc w:val="left"/>
      <w:lvlText w:val="1"/>
      <w:numFmt w:val="bullet"/>
      <w:start w:val="1"/>
    </w:lvl>
  </w:abstractNum>
  <w:abstractNum w:abstractNumId="41">
    <w:nsid w:val="7BD3EE7B"/>
    <w:multiLevelType w:val="hybridMultilevel"/>
    <w:lvl w:ilvl="0">
      <w:lvlJc w:val="left"/>
      <w:lvlText w:val="2"/>
      <w:numFmt w:val="bullet"/>
      <w:start w:val="1"/>
    </w:lvl>
  </w:abstractNum>
  <w:abstractNum w:abstractNumId="42">
    <w:nsid w:val="51D9C564"/>
    <w:multiLevelType w:val="hybridMultilevel"/>
    <w:lvl w:ilvl="0">
      <w:lvlJc w:val="left"/>
      <w:lvlText w:val="3"/>
      <w:numFmt w:val="bullet"/>
      <w:start w:val="1"/>
    </w:lvl>
  </w:abstractNum>
  <w:abstractNum w:abstractNumId="43">
    <w:nsid w:val="613EFDC5"/>
    <w:multiLevelType w:val="hybridMultilevel"/>
    <w:lvl w:ilvl="0">
      <w:lvlJc w:val="left"/>
      <w:lvlText w:val="4"/>
      <w:numFmt w:val="bullet"/>
      <w:start w:val="1"/>
    </w:lvl>
  </w:abstractNum>
  <w:abstractNum w:abstractNumId="44">
    <w:nsid w:val="BF72B14"/>
    <w:multiLevelType w:val="hybridMultilevel"/>
    <w:lvl w:ilvl="0">
      <w:lvlJc w:val="left"/>
      <w:lvlText w:val="5"/>
      <w:numFmt w:val="bullet"/>
      <w:start w:val="1"/>
    </w:lvl>
  </w:abstractNum>
  <w:abstractNum w:abstractNumId="45">
    <w:nsid w:val="11447B73"/>
    <w:multiLevelType w:val="hybridMultilevel"/>
    <w:lvl w:ilvl="0">
      <w:lvlJc w:val="left"/>
      <w:lvlText w:val="6"/>
      <w:numFmt w:val="bullet"/>
      <w:start w:val="1"/>
    </w:lvl>
  </w:abstractNum>
  <w:abstractNum w:abstractNumId="46">
    <w:nsid w:val="42963E5A"/>
    <w:multiLevelType w:val="hybridMultilevel"/>
    <w:lvl w:ilvl="0">
      <w:lvlJc w:val="left"/>
      <w:lvlText w:val="7"/>
      <w:numFmt w:val="bullet"/>
      <w:start w:val="1"/>
    </w:lvl>
  </w:abstractNum>
  <w:abstractNum w:abstractNumId="47">
    <w:nsid w:val="A0382C5"/>
    <w:multiLevelType w:val="hybridMultilevel"/>
    <w:lvl w:ilvl="0">
      <w:lvlJc w:val="left"/>
      <w:lvlText w:val="8"/>
      <w:numFmt w:val="bullet"/>
      <w:start w:val="1"/>
    </w:lvl>
  </w:abstractNum>
  <w:abstractNum w:abstractNumId="48">
    <w:nsid w:val="8F2B15E"/>
    <w:multiLevelType w:val="hybridMultilevel"/>
    <w:lvl w:ilvl="0">
      <w:lvlJc w:val="left"/>
      <w:lvlText w:val="9"/>
      <w:numFmt w:val="bullet"/>
      <w:start w:val="1"/>
    </w:lvl>
  </w:abstractNum>
  <w:abstractNum w:abstractNumId="49">
    <w:nsid w:val="1A32234B"/>
    <w:multiLevelType w:val="hybridMultilevel"/>
    <w:lvl w:ilvl="0">
      <w:lvlJc w:val="left"/>
      <w:lvlText w:val="%1"/>
      <w:numFmt w:val="decimal"/>
      <w:start w:val="10"/>
    </w:lvl>
  </w:abstractNum>
  <w:abstractNum w:abstractNumId="50">
    <w:nsid w:val="3B0FD379"/>
    <w:multiLevelType w:val="hybridMultilevel"/>
    <w:lvl w:ilvl="0">
      <w:lvlJc w:val="left"/>
      <w:lvlText w:val="\emdash "/>
      <w:numFmt w:val="bullet"/>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decimal"/>
      <w:start w:val="820"/>
    </w:lvl>
  </w:abstractNum>
  <w:abstractNum w:abstractNumId="54">
    <w:nsid w:val="6A5EE64"/>
    <w:multiLevelType w:val="hybridMultilevel"/>
    <w:lvl w:ilvl="0">
      <w:lvlJc w:val="left"/>
      <w:lvlText w:val="1"/>
      <w:numFmt w:val="bullet"/>
      <w:start w:val="1"/>
    </w:lvl>
  </w:abstractNum>
  <w:abstractNum w:abstractNumId="55">
    <w:nsid w:val="14330624"/>
    <w:multiLevelType w:val="hybridMultilevel"/>
    <w:lvl w:ilvl="0">
      <w:lvlJc w:val="left"/>
      <w:lvlText w:val="2"/>
      <w:numFmt w:val="bullet"/>
      <w:start w:val="1"/>
    </w:lvl>
  </w:abstractNum>
  <w:abstractNum w:abstractNumId="56">
    <w:nsid w:val="7FFFCA11"/>
    <w:multiLevelType w:val="hybridMultilevel"/>
    <w:lvl w:ilvl="0">
      <w:lvlJc w:val="left"/>
      <w:lvlText w:val="1"/>
      <w:numFmt w:val="bullet"/>
      <w:start w:val="1"/>
    </w:lvl>
  </w:abstractNum>
  <w:abstractNum w:abstractNumId="57">
    <w:nsid w:val="1A27709E"/>
    <w:multiLevelType w:val="hybridMultilevel"/>
    <w:lvl w:ilvl="0">
      <w:lvlJc w:val="left"/>
      <w:lvlText w:val="2"/>
      <w:numFmt w:val="bullet"/>
      <w:start w:val="1"/>
    </w:lvl>
  </w:abstractNum>
  <w:abstractNum w:abstractNumId="58">
    <w:nsid w:val="71EA1109"/>
    <w:multiLevelType w:val="hybridMultilevel"/>
    <w:lvl w:ilvl="0">
      <w:lvlJc w:val="left"/>
      <w:lvlText w:val="1"/>
      <w:numFmt w:val="bullet"/>
      <w:start w:val="1"/>
    </w:lvl>
  </w:abstractNum>
  <w:abstractNum w:abstractNumId="59">
    <w:nsid w:val="100F59DC"/>
    <w:multiLevelType w:val="hybridMultilevel"/>
    <w:lvl w:ilvl="0">
      <w:lvlJc w:val="left"/>
      <w:lvlText w:val="2"/>
      <w:numFmt w:val="bullet"/>
      <w:start w:val="1"/>
    </w:lvl>
  </w:abstractNum>
  <w:abstractNum w:abstractNumId="60">
    <w:nsid w:val="7FB7E0AA"/>
    <w:multiLevelType w:val="hybridMultilevel"/>
    <w:lvl w:ilvl="0">
      <w:lvlJc w:val="left"/>
      <w:lvlText w:val="1"/>
      <w:numFmt w:val="bullet"/>
      <w:start w:val="1"/>
    </w:lvl>
  </w:abstractNum>
  <w:abstractNum w:abstractNumId="61">
    <w:nsid w:val="6EB5BD4"/>
    <w:multiLevelType w:val="hybridMultilevel"/>
    <w:lvl w:ilvl="0">
      <w:lvlJc w:val="left"/>
      <w:lvlText w:val="2"/>
      <w:numFmt w:val="bullet"/>
      <w:start w:val="1"/>
    </w:lvl>
  </w:abstractNum>
  <w:abstractNum w:abstractNumId="62">
    <w:nsid w:val="6F6DD9AC"/>
    <w:multiLevelType w:val="hybridMultilevel"/>
    <w:lvl w:ilvl="0">
      <w:lvlJc w:val="left"/>
      <w:lvlText w:val="%1."/>
      <w:numFmt w:val="decimal"/>
      <w:start w:val="5"/>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1)"/>
      <w:numFmt w:val="lowerLetter"/>
      <w:start w:val="5"/>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decimal"/>
      <w:start w:val="6"/>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decimal"/>
      <w:start w:val="7"/>
    </w:lvl>
  </w:abstractNum>
  <w:abstractNum w:abstractNumId="72">
    <w:nsid w:val="2DF6D648"/>
    <w:multiLevelType w:val="hybridMultilevel"/>
    <w:lvl w:ilvl="0">
      <w:lvlJc w:val="left"/>
      <w:lvlText w:val="%1."/>
      <w:numFmt w:val="decimal"/>
      <w:start w:val="8"/>
    </w:lvl>
  </w:abstractNum>
  <w:abstractNum w:abstractNumId="73">
    <w:nsid w:val="46B7D447"/>
    <w:multiLevelType w:val="hybridMultilevel"/>
    <w:lvl w:ilvl="0">
      <w:lvlJc w:val="left"/>
      <w:lvlText w:val="%1."/>
      <w:numFmt w:val="decimal"/>
      <w:start w:val="9"/>
    </w:lvl>
  </w:abstractNum>
  <w:abstractNum w:abstractNumId="74">
    <w:nsid w:val="4A2AC315"/>
    <w:multiLevelType w:val="hybridMultilevel"/>
    <w:lvl w:ilvl="0">
      <w:lvlJc w:val="left"/>
      <w:lvlText w:val="1"/>
      <w:numFmt w:val="bullet"/>
      <w:start w:val="1"/>
    </w:lvl>
  </w:abstractNum>
  <w:abstractNum w:abstractNumId="75">
    <w:nsid w:val="39EE015C"/>
    <w:multiLevelType w:val="hybridMultilevel"/>
    <w:lvl w:ilvl="0">
      <w:lvlJc w:val="left"/>
      <w:lvlText w:val="(%1)"/>
      <w:numFmt w:val="lowerRoman"/>
      <w:start w:val="1"/>
    </w:lvl>
  </w:abstractNum>
  <w:abstractNum w:abstractNumId="76">
    <w:nsid w:val="57FC4FBB"/>
    <w:multiLevelType w:val="hybridMultilevel"/>
    <w:lvl w:ilvl="0">
      <w:lvlJc w:val="left"/>
      <w:lvlText w:val="%1."/>
      <w:numFmt w:val="decimal"/>
      <w:start w:val="12"/>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1"/>
    </w:lvl>
  </w:abstractNum>
  <w:abstractNum w:abstractNumId="79">
    <w:nsid w:val="60EF0119"/>
    <w:multiLevelType w:val="hybridMultilevel"/>
    <w:lvl w:ilvl="0">
      <w:lvlJc w:val="left"/>
      <w:lvlText w:val="(%1)"/>
      <w:numFmt w:val="decimal"/>
      <w:start w:val="1"/>
    </w:lvl>
  </w:abstractNum>
  <w:abstractNum w:abstractNumId="80">
    <w:nsid w:val="26F324BA"/>
    <w:multiLevelType w:val="hybridMultilevel"/>
    <w:lvl w:ilvl="0">
      <w:lvlJc w:val="left"/>
      <w:lvlText w:val="(%1)"/>
      <w:numFmt w:val="lowerRoman"/>
      <w:start w:val="2"/>
    </w:lvl>
  </w:abstractNum>
  <w:abstractNum w:abstractNumId="81">
    <w:nsid w:val="7F01579B"/>
    <w:multiLevelType w:val="hybridMultilevel"/>
    <w:lvl w:ilvl="0">
      <w:lvlJc w:val="left"/>
      <w:lvlText w:val="¹"/>
      <w:numFmt w:val="bullet"/>
      <w:start w:val="1"/>
    </w:lvl>
  </w:abstractNum>
  <w:abstractNum w:abstractNumId="82">
    <w:nsid w:val="49DA307D"/>
    <w:multiLevelType w:val="hybridMultilevel"/>
    <w:lvl w:ilvl="0">
      <w:lvlJc w:val="left"/>
      <w:lvlText w:val="²"/>
      <w:numFmt w:val="bullet"/>
      <w:start w:val="1"/>
    </w:lvl>
  </w:abstractNum>
  <w:abstractNum w:abstractNumId="83">
    <w:nsid w:val="7055A5F5"/>
    <w:multiLevelType w:val="hybridMultilevel"/>
    <w:lvl w:ilvl="0">
      <w:lvlJc w:val="left"/>
      <w:lvlText w:val="1"/>
      <w:numFmt w:val="bullet"/>
      <w:start w:val="1"/>
    </w:lvl>
  </w:abstractNum>
  <w:abstractNum w:abstractNumId="84">
    <w:nsid w:val="5FB8370B"/>
    <w:multiLevelType w:val="hybridMultilevel"/>
    <w:lvl w:ilvl="0">
      <w:lvlJc w:val="left"/>
      <w:lvlText w:val="2"/>
      <w:numFmt w:val="bullet"/>
      <w:start w:val="1"/>
    </w:lvl>
  </w:abstractNum>
  <w:abstractNum w:abstractNumId="85">
    <w:nsid w:val="50801EE1"/>
    <w:multiLevelType w:val="hybridMultilevel"/>
    <w:lvl w:ilvl="0">
      <w:lvlJc w:val="left"/>
      <w:lvlText w:val="1"/>
      <w:numFmt w:val="bullet"/>
      <w:start w:val="1"/>
    </w:lvl>
  </w:abstractNum>
  <w:abstractNum w:abstractNumId="86">
    <w:nsid w:val="488AC1A"/>
    <w:multiLevelType w:val="hybridMultilevel"/>
    <w:lvl w:ilvl="0">
      <w:lvlJc w:val="left"/>
      <w:lvlText w:val="2"/>
      <w:numFmt w:val="bullet"/>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1)"/>
      <w:numFmt w:val="decimal"/>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1"/>
      <w:numFmt w:val="bullet"/>
      <w:start w:val="1"/>
    </w:lvl>
  </w:abstractNum>
  <w:abstractNum w:abstractNumId="94">
    <w:nsid w:val="73A1821B"/>
    <w:multiLevelType w:val="hybridMultilevel"/>
    <w:lvl w:ilvl="0">
      <w:lvlJc w:val="left"/>
      <w:lvlText w:val="(%1)"/>
      <w:numFmt w:val="decimal"/>
      <w:start w:val="1"/>
    </w:lvl>
  </w:abstractNum>
  <w:abstractNum w:abstractNumId="95">
    <w:nsid w:val="7DE67713"/>
    <w:multiLevelType w:val="hybridMultilevel"/>
    <w:lvl w:ilvl="0">
      <w:lvlJc w:val="left"/>
      <w:lvlText w:val="%1:"/>
      <w:numFmt w:val="decimal"/>
      <w:start w:val="820"/>
    </w:lvl>
  </w:abstractNum>
  <w:abstractNum w:abstractNumId="96">
    <w:nsid w:val="555C55B5"/>
    <w:multiLevelType w:val="hybridMultilevel"/>
    <w:lvl w:ilvl="0">
      <w:lvlJc w:val="left"/>
      <w:lvlText w:val="•"/>
      <w:numFmt w:val="bullet"/>
      <w:start w:val="1"/>
    </w:lvl>
  </w:abstractNum>
  <w:abstractNum w:abstractNumId="97">
    <w:nsid w:val="3FA62ACA"/>
    <w:multiLevelType w:val="hybridMultilevel"/>
    <w:lvl w:ilvl="0">
      <w:lvlJc w:val="left"/>
      <w:lvlText w:val="1"/>
      <w:numFmt w:val="bullet"/>
      <w:start w:val="1"/>
    </w:lvl>
  </w:abstractNum>
  <w:abstractNum w:abstractNumId="98">
    <w:nsid w:val="14FCE74E"/>
    <w:multiLevelType w:val="hybridMultilevel"/>
    <w:lvl w:ilvl="0">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jpeg"/><Relationship Id="rId213" Type="http://schemas.openxmlformats.org/officeDocument/2006/relationships/image" Target="media/image196.png"/><Relationship Id="rId214" Type="http://schemas.openxmlformats.org/officeDocument/2006/relationships/image" Target="media/image197.jpeg"/><Relationship Id="rId215" Type="http://schemas.openxmlformats.org/officeDocument/2006/relationships/image" Target="media/image198.png"/><Relationship Id="rId216" Type="http://schemas.openxmlformats.org/officeDocument/2006/relationships/image" Target="media/image199.jpeg"/><Relationship Id="rId217" Type="http://schemas.openxmlformats.org/officeDocument/2006/relationships/image" Target="media/image200.png"/><Relationship Id="rId218" Type="http://schemas.openxmlformats.org/officeDocument/2006/relationships/image" Target="media/image201.jpeg"/><Relationship Id="rId219" Type="http://schemas.openxmlformats.org/officeDocument/2006/relationships/image" Target="media/image202.png"/><Relationship Id="rId200" Type="http://schemas.openxmlformats.org/officeDocument/2006/relationships/hyperlink" Target="http://www.sec.gov/Archives/edgar/data/1372807/000119312520326734/d89977dex21.htm" TargetMode="External"/><Relationship Id="rId201" Type="http://schemas.openxmlformats.org/officeDocument/2006/relationships/hyperlink" Target="http://www.sec.gov/Archives/edgar/data/1372807/000119312506204545/dex99a.htm" TargetMode="External"/><Relationship Id="rId202" Type="http://schemas.openxmlformats.org/officeDocument/2006/relationships/hyperlink" Target="http://www.sec.gov/Archives/edgar/data/1372807/000114420419017514/tv517653_ex3-1.htm" TargetMode="External"/><Relationship Id="rId203" Type="http://schemas.openxmlformats.org/officeDocument/2006/relationships/hyperlink" Target="http://www.sec.gov/Archives/edgar/data/1372807/000119312521220662/d298619dex31.htm" TargetMode="External"/><Relationship Id="rId204" Type="http://schemas.openxmlformats.org/officeDocument/2006/relationships/hyperlink" Target="http://www.sec.gov/Archives/edgar/data/1372807/000114420412054349/v323537_ex99d3.htm" TargetMode="External"/><Relationship Id="rId205" Type="http://schemas.openxmlformats.org/officeDocument/2006/relationships/hyperlink" Target="http://www.sec.gov/Archives/edgar/data/1372807/000119312521147534/d308157dex41.htm" TargetMode="External"/><Relationship Id="rId206" Type="http://schemas.openxmlformats.org/officeDocument/2006/relationships/hyperlink" Target="http://www.sec.gov/Archives/edgar/data/1372807/000119312521147534/d308157dex43.htm" TargetMode="External"/><Relationship Id="rId207" Type="http://schemas.openxmlformats.org/officeDocument/2006/relationships/hyperlink" Target="http://www.sec.gov/Archives/edgar/data/1559909/000143774914020074/ex99-d2.htm" TargetMode="External"/><Relationship Id="rId208" Type="http://schemas.openxmlformats.org/officeDocument/2006/relationships/hyperlink" Target="http://www.sec.gov/Archives/edgar/data/1559909/000143774917015234/ex4-2.htm" TargetMode="External"/><Relationship Id="rId209" Type="http://schemas.openxmlformats.org/officeDocument/2006/relationships/hyperlink" Target="http://www.sec.gov/Archives/edgar/data/1372807/000119312521197921/d121071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2021-08-05T15:55:18Z</dcterms:created>
  <dcterms:modified xsi:type="dcterms:W3CDTF">2021-08-05T15:55:18Z</dcterms:modified>
</cp:coreProperties>
</file>