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920" w:right="1240" w:hanging="912"/>
        <w:spacing w:after="0" w:line="282"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62" w:lineRule="exact"/>
        <w:rPr>
          <w:sz w:val="24"/>
          <w:szCs w:val="24"/>
          <w:color w:val="auto"/>
        </w:rPr>
      </w:pPr>
    </w:p>
    <w:p>
      <w:pPr>
        <w:ind w:left="920" w:hanging="91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9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2420" w:type="dxa"/>
        <w:tblCellMar>
          <w:top w:w="0" w:type="dxa"/>
          <w:left w:w="0" w:type="dxa"/>
          <w:bottom w:w="0" w:type="dxa"/>
          <w:right w:w="0" w:type="dxa"/>
        </w:tblCellMar>
      </w:tblPr>
      <w:tr>
        <w:trPr>
          <w:trHeight w:val="216"/>
        </w:trPr>
        <w:tc>
          <w:tcPr>
            <w:tcW w:w="36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36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(State or other jurisdiction of</w:t>
            </w:r>
          </w:p>
        </w:tc>
        <w:tc>
          <w:tcPr>
            <w:tcW w:w="304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6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Incorporation or organization)</w:t>
            </w:r>
          </w:p>
        </w:tc>
        <w:tc>
          <w:tcPr>
            <w:tcW w:w="3040" w:type="dxa"/>
            <w:vAlign w:val="bottom"/>
          </w:tcPr>
          <w:p>
            <w:pPr>
              <w:jc w:val="center"/>
              <w:ind w:left="1150"/>
              <w:spacing w:after="0"/>
              <w:rPr>
                <w:sz w:val="20"/>
                <w:szCs w:val="20"/>
                <w:color w:val="auto"/>
              </w:rPr>
            </w:pPr>
            <w:r>
              <w:rPr>
                <w:rFonts w:ascii="Arial" w:cs="Arial" w:eastAsia="Arial" w:hAnsi="Arial"/>
                <w:sz w:val="18"/>
                <w:szCs w:val="18"/>
                <w:b w:val="1"/>
                <w:bCs w:val="1"/>
                <w:color w:val="auto"/>
                <w:w w:val="94"/>
              </w:rPr>
              <w:t>Identification Number)</w:t>
            </w:r>
          </w:p>
        </w:tc>
      </w:tr>
    </w:tbl>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c>
          <w:tcPr>
            <w:tcW w:w="28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320"/>
              <w:spacing w:after="0"/>
              <w:rPr>
                <w:sz w:val="20"/>
                <w:szCs w:val="20"/>
                <w:color w:val="auto"/>
              </w:rPr>
            </w:pPr>
            <w:r>
              <w:rPr>
                <w:rFonts w:ascii="Arial" w:cs="Arial" w:eastAsia="Arial" w:hAnsi="Arial"/>
                <w:sz w:val="18"/>
                <w:szCs w:val="18"/>
                <w:color w:val="auto"/>
              </w:rPr>
              <w:t>(Do not check if a smaller reporting company)</w:t>
            </w:r>
          </w:p>
        </w:tc>
        <w:tc>
          <w:tcPr>
            <w:tcW w:w="28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common stock of the registrant as of November 1, 2017 was 37,339,224.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40" w:type="dxa"/>
            <w:vAlign w:val="bottom"/>
            <w:gridSpan w:val="14"/>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40" w:type="dxa"/>
            <w:vAlign w:val="bottom"/>
            <w:gridSpan w:val="14"/>
            <w:shd w:val="clear" w:color="auto" w:fill="CCEEFF"/>
          </w:tcPr>
          <w:p>
            <w:pPr>
              <w:jc w:val="center"/>
              <w:ind w:right="2320"/>
              <w:spacing w:after="0"/>
              <w:rPr>
                <w:sz w:val="20"/>
                <w:szCs w:val="20"/>
                <w:color w:val="auto"/>
              </w:rPr>
            </w:pPr>
            <w:r>
              <w:rPr>
                <w:rFonts w:ascii="Arial" w:cs="Arial" w:eastAsia="Arial" w:hAnsi="Arial"/>
                <w:sz w:val="18"/>
                <w:szCs w:val="18"/>
                <w:b w:val="1"/>
                <w:bCs w:val="1"/>
                <w:color w:val="auto"/>
                <w:w w:val="94"/>
              </w:rPr>
              <w:t>Part I. Financial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36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2017 (unaudited) and December 31,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(unaudited) for the three and nine months ended September 30, 2017 and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Changes in Net Assets (unaudited) for the nine months ended September 30, 2017 and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2017 and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2017 (unaudited) and December 31,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Consolidated Financial Highlights (unaudited) for the nine months ended September 30, 2017 and 2016</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Notes to Consolidated Financial Statements (unaudited)</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Item 3.</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Quantitative and Qualitative Disclosures About Market Risk</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4.</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5.</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720" w:type="dxa"/>
            <w:vAlign w:val="bottom"/>
            <w:gridSpan w:val="13"/>
            <w:shd w:val="clear" w:color="auto" w:fill="CCEEFF"/>
          </w:tcPr>
          <w:p>
            <w:pPr>
              <w:jc w:val="center"/>
              <w:ind w:right="3660"/>
              <w:spacing w:after="0" w:line="189" w:lineRule="exact"/>
              <w:rPr>
                <w:rFonts w:ascii="Arial" w:cs="Arial" w:eastAsia="Arial" w:hAnsi="Arial"/>
                <w:sz w:val="18"/>
                <w:szCs w:val="18"/>
                <w:b w:val="1"/>
                <w:bCs w:val="1"/>
                <w:color w:val="0000EE"/>
                <w:w w:val="97"/>
              </w:rPr>
            </w:pPr>
            <w:hyperlink w:anchor="page78">
              <w:r>
                <w:rPr>
                  <w:rFonts w:ascii="Arial" w:cs="Arial" w:eastAsia="Arial" w:hAnsi="Arial"/>
                  <w:sz w:val="18"/>
                  <w:szCs w:val="18"/>
                  <w:b w:val="1"/>
                  <w:bCs w:val="1"/>
                  <w:color w:val="0000EE"/>
                  <w:w w:val="97"/>
                </w:rPr>
                <w:t>Part II. Other Information</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Legal Proceedings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1A.</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Risk Factors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2.</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Unregistered Sales of Equity Securities and Use of Proceeds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3.</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Defaults Upon Senior Securities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4.</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5.</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6.</w:t>
              </w:r>
            </w:hyperlink>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Exhibits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(cost: 2017 - $57,024,828; 2016 - $28,699,269)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57,024,828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Debt securities (cost: 2017 - $134,031,011; 2016 - $249,520,234)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127,026,829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2017 - $73,495,563; 2016 - $71,734,809)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49,973,662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2017 - $5,049,176; 2016 - $5,116,508)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1,869,682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2017 - $10,389,008; 2016 - $10,389,007)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4,450,177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Asset Manager Affiliates (cost: 2017 - $53,341,230; 2016 - $55,341,230)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39,679,000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(cost: 2017 - $36,738,873; 2016 - $0)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36,591,122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Investments at Fair Value (cost: 2017 - $370,069,689; 2016 - $420,801,057)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316,615,300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366,471,304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923,344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from affiliates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1,159,759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322,807,909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4"/>
              </w:rPr>
              <w:t>Notes issued by KCAP Senior Funding I, LLC (net of discount and offering costs of: 2016 - $2,286,425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$2,459,156, respectively)</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142,604,419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2017 - $306,073; 2016 - $550,774)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26,693,927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6.125% Notes due 2022 (net of offering costs of: 2017 - $2,757,357)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74,649,843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34,950,728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1,649,529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2,047,405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78,438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138,022,465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186,447,058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per share, 100,000,000 common shares authorized; 37,485,993 issued,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7"/>
              </w:rPr>
              <w:t>37,317,815 outstanding at September 30, 2017, and 37,282,296 issued, and 37,178,294 outstanding at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373,178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354,341,009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353,404,155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Excess distribution of net investment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(19,589,473)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(95,485,836)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(88,491,896)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(54,853,434)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(55,728,798)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184,785,444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194,924,925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322,807,909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vMerge w:val="restart"/>
          </w:tcPr>
          <w:p>
            <w:pPr>
              <w:ind w:left="350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2,439,671</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5,186,745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11,764,702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16,106,654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short-term investments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21,043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51,250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2,693,547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3,307,950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8,378,785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9,595,522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99,578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329,108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 Joint Venture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Capital structuring service fees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134,504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321,744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298,629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481,456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investment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6,253,343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9,018,789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21,687,474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28,108,510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2,122,325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5,790,242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1,072,812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1,199,412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3,473,841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3,212,886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699,607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2,545,195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80,794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102,254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256,473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315,307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372,164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1,265,317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3,723,849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4,495,762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13,331,068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13,712,694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2,529,495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4,523,027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8,356,404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14,395,816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(losses) gains from investment transactions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(1,906,537)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4,647,841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(2,871,941)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456,530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4,172,723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(186,368)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(4,579,566)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(606,179)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(4,896,852)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(3,695,876)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(34,655)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(328,552)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Manager Affiliates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(1,113,000)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Joint Venture investment</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(147,751)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(147,751)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2,722,316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(6,366,240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875,365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(9,309,013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Net realized and unrealized appreciation (depreciation) on investments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815,779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(1,718,399)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(1,996,576)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(15,355,212)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(4,014,723)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(4,121,998)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rPr>
              <w:t>Net Increase (Decrease) In Stockholders’ Equity Resulting From</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(669,449)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2,716,613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2,237,830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(1,118,601)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rPr>
              <w:t>Net Increase (Decrease) In Stockholders' Equity Resulting from</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Operations per Common Share: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37,196,621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37,152,622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37,202,011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37,142,002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37,196,621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37,152,622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37,202,011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37,142,002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8,356,404</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14,395,816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(2,871,941)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(4,121,998)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875,365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(9,309,013)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(13,315,561)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(16,534,320)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issuance of common stock for: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(224,944)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288,192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875,002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1,154,123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938,250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1,455,824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194,924,925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216,100,470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2017 and $0 in 2016)</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184,785,444</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199,903,372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37,317,815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37,160,770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2,237,829</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(1,118,601)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increase (decrease) in stockholder’s equity resulting from operations to net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provided by in operating activities:</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2,871,941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on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(875,365)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(202,774,324)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(54,437,487)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252,169,877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accretion of amortization on investments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(707,654)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1,859,301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352,340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557,527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4,121,998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(829,774)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875,002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receivable for open trades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2,950,658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in payable for open trades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27,065,785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interest receivable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(2,000,021)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294,509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decrease in due from affiliates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(546,905)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due to affiliates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(Decrease) in accounts payable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(397,876)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(219,587)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accrued interest payable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(930,086)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84,624,419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48,507,536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Issuance of 6.125% Notes Due 2022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77,407,200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(2,798,940)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Issuance (forfeitures) of restricted shares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(13,027,367)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(15,984,693)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Repayment/repurchase of Senior Funding Notes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(147,350,000)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(19,299,000)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7.375% Notes Due 2019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(6,530,925)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(224,944)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(247,926)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restricted cash</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(92,523,674)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(46,702,870)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RESTRICTED CASH</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(7,899,255)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RESTRICTED CASH, BEGINNING OF PERIOD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9,835,555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RESTRICTED CASH, END OF PERIOD</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1,936,300</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1,804,666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 during the period</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5,810,461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289,478</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549,627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(8)(14)</w:t>
      </w:r>
    </w:p>
    <w:p>
      <w:pPr>
        <w:ind w:left="140"/>
        <w:spacing w:after="0"/>
        <w:rPr>
          <w:sz w:val="20"/>
          <w:szCs w:val="20"/>
          <w:color w:val="auto"/>
        </w:rPr>
      </w:pPr>
      <w:r>
        <w:rPr>
          <w:rFonts w:ascii="Arial" w:cs="Arial" w:eastAsia="Arial" w:hAnsi="Arial"/>
          <w:sz w:val="15"/>
          <w:szCs w:val="15"/>
          <w:color w:val="auto"/>
        </w:rPr>
        <w:t>(15)</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Consumer goods: Durable</w:t>
      </w:r>
    </w:p>
    <w:p>
      <w:pPr>
        <w:spacing w:after="0" w:line="200" w:lineRule="exact"/>
        <w:rPr>
          <w:sz w:val="20"/>
          <w:szCs w:val="20"/>
          <w:color w:val="auto"/>
        </w:rPr>
      </w:pPr>
    </w:p>
    <w:p>
      <w:pPr>
        <w:spacing w:after="0" w:line="245" w:lineRule="exact"/>
        <w:rPr>
          <w:sz w:val="20"/>
          <w:szCs w:val="20"/>
          <w:color w:val="auto"/>
        </w:rPr>
      </w:pPr>
    </w:p>
    <w:p>
      <w:pPr>
        <w:ind w:left="140" w:right="300" w:hanging="129"/>
        <w:spacing w:after="0" w:line="210" w:lineRule="auto"/>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(8)(14)</w:t>
      </w:r>
      <w:r>
        <w:rPr>
          <w:rFonts w:ascii="Arial" w:cs="Arial" w:eastAsia="Arial" w:hAnsi="Arial"/>
          <w:sz w:val="18"/>
          <w:szCs w:val="18"/>
          <w:color w:val="auto"/>
        </w:rPr>
        <w:t xml:space="preserve"> Services: Business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color w:val="auto"/>
        </w:rPr>
        <w:t>Aerospace and Defense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hanging="129"/>
        <w:spacing w:after="0"/>
        <w:rPr>
          <w:sz w:val="20"/>
          <w:szCs w:val="20"/>
          <w:color w:val="auto"/>
        </w:rPr>
      </w:pPr>
      <w:r>
        <w:rPr>
          <w:rFonts w:ascii="Arial" w:cs="Arial" w:eastAsia="Arial" w:hAnsi="Arial"/>
          <w:sz w:val="16"/>
          <w:szCs w:val="16"/>
          <w:color w:val="auto"/>
        </w:rPr>
        <w:t>Asurion, LLC (fka Asurion Corporation)</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Banking, Finance, Insurance &amp; Real Estate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880"/>
        <w:spacing w:after="0" w:line="288" w:lineRule="auto"/>
        <w:rPr>
          <w:sz w:val="20"/>
          <w:szCs w:val="20"/>
          <w:color w:val="auto"/>
        </w:rPr>
      </w:pPr>
      <w:r>
        <w:rPr>
          <w:rFonts w:ascii="Arial" w:cs="Arial" w:eastAsia="Arial" w:hAnsi="Arial"/>
          <w:sz w:val="15"/>
          <w:szCs w:val="15"/>
          <w:color w:val="auto"/>
        </w:rPr>
        <w:t>Avalign Technologies, Inc.</w:t>
      </w:r>
      <w:r>
        <w:rPr>
          <w:rFonts w:ascii="Arial" w:cs="Arial" w:eastAsia="Arial" w:hAnsi="Arial"/>
          <w:sz w:val="24"/>
          <w:szCs w:val="24"/>
          <w:color w:val="auto"/>
          <w:vertAlign w:val="superscript"/>
        </w:rPr>
        <w:t>(8)(14)</w:t>
      </w:r>
      <w:r>
        <w:rPr>
          <w:rFonts w:ascii="Arial" w:cs="Arial" w:eastAsia="Arial" w:hAnsi="Arial"/>
          <w:sz w:val="15"/>
          <w:szCs w:val="15"/>
          <w:color w:val="auto"/>
        </w:rPr>
        <w:t xml:space="preserve"> Healthcare &amp; Pharmaceuticals</w:t>
      </w:r>
    </w:p>
    <w:p>
      <w:pPr>
        <w:spacing w:after="0" w:line="200" w:lineRule="exact"/>
        <w:rPr>
          <w:sz w:val="20"/>
          <w:szCs w:val="20"/>
          <w:color w:val="auto"/>
        </w:rPr>
      </w:pPr>
    </w:p>
    <w:p>
      <w:pPr>
        <w:spacing w:after="0" w:line="383" w:lineRule="exact"/>
        <w:rPr>
          <w:sz w:val="20"/>
          <w:szCs w:val="20"/>
          <w:color w:val="auto"/>
        </w:rPr>
      </w:pPr>
    </w:p>
    <w:p>
      <w:pPr>
        <w:jc w:val="right"/>
        <w:ind w:right="880"/>
        <w:spacing w:after="0" w:line="288" w:lineRule="auto"/>
        <w:rPr>
          <w:sz w:val="20"/>
          <w:szCs w:val="20"/>
          <w:color w:val="auto"/>
        </w:rPr>
      </w:pPr>
      <w:r>
        <w:rPr>
          <w:rFonts w:ascii="Arial" w:cs="Arial" w:eastAsia="Arial" w:hAnsi="Arial"/>
          <w:sz w:val="15"/>
          <w:szCs w:val="15"/>
          <w:color w:val="auto"/>
        </w:rPr>
        <w:t>Avalign Technologies, Inc.</w:t>
      </w:r>
      <w:r>
        <w:rPr>
          <w:rFonts w:ascii="Arial" w:cs="Arial" w:eastAsia="Arial" w:hAnsi="Arial"/>
          <w:sz w:val="24"/>
          <w:szCs w:val="24"/>
          <w:color w:val="auto"/>
          <w:vertAlign w:val="superscript"/>
        </w:rPr>
        <w:t>(8)(14)</w:t>
      </w:r>
      <w:r>
        <w:rPr>
          <w:rFonts w:ascii="Arial" w:cs="Arial" w:eastAsia="Arial" w:hAnsi="Arial"/>
          <w:sz w:val="15"/>
          <w:szCs w:val="15"/>
          <w:color w:val="auto"/>
        </w:rPr>
        <w:t xml:space="preserve"> Healthcare &amp; Pharmaceuticals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(8)(14)</w:t>
      </w:r>
    </w:p>
    <w:p>
      <w:pPr>
        <w:ind w:left="140"/>
        <w:spacing w:after="0"/>
        <w:rPr>
          <w:sz w:val="20"/>
          <w:szCs w:val="20"/>
          <w:color w:val="auto"/>
        </w:rPr>
      </w:pPr>
      <w:r>
        <w:rPr>
          <w:rFonts w:ascii="Arial" w:cs="Arial" w:eastAsia="Arial" w:hAnsi="Arial"/>
          <w:sz w:val="18"/>
          <w:szCs w:val="18"/>
          <w:color w:val="auto"/>
        </w:rPr>
        <w:t>Beverage, Food and Tobacco</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CONSOLIDATED SCHEDULE OF INVESTMENS</w:t>
      </w:r>
    </w:p>
    <w:p>
      <w:pPr>
        <w:spacing w:after="0" w:line="9"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As of September 30, 2017</w:t>
      </w:r>
    </w:p>
    <w:p>
      <w:pPr>
        <w:spacing w:after="0" w:line="9"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3740" w:type="dxa"/>
            <w:vAlign w:val="bottom"/>
            <w:gridSpan w:val="3"/>
          </w:tcPr>
          <w:p>
            <w:pPr>
              <w:spacing w:after="0"/>
              <w:rPr>
                <w:sz w:val="20"/>
                <w:szCs w:val="20"/>
                <w:color w:val="auto"/>
              </w:rPr>
            </w:pPr>
            <w:r>
              <w:rPr>
                <w:rFonts w:ascii="Arial" w:cs="Arial" w:eastAsia="Arial" w:hAnsi="Arial"/>
                <w:sz w:val="18"/>
                <w:szCs w:val="18"/>
                <w:color w:val="auto"/>
              </w:rPr>
              <w:t>First Lien Bond — 12.500% - 6/2019 -</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w w:val="96"/>
              </w:rPr>
              <w:t>00753CAG7 5.3% Cash, 7.3% PIK, Due 6/19   $</w:t>
            </w:r>
          </w:p>
        </w:tc>
        <w:tc>
          <w:tcPr>
            <w:tcW w:w="1080" w:type="dxa"/>
            <w:vAlign w:val="bottom"/>
          </w:tcPr>
          <w:p>
            <w:pPr>
              <w:jc w:val="right"/>
              <w:spacing w:after="0"/>
              <w:rPr>
                <w:sz w:val="20"/>
                <w:szCs w:val="20"/>
                <w:color w:val="auto"/>
              </w:rPr>
            </w:pPr>
            <w:r>
              <w:rPr>
                <w:rFonts w:ascii="Arial" w:cs="Arial" w:eastAsia="Arial" w:hAnsi="Arial"/>
                <w:sz w:val="18"/>
                <w:szCs w:val="18"/>
                <w:color w:val="auto"/>
              </w:rPr>
              <w:t>3,157,500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3,054,337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1,063,761</w:t>
            </w:r>
          </w:p>
        </w:tc>
        <w:tc>
          <w:tcPr>
            <w:tcW w:w="0" w:type="dxa"/>
            <w:vAlign w:val="bottom"/>
          </w:tcPr>
          <w:p>
            <w:pPr>
              <w:spacing w:after="0"/>
              <w:rPr>
                <w:sz w:val="1"/>
                <w:szCs w:val="1"/>
                <w:color w:val="auto"/>
              </w:rPr>
            </w:pPr>
          </w:p>
        </w:tc>
      </w:tr>
      <w:tr>
        <w:trPr>
          <w:trHeight w:val="418"/>
        </w:trPr>
        <w:tc>
          <w:tcPr>
            <w:tcW w:w="3740" w:type="dxa"/>
            <w:vAlign w:val="bottom"/>
            <w:gridSpan w:val="3"/>
          </w:tcPr>
          <w:p>
            <w:pPr>
              <w:spacing w:after="0"/>
              <w:rPr>
                <w:sz w:val="20"/>
                <w:szCs w:val="20"/>
                <w:color w:val="auto"/>
              </w:rPr>
            </w:pPr>
            <w:r>
              <w:rPr>
                <w:rFonts w:ascii="Arial" w:cs="Arial" w:eastAsia="Arial" w:hAnsi="Arial"/>
                <w:sz w:val="18"/>
                <w:szCs w:val="18"/>
                <w:color w:val="auto"/>
              </w:rPr>
              <w:t>Junior Secured Loan — Term Loan (Second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Lien) 7.7% Cash, 1 month LIBOR(1.24%) +</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6.50%; LIBOR Floor 1.00% , Due 7/22</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962,300</w:t>
            </w:r>
          </w:p>
        </w:tc>
        <w:tc>
          <w:tcPr>
            <w:tcW w:w="0" w:type="dxa"/>
            <w:vAlign w:val="bottom"/>
          </w:tcPr>
          <w:p>
            <w:pPr>
              <w:spacing w:after="0"/>
              <w:rPr>
                <w:sz w:val="1"/>
                <w:szCs w:val="1"/>
                <w:color w:val="auto"/>
              </w:rPr>
            </w:pPr>
          </w:p>
        </w:tc>
      </w:tr>
      <w:tr>
        <w:trPr>
          <w:trHeight w:val="418"/>
        </w:trPr>
        <w:tc>
          <w:tcPr>
            <w:tcW w:w="3740" w:type="dxa"/>
            <w:vAlign w:val="bottom"/>
            <w:gridSpan w:val="3"/>
          </w:tcPr>
          <w:p>
            <w:pPr>
              <w:spacing w:after="0"/>
              <w:rPr>
                <w:sz w:val="20"/>
                <w:szCs w:val="20"/>
                <w:color w:val="auto"/>
              </w:rPr>
            </w:pPr>
            <w:r>
              <w:rPr>
                <w:rFonts w:ascii="Arial" w:cs="Arial" w:eastAsia="Arial" w:hAnsi="Arial"/>
                <w:sz w:val="18"/>
                <w:szCs w:val="18"/>
                <w:color w:val="auto"/>
              </w:rPr>
              <w:t>Senior Secured Loan — Term Loan (First</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Lien) 5.8% Cash, 3 month LIBOR(1.33%) +</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4.50%; LIBOR Floor 1.00% , Due 2/21</w:t>
            </w:r>
          </w:p>
        </w:tc>
        <w:tc>
          <w:tcPr>
            <w:tcW w:w="1080" w:type="dxa"/>
            <w:vAlign w:val="bottom"/>
          </w:tcPr>
          <w:p>
            <w:pPr>
              <w:jc w:val="right"/>
              <w:spacing w:after="0"/>
              <w:rPr>
                <w:sz w:val="20"/>
                <w:szCs w:val="20"/>
                <w:color w:val="auto"/>
              </w:rPr>
            </w:pPr>
            <w:r>
              <w:rPr>
                <w:rFonts w:ascii="Arial" w:cs="Arial" w:eastAsia="Arial" w:hAnsi="Arial"/>
                <w:sz w:val="18"/>
                <w:szCs w:val="18"/>
                <w:color w:val="auto"/>
              </w:rPr>
              <w:t>1,513,396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1,529,286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1,529,286</w:t>
            </w:r>
          </w:p>
        </w:tc>
        <w:tc>
          <w:tcPr>
            <w:tcW w:w="0" w:type="dxa"/>
            <w:vAlign w:val="bottom"/>
          </w:tcPr>
          <w:p>
            <w:pPr>
              <w:spacing w:after="0"/>
              <w:rPr>
                <w:sz w:val="1"/>
                <w:szCs w:val="1"/>
                <w:color w:val="auto"/>
              </w:rPr>
            </w:pPr>
          </w:p>
        </w:tc>
      </w:tr>
      <w:tr>
        <w:trPr>
          <w:trHeight w:val="418"/>
        </w:trPr>
        <w:tc>
          <w:tcPr>
            <w:tcW w:w="3740" w:type="dxa"/>
            <w:vAlign w:val="bottom"/>
            <w:gridSpan w:val="3"/>
          </w:tcPr>
          <w:p>
            <w:pPr>
              <w:spacing w:after="0"/>
              <w:rPr>
                <w:sz w:val="20"/>
                <w:szCs w:val="20"/>
                <w:color w:val="auto"/>
              </w:rPr>
            </w:pPr>
            <w:r>
              <w:rPr>
                <w:rFonts w:ascii="Arial" w:cs="Arial" w:eastAsia="Arial" w:hAnsi="Arial"/>
                <w:sz w:val="18"/>
                <w:szCs w:val="18"/>
                <w:color w:val="auto"/>
              </w:rPr>
              <w:t>Senior Secured Loan — Replacement B-5</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Term Loan 4.2% Cash, 3 month</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LIBOR(1.24%) + 3.00%; LIBOR Floor 0.00%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 Due 11/23</w:t>
            </w:r>
          </w:p>
        </w:tc>
        <w:tc>
          <w:tcPr>
            <w:tcW w:w="1080" w:type="dxa"/>
            <w:vAlign w:val="bottom"/>
          </w:tcPr>
          <w:p>
            <w:pPr>
              <w:jc w:val="right"/>
              <w:spacing w:after="0"/>
              <w:rPr>
                <w:sz w:val="20"/>
                <w:szCs w:val="20"/>
                <w:color w:val="auto"/>
              </w:rPr>
            </w:pPr>
            <w:r>
              <w:rPr>
                <w:rFonts w:ascii="Arial" w:cs="Arial" w:eastAsia="Arial" w:hAnsi="Arial"/>
                <w:sz w:val="18"/>
                <w:szCs w:val="18"/>
                <w:color w:val="auto"/>
              </w:rPr>
              <w:t>1,994,987</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2,007,456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2,007,556</w:t>
            </w:r>
          </w:p>
        </w:tc>
        <w:tc>
          <w:tcPr>
            <w:tcW w:w="0" w:type="dxa"/>
            <w:vAlign w:val="bottom"/>
          </w:tcPr>
          <w:p>
            <w:pPr>
              <w:spacing w:after="0"/>
              <w:rPr>
                <w:sz w:val="1"/>
                <w:szCs w:val="1"/>
                <w:color w:val="auto"/>
              </w:rPr>
            </w:pPr>
          </w:p>
        </w:tc>
      </w:tr>
      <w:tr>
        <w:trPr>
          <w:trHeight w:val="418"/>
        </w:trPr>
        <w:tc>
          <w:tcPr>
            <w:tcW w:w="3740" w:type="dxa"/>
            <w:vAlign w:val="bottom"/>
            <w:gridSpan w:val="3"/>
          </w:tcPr>
          <w:p>
            <w:pPr>
              <w:spacing w:after="0"/>
              <w:rPr>
                <w:sz w:val="20"/>
                <w:szCs w:val="20"/>
                <w:color w:val="auto"/>
              </w:rPr>
            </w:pPr>
            <w:r>
              <w:rPr>
                <w:rFonts w:ascii="Arial" w:cs="Arial" w:eastAsia="Arial" w:hAnsi="Arial"/>
                <w:sz w:val="18"/>
                <w:szCs w:val="18"/>
                <w:color w:val="auto"/>
              </w:rPr>
              <w:t>Senior Secured Loan — Initial Term Loan</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(First Lien) 5.7% Cash, 1 month</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LIBOR(1.24%) + 4.50%; LIBOR Floor 1.00%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 Due 7/21</w:t>
            </w:r>
          </w:p>
        </w:tc>
        <w:tc>
          <w:tcPr>
            <w:tcW w:w="1080" w:type="dxa"/>
            <w:vAlign w:val="bottom"/>
          </w:tcPr>
          <w:p>
            <w:pPr>
              <w:jc w:val="right"/>
              <w:spacing w:after="0"/>
              <w:rPr>
                <w:sz w:val="20"/>
                <w:szCs w:val="20"/>
                <w:color w:val="auto"/>
              </w:rPr>
            </w:pPr>
            <w:r>
              <w:rPr>
                <w:rFonts w:ascii="Arial" w:cs="Arial" w:eastAsia="Arial" w:hAnsi="Arial"/>
                <w:sz w:val="18"/>
                <w:szCs w:val="18"/>
                <w:color w:val="auto"/>
              </w:rPr>
              <w:t>1,078,170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1,075,612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1,078,170</w:t>
            </w:r>
          </w:p>
        </w:tc>
        <w:tc>
          <w:tcPr>
            <w:tcW w:w="0" w:type="dxa"/>
            <w:vAlign w:val="bottom"/>
          </w:tcPr>
          <w:p>
            <w:pPr>
              <w:spacing w:after="0"/>
              <w:rPr>
                <w:sz w:val="1"/>
                <w:szCs w:val="1"/>
                <w:color w:val="auto"/>
              </w:rPr>
            </w:pPr>
          </w:p>
        </w:tc>
      </w:tr>
      <w:tr>
        <w:trPr>
          <w:trHeight w:val="418"/>
        </w:trPr>
        <w:tc>
          <w:tcPr>
            <w:tcW w:w="3740" w:type="dxa"/>
            <w:vAlign w:val="bottom"/>
            <w:gridSpan w:val="3"/>
          </w:tcPr>
          <w:p>
            <w:pPr>
              <w:spacing w:after="0"/>
              <w:rPr>
                <w:sz w:val="20"/>
                <w:szCs w:val="20"/>
                <w:color w:val="auto"/>
              </w:rPr>
            </w:pPr>
            <w:r>
              <w:rPr>
                <w:rFonts w:ascii="Arial" w:cs="Arial" w:eastAsia="Arial" w:hAnsi="Arial"/>
                <w:sz w:val="18"/>
                <w:szCs w:val="18"/>
                <w:color w:val="auto"/>
              </w:rPr>
              <w:t>Junior Secured Loan — Initial Term Loan</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(Second Lien) 9.7% Cash, 6 month</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LIBOR(1.46%) + 8.25%; LIBOR Floor 1.00%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 Due 7/22</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1,488,351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1,479,000</w:t>
            </w:r>
          </w:p>
        </w:tc>
        <w:tc>
          <w:tcPr>
            <w:tcW w:w="0" w:type="dxa"/>
            <w:vAlign w:val="bottom"/>
          </w:tcPr>
          <w:p>
            <w:pPr>
              <w:spacing w:after="0"/>
              <w:rPr>
                <w:sz w:val="1"/>
                <w:szCs w:val="1"/>
                <w:color w:val="auto"/>
              </w:rPr>
            </w:pPr>
          </w:p>
        </w:tc>
      </w:tr>
      <w:tr>
        <w:trPr>
          <w:trHeight w:val="432"/>
        </w:trPr>
        <w:tc>
          <w:tcPr>
            <w:tcW w:w="3740" w:type="dxa"/>
            <w:vAlign w:val="bottom"/>
            <w:gridSpan w:val="3"/>
          </w:tcPr>
          <w:p>
            <w:pPr>
              <w:spacing w:after="0"/>
              <w:rPr>
                <w:sz w:val="20"/>
                <w:szCs w:val="20"/>
                <w:color w:val="auto"/>
              </w:rPr>
            </w:pPr>
            <w:r>
              <w:rPr>
                <w:rFonts w:ascii="Arial" w:cs="Arial" w:eastAsia="Arial" w:hAnsi="Arial"/>
                <w:sz w:val="18"/>
                <w:szCs w:val="18"/>
                <w:color w:val="auto"/>
              </w:rPr>
              <w:t>Senior Secured Bond — 10.625% - 08/2018 -</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143818AA0 144A 10.6% Cash, Due 8/18</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1,503,404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-4184650</wp:posOffset>
            </wp:positionV>
            <wp:extent cx="724662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-3583940</wp:posOffset>
            </wp:positionV>
            <wp:extent cx="724662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-3009265</wp:posOffset>
            </wp:positionV>
            <wp:extent cx="7246620"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-2434590</wp:posOffset>
            </wp:positionV>
            <wp:extent cx="724662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-1011555</wp:posOffset>
            </wp:positionV>
            <wp:extent cx="7246620" cy="574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320"/>
            <w:col w:w="7860"/>
          </w:cols>
          <w:pgMar w:left="240" w:top="904"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CSM Bakery Solutions Limited (fka CSM</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Bakery Supplies Limited)</w:t>
            </w:r>
            <w:r>
              <w:rPr>
                <w:rFonts w:ascii="Arial" w:cs="Arial" w:eastAsia="Arial" w:hAnsi="Arial"/>
                <w:sz w:val="29"/>
                <w:szCs w:val="29"/>
                <w:color w:val="auto"/>
                <w:vertAlign w:val="superscript"/>
              </w:rPr>
              <w:t>(8)(14)</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Lien) 9.1% Cash, 3 month LIBOR(1.30%) +</w:t>
            </w: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7.75%; LIBOR Floor 1.00% , Due 7/21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3,009,449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2,851,800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CT Technologies Intermediate Holdings, Inc.</w:t>
            </w:r>
          </w:p>
        </w:tc>
        <w:tc>
          <w:tcPr>
            <w:tcW w:w="38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Senior Secured Loan — New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w w:val="94"/>
              </w:rPr>
              <w:t>(Smart Holdings Corp.) (aka HealthPort)</w:t>
            </w:r>
            <w:r>
              <w:rPr>
                <w:rFonts w:ascii="Arial" w:cs="Arial" w:eastAsia="Arial" w:hAnsi="Arial"/>
                <w:sz w:val="29"/>
                <w:szCs w:val="29"/>
                <w:color w:val="auto"/>
                <w:w w:val="94"/>
                <w:vertAlign w:val="superscript"/>
              </w:rPr>
              <w:t>(8)</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Facility 5.5% Cash, 3 month LIBOR(1.24%) +</w:t>
            </w: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4.25%; LIBOR Floor 1.00% , Due 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1,994,898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2,004,872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2,004,872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DigiCert Holdings,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color w:val="auto"/>
        </w:rPr>
        <w:t>High Tech Industries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Drew Marine Group Inc.</w:t>
      </w:r>
      <w:r>
        <w:rPr>
          <w:rFonts w:ascii="Arial" w:cs="Arial" w:eastAsia="Arial" w:hAnsi="Arial"/>
          <w:sz w:val="26"/>
          <w:szCs w:val="26"/>
          <w:color w:val="auto"/>
          <w:vertAlign w:val="superscript"/>
        </w:rPr>
        <w:t>(8)(14)</w:t>
      </w:r>
    </w:p>
    <w:p>
      <w:pPr>
        <w:ind w:left="140"/>
        <w:spacing w:after="0"/>
        <w:rPr>
          <w:sz w:val="20"/>
          <w:szCs w:val="20"/>
          <w:color w:val="auto"/>
        </w:rPr>
      </w:pPr>
      <w:r>
        <w:rPr>
          <w:rFonts w:ascii="Arial" w:cs="Arial" w:eastAsia="Arial" w:hAnsi="Arial"/>
          <w:sz w:val="18"/>
          <w:szCs w:val="18"/>
          <w:color w:val="auto"/>
        </w:rPr>
        <w:t>Transportation: Cargo</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Junior Secured Loan — Term Loan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-121920</wp:posOffset>
            </wp:positionV>
            <wp:extent cx="724662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Lien) 9.0% Cash, 3 month LIBOR(1.24%) +</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7.76%; LIBOR Floor 1.00% , Due 9/25</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995,000</w:t>
            </w:r>
          </w:p>
        </w:tc>
        <w:tc>
          <w:tcPr>
            <w:tcW w:w="1100" w:type="dxa"/>
            <w:vAlign w:val="bottom"/>
          </w:tcPr>
          <w:p>
            <w:pPr>
              <w:jc w:val="right"/>
              <w:spacing w:after="0"/>
              <w:rPr>
                <w:sz w:val="20"/>
                <w:szCs w:val="20"/>
                <w:color w:val="auto"/>
              </w:rPr>
            </w:pPr>
            <w:r>
              <w:rPr>
                <w:rFonts w:ascii="Arial" w:cs="Arial" w:eastAsia="Arial" w:hAnsi="Arial"/>
                <w:sz w:val="18"/>
                <w:szCs w:val="18"/>
                <w:color w:val="auto"/>
              </w:rPr>
              <w:t>995,000</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Lien) 8.2% Cash, 1 month LIBOR(1.24%) +</w:t>
            </w:r>
          </w:p>
        </w:tc>
        <w:tc>
          <w:tcPr>
            <w:tcW w:w="1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7.00%; LIBOR Floor 1.00% , Due 5/21</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2,500,000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2,496,958</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-436880</wp:posOffset>
            </wp:positionV>
            <wp:extent cx="724662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780" w:space="720"/>
            <w:col w:w="7920"/>
          </w:cols>
          <w:pgMar w:left="240" w:top="904" w:right="2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EagleTree-Carbide Acquisition Corp. (aka</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Senior Secured Loan — First Lien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Corsair Components, Inc.)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5.7% Cash, 3 month LIBOR(1.23%) + 4.50%;</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0.00% , Due 9/24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EagleTree-Carbide Acquisition Corp. (aka</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Corsair Components, Inc.)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9.8% Cash, 3 month LIBOR(1.33%)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 LIBOR Floor 1.00% , Due 8/25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4,925,000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Eastern Power, LLC (Eastern Covert Midco,</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5.0%</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LLC) (aka TPF II LC, LLC)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 month LIBOR(1.24%) + 3.75%;</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Utilities: Electric</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1,981,386</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1,979,983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EWT Holdings III Corp. (fka WTG Holdings</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III Corp.)</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5.1% Cash, 3 month LIBOR(1.33%)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 LIBOR Floor 1.00% , Due 1/21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2,992,385</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3,037,271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B 8.8%</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Exela Technologies, Inc.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3 month LIBOR(1.30%) + 7.50%;</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6/23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1,961,345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6"/>
              </w:rPr>
              <w:t>First American Payment Systems, L.P.</w:t>
            </w:r>
            <w:r>
              <w:rPr>
                <w:rFonts w:ascii="Arial" w:cs="Arial" w:eastAsia="Arial" w:hAnsi="Arial"/>
                <w:sz w:val="29"/>
                <w:szCs w:val="29"/>
                <w:color w:val="auto"/>
                <w:w w:val="96"/>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Lien) 11.7% Cash, 1 month LIBOR(1.23%)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10.50%; LIBOR Floor 1.00% , Due 7/24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1,459,320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Flexera Software LLC (fka Flexera Software,</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4.8% Cash, 3 month LIBOR(1.33%)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LIBOR Floor 1.00% , Due 4/20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5.8%</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GI Advo Opco, LLC</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3 month LIBOR(1.33%) + 4.50%;</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236,732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235,090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GK Holdings, Inc. (aka Global Knowledge)</w:t>
            </w:r>
            <w:r>
              <w:rPr>
                <w:rFonts w:ascii="Arial" w:cs="Arial" w:eastAsia="Arial" w:hAnsi="Arial"/>
                <w:sz w:val="30"/>
                <w:szCs w:val="30"/>
                <w:color w:val="auto"/>
                <w:w w:val="97"/>
                <w:vertAlign w:val="superscript"/>
              </w:rPr>
              <w:t>(8)</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vMerge w:val="continue"/>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 11.6% Cash, 3 month</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LIBOR(1.33%) + 10.25%; LIBOR Floor</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 Due 1/22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1,481,433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Global Tel*Link Corporation</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9.1% Cash, 3 month LIBOR(1.33%)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LIBOR Floor 1.25% , Due 11/20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3,965,663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B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8.5% Cash, 3 month LIBOR(1.50%)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7.00%; LIBOR Floor 1.50% , Due 1/18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2,856,176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2,745,600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Lien) 13.8% Cash, 3 month LIBOR(0.00%)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13.75%; LIBOR Floor 0.00% , Due 7/18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7,191,667</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7,167,268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6,544,417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Tranche B-6 Term</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2"/>
            <w:shd w:val="clear" w:color="auto" w:fill="CCEEFF"/>
          </w:tcPr>
          <w:p>
            <w:pPr>
              <w:ind w:left="120"/>
              <w:spacing w:after="0" w:line="256"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6.8% Cash, 3 month LIBOR(1.33%) +</w:t>
            </w: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LIBOR Floor 1.00% , Due 2/22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3,477,848</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3,510,198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3,512,627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Hoffmaster Group, Inc.</w:t>
      </w:r>
      <w:r>
        <w:rPr>
          <w:rFonts w:ascii="Arial" w:cs="Arial" w:eastAsia="Arial" w:hAnsi="Arial"/>
          <w:sz w:val="25"/>
          <w:szCs w:val="25"/>
          <w:color w:val="auto"/>
          <w:vertAlign w:val="superscript"/>
        </w:rPr>
        <w:t>(8)(14)</w:t>
      </w:r>
    </w:p>
    <w:p>
      <w:pPr>
        <w:ind w:left="140"/>
        <w:spacing w:after="0"/>
        <w:rPr>
          <w:sz w:val="20"/>
          <w:szCs w:val="20"/>
          <w:color w:val="auto"/>
        </w:rPr>
      </w:pPr>
      <w:r>
        <w:rPr>
          <w:rFonts w:ascii="Arial" w:cs="Arial" w:eastAsia="Arial" w:hAnsi="Arial"/>
          <w:sz w:val="18"/>
          <w:szCs w:val="18"/>
          <w:color w:val="auto"/>
        </w:rPr>
        <w:t>Forest Products &amp; Paper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-121920</wp:posOffset>
            </wp:positionV>
            <wp:extent cx="7246620" cy="574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(Second Lien) 10.8% Cash, 3 month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LIBOR(1.33%) + 9.50%; LIBOR Floor 1.00%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 Due 11/24</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1,600,000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1,557,040</w:t>
            </w:r>
          </w:p>
        </w:tc>
        <w:tc>
          <w:tcPr>
            <w:tcW w:w="1100" w:type="dxa"/>
            <w:vAlign w:val="bottom"/>
          </w:tcPr>
          <w:p>
            <w:pPr>
              <w:jc w:val="right"/>
              <w:spacing w:after="0"/>
              <w:rPr>
                <w:sz w:val="20"/>
                <w:szCs w:val="20"/>
                <w:color w:val="auto"/>
              </w:rPr>
            </w:pPr>
            <w:r>
              <w:rPr>
                <w:rFonts w:ascii="Arial" w:cs="Arial" w:eastAsia="Arial" w:hAnsi="Arial"/>
                <w:sz w:val="18"/>
                <w:szCs w:val="18"/>
                <w:color w:val="auto"/>
              </w:rPr>
              <w:t>1,600,960</w:t>
            </w:r>
          </w:p>
        </w:tc>
      </w:tr>
    </w:tbl>
    <w:p>
      <w:pPr>
        <w:spacing w:after="0" w:line="200" w:lineRule="exact"/>
        <w:rPr>
          <w:sz w:val="20"/>
          <w:szCs w:val="20"/>
          <w:color w:val="auto"/>
        </w:rPr>
      </w:pPr>
    </w:p>
    <w:p>
      <w:pPr>
        <w:sectPr>
          <w:pgSz w:w="11900" w:h="16838" w:orient="portrait"/>
          <w:cols w:equalWidth="0" w:num="2">
            <w:col w:w="2840" w:space="720"/>
            <w:col w:w="7860"/>
          </w:cols>
          <w:pgMar w:left="240" w:top="931"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Industrial Services Acquisition, LLC (aka</w:t>
            </w: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Secured Loan — Term Loan 6.3%</w:t>
            </w: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Evergreen / NAIC)</w:t>
            </w:r>
            <w:r>
              <w:rPr>
                <w:rFonts w:ascii="Arial" w:cs="Arial" w:eastAsia="Arial" w:hAnsi="Arial"/>
                <w:sz w:val="29"/>
                <w:szCs w:val="29"/>
                <w:color w:val="auto"/>
                <w:vertAlign w:val="superscript"/>
              </w:rPr>
              <w:t>(8)(14)</w:t>
            </w: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1 month LIBOR(1.25%) + 5.00%;</w:t>
            </w:r>
          </w:p>
        </w:tc>
        <w:tc>
          <w:tcPr>
            <w:tcW w:w="15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LIBOR Floor 1.00% , Due 6/22</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1,183,955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1,189,840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Ivanti Software, Inc. (fka LANDesk Group,</w:t>
            </w:r>
          </w:p>
        </w:tc>
        <w:tc>
          <w:tcPr>
            <w:tcW w:w="3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Junior Secured Loan — Loan (Second Lien)</w:t>
            </w: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ind w:left="120"/>
              <w:spacing w:after="0" w:line="256"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 Cash, 1 month LIBOR(1.24%) +</w:t>
            </w:r>
          </w:p>
        </w:tc>
        <w:tc>
          <w:tcPr>
            <w:tcW w:w="15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9.00%; LIBOR Floor 1.00% , Due 1/25</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3,228,619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3,228,619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3,186,970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type w:val="continuous"/>
        </w:sectPr>
      </w:pPr>
    </w:p>
    <w:p>
      <w:pPr>
        <w:spacing w:after="0" w:line="222" w:lineRule="exact"/>
        <w:rPr>
          <w:sz w:val="20"/>
          <w:szCs w:val="20"/>
          <w:color w:val="auto"/>
        </w:rPr>
      </w:pPr>
    </w:p>
    <w:p>
      <w:pPr>
        <w:ind w:left="140" w:hanging="129"/>
        <w:spacing w:after="0" w:line="210" w:lineRule="auto"/>
        <w:rPr>
          <w:sz w:val="20"/>
          <w:szCs w:val="20"/>
          <w:color w:val="auto"/>
        </w:rPr>
      </w:pPr>
      <w:r>
        <w:rPr>
          <w:rFonts w:ascii="Arial" w:cs="Arial" w:eastAsia="Arial" w:hAnsi="Arial"/>
          <w:sz w:val="18"/>
          <w:szCs w:val="18"/>
          <w:color w:val="auto"/>
        </w:rPr>
        <w:t>MB Aerospace ACP Holdings II Corp.</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Aerospace and Defense</w:t>
      </w:r>
    </w:p>
    <w:p>
      <w:pPr>
        <w:spacing w:after="0" w:line="200" w:lineRule="exact"/>
        <w:rPr>
          <w:sz w:val="20"/>
          <w:szCs w:val="20"/>
          <w:color w:val="auto"/>
        </w:rPr>
      </w:pPr>
    </w:p>
    <w:p>
      <w:pPr>
        <w:spacing w:after="0" w:line="222" w:lineRule="exact"/>
        <w:rPr>
          <w:sz w:val="20"/>
          <w:szCs w:val="20"/>
          <w:color w:val="auto"/>
        </w:rPr>
      </w:pPr>
    </w:p>
    <w:p>
      <w:pPr>
        <w:ind w:left="140" w:right="80" w:hanging="129"/>
        <w:spacing w:after="0" w:line="288" w:lineRule="auto"/>
        <w:rPr>
          <w:sz w:val="20"/>
          <w:szCs w:val="20"/>
          <w:color w:val="auto"/>
        </w:rPr>
      </w:pPr>
      <w:r>
        <w:rPr>
          <w:rFonts w:ascii="Arial" w:cs="Arial" w:eastAsia="Arial" w:hAnsi="Arial"/>
          <w:sz w:val="15"/>
          <w:szCs w:val="15"/>
          <w:color w:val="auto"/>
        </w:rPr>
        <w:t>National Home Health Care Corp.</w:t>
      </w:r>
      <w:r>
        <w:rPr>
          <w:rFonts w:ascii="Arial" w:cs="Arial" w:eastAsia="Arial" w:hAnsi="Arial"/>
          <w:sz w:val="24"/>
          <w:szCs w:val="24"/>
          <w:color w:val="auto"/>
          <w:vertAlign w:val="superscript"/>
        </w:rPr>
        <w:t>(8)(14)</w:t>
      </w:r>
      <w:r>
        <w:rPr>
          <w:rFonts w:ascii="Arial" w:cs="Arial" w:eastAsia="Arial" w:hAnsi="Arial"/>
          <w:sz w:val="15"/>
          <w:szCs w:val="15"/>
          <w:color w:val="auto"/>
        </w:rPr>
        <w:t xml:space="preserve"> Healthcare &amp;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-121920</wp:posOffset>
            </wp:positionV>
            <wp:extent cx="724662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6.8% Cash, 1 month LIBOR(1.25%) + 5.50%;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LIBOR Floor 1.00% , Due 12/22</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982,500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983,720</w:t>
            </w:r>
          </w:p>
        </w:tc>
        <w:tc>
          <w:tcPr>
            <w:tcW w:w="1100" w:type="dxa"/>
            <w:vAlign w:val="bottom"/>
          </w:tcPr>
          <w:p>
            <w:pPr>
              <w:jc w:val="right"/>
              <w:spacing w:after="0"/>
              <w:rPr>
                <w:sz w:val="20"/>
                <w:szCs w:val="20"/>
                <w:color w:val="auto"/>
              </w:rPr>
            </w:pPr>
            <w:r>
              <w:rPr>
                <w:rFonts w:ascii="Arial" w:cs="Arial" w:eastAsia="Arial" w:hAnsi="Arial"/>
                <w:sz w:val="18"/>
                <w:szCs w:val="18"/>
                <w:color w:val="auto"/>
              </w:rPr>
              <w:t>993,602</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Lien) 10.2% Cash, 1 month LIBOR(1.23%) +</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9.00%; LIBOR Floor 1.00% , Due 12/22</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1,500,728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1,481,090</w:t>
            </w:r>
          </w:p>
        </w:tc>
        <w:tc>
          <w:tcPr>
            <w:tcW w:w="1100" w:type="dxa"/>
            <w:vAlign w:val="bottom"/>
          </w:tcPr>
          <w:p>
            <w:pPr>
              <w:jc w:val="right"/>
              <w:spacing w:after="0"/>
              <w:rPr>
                <w:sz w:val="20"/>
                <w:szCs w:val="20"/>
                <w:color w:val="auto"/>
              </w:rPr>
            </w:pPr>
            <w:r>
              <w:rPr>
                <w:rFonts w:ascii="Arial" w:cs="Arial" w:eastAsia="Arial" w:hAnsi="Arial"/>
                <w:sz w:val="18"/>
                <w:szCs w:val="18"/>
                <w:color w:val="auto"/>
              </w:rPr>
              <w:t>1,469,813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2980" w:space="580"/>
            <w:col w:w="786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060" w:type="dxa"/>
            <w:vAlign w:val="bottom"/>
            <w:shd w:val="clear" w:color="auto" w:fill="CCEEFF"/>
          </w:tcPr>
          <w:p>
            <w:pPr>
              <w:spacing w:after="0"/>
              <w:rPr>
                <w:sz w:val="18"/>
                <w:szCs w:val="18"/>
                <w:color w:val="auto"/>
              </w:rPr>
            </w:pPr>
          </w:p>
        </w:tc>
        <w:tc>
          <w:tcPr>
            <w:tcW w:w="4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Junior Secured Loan — Term Loan (Second</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3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Onex Carestream Finance LP</w:t>
            </w:r>
            <w:r>
              <w:rPr>
                <w:rFonts w:ascii="Arial" w:cs="Arial" w:eastAsia="Arial" w:hAnsi="Arial"/>
                <w:sz w:val="29"/>
                <w:szCs w:val="29"/>
                <w:color w:val="auto"/>
                <w:vertAlign w:val="superscript"/>
              </w:rPr>
              <w:t>(8)(14)</w:t>
            </w:r>
          </w:p>
        </w:tc>
        <w:tc>
          <w:tcPr>
            <w:tcW w:w="4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Lien) 9.8% Cash, 3 month LIBOR(1.33%) +</w:t>
            </w:r>
          </w:p>
        </w:tc>
        <w:tc>
          <w:tcPr>
            <w:tcW w:w="15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Healthcare &amp; Pharmaceuticals</w:t>
            </w:r>
          </w:p>
        </w:tc>
        <w:tc>
          <w:tcPr>
            <w:tcW w:w="4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8.50%; LIBOR Floor 1.00% , Due 12/19</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1,704,810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1,704,810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1,685,205</w:t>
            </w: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color w:val="auto"/>
        </w:rPr>
        <w:t>Construction &amp; Building</w:t>
      </w:r>
    </w:p>
    <w:p>
      <w:pPr>
        <w:spacing w:after="0" w:line="200" w:lineRule="exact"/>
        <w:rPr>
          <w:sz w:val="20"/>
          <w:szCs w:val="20"/>
          <w:color w:val="auto"/>
        </w:rPr>
      </w:pPr>
    </w:p>
    <w:p>
      <w:pPr>
        <w:spacing w:after="0" w:line="229" w:lineRule="exact"/>
        <w:rPr>
          <w:sz w:val="20"/>
          <w:szCs w:val="20"/>
          <w:color w:val="auto"/>
        </w:rPr>
      </w:pPr>
    </w:p>
    <w:p>
      <w:pPr>
        <w:ind w:left="140" w:right="580" w:hanging="129"/>
        <w:spacing w:after="0"/>
        <w:rPr>
          <w:sz w:val="20"/>
          <w:szCs w:val="20"/>
          <w:color w:val="auto"/>
        </w:rPr>
      </w:pPr>
      <w:r>
        <w:rPr>
          <w:rFonts w:ascii="Arial" w:cs="Arial" w:eastAsia="Arial" w:hAnsi="Arial"/>
          <w:sz w:val="16"/>
          <w:szCs w:val="16"/>
          <w:color w:val="auto"/>
        </w:rPr>
        <w:t>Roscoe Medical, Inc.</w:t>
      </w:r>
      <w:r>
        <w:rPr>
          <w:rFonts w:ascii="Arial" w:cs="Arial" w:eastAsia="Arial" w:hAnsi="Arial"/>
          <w:sz w:val="26"/>
          <w:szCs w:val="26"/>
          <w:color w:val="auto"/>
          <w:vertAlign w:val="superscript"/>
        </w:rPr>
        <w:t>(8)(14)</w:t>
      </w:r>
      <w:r>
        <w:rPr>
          <w:rFonts w:ascii="Arial" w:cs="Arial" w:eastAsia="Arial" w:hAnsi="Arial"/>
          <w:sz w:val="16"/>
          <w:szCs w:val="16"/>
          <w:color w:val="auto"/>
        </w:rPr>
        <w:t xml:space="preserve"> Healthcare &amp; Pharmaceuticals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hanging="129"/>
        <w:spacing w:after="0"/>
        <w:rPr>
          <w:sz w:val="20"/>
          <w:szCs w:val="20"/>
          <w:color w:val="auto"/>
        </w:rPr>
      </w:pPr>
      <w:r>
        <w:rPr>
          <w:rFonts w:ascii="Arial" w:cs="Arial" w:eastAsia="Arial" w:hAnsi="Arial"/>
          <w:sz w:val="16"/>
          <w:szCs w:val="16"/>
          <w:color w:val="auto"/>
        </w:rPr>
        <w:t>SCSG EA Acquisition Company, Inc.</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Healthcare &amp; Pharmaceuticals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Senior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-121920</wp:posOffset>
            </wp:positionV>
            <wp:extent cx="7246620" cy="57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Lien) 6.1% Cash, 3 month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LIBOR(1.33%) + 4.75%; LIBOR Floor 1.00%</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 Due 6/21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997,449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1,007,336</w:t>
            </w:r>
          </w:p>
        </w:tc>
        <w:tc>
          <w:tcPr>
            <w:tcW w:w="1100" w:type="dxa"/>
            <w:vAlign w:val="bottom"/>
          </w:tcPr>
          <w:p>
            <w:pPr>
              <w:jc w:val="right"/>
              <w:spacing w:after="0"/>
              <w:rPr>
                <w:sz w:val="20"/>
                <w:szCs w:val="20"/>
                <w:color w:val="auto"/>
              </w:rPr>
            </w:pPr>
            <w:r>
              <w:rPr>
                <w:rFonts w:ascii="Arial" w:cs="Arial" w:eastAsia="Arial" w:hAnsi="Arial"/>
                <w:sz w:val="18"/>
                <w:szCs w:val="18"/>
                <w:color w:val="auto"/>
              </w:rPr>
              <w:t>1,007,423</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Lien) 11.3% Cash, 3 month LIBOR(0.00%) +</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11.25%; LIBOR Floor 0.00% , Due 9/19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6,700,000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6,675,833</w:t>
            </w:r>
          </w:p>
        </w:tc>
        <w:tc>
          <w:tcPr>
            <w:tcW w:w="1100" w:type="dxa"/>
            <w:vAlign w:val="bottom"/>
          </w:tcPr>
          <w:p>
            <w:pPr>
              <w:jc w:val="right"/>
              <w:spacing w:after="0"/>
              <w:rPr>
                <w:sz w:val="20"/>
                <w:szCs w:val="20"/>
                <w:color w:val="auto"/>
              </w:rPr>
            </w:pPr>
            <w:r>
              <w:rPr>
                <w:rFonts w:ascii="Arial" w:cs="Arial" w:eastAsia="Arial" w:hAnsi="Arial"/>
                <w:sz w:val="18"/>
                <w:szCs w:val="18"/>
                <w:color w:val="auto"/>
              </w:rPr>
              <w:t>6,492,300</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5.5% Cash, 3 month</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LIBOR(1.24%) + 4.25%; LIBOR Floor 1.00%</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 Due 9/23</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3,980,220</w:t>
            </w:r>
          </w:p>
        </w:tc>
        <w:tc>
          <w:tcPr>
            <w:tcW w:w="1100" w:type="dxa"/>
            <w:vAlign w:val="bottom"/>
          </w:tcPr>
          <w:p>
            <w:pPr>
              <w:jc w:val="right"/>
              <w:spacing w:after="0"/>
              <w:rPr>
                <w:sz w:val="20"/>
                <w:szCs w:val="20"/>
                <w:color w:val="auto"/>
              </w:rPr>
            </w:pPr>
            <w:r>
              <w:rPr>
                <w:rFonts w:ascii="Arial" w:cs="Arial" w:eastAsia="Arial" w:hAnsi="Arial"/>
                <w:sz w:val="18"/>
                <w:szCs w:val="18"/>
                <w:color w:val="auto"/>
              </w:rPr>
              <w:t>3,980,000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-1148715</wp:posOffset>
            </wp:positionV>
            <wp:extent cx="7246620" cy="43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-574040</wp:posOffset>
            </wp:positionV>
            <wp:extent cx="7246620" cy="574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900" w:space="600"/>
            <w:col w:w="7920"/>
          </w:cols>
          <w:pgMar w:left="240" w:top="931" w:right="2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9" w:name="page10"/>
    <w:bookmarkEnd w:id="9"/>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right="140" w:hanging="129"/>
        <w:spacing w:after="0"/>
        <w:rPr>
          <w:sz w:val="20"/>
          <w:szCs w:val="20"/>
          <w:color w:val="auto"/>
        </w:rPr>
      </w:pPr>
      <w:r>
        <w:rPr>
          <w:rFonts w:ascii="Arial" w:cs="Arial" w:eastAsia="Arial" w:hAnsi="Arial"/>
          <w:sz w:val="16"/>
          <w:szCs w:val="16"/>
          <w:color w:val="auto"/>
        </w:rPr>
        <w:t>SCSG EA Acquisition Company, Inc.</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18"/>
                <w:szCs w:val="18"/>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411"/>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 Loan</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 9.5% Cash, 3 month</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9"/>
              </w:rPr>
              <w:t>LIBOR(1.24%) + 8.25%; LIBOR Floor 1.00%</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 Due 9/24</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4,950,470</w:t>
            </w:r>
          </w:p>
        </w:tc>
        <w:tc>
          <w:tcPr>
            <w:tcW w:w="1260" w:type="dxa"/>
            <w:vAlign w:val="bottom"/>
          </w:tcPr>
          <w:p>
            <w:pPr>
              <w:jc w:val="right"/>
              <w:spacing w:after="0"/>
              <w:rPr>
                <w:sz w:val="20"/>
                <w:szCs w:val="20"/>
                <w:color w:val="auto"/>
              </w:rPr>
            </w:pPr>
            <w:r>
              <w:rPr>
                <w:rFonts w:ascii="Arial" w:cs="Arial" w:eastAsia="Arial" w:hAnsi="Arial"/>
                <w:sz w:val="18"/>
                <w:szCs w:val="18"/>
                <w:color w:val="auto"/>
              </w:rPr>
              <w:t>4,950,000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-574040</wp:posOffset>
            </wp:positionV>
            <wp:extent cx="7246620" cy="574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20"/>
            <w:col w:w="7860"/>
          </w:cols>
          <w:pgMar w:left="240" w:top="931"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5"/>
              </w:rPr>
              <w:t>Stafford Logistics, Inc. (dba Custom Ecology,</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Loan — Term Loan 9.8%</w:t>
            </w:r>
          </w:p>
        </w:tc>
        <w:tc>
          <w:tcPr>
            <w:tcW w:w="16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7"/>
        </w:trPr>
        <w:tc>
          <w:tcPr>
            <w:tcW w:w="3440" w:type="dxa"/>
            <w:vAlign w:val="bottom"/>
            <w:shd w:val="clear" w:color="auto" w:fill="CCEEFF"/>
          </w:tcPr>
          <w:p>
            <w:pPr>
              <w:ind w:left="140"/>
              <w:spacing w:after="0" w:line="256"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(8)(14)(15)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3 month LIBOR(4.25%) + 5.50%;</w:t>
            </w:r>
          </w:p>
        </w:tc>
        <w:tc>
          <w:tcPr>
            <w:tcW w:w="16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Industries</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LIBOR Floor 1.00% , Due 8/21</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2,709,639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2,695,841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1,935,225</w:t>
            </w: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type w:val="continuous"/>
        </w:sectPr>
      </w:pPr>
    </w:p>
    <w:p>
      <w:pPr>
        <w:spacing w:after="0" w:line="222" w:lineRule="exact"/>
        <w:rPr>
          <w:sz w:val="20"/>
          <w:szCs w:val="20"/>
          <w:color w:val="auto"/>
        </w:rPr>
      </w:pPr>
    </w:p>
    <w:p>
      <w:pPr>
        <w:ind w:left="140" w:right="160" w:hanging="129"/>
        <w:spacing w:after="0" w:line="224" w:lineRule="auto"/>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(8)(13)(14)</w:t>
      </w:r>
      <w:r>
        <w:rPr>
          <w:rFonts w:ascii="Arial" w:cs="Arial" w:eastAsia="Arial" w:hAnsi="Arial"/>
          <w:sz w:val="17"/>
          <w:szCs w:val="17"/>
          <w:color w:val="auto"/>
        </w:rPr>
        <w:t xml:space="preserve"> Energy: Oil &amp; Gas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Tex-Tech Industries, Inc.</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color w:val="auto"/>
        </w:rPr>
        <w:t>Textiles and Leather</w:t>
      </w:r>
    </w:p>
    <w:p>
      <w:pPr>
        <w:spacing w:after="0" w:line="200" w:lineRule="exact"/>
        <w:rPr>
          <w:sz w:val="20"/>
          <w:szCs w:val="20"/>
          <w:color w:val="auto"/>
        </w:rPr>
      </w:pPr>
    </w:p>
    <w:p>
      <w:pPr>
        <w:spacing w:after="0" w:line="229" w:lineRule="exact"/>
        <w:rPr>
          <w:sz w:val="20"/>
          <w:szCs w:val="20"/>
          <w:color w:val="auto"/>
        </w:rPr>
      </w:pPr>
    </w:p>
    <w:p>
      <w:pPr>
        <w:ind w:left="140" w:hanging="129"/>
        <w:spacing w:after="0" w:line="210" w:lineRule="auto"/>
        <w:rPr>
          <w:sz w:val="20"/>
          <w:szCs w:val="20"/>
          <w:color w:val="auto"/>
        </w:rPr>
      </w:pPr>
      <w:r>
        <w:rPr>
          <w:rFonts w:ascii="Arial" w:cs="Arial" w:eastAsia="Arial" w:hAnsi="Arial"/>
          <w:sz w:val="18"/>
          <w:szCs w:val="18"/>
          <w:color w:val="auto"/>
        </w:rPr>
        <w:t>Time Manufacturing Acquisition, LLC</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Capital Equipment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(8)(9)</w:t>
      </w:r>
    </w:p>
    <w:p>
      <w:pPr>
        <w:ind w:left="140"/>
        <w:spacing w:after="0"/>
        <w:rPr>
          <w:sz w:val="20"/>
          <w:szCs w:val="20"/>
          <w:color w:val="auto"/>
        </w:rPr>
      </w:pPr>
      <w:r>
        <w:rPr>
          <w:rFonts w:ascii="Arial" w:cs="Arial" w:eastAsia="Arial" w:hAnsi="Arial"/>
          <w:sz w:val="18"/>
          <w:szCs w:val="18"/>
          <w:color w:val="auto"/>
        </w:rPr>
        <w:t>Related Party Loan</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(8)(14)</w:t>
      </w:r>
    </w:p>
    <w:p>
      <w:pPr>
        <w:ind w:left="140"/>
        <w:spacing w:after="0"/>
        <w:rPr>
          <w:sz w:val="20"/>
          <w:szCs w:val="20"/>
          <w:color w:val="auto"/>
        </w:rPr>
      </w:pPr>
      <w:r>
        <w:rPr>
          <w:rFonts w:ascii="Arial" w:cs="Arial" w:eastAsia="Arial" w:hAnsi="Arial"/>
          <w:sz w:val="18"/>
          <w:szCs w:val="18"/>
          <w:color w:val="auto"/>
        </w:rPr>
        <w:t>Energy: Oil &amp; Gas</w:t>
      </w:r>
    </w:p>
    <w:p>
      <w:pPr>
        <w:spacing w:after="0" w:line="200" w:lineRule="exact"/>
        <w:rPr>
          <w:sz w:val="20"/>
          <w:szCs w:val="20"/>
          <w:color w:val="auto"/>
        </w:rPr>
      </w:pPr>
    </w:p>
    <w:p>
      <w:pPr>
        <w:spacing w:after="0" w:line="229" w:lineRule="exact"/>
        <w:rPr>
          <w:sz w:val="20"/>
          <w:szCs w:val="20"/>
          <w:color w:val="auto"/>
        </w:rPr>
      </w:pPr>
    </w:p>
    <w:p>
      <w:pPr>
        <w:ind w:left="140" w:right="620" w:hanging="129"/>
        <w:spacing w:after="0"/>
        <w:rPr>
          <w:sz w:val="20"/>
          <w:szCs w:val="20"/>
          <w:color w:val="auto"/>
        </w:rPr>
      </w:pPr>
      <w:r>
        <w:rPr>
          <w:rFonts w:ascii="Arial" w:cs="Arial" w:eastAsia="Arial" w:hAnsi="Arial"/>
          <w:sz w:val="16"/>
          <w:szCs w:val="16"/>
          <w:color w:val="auto"/>
        </w:rPr>
        <w:t>Weiman Products, LLC</w:t>
      </w:r>
      <w:r>
        <w:rPr>
          <w:rFonts w:ascii="Arial" w:cs="Arial" w:eastAsia="Arial" w:hAnsi="Arial"/>
          <w:sz w:val="26"/>
          <w:szCs w:val="26"/>
          <w:color w:val="auto"/>
          <w:vertAlign w:val="superscript"/>
        </w:rPr>
        <w:t>(8)(14)</w:t>
      </w:r>
      <w:r>
        <w:rPr>
          <w:rFonts w:ascii="Arial" w:cs="Arial" w:eastAsia="Arial" w:hAnsi="Arial"/>
          <w:sz w:val="16"/>
          <w:szCs w:val="16"/>
          <w:color w:val="auto"/>
        </w:rPr>
        <w:t xml:space="preserve"> Consumer goods: Non-durable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(8)(14)</w:t>
      </w:r>
    </w:p>
    <w:p>
      <w:pPr>
        <w:ind w:left="140"/>
        <w:spacing w:after="0"/>
        <w:rPr>
          <w:sz w:val="20"/>
          <w:szCs w:val="20"/>
          <w:color w:val="auto"/>
        </w:rPr>
      </w:pPr>
      <w:r>
        <w:rPr>
          <w:rFonts w:ascii="Arial" w:cs="Arial" w:eastAsia="Arial" w:hAnsi="Arial"/>
          <w:sz w:val="18"/>
          <w:szCs w:val="18"/>
          <w:color w:val="auto"/>
        </w:rPr>
        <w:t>Capital Equipment</w:t>
      </w:r>
    </w:p>
    <w:p>
      <w:pPr>
        <w:spacing w:after="0" w:line="232" w:lineRule="exact"/>
        <w:rPr>
          <w:sz w:val="20"/>
          <w:szCs w:val="20"/>
          <w:color w:val="auto"/>
        </w:rPr>
      </w:pPr>
    </w:p>
    <w:p>
      <w:pPr>
        <w:ind w:left="140" w:right="40" w:hanging="129"/>
        <w:spacing w:after="0" w:line="347" w:lineRule="auto"/>
        <w:rPr>
          <w:sz w:val="20"/>
          <w:szCs w:val="20"/>
          <w:color w:val="auto"/>
        </w:rPr>
      </w:pPr>
      <w:r>
        <w:rPr>
          <w:rFonts w:ascii="Arial" w:cs="Arial" w:eastAsia="Arial" w:hAnsi="Arial"/>
          <w:sz w:val="16"/>
          <w:szCs w:val="16"/>
          <w:b w:val="1"/>
          <w:bCs w:val="1"/>
          <w:color w:val="auto"/>
        </w:rPr>
        <w:t>Total Investment in Debt Securities (69% of net asset value at fair value)</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Senior Secured Loan — Loan 14.3%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-121920</wp:posOffset>
            </wp:positionV>
            <wp:extent cx="7246620"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4.0% Cash, 10.25% PIK, 1 month Prime Rate</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11,640,915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11,255,256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8,220,814</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Lien) 10.2% Cash, 1 month LIBOR(1.24%) +</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9.00%; LIBOR Floor 1.00% , Due 8/24</w:t>
            </w:r>
          </w:p>
        </w:tc>
        <w:tc>
          <w:tcPr>
            <w:tcW w:w="1040" w:type="dxa"/>
            <w:vAlign w:val="bottom"/>
          </w:tcPr>
          <w:p>
            <w:pPr>
              <w:jc w:val="right"/>
              <w:spacing w:after="0"/>
              <w:rPr>
                <w:sz w:val="20"/>
                <w:szCs w:val="20"/>
                <w:color w:val="auto"/>
              </w:rPr>
            </w:pPr>
            <w:r>
              <w:rPr>
                <w:rFonts w:ascii="Arial" w:cs="Arial" w:eastAsia="Arial" w:hAnsi="Arial"/>
                <w:sz w:val="18"/>
                <w:szCs w:val="18"/>
                <w:color w:val="auto"/>
              </w:rPr>
              <w:t>8,008,000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7,948,833</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7,847,840</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 6.4%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Cash, 3 month LIBOR(1.38%) + 5.00%;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LIBOR Floor 1.00% , Due 2/23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997,494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995,017</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995,000</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Senior Unsecured Loan — Revolving Credit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Facility 9.0% Cash, 3 month LIBOR(0.00%) +</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7.89%; LIBOR Floor 0.00% , Due 11/17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Lien) 14.0% Cash, 3 month LIBOR(1.00%) +</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13.00%; LIBOR Floor 1.00% , Due 12/19</w:t>
            </w: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993,631</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 (2013)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5.8% Cash, 3 month LIBOR(1.33%) + 4.50%;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LIBOR Floor 1.00% , Due 11/18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734,613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732,896</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734,613</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rPr>
              <w:t>Junior Secured Loan — Initial Term Loan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(Second Lien) 10.3% Cash, 3 month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LIBOR(1.32%) + 9.00%; LIBOR Floor 1.00%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 Due 9/24</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2,960,569</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3,001,200</w:t>
            </w:r>
          </w:p>
        </w:tc>
      </w:tr>
      <w:tr>
        <w:trPr>
          <w:trHeight w:val="655"/>
        </w:trPr>
        <w:tc>
          <w:tcPr>
            <w:tcW w:w="3780" w:type="dxa"/>
            <w:vAlign w:val="bottom"/>
            <w:gridSpan w:val="2"/>
          </w:tcPr>
          <w:p>
            <w:pPr>
              <w:ind w:left="35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134,967,691</w:t>
            </w:r>
          </w:p>
        </w:tc>
        <w:tc>
          <w:tcPr>
            <w:tcW w:w="1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134,031,011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127,026,829</w:t>
            </w:r>
          </w:p>
        </w:tc>
      </w:tr>
      <w:tr>
        <w:trPr>
          <w:trHeight w:val="20"/>
        </w:trPr>
        <w:tc>
          <w:tcPr>
            <w:tcW w:w="3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-3892550</wp:posOffset>
            </wp:positionV>
            <wp:extent cx="7246620" cy="43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-3318510</wp:posOffset>
            </wp:positionV>
            <wp:extent cx="7246620" cy="43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-2743835</wp:posOffset>
            </wp:positionV>
            <wp:extent cx="7246620"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-2169160</wp:posOffset>
            </wp:positionV>
            <wp:extent cx="7246620" cy="43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-1594485</wp:posOffset>
            </wp:positionV>
            <wp:extent cx="724662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-1019810</wp:posOffset>
            </wp:positionV>
            <wp:extent cx="724662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-290830</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ectPr>
          <w:pgSz w:w="11900" w:h="16838" w:orient="portrait"/>
          <w:cols w:equalWidth="0" w:num="2">
            <w:col w:w="2980" w:space="520"/>
            <w:col w:w="7920"/>
          </w:cols>
          <w:pgMar w:left="240" w:top="931" w:right="239" w:bottom="1440" w:gutter="0" w:footer="0" w:header="0"/>
          <w:type w:val="continuous"/>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4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3"/>
              </w:rPr>
              <w:t>Advanced Lighting Technologies, Inc,</w:t>
            </w:r>
            <w:r>
              <w:rPr>
                <w:rFonts w:ascii="Arial" w:cs="Arial" w:eastAsia="Arial" w:hAnsi="Arial"/>
                <w:sz w:val="27"/>
                <w:szCs w:val="27"/>
                <w:color w:val="auto"/>
                <w:w w:val="93"/>
                <w:vertAlign w:val="superscript"/>
              </w:rPr>
              <w:t>(5)(8)(14)</w:t>
            </w:r>
          </w:p>
        </w:tc>
        <w:tc>
          <w:tcPr>
            <w:tcW w:w="100" w:type="dxa"/>
            <w:vAlign w:val="bottom"/>
            <w:tcBorders>
              <w:top w:val="single" w:sz="8" w:color="CCEEFF"/>
            </w:tcBorders>
            <w:shd w:val="clear" w:color="auto" w:fill="CCEEFF"/>
          </w:tcPr>
          <w:p>
            <w:pPr>
              <w:spacing w:after="0"/>
              <w:rPr>
                <w:sz w:val="20"/>
                <w:szCs w:val="20"/>
                <w:color w:val="auto"/>
              </w:rPr>
            </w:pPr>
          </w:p>
        </w:tc>
        <w:tc>
          <w:tcPr>
            <w:tcW w:w="33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Stock Series C</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Series A Preferred Interests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1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Media: Advertising, Printing &amp; Publishing</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w w:val="98"/>
              </w:rPr>
              <w:t>FP WRCA Coinvestment Fund VII, Ltd.</w:t>
            </w:r>
            <w:r>
              <w:rPr>
                <w:rFonts w:ascii="Arial" w:cs="Arial" w:eastAsia="Arial" w:hAnsi="Arial"/>
                <w:sz w:val="28"/>
                <w:szCs w:val="28"/>
                <w:color w:val="auto"/>
                <w:w w:val="98"/>
                <w:vertAlign w:val="superscript"/>
              </w:rPr>
              <w:t>(3)(5)</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Hotel, Gaming &amp; Leisure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(5)(8)(10)(14)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B Units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1,354,924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1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(5)(8)(14)</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Investment in Equity Securities (2%</w:t>
            </w:r>
          </w:p>
        </w:tc>
        <w:tc>
          <w:tcPr>
            <w:tcW w:w="1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of net asset value at fair value)</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10,389,007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4,450,177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CLO Subordinated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(11)</w:t>
            </w:r>
          </w:p>
        </w:tc>
        <w:tc>
          <w:tcPr>
            <w:tcW w:w="100" w:type="dxa"/>
            <w:vAlign w:val="bottom"/>
            <w:vMerge w:val="restart"/>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(3)(12)(14)</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 1/21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tc>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60" w:type="dxa"/>
            <w:vAlign w:val="bottom"/>
            <w:gridSpan w:val="3"/>
            <w:vMerge w:val="continue"/>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N/M, 5/15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Katonah 2007-I CLO Ltd.</w:t>
            </w:r>
            <w:r>
              <w:rPr>
                <w:rFonts w:ascii="Arial" w:cs="Arial" w:eastAsia="Arial" w:hAnsi="Arial"/>
                <w:sz w:val="30"/>
                <w:szCs w:val="30"/>
                <w:color w:val="auto"/>
                <w:vertAlign w:val="superscript"/>
              </w:rPr>
              <w:t>(3)(6)(14)</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20.8%, 4/22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31,123,451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21,447,386</w:t>
            </w:r>
          </w:p>
        </w:tc>
        <w:tc>
          <w:tcPr>
            <w:tcW w:w="0" w:type="dxa"/>
            <w:vAlign w:val="bottom"/>
          </w:tcPr>
          <w:p>
            <w:pPr>
              <w:spacing w:after="0"/>
              <w:rPr>
                <w:sz w:val="1"/>
                <w:szCs w:val="1"/>
                <w:color w:val="auto"/>
              </w:rPr>
            </w:pPr>
          </w:p>
        </w:tc>
      </w:tr>
      <w:tr>
        <w:trPr>
          <w:trHeight w:val="23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Trimaran CLO VII, Ltd.</w:t>
            </w:r>
            <w:r>
              <w:rPr>
                <w:rFonts w:ascii="Arial" w:cs="Arial" w:eastAsia="Arial" w:hAnsi="Arial"/>
                <w:sz w:val="30"/>
                <w:szCs w:val="30"/>
                <w:color w:val="auto"/>
                <w:vertAlign w:val="superscript"/>
              </w:rPr>
              <w:t>(3)(6)(13)(14)</w:t>
            </w:r>
          </w:p>
        </w:tc>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60" w:type="dxa"/>
            <w:vAlign w:val="bottom"/>
            <w:gridSpan w:val="3"/>
            <w:vMerge w:val="continue"/>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N/M, 6/21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Catamaran CLO 2012-1 Ltd.</w:t>
            </w:r>
            <w:r>
              <w:rPr>
                <w:rFonts w:ascii="Arial" w:cs="Arial" w:eastAsia="Arial" w:hAnsi="Arial"/>
                <w:sz w:val="30"/>
                <w:szCs w:val="30"/>
                <w:color w:val="auto"/>
                <w:vertAlign w:val="superscript"/>
              </w:rPr>
              <w:t>(3)(6)(14)</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 12/23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5,759,981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2,239,810</w:t>
            </w:r>
          </w:p>
        </w:tc>
        <w:tc>
          <w:tcPr>
            <w:tcW w:w="0" w:type="dxa"/>
            <w:vAlign w:val="bottom"/>
          </w:tcPr>
          <w:p>
            <w:pPr>
              <w:spacing w:after="0"/>
              <w:rPr>
                <w:sz w:val="1"/>
                <w:szCs w:val="1"/>
                <w:color w:val="auto"/>
              </w:rPr>
            </w:pPr>
          </w:p>
        </w:tc>
      </w:tr>
      <w:tr>
        <w:trPr>
          <w:trHeight w:val="23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Catamaran CLO 2013- 1 Ltd.</w:t>
            </w:r>
            <w:r>
              <w:rPr>
                <w:rFonts w:ascii="Arial" w:cs="Arial" w:eastAsia="Arial" w:hAnsi="Arial"/>
                <w:sz w:val="30"/>
                <w:szCs w:val="30"/>
                <w:color w:val="auto"/>
                <w:vertAlign w:val="superscript"/>
              </w:rPr>
              <w:t>(3)(6)(14)</w:t>
            </w:r>
          </w:p>
        </w:tc>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60" w:type="dxa"/>
            <w:vAlign w:val="bottom"/>
            <w:gridSpan w:val="3"/>
            <w:vMerge w:val="continue"/>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14.1%, 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4,786,050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3,806,100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(3)(6)(14)</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 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8,681,740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4,847,620</w:t>
            </w:r>
          </w:p>
        </w:tc>
        <w:tc>
          <w:tcPr>
            <w:tcW w:w="0" w:type="dxa"/>
            <w:vAlign w:val="bottom"/>
          </w:tcPr>
          <w:p>
            <w:pPr>
              <w:spacing w:after="0"/>
              <w:rPr>
                <w:sz w:val="1"/>
                <w:szCs w:val="1"/>
                <w:color w:val="auto"/>
              </w:rPr>
            </w:pPr>
          </w:p>
        </w:tc>
      </w:tr>
      <w:tr>
        <w:trPr>
          <w:trHeight w:val="23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(3)(14)</w:t>
            </w:r>
          </w:p>
        </w:tc>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60" w:type="dxa"/>
            <w:vAlign w:val="bottom"/>
            <w:gridSpan w:val="3"/>
            <w:vMerge w:val="continue"/>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31.0%, 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1,276,135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1,499,682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Catamaran CLO 2014-2 Ltd.</w:t>
            </w:r>
            <w:r>
              <w:rPr>
                <w:rFonts w:ascii="Arial" w:cs="Arial" w:eastAsia="Arial" w:hAnsi="Arial"/>
                <w:sz w:val="30"/>
                <w:szCs w:val="30"/>
                <w:color w:val="auto"/>
                <w:vertAlign w:val="superscript"/>
              </w:rPr>
              <w:t>(3)(6)(14)</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12.8%, 10/26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6,699,877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4,484,009</w:t>
            </w:r>
          </w:p>
        </w:tc>
        <w:tc>
          <w:tcPr>
            <w:tcW w:w="0" w:type="dxa"/>
            <w:vAlign w:val="bottom"/>
          </w:tcPr>
          <w:p>
            <w:pPr>
              <w:spacing w:after="0"/>
              <w:rPr>
                <w:sz w:val="1"/>
                <w:szCs w:val="1"/>
                <w:color w:val="auto"/>
              </w:rPr>
            </w:pPr>
          </w:p>
        </w:tc>
      </w:tr>
      <w:tr>
        <w:trPr>
          <w:trHeight w:val="23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(3)(6)(14)</w:t>
            </w:r>
          </w:p>
        </w:tc>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60" w:type="dxa"/>
            <w:vAlign w:val="bottom"/>
            <w:gridSpan w:val="3"/>
            <w:vMerge w:val="continue"/>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9.2%,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4,416,694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3,033,719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Catamaran CLO 2016-1 Ltd.</w:t>
            </w:r>
            <w:r>
              <w:rPr>
                <w:rFonts w:ascii="Arial" w:cs="Arial" w:eastAsia="Arial" w:hAnsi="Arial"/>
                <w:sz w:val="30"/>
                <w:szCs w:val="30"/>
                <w:color w:val="auto"/>
                <w:vertAlign w:val="superscript"/>
              </w:rPr>
              <w:t>(3)(6)(14)</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gridSpan w:val="2"/>
            <w:vMerge w:val="continue"/>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 1/29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10,196,554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Securities</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77,093,353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50,323,344</w:t>
            </w:r>
          </w:p>
        </w:tc>
        <w:tc>
          <w:tcPr>
            <w:tcW w:w="0" w:type="dxa"/>
            <w:vAlign w:val="bottom"/>
          </w:tcPr>
          <w:p>
            <w:pPr>
              <w:spacing w:after="0"/>
              <w:rPr>
                <w:sz w:val="1"/>
                <w:szCs w:val="1"/>
                <w:color w:val="auto"/>
              </w:rPr>
            </w:pPr>
          </w:p>
        </w:tc>
      </w:tr>
      <w:tr>
        <w:trPr>
          <w:trHeight w:val="426"/>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CLO Rated-Note Investment</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Catamaran CLO 2014-1 Ltd.</w:t>
            </w:r>
            <w:r>
              <w:rPr>
                <w:rFonts w:ascii="Arial" w:cs="Arial" w:eastAsia="Arial" w:hAnsi="Arial"/>
                <w:sz w:val="30"/>
                <w:szCs w:val="30"/>
                <w:color w:val="auto"/>
                <w:vertAlign w:val="superscript"/>
              </w:rPr>
              <w:t>(3)(6)(14)</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2"/>
              </w:rPr>
              <w:t>Float - 04/2026 - E - 14889FAC7, Par Value of</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vMerge w:val="continue"/>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7.1% cash, 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 CLO Rated-Note</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(28%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78,544,739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51,843,344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Borders>
              <w:right w:val="single" w:sz="8" w:color="CCEEFF"/>
            </w:tcBorders>
            <w:gridSpan w:val="2"/>
            <w:shd w:val="clear" w:color="auto" w:fill="CCEEFF"/>
          </w:tcPr>
          <w:p>
            <w:pPr>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(8)(9)(14)</w:t>
            </w: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15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53,341,230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Affiliates</w:t>
            </w:r>
          </w:p>
        </w:tc>
        <w:tc>
          <w:tcPr>
            <w:tcW w:w="1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(21% of net asset value at fair 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53,341,230</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39,679,000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Joint Ventures</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Borders>
              <w:right w:val="single" w:sz="8" w:color="CCEEFF"/>
            </w:tcBorders>
            <w:gridSpan w:val="2"/>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(14)</w:t>
            </w: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22"/>
                <w:szCs w:val="22"/>
                <w:color w:val="auto"/>
              </w:rPr>
            </w:pPr>
          </w:p>
        </w:tc>
        <w:tc>
          <w:tcPr>
            <w:tcW w:w="15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36,738,873</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Total Investment in Joint Ventures (20% of</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asset value at fair 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36,738,873</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36,591,122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3660" w:type="dxa"/>
            <w:vAlign w:val="bottom"/>
            <w:gridSpan w:val="5"/>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Yield</w:t>
            </w:r>
          </w:p>
        </w:tc>
        <w:tc>
          <w:tcPr>
            <w:tcW w:w="1700" w:type="dxa"/>
            <w:vAlign w:val="bottom"/>
            <w:gridSpan w:val="5"/>
          </w:tcPr>
          <w:p>
            <w:pPr>
              <w:spacing w:after="0"/>
              <w:rPr>
                <w:sz w:val="20"/>
                <w:szCs w:val="20"/>
                <w:color w:val="auto"/>
              </w:rPr>
            </w:pPr>
            <w:r>
              <w:rPr>
                <w:rFonts w:ascii="Arial" w:cs="Arial" w:eastAsia="Arial" w:hAnsi="Arial"/>
                <w:sz w:val="18"/>
                <w:szCs w:val="18"/>
                <w:b w:val="1"/>
                <w:bCs w:val="1"/>
                <w:color w:val="auto"/>
                <w:w w:val="97"/>
              </w:rPr>
              <w:t>Par /Amortized Cost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8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JP Morgan Business Money Market</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420" w:type="dxa"/>
            <w:vAlign w:val="bottom"/>
            <w:tcBorders>
              <w:right w:val="single" w:sz="8" w:color="CCEEFF"/>
            </w:tcBorders>
            <w:gridSpan w:val="2"/>
            <w:shd w:val="clear" w:color="auto" w:fill="CCEEFF"/>
          </w:tcPr>
          <w:p>
            <w:pPr>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(7)(8)</w:t>
            </w:r>
          </w:p>
        </w:tc>
        <w:tc>
          <w:tcPr>
            <w:tcW w:w="3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2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(7)(8)</w:t>
            </w:r>
          </w:p>
        </w:tc>
        <w:tc>
          <w:tcPr>
            <w:tcW w:w="3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32,001,559</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32,001,559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U.S Treasury Bills</w:t>
            </w:r>
            <w:r>
              <w:rPr>
                <w:rFonts w:ascii="Arial" w:cs="Arial" w:eastAsia="Arial" w:hAnsi="Arial"/>
                <w:sz w:val="30"/>
                <w:szCs w:val="30"/>
                <w:color w:val="auto"/>
                <w:vertAlign w:val="superscript"/>
              </w:rPr>
              <w:t>(8)</w:t>
            </w:r>
          </w:p>
        </w:tc>
        <w:tc>
          <w:tcPr>
            <w:tcW w:w="3660" w:type="dxa"/>
            <w:vAlign w:val="bottom"/>
            <w:gridSpan w:val="5"/>
          </w:tcPr>
          <w:p>
            <w:pPr>
              <w:spacing w:after="0" w:line="201" w:lineRule="exact"/>
              <w:rPr>
                <w:sz w:val="20"/>
                <w:szCs w:val="20"/>
                <w:color w:val="auto"/>
              </w:rPr>
            </w:pPr>
            <w:r>
              <w:rPr>
                <w:rFonts w:ascii="Arial" w:cs="Arial" w:eastAsia="Arial" w:hAnsi="Arial"/>
                <w:sz w:val="18"/>
                <w:szCs w:val="18"/>
                <w:color w:val="auto"/>
              </w:rPr>
              <w:t>U.S Treasury Bills, 912796LY3,10/19/17</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3"/>
            <w:vMerge w:val="continue"/>
          </w:tcPr>
          <w:p>
            <w:pPr>
              <w:spacing w:after="0"/>
              <w:rPr>
                <w:sz w:val="20"/>
                <w:szCs w:val="20"/>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maturity</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0.883%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15,007,000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U.S Treasury Bills</w:t>
            </w:r>
            <w:r>
              <w:rPr>
                <w:rFonts w:ascii="Arial" w:cs="Arial" w:eastAsia="Arial" w:hAnsi="Arial"/>
                <w:sz w:val="30"/>
                <w:szCs w:val="30"/>
                <w:color w:val="auto"/>
                <w:vertAlign w:val="superscript"/>
              </w:rPr>
              <w:t>(8)</w:t>
            </w:r>
          </w:p>
        </w:tc>
        <w:tc>
          <w:tcPr>
            <w:tcW w:w="3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U.S Treasury Bills, 912796KR9, 10/12/17</w:t>
            </w: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tcBorders>
              <w:right w:val="single" w:sz="8" w:color="CCEEFF"/>
            </w:tcBorders>
            <w:gridSpan w:val="2"/>
            <w:vMerge w:val="continue"/>
            <w:shd w:val="clear" w:color="auto" w:fill="CCEEFF"/>
          </w:tcPr>
          <w:p>
            <w:pPr>
              <w:spacing w:after="0"/>
              <w:rPr>
                <w:sz w:val="22"/>
                <w:szCs w:val="22"/>
                <w:color w:val="auto"/>
              </w:rPr>
            </w:pPr>
          </w:p>
        </w:tc>
        <w:tc>
          <w:tcPr>
            <w:tcW w:w="3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maturity</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0.801%</w:t>
            </w:r>
          </w:p>
        </w:tc>
        <w:tc>
          <w:tcPr>
            <w:tcW w:w="6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10,002,000</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(31% of net asset value at fair 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57,024,828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57,024,828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gridSpan w:val="2"/>
          </w:tcPr>
          <w:p>
            <w:pPr>
              <w:spacing w:after="0" w:line="26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370,069,689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316,615,300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80" w:hanging="330"/>
        <w:spacing w:after="0" w:line="212" w:lineRule="auto"/>
        <w:tabs>
          <w:tab w:leader="none" w:pos="3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September 30, 2017. As noted in the table above, 83% (based on par) of debt securities contain LIBOR floors which range between 1.00% and 3.0%.</w:t>
      </w:r>
    </w:p>
    <w:p>
      <w:pPr>
        <w:spacing w:after="0" w:line="193" w:lineRule="exact"/>
        <w:rPr>
          <w:sz w:val="20"/>
          <w:szCs w:val="20"/>
          <w:color w:val="auto"/>
        </w:rPr>
      </w:pPr>
    </w:p>
    <w:p>
      <w:pPr>
        <w:ind w:left="360" w:hanging="330"/>
        <w:spacing w:after="0"/>
        <w:tabs>
          <w:tab w:leader="none" w:pos="3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Reflects the fair market value of all investments as of September 30, 2017, as determined by the Company’s Board of Directors.</w:t>
      </w:r>
    </w:p>
    <w:p>
      <w:pPr>
        <w:spacing w:after="0" w:line="212" w:lineRule="exact"/>
        <w:rPr>
          <w:sz w:val="20"/>
          <w:szCs w:val="20"/>
          <w:color w:val="auto"/>
        </w:rPr>
      </w:pPr>
    </w:p>
    <w:p>
      <w:pPr>
        <w:ind w:left="360" w:hanging="330"/>
        <w:spacing w:after="0"/>
        <w:tabs>
          <w:tab w:leader="none" w:pos="360" w:val="left"/>
        </w:tabs>
        <w:numPr>
          <w:ilvl w:val="0"/>
          <w:numId w:val="5"/>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212" w:lineRule="exact"/>
        <w:rPr>
          <w:sz w:val="20"/>
          <w:szCs w:val="20"/>
          <w:color w:val="auto"/>
        </w:rPr>
      </w:pPr>
    </w:p>
    <w:p>
      <w:pPr>
        <w:ind w:left="360" w:right="620" w:hanging="330"/>
        <w:spacing w:after="0" w:line="248" w:lineRule="auto"/>
        <w:tabs>
          <w:tab w:leader="none" w:pos="3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aggregate cost of investments for federal income tax purposes is approximately $377 million. The aggregate gross unrealized appreciation is approximately $0.9 million, the aggregate gross unrealized depreciation is approximately $61.2 million, and the net unrealized depreciation is approximately $60.3 million.</w:t>
      </w:r>
    </w:p>
    <w:p>
      <w:pPr>
        <w:spacing w:after="0" w:line="169" w:lineRule="exact"/>
        <w:rPr>
          <w:sz w:val="20"/>
          <w:szCs w:val="20"/>
          <w:color w:val="auto"/>
        </w:rPr>
      </w:pPr>
    </w:p>
    <w:p>
      <w:pPr>
        <w:ind w:left="360" w:hanging="330"/>
        <w:spacing w:after="0"/>
        <w:tabs>
          <w:tab w:leader="none" w:pos="360" w:val="left"/>
        </w:tabs>
        <w:numPr>
          <w:ilvl w:val="0"/>
          <w:numId w:val="7"/>
        </w:numPr>
        <w:rPr>
          <w:rFonts w:ascii="Arial" w:cs="Arial" w:eastAsia="Arial" w:hAnsi="Arial"/>
          <w:sz w:val="15"/>
          <w:szCs w:val="15"/>
          <w:color w:val="auto"/>
        </w:rPr>
      </w:pPr>
      <w:r>
        <w:rPr>
          <w:rFonts w:ascii="Arial" w:cs="Arial" w:eastAsia="Arial" w:hAnsi="Arial"/>
          <w:sz w:val="18"/>
          <w:szCs w:val="18"/>
          <w:color w:val="auto"/>
        </w:rPr>
        <w:t>Non-income producing.</w:t>
      </w:r>
    </w:p>
    <w:p>
      <w:pPr>
        <w:spacing w:after="0" w:line="212" w:lineRule="exact"/>
        <w:rPr>
          <w:sz w:val="20"/>
          <w:szCs w:val="20"/>
          <w:color w:val="auto"/>
        </w:rPr>
      </w:pPr>
    </w:p>
    <w:p>
      <w:pPr>
        <w:ind w:left="360" w:hanging="330"/>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223" w:lineRule="exact"/>
        <w:rPr>
          <w:sz w:val="20"/>
          <w:szCs w:val="20"/>
          <w:color w:val="auto"/>
        </w:rPr>
      </w:pPr>
    </w:p>
    <w:p>
      <w:pPr>
        <w:ind w:left="360" w:hanging="330"/>
        <w:spacing w:after="0"/>
        <w:tabs>
          <w:tab w:leader="none" w:pos="360" w:val="left"/>
        </w:tabs>
        <w:numPr>
          <w:ilvl w:val="0"/>
          <w:numId w:val="9"/>
        </w:numPr>
        <w:rPr>
          <w:rFonts w:ascii="Arial" w:cs="Arial" w:eastAsia="Arial" w:hAnsi="Arial"/>
          <w:sz w:val="15"/>
          <w:szCs w:val="15"/>
          <w:color w:val="auto"/>
        </w:rPr>
      </w:pPr>
      <w:r>
        <w:rPr>
          <w:rFonts w:ascii="Arial" w:cs="Arial" w:eastAsia="Arial" w:hAnsi="Arial"/>
          <w:sz w:val="18"/>
          <w:szCs w:val="18"/>
          <w:color w:val="auto"/>
        </w:rPr>
        <w:t>Money market account holding cash.</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330" w:hanging="330"/>
        <w:spacing w:after="0"/>
        <w:tabs>
          <w:tab w:leader="none" w:pos="330" w:val="left"/>
        </w:tabs>
        <w:numPr>
          <w:ilvl w:val="0"/>
          <w:numId w:val="10"/>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252" w:lineRule="exact"/>
        <w:rPr>
          <w:sz w:val="20"/>
          <w:szCs w:val="20"/>
          <w:color w:val="auto"/>
        </w:rPr>
      </w:pPr>
    </w:p>
    <w:p>
      <w:pPr>
        <w:ind w:left="330" w:right="60" w:hanging="330"/>
        <w:spacing w:after="0" w:line="243" w:lineRule="auto"/>
        <w:tabs>
          <w:tab w:leader="none" w:pos="330" w:val="left"/>
        </w:tabs>
        <w:numPr>
          <w:ilvl w:val="0"/>
          <w:numId w:val="11"/>
        </w:numPr>
        <w:rPr>
          <w:rFonts w:ascii="Arial" w:cs="Arial" w:eastAsia="Arial" w:hAnsi="Arial"/>
          <w:sz w:val="15"/>
          <w:szCs w:val="15"/>
          <w:color w:val="auto"/>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75" w:lineRule="exact"/>
        <w:rPr>
          <w:sz w:val="20"/>
          <w:szCs w:val="20"/>
          <w:color w:val="auto"/>
        </w:rPr>
      </w:pPr>
    </w:p>
    <w:p>
      <w:pPr>
        <w:ind w:left="330" w:hanging="330"/>
        <w:spacing w:after="0"/>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Non-voting.</w:t>
      </w:r>
    </w:p>
    <w:p>
      <w:pPr>
        <w:spacing w:after="0" w:line="211" w:lineRule="exact"/>
        <w:rPr>
          <w:rFonts w:ascii="Arial" w:cs="Arial" w:eastAsia="Arial" w:hAnsi="Arial"/>
          <w:sz w:val="15"/>
          <w:szCs w:val="15"/>
          <w:color w:val="auto"/>
        </w:rPr>
      </w:pPr>
    </w:p>
    <w:p>
      <w:pPr>
        <w:jc w:val="both"/>
        <w:ind w:left="330" w:hanging="330"/>
        <w:spacing w:after="0" w:line="259" w:lineRule="auto"/>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86" w:lineRule="exact"/>
        <w:rPr>
          <w:rFonts w:ascii="Arial" w:cs="Arial" w:eastAsia="Arial" w:hAnsi="Arial"/>
          <w:sz w:val="15"/>
          <w:szCs w:val="15"/>
          <w:color w:val="auto"/>
        </w:rPr>
      </w:pPr>
    </w:p>
    <w:p>
      <w:pPr>
        <w:ind w:left="330" w:hanging="330"/>
        <w:spacing w:after="0"/>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211" w:lineRule="exact"/>
        <w:rPr>
          <w:rFonts w:ascii="Arial" w:cs="Arial" w:eastAsia="Arial" w:hAnsi="Arial"/>
          <w:sz w:val="15"/>
          <w:szCs w:val="15"/>
          <w:color w:val="auto"/>
        </w:rPr>
      </w:pPr>
    </w:p>
    <w:p>
      <w:pPr>
        <w:ind w:left="330" w:right="3500" w:hanging="330"/>
        <w:spacing w:after="0" w:line="277" w:lineRule="auto"/>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170" w:lineRule="exact"/>
        <w:rPr>
          <w:rFonts w:ascii="Arial" w:cs="Arial" w:eastAsia="Arial" w:hAnsi="Arial"/>
          <w:sz w:val="15"/>
          <w:szCs w:val="15"/>
          <w:color w:val="auto"/>
        </w:rPr>
      </w:pPr>
    </w:p>
    <w:p>
      <w:pPr>
        <w:ind w:left="330" w:hanging="330"/>
        <w:spacing w:after="0"/>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211" w:lineRule="exact"/>
        <w:rPr>
          <w:rFonts w:ascii="Arial" w:cs="Arial" w:eastAsia="Arial" w:hAnsi="Arial"/>
          <w:sz w:val="15"/>
          <w:szCs w:val="15"/>
          <w:color w:val="auto"/>
        </w:rPr>
      </w:pPr>
    </w:p>
    <w:p>
      <w:pPr>
        <w:ind w:left="330" w:hanging="330"/>
        <w:spacing w:after="0"/>
        <w:tabs>
          <w:tab w:leader="none" w:pos="3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Loan or debt security is on non-accrual status and is therefore considered non-income producing.</w:t>
      </w:r>
    </w:p>
    <w:p>
      <w:pPr>
        <w:spacing w:after="0" w:line="225" w:lineRule="exact"/>
        <w:rPr>
          <w:sz w:val="20"/>
          <w:szCs w:val="20"/>
          <w:color w:val="auto"/>
        </w:rPr>
      </w:pPr>
    </w:p>
    <w:p>
      <w:pPr>
        <w:jc w:val="center"/>
        <w:ind w:right="-14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4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0"/>
          </w:cols>
          <w:pgMar w:left="270" w:top="935" w:right="39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14" w:lineRule="auto"/>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(8), (9),</w:t>
      </w:r>
    </w:p>
    <w:p>
      <w:pPr>
        <w:ind w:left="180"/>
        <w:spacing w:after="0"/>
        <w:rPr>
          <w:sz w:val="20"/>
          <w:szCs w:val="20"/>
          <w:color w:val="auto"/>
        </w:rPr>
      </w:pPr>
      <w:r>
        <w:rPr>
          <w:rFonts w:ascii="Arial" w:cs="Arial" w:eastAsia="Arial" w:hAnsi="Arial"/>
          <w:sz w:val="15"/>
          <w:szCs w:val="15"/>
          <w:color w:val="auto"/>
        </w:rPr>
        <w:t>(14)</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84" w:lineRule="auto"/>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84" w:lineRule="auto"/>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184" w:lineRule="auto"/>
        <w:rPr>
          <w:sz w:val="20"/>
          <w:szCs w:val="20"/>
          <w:color w:val="auto"/>
        </w:rPr>
      </w:pPr>
      <w:r>
        <w:rPr>
          <w:rFonts w:ascii="Arial" w:cs="Arial" w:eastAsia="Arial" w:hAnsi="Arial"/>
          <w:sz w:val="18"/>
          <w:szCs w:val="18"/>
          <w:color w:val="auto"/>
        </w:rPr>
        <w:t>Apco Holdings,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84" w:lineRule="auto"/>
        <w:rPr>
          <w:sz w:val="20"/>
          <w:szCs w:val="20"/>
          <w:color w:val="auto"/>
        </w:rPr>
      </w:pPr>
      <w:r>
        <w:rPr>
          <w:rFonts w:ascii="Arial" w:cs="Arial" w:eastAsia="Arial" w:hAnsi="Arial"/>
          <w:sz w:val="18"/>
          <w:szCs w:val="18"/>
          <w:color w:val="auto"/>
        </w:rPr>
        <w:t>API Technologies Corp.</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84" w:lineRule="auto"/>
        <w:rPr>
          <w:sz w:val="20"/>
          <w:szCs w:val="20"/>
          <w:color w:val="auto"/>
        </w:rPr>
      </w:pPr>
      <w:r>
        <w:rPr>
          <w:rFonts w:ascii="Arial" w:cs="Arial" w:eastAsia="Arial" w:hAnsi="Arial"/>
          <w:sz w:val="18"/>
          <w:szCs w:val="18"/>
          <w:color w:val="auto"/>
        </w:rPr>
        <w:t>Aristotle Corporation, The</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Asurion, LLC (fka Asurion Corporation)</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Asurion, LLC (fka Asurion Corporation)</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BarBri, Inc. (Gemini Holdings,</w:t>
      </w:r>
    </w:p>
    <w:p>
      <w:pPr>
        <w:ind w:left="180"/>
        <w:spacing w:after="0" w:line="182" w:lineRule="auto"/>
        <w:rPr>
          <w:sz w:val="20"/>
          <w:szCs w:val="20"/>
          <w:color w:val="auto"/>
        </w:rPr>
      </w:pPr>
      <w:r>
        <w:rPr>
          <w:rFonts w:ascii="Arial" w:cs="Arial" w:eastAsia="Arial" w:hAnsi="Arial"/>
          <w:sz w:val="32"/>
          <w:szCs w:val="32"/>
          <w:color w:val="auto"/>
          <w:vertAlign w:val="subscript"/>
        </w:rPr>
        <w:t>Inc.)</w:t>
      </w:r>
      <w:r>
        <w:rPr>
          <w:rFonts w:ascii="Arial" w:cs="Arial" w:eastAsia="Arial" w:hAnsi="Arial"/>
          <w:sz w:val="14"/>
          <w:szCs w:val="14"/>
          <w:color w:val="auto"/>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9" w:lineRule="exact"/>
        <w:rPr>
          <w:sz w:val="20"/>
          <w:szCs w:val="20"/>
          <w:color w:val="auto"/>
        </w:rPr>
      </w:pPr>
    </w:p>
    <w:p>
      <w:pPr>
        <w:ind w:left="180" w:right="480" w:hanging="172"/>
        <w:spacing w:after="0" w:line="205" w:lineRule="auto"/>
        <w:tabs>
          <w:tab w:leader="none" w:pos="4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Industries US Holdings, Inc.</w:t>
      </w:r>
      <w:r>
        <w:rPr>
          <w:rFonts w:ascii="Arial" w:cs="Arial" w:eastAsia="Arial" w:hAnsi="Arial"/>
          <w:sz w:val="30"/>
          <w:szCs w:val="30"/>
          <w:color w:val="auto"/>
          <w:vertAlign w:val="superscript"/>
        </w:rPr>
        <w:t>(8), (9)</w:t>
      </w:r>
      <w:r>
        <w:rPr>
          <w:rFonts w:ascii="Arial" w:cs="Arial" w:eastAsia="Arial" w:hAnsi="Arial"/>
          <w:sz w:val="18"/>
          <w:szCs w:val="18"/>
          <w:color w:val="auto"/>
        </w:rPr>
        <w:t xml:space="preserve"> </w:t>
      </w:r>
      <w:r>
        <w:rPr>
          <w:rFonts w:ascii="Arial" w:cs="Arial" w:eastAsia="Arial" w:hAnsi="Arial"/>
          <w:sz w:val="18"/>
          <w:szCs w:val="18"/>
          <w:i w:val="1"/>
          <w:iCs w:val="1"/>
          <w:color w:val="auto"/>
        </w:rPr>
        <w:t>Automotive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As of December 31,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2,946,408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2,919,807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2,720,465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2,705,259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2,606,194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12.500% – 6/2019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00753CAG7 5.3% Cash, 7.3% PIK, Due 6/19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3,060,919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7.5% Cash, 1.0% Libor Floor, Due 7/22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1,001,753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995,300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 4.3%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3,030,277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3,024,429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3,034,489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6.0% Cash, 1.0% Libor Floor, Due 8/21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3,853,704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3,838,792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3,874,899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5.5% Cash, 1.0% Libor Floor, Due 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1,871,912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1,860,822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1,864,237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3,867,838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3,769,454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3,900,714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4/22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3,420,642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3,480,759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3,665,860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3,652,075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3,604,274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Incremental Tranche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B-4 Term Loan 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876,911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873,399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889,736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Replacement B-2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Term Loan 4.0% Cash, 0.8%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187,812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188,275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189,719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 9.5%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5.5%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2,913,921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2,915,640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7.0%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665,654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655,935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4.5%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7/19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2,619,636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2,614,056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2,578,508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2,906,715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2,800,125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9"/>
              </w:rPr>
              <w:t>Senior Secured Loan — Delayed Draw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Loan 6.3% Cash, 1.0% Libor Floor, Due 7/21</w:t>
            </w:r>
          </w:p>
        </w:tc>
        <w:tc>
          <w:tcPr>
            <w:tcW w:w="18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34,660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32,776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-5958205</wp:posOffset>
            </wp:positionV>
            <wp:extent cx="7246620"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-5229225</wp:posOffset>
            </wp:positionV>
            <wp:extent cx="724662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-4517390</wp:posOffset>
            </wp:positionV>
            <wp:extent cx="72466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-3917315</wp:posOffset>
            </wp:positionV>
            <wp:extent cx="724662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-3205480</wp:posOffset>
            </wp:positionV>
            <wp:extent cx="72466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-2381885</wp:posOffset>
            </wp:positionV>
            <wp:extent cx="72466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-1558925</wp:posOffset>
            </wp:positionV>
            <wp:extent cx="72466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-709930</wp:posOffset>
            </wp:positionV>
            <wp:extent cx="72466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-6816090</wp:posOffset>
            </wp:positionV>
            <wp:extent cx="7246620" cy="420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80" w:space="180"/>
            <w:col w:w="7860"/>
          </w:cols>
          <w:pgMar w:left="240" w:top="904" w:right="239" w:bottom="1140" w:gutter="0" w:footer="0" w:header="0"/>
        </w:sectPr>
      </w:pPr>
    </w:p>
    <w:tbl>
      <w:tblPr>
        <w:tblLayout w:type="fixed"/>
        <w:tblInd w:w="0" w:type="dxa"/>
        <w:tblCellMar>
          <w:top w:w="0" w:type="dxa"/>
          <w:left w:w="0" w:type="dxa"/>
          <w:bottom w:w="0" w:type="dxa"/>
          <w:right w:w="0" w:type="dxa"/>
        </w:tblCellMar>
      </w:tblPr>
      <w:tr>
        <w:trPr>
          <w:trHeight w:val="205"/>
        </w:trPr>
        <w:tc>
          <w:tcPr>
            <w:tcW w:w="2420" w:type="dxa"/>
            <w:vAlign w:val="bottom"/>
            <w:shd w:val="clear" w:color="auto" w:fill="CCEEFF"/>
          </w:tcPr>
          <w:p>
            <w:pPr>
              <w:spacing w:after="0" w:line="204" w:lineRule="exact"/>
              <w:rPr>
                <w:sz w:val="20"/>
                <w:szCs w:val="20"/>
                <w:color w:val="auto"/>
              </w:rPr>
            </w:pPr>
            <w:r>
              <w:rPr>
                <w:rFonts w:ascii="Arial" w:cs="Arial" w:eastAsia="Arial" w:hAnsi="Arial"/>
                <w:sz w:val="15"/>
                <w:szCs w:val="15"/>
                <w:color w:val="auto"/>
              </w:rPr>
              <w:t>Bestop, Inc.</w:t>
            </w:r>
            <w:r>
              <w:rPr>
                <w:rFonts w:ascii="Arial" w:cs="Arial" w:eastAsia="Arial" w:hAnsi="Arial"/>
                <w:sz w:val="23"/>
                <w:szCs w:val="23"/>
                <w:color w:val="auto"/>
                <w:vertAlign w:val="superscript"/>
              </w:rPr>
              <w:t>(8), (9)</w:t>
            </w:r>
          </w:p>
        </w:tc>
        <w:tc>
          <w:tcPr>
            <w:tcW w:w="4940" w:type="dxa"/>
            <w:vAlign w:val="bottom"/>
            <w:shd w:val="clear" w:color="auto" w:fill="CCEEFF"/>
          </w:tcPr>
          <w:p>
            <w:pPr>
              <w:ind w:left="1140"/>
              <w:spacing w:after="0" w:line="205" w:lineRule="exact"/>
              <w:rPr>
                <w:sz w:val="20"/>
                <w:szCs w:val="20"/>
                <w:color w:val="auto"/>
              </w:rPr>
            </w:pPr>
            <w:r>
              <w:rPr>
                <w:rFonts w:ascii="Arial" w:cs="Arial" w:eastAsia="Arial" w:hAnsi="Arial"/>
                <w:sz w:val="18"/>
                <w:szCs w:val="18"/>
                <w:color w:val="auto"/>
              </w:rPr>
              <w:t>Senior Secured Loan — First Amendment</w:t>
            </w:r>
          </w:p>
        </w:tc>
        <w:tc>
          <w:tcPr>
            <w:tcW w:w="1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Automotive</w:t>
            </w:r>
          </w:p>
        </w:tc>
        <w:tc>
          <w:tcPr>
            <w:tcW w:w="49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Term Loan 6.3% Cash, 1.0% Libor Floor, Due</w:t>
            </w:r>
          </w:p>
        </w:tc>
        <w:tc>
          <w:tcPr>
            <w:tcW w:w="14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500,000</w:t>
            </w:r>
          </w:p>
        </w:tc>
        <w:tc>
          <w:tcPr>
            <w:tcW w:w="14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495,290</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497,200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49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7/21</w:t>
            </w:r>
          </w:p>
        </w:tc>
        <w:tc>
          <w:tcPr>
            <w:tcW w:w="1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40" w:gutter="0" w:footer="0" w:header="0"/>
          <w:type w:val="continuous"/>
        </w:sectPr>
      </w:pPr>
    </w:p>
    <w:bookmarkStart w:id="15" w:name="page16"/>
    <w:bookmarkEnd w:id="15"/>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Cengage Learning,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80" w:lineRule="exact"/>
        <w:rPr>
          <w:sz w:val="20"/>
          <w:szCs w:val="20"/>
          <w:color w:val="auto"/>
        </w:rPr>
      </w:pPr>
    </w:p>
    <w:p>
      <w:pPr>
        <w:ind w:left="180" w:right="600" w:hanging="179"/>
        <w:spacing w:after="0" w:line="212" w:lineRule="auto"/>
        <w:rPr>
          <w:sz w:val="20"/>
          <w:szCs w:val="20"/>
          <w:color w:val="auto"/>
        </w:rPr>
      </w:pPr>
      <w:r>
        <w:rPr>
          <w:rFonts w:ascii="Arial" w:cs="Arial" w:eastAsia="Arial" w:hAnsi="Arial"/>
          <w:sz w:val="18"/>
          <w:szCs w:val="18"/>
          <w:color w:val="auto"/>
        </w:rPr>
        <w:t>Checkout Holding Corp. (fka Catalina Marketing)</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2" w:lineRule="auto"/>
        <w:rPr>
          <w:sz w:val="20"/>
          <w:szCs w:val="20"/>
          <w:color w:val="auto"/>
        </w:rPr>
      </w:pPr>
      <w:r>
        <w:rPr>
          <w:rFonts w:ascii="Arial" w:cs="Arial" w:eastAsia="Arial" w:hAnsi="Arial"/>
          <w:sz w:val="18"/>
          <w:szCs w:val="18"/>
          <w:color w:val="auto"/>
        </w:rPr>
        <w:t>CHS/Community Health Systems, Inc.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Communications,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84" w:lineRule="auto"/>
        <w:rPr>
          <w:sz w:val="20"/>
          <w:szCs w:val="20"/>
          <w:color w:val="auto"/>
        </w:rPr>
      </w:pPr>
      <w:r>
        <w:rPr>
          <w:rFonts w:ascii="Arial" w:cs="Arial" w:eastAsia="Arial" w:hAnsi="Arial"/>
          <w:sz w:val="18"/>
          <w:szCs w:val="18"/>
          <w:color w:val="auto"/>
        </w:rPr>
        <w:t>CRGT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69" w:lineRule="exact"/>
        <w:rPr>
          <w:sz w:val="20"/>
          <w:szCs w:val="20"/>
          <w:color w:val="auto"/>
        </w:rPr>
      </w:pPr>
    </w:p>
    <w:p>
      <w:pPr>
        <w:ind w:left="180" w:right="300" w:hanging="179"/>
        <w:spacing w:after="0" w:line="212" w:lineRule="auto"/>
        <w:rPr>
          <w:sz w:val="20"/>
          <w:szCs w:val="20"/>
          <w:color w:val="auto"/>
        </w:rPr>
      </w:pPr>
      <w:r>
        <w:rPr>
          <w:rFonts w:ascii="Arial" w:cs="Arial" w:eastAsia="Arial" w:hAnsi="Arial"/>
          <w:sz w:val="18"/>
          <w:szCs w:val="18"/>
          <w:color w:val="auto"/>
        </w:rPr>
        <w:t>CSM Bakery Solutions Limited (fka CSM Bakery Supplies Limited)</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7" w:lineRule="exact"/>
        <w:rPr>
          <w:sz w:val="20"/>
          <w:szCs w:val="20"/>
          <w:color w:val="auto"/>
        </w:rPr>
      </w:pPr>
    </w:p>
    <w:p>
      <w:pPr>
        <w:ind w:left="180" w:right="20" w:hanging="179"/>
        <w:spacing w:after="0" w:line="235" w:lineRule="auto"/>
        <w:rPr>
          <w:sz w:val="20"/>
          <w:szCs w:val="20"/>
          <w:color w:val="auto"/>
        </w:rPr>
      </w:pPr>
      <w:r>
        <w:rPr>
          <w:rFonts w:ascii="Arial" w:cs="Arial" w:eastAsia="Arial" w:hAnsi="Arial"/>
          <w:sz w:val="16"/>
          <w:szCs w:val="16"/>
          <w:color w:val="auto"/>
        </w:rPr>
        <w:t>CT Technologies Intermediate Holdings, Inc. (Smart Holdings Corp.) (aka HealthPort)</w:t>
      </w:r>
      <w:r>
        <w:rPr>
          <w:rFonts w:ascii="Arial" w:cs="Arial" w:eastAsia="Arial" w:hAnsi="Arial"/>
          <w:sz w:val="26"/>
          <w:szCs w:val="26"/>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(9)</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95" w:lineRule="auto"/>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Eastern Power, LLC (Eastern Covert Midco,</w:t>
      </w:r>
    </w:p>
    <w:p>
      <w:pPr>
        <w:ind w:left="180"/>
        <w:spacing w:after="0" w:line="194" w:lineRule="auto"/>
        <w:rPr>
          <w:sz w:val="20"/>
          <w:szCs w:val="20"/>
          <w:color w:val="auto"/>
        </w:rPr>
      </w:pPr>
      <w:r>
        <w:rPr>
          <w:rFonts w:ascii="Arial" w:cs="Arial" w:eastAsia="Arial" w:hAnsi="Arial"/>
          <w:sz w:val="18"/>
          <w:szCs w:val="18"/>
          <w:color w:val="auto"/>
        </w:rPr>
        <w:t>LLC) (aka TPF II LC,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Electric Lightwave Holdings, Inc. (f.k.a.</w:t>
      </w:r>
    </w:p>
    <w:p>
      <w:pPr>
        <w:ind w:left="180"/>
        <w:spacing w:after="0" w:line="186" w:lineRule="auto"/>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84" w:lineRule="auto"/>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Empower Payments Acquisition,</w:t>
      </w:r>
    </w:p>
    <w:p>
      <w:pPr>
        <w:ind w:left="180"/>
        <w:spacing w:after="0" w:line="184" w:lineRule="auto"/>
        <w:rPr>
          <w:sz w:val="20"/>
          <w:szCs w:val="20"/>
          <w:color w:val="auto"/>
        </w:rPr>
      </w:pPr>
      <w:r>
        <w:rPr>
          <w:rFonts w:ascii="Arial" w:cs="Arial" w:eastAsia="Arial" w:hAnsi="Arial"/>
          <w:sz w:val="30"/>
          <w:szCs w:val="30"/>
          <w:color w:val="auto"/>
          <w:vertAlign w:val="subscript"/>
        </w:rPr>
        <w:t>Inc</w:t>
      </w:r>
      <w:r>
        <w:rPr>
          <w:rFonts w:ascii="Arial" w:cs="Arial" w:eastAsia="Arial" w:hAnsi="Arial"/>
          <w:sz w:val="14"/>
          <w:szCs w:val="14"/>
          <w:color w:val="auto"/>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EWT Holdings III Corp. (fka WTG Holdings</w:t>
      </w:r>
    </w:p>
    <w:p>
      <w:pPr>
        <w:ind w:left="420" w:hanging="232"/>
        <w:spacing w:after="0" w:line="19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Ecological</w:t>
      </w:r>
    </w:p>
    <w:p>
      <w:pPr>
        <w:spacing w:after="0" w:line="221" w:lineRule="auto"/>
        <w:rPr>
          <w:sz w:val="20"/>
          <w:szCs w:val="20"/>
          <w:color w:val="auto"/>
        </w:rPr>
      </w:pPr>
      <w:r>
        <w:rPr>
          <w:rFonts w:ascii="Arial" w:cs="Arial" w:eastAsia="Arial" w:hAnsi="Arial"/>
          <w:sz w:val="16"/>
          <w:szCs w:val="16"/>
          <w:color w:val="auto"/>
        </w:rPr>
        <w:t>Fender Musical Instruments Corporation</w:t>
      </w:r>
      <w:r>
        <w:rPr>
          <w:rFonts w:ascii="Arial" w:cs="Arial" w:eastAsia="Arial" w:hAnsi="Arial"/>
          <w:sz w:val="25"/>
          <w:szCs w:val="25"/>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7" w:lineRule="exact"/>
        <w:rPr>
          <w:sz w:val="20"/>
          <w:szCs w:val="20"/>
          <w:color w:val="auto"/>
        </w:rPr>
      </w:pPr>
    </w:p>
    <w:p>
      <w:pPr>
        <w:ind w:left="180" w:right="20" w:hanging="179"/>
        <w:spacing w:after="0" w:line="234" w:lineRule="auto"/>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2" w:lineRule="auto"/>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 6.3%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1,498,330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1,452,512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5"/>
              </w:rPr>
              <w:t>Senior Secured Bond — 10.625% – 08/2018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143818AA0 144A 10.6% Cash,</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1,506,461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1,487,400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2,922,875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2,470,338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2016 Refinancing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Term Loan 5.3%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3,793,913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3,788,981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3,702,043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4.5% Cash, 1.0% Libor Floor, Due 4/21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Incremental 2021</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853,125</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H Loan 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2,853,070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2,796,465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 Due 10/23</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2,067,444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2,062,450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2,067,444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7.5%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3,224,017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3,190,360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3,224,339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8.8% Cash, 1.0% Libor Floor, Due 7/21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New Term Loan</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3,011,328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2,463,000</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Facility 5.3%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2,940,225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2,917,719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2,818,941</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8.0% Cash, 1.0% Libor Floor, Due 5/21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2,496,331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2,796,756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2,814,422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2,826,122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B-1 Loan 5.3%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8/20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2,932,538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2,924,968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2,945,734</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8.5% Cash, 1.5% Libor Floor, Due 6/18</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1,420,897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1,397,046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1,380,544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11/23</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2,940,565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4.8% Cash, 1.0% Libor Floor, Due 1/21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Initial Loan 5.8%</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1,745,501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1,741,292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1,760,783</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1,345,751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1,322,254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 Due 12/21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3,838,768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3,811,221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3,742,799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 10.8%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1,796,448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1,783,840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1,742,555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4.8% Cash, 1.3% Libor Floor, Due 10/19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2,140,569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2,147,692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1,874,775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-7571740</wp:posOffset>
            </wp:positionV>
            <wp:extent cx="72466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-6748780</wp:posOffset>
            </wp:positionV>
            <wp:extent cx="7246620" cy="43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-5899785</wp:posOffset>
            </wp:positionV>
            <wp:extent cx="724662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-5187950</wp:posOffset>
            </wp:positionV>
            <wp:extent cx="7246620" cy="43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-4184650</wp:posOffset>
            </wp:positionV>
            <wp:extent cx="72466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-3446780</wp:posOffset>
            </wp:positionV>
            <wp:extent cx="7246620" cy="43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43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-1834515</wp:posOffset>
            </wp:positionV>
            <wp:extent cx="72466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-1122680</wp:posOffset>
            </wp:positionV>
            <wp:extent cx="72466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-8403590</wp:posOffset>
            </wp:positionV>
            <wp:extent cx="7246620"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60" w:space="200"/>
            <w:col w:w="7760"/>
          </w:cols>
          <w:pgMar w:left="240" w:top="904" w:right="339" w:bottom="586" w:gutter="0" w:footer="0" w:header="0"/>
        </w:sectPr>
      </w:pPr>
    </w:p>
    <w:bookmarkStart w:id="16" w:name="page17"/>
    <w:bookmarkEnd w:id="16"/>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(8),</w:t>
      </w:r>
    </w:p>
    <w:p>
      <w:pPr>
        <w:ind w:left="180"/>
        <w:spacing w:after="0"/>
        <w:rPr>
          <w:sz w:val="20"/>
          <w:szCs w:val="20"/>
          <w:color w:val="auto"/>
        </w:rPr>
      </w:pPr>
      <w:r>
        <w:rPr>
          <w:rFonts w:ascii="Arial" w:cs="Arial" w:eastAsia="Arial" w:hAnsi="Arial"/>
          <w:sz w:val="15"/>
          <w:szCs w:val="15"/>
          <w:color w:val="auto"/>
        </w:rPr>
        <w:t>(9)</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95" w:lineRule="auto"/>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84" w:lineRule="auto"/>
        <w:rPr>
          <w:sz w:val="20"/>
          <w:szCs w:val="20"/>
          <w:color w:val="auto"/>
        </w:rPr>
      </w:pPr>
      <w:r>
        <w:rPr>
          <w:rFonts w:ascii="Arial" w:cs="Arial" w:eastAsia="Arial" w:hAnsi="Arial"/>
          <w:sz w:val="18"/>
          <w:szCs w:val="18"/>
          <w:color w:val="auto"/>
        </w:rPr>
        <w:t>Gold Standard Baking,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Grande Communications Networks LLC</w:t>
      </w:r>
      <w:r>
        <w:rPr>
          <w:rFonts w:ascii="Arial" w:cs="Arial" w:eastAsia="Arial" w:hAnsi="Arial"/>
          <w:sz w:val="26"/>
          <w:szCs w:val="26"/>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84" w:lineRule="auto"/>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Hargray Communications Group, Inc. (HCP</w:t>
      </w:r>
    </w:p>
    <w:p>
      <w:pPr>
        <w:ind w:left="180"/>
        <w:spacing w:after="0" w:line="203" w:lineRule="auto"/>
        <w:rPr>
          <w:sz w:val="20"/>
          <w:szCs w:val="20"/>
          <w:color w:val="auto"/>
        </w:rPr>
      </w:pPr>
      <w:r>
        <w:rPr>
          <w:rFonts w:ascii="Arial" w:cs="Arial" w:eastAsia="Arial" w:hAnsi="Arial"/>
          <w:sz w:val="18"/>
          <w:szCs w:val="18"/>
          <w:color w:val="auto"/>
        </w:rPr>
        <w:t>Acquisition LLC)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ind w:left="180"/>
        <w:spacing w:after="0" w:line="186" w:lineRule="auto"/>
        <w:rPr>
          <w:sz w:val="20"/>
          <w:szCs w:val="20"/>
          <w:color w:val="auto"/>
        </w:rPr>
      </w:pPr>
      <w:r>
        <w:rPr>
          <w:rFonts w:ascii="Arial" w:cs="Arial" w:eastAsia="Arial" w:hAnsi="Arial"/>
          <w:sz w:val="18"/>
          <w:szCs w:val="18"/>
          <w:color w:val="auto"/>
        </w:rPr>
        <w:t>(fka Clarke American Corp.)</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ind w:left="180"/>
        <w:spacing w:after="0" w:line="186" w:lineRule="auto"/>
        <w:rPr>
          <w:sz w:val="20"/>
          <w:szCs w:val="20"/>
          <w:color w:val="auto"/>
        </w:rPr>
      </w:pPr>
      <w:r>
        <w:rPr>
          <w:rFonts w:ascii="Arial" w:cs="Arial" w:eastAsia="Arial" w:hAnsi="Arial"/>
          <w:sz w:val="18"/>
          <w:szCs w:val="18"/>
          <w:color w:val="auto"/>
        </w:rPr>
        <w:t>(fka Clarke American Corp.)</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Harland Clarke Holdings Corp.</w:t>
      </w:r>
    </w:p>
    <w:p>
      <w:pPr>
        <w:spacing w:after="0" w:line="9" w:lineRule="exact"/>
        <w:rPr>
          <w:sz w:val="20"/>
          <w:szCs w:val="20"/>
          <w:color w:val="auto"/>
        </w:rPr>
      </w:pPr>
    </w:p>
    <w:p>
      <w:pPr>
        <w:ind w:left="180" w:right="100"/>
        <w:spacing w:after="0" w:line="219" w:lineRule="auto"/>
        <w:rPr>
          <w:sz w:val="20"/>
          <w:szCs w:val="20"/>
          <w:color w:val="auto"/>
        </w:rPr>
      </w:pPr>
      <w:r>
        <w:rPr>
          <w:rFonts w:ascii="Arial" w:cs="Arial" w:eastAsia="Arial" w:hAnsi="Arial"/>
          <w:sz w:val="17"/>
          <w:szCs w:val="17"/>
          <w:color w:val="auto"/>
        </w:rPr>
        <w:t>(fka Clarke American Corp.)</w:t>
      </w:r>
      <w:r>
        <w:rPr>
          <w:rFonts w:ascii="Arial" w:cs="Arial" w:eastAsia="Arial" w:hAnsi="Arial"/>
          <w:sz w:val="28"/>
          <w:szCs w:val="28"/>
          <w:color w:val="auto"/>
          <w:vertAlign w:val="superscript"/>
        </w:rPr>
        <w:t>(8), (9)</w:t>
      </w:r>
      <w:r>
        <w:rPr>
          <w:rFonts w:ascii="Arial" w:cs="Arial" w:eastAsia="Arial" w:hAnsi="Arial"/>
          <w:sz w:val="17"/>
          <w:szCs w:val="17"/>
          <w:color w:val="auto"/>
        </w:rPr>
        <w:t xml:space="preserve"> </w:t>
      </w:r>
      <w:r>
        <w:rPr>
          <w:rFonts w:ascii="Arial" w:cs="Arial" w:eastAsia="Arial" w:hAnsi="Arial"/>
          <w:sz w:val="17"/>
          <w:szCs w:val="17"/>
          <w:i w:val="1"/>
          <w:iCs w:val="1"/>
          <w:color w:val="auto"/>
        </w:rPr>
        <w:t>Media: Advertising, Printing &amp; Publishing</w:t>
      </w:r>
    </w:p>
    <w:p>
      <w:pPr>
        <w:ind w:left="180" w:right="320" w:hanging="179"/>
        <w:spacing w:after="0" w:line="250" w:lineRule="auto"/>
        <w:rPr>
          <w:sz w:val="20"/>
          <w:szCs w:val="20"/>
          <w:color w:val="auto"/>
        </w:rPr>
      </w:pPr>
      <w:r>
        <w:rPr>
          <w:rFonts w:ascii="Arial" w:cs="Arial" w:eastAsia="Arial" w:hAnsi="Arial"/>
          <w:sz w:val="18"/>
          <w:szCs w:val="18"/>
          <w:color w:val="auto"/>
        </w:rPr>
        <w:t>Highland Acquisition Holdings, LLC (aka HealthSun Health Plans,</w:t>
      </w:r>
    </w:p>
    <w:p>
      <w:pPr>
        <w:ind w:left="180"/>
        <w:spacing w:after="0" w:line="185" w:lineRule="auto"/>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6" w:lineRule="auto"/>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Industrial Services Acquisition, LLC (aka</w:t>
      </w:r>
    </w:p>
    <w:p>
      <w:pPr>
        <w:spacing w:after="0" w:line="23" w:lineRule="exact"/>
        <w:rPr>
          <w:sz w:val="20"/>
          <w:szCs w:val="20"/>
          <w:color w:val="auto"/>
        </w:rPr>
      </w:pPr>
    </w:p>
    <w:p>
      <w:pPr>
        <w:ind w:left="180" w:right="1360"/>
        <w:spacing w:after="0" w:line="234" w:lineRule="auto"/>
        <w:rPr>
          <w:sz w:val="20"/>
          <w:szCs w:val="20"/>
          <w:color w:val="auto"/>
        </w:rPr>
      </w:pPr>
      <w:r>
        <w:rPr>
          <w:rFonts w:ascii="Arial" w:cs="Arial" w:eastAsia="Arial" w:hAnsi="Arial"/>
          <w:sz w:val="16"/>
          <w:szCs w:val="16"/>
          <w:color w:val="auto"/>
        </w:rPr>
        <w:t>Evergreen/NAIC)</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Environmental Industries</w:t>
      </w:r>
    </w:p>
    <w:p>
      <w:pPr>
        <w:spacing w:after="0" w:line="208" w:lineRule="auto"/>
        <w:rPr>
          <w:sz w:val="20"/>
          <w:szCs w:val="20"/>
          <w:color w:val="auto"/>
        </w:rPr>
      </w:pPr>
      <w:r>
        <w:rPr>
          <w:rFonts w:ascii="Arial" w:cs="Arial" w:eastAsia="Arial" w:hAnsi="Arial"/>
          <w:sz w:val="16"/>
          <w:szCs w:val="16"/>
          <w:color w:val="auto"/>
        </w:rPr>
        <w:t>Kellermeyer Bergensons Services, LLC</w:t>
      </w:r>
      <w:r>
        <w:rPr>
          <w:rFonts w:ascii="Arial" w:cs="Arial" w:eastAsia="Arial" w:hAnsi="Arial"/>
          <w:sz w:val="26"/>
          <w:szCs w:val="26"/>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184" w:lineRule="auto"/>
        <w:rPr>
          <w:sz w:val="20"/>
          <w:szCs w:val="20"/>
          <w:color w:val="auto"/>
        </w:rPr>
      </w:pPr>
      <w:r>
        <w:rPr>
          <w:rFonts w:ascii="Arial" w:cs="Arial" w:eastAsia="Arial" w:hAnsi="Arial"/>
          <w:sz w:val="18"/>
          <w:szCs w:val="18"/>
          <w:color w:val="auto"/>
        </w:rPr>
        <w:t>Landslide Holdings,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5" w:lineRule="auto"/>
        <w:rPr>
          <w:sz w:val="20"/>
          <w:szCs w:val="20"/>
          <w:color w:val="auto"/>
        </w:rPr>
      </w:pPr>
      <w:r>
        <w:rPr>
          <w:rFonts w:ascii="Arial" w:cs="Arial" w:eastAsia="Arial" w:hAnsi="Arial"/>
          <w:sz w:val="17"/>
          <w:szCs w:val="17"/>
          <w:color w:val="auto"/>
        </w:rPr>
        <w:t>MB Aerospace ACP Holdings II Corp.</w:t>
      </w:r>
      <w:r>
        <w:rPr>
          <w:rFonts w:ascii="Arial" w:cs="Arial" w:eastAsia="Arial" w:hAnsi="Arial"/>
          <w:sz w:val="27"/>
          <w:szCs w:val="27"/>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 5.5%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2,722,500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2,700,224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2,463,046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(Second Lien) 10.5%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1,478,209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1,465,650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6.5%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2,450,000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2,433,329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2,446,080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9.0% Cash, 1.3% Libor Floor, Due 11/20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3,957,505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3,894,500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2,462,500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2,453,554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2,461,269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 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3,860,145</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3,864,877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3,860,145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8.5% Cash, 1.5% Libor Floor, Due 1/18</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2,887,500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2,743,125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Lien) 13.8% Cash, Due 7/18</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6,953,618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1,415,457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759,581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B-1 Loan 4.8%</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6/19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Tranche B-3 Term</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2,887,075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2,860,733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2,926,166</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Loan 7.0% Cash, 1.5% Libor Floor, Due 5/18</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Tranche B-4 Term</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1,697,272</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1,690,708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1,703,637</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Loan 7.0% Cash, 1.0% Libor Floor, Due 8/19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Tranche B-5 Term</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1,387,500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1,384,229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1,391,545</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Loan 7.0% Cash, 1.0% Libor Floor, Due 12/19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Term Loan B 6.5%</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1,385,417</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1,395,980</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11/22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Junior Secured Loan — Initial Term Loan</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1,903,216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1,910,000</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(Second Lien) 10.5%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1,552,544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1,524,640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5.5%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2,666,667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2,640,345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2,668,267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2,925,000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2,898,235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1,950,120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1,936,641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1,943,100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8/21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1,394,077</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1,389,440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1,411,851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5.5% Cash, 1.0% Libor Floor, Due 9/22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1,850,467</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1,846,044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1,850,467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 Due 12/22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1,342,500</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1,331,454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-7486015</wp:posOffset>
            </wp:positionV>
            <wp:extent cx="7246620" cy="428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-6757035</wp:posOffset>
            </wp:positionV>
            <wp:extent cx="724662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-6045200</wp:posOffset>
            </wp:positionV>
            <wp:extent cx="7246620"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-5445125</wp:posOffset>
            </wp:positionV>
            <wp:extent cx="72466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-4458970</wp:posOffset>
            </wp:positionV>
            <wp:extent cx="7246620" cy="43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-3583940</wp:posOffset>
            </wp:positionV>
            <wp:extent cx="7246620" cy="43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-2572385</wp:posOffset>
            </wp:positionV>
            <wp:extent cx="72466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-1748790</wp:posOffset>
            </wp:positionV>
            <wp:extent cx="7246620" cy="43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-899795</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-8317865</wp:posOffset>
            </wp:positionV>
            <wp:extent cx="7246620" cy="420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80" w:space="180"/>
            <w:col w:w="7760"/>
          </w:cols>
          <w:pgMar w:left="240" w:top="904" w:right="339" w:bottom="721" w:gutter="0" w:footer="0" w:header="0"/>
        </w:sectPr>
      </w:pPr>
    </w:p>
    <w:bookmarkStart w:id="17" w:name="page18"/>
    <w:bookmarkEnd w:id="17"/>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Medrisk,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MGOC, Inc. (fka Media General, Inc.)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Subscription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National Home Health Care Corp.</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National Home Health Care Corp.</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84" w:lineRule="auto"/>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84" w:lineRule="auto"/>
        <w:rPr>
          <w:sz w:val="20"/>
          <w:szCs w:val="20"/>
          <w:color w:val="auto"/>
        </w:rPr>
      </w:pPr>
      <w:r>
        <w:rPr>
          <w:rFonts w:ascii="Arial" w:cs="Arial" w:eastAsia="Arial" w:hAnsi="Arial"/>
          <w:sz w:val="18"/>
          <w:szCs w:val="18"/>
          <w:color w:val="auto"/>
        </w:rPr>
        <w:t>Nielsen &amp; Bainbridge, LLC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84" w:lineRule="auto"/>
        <w:rPr>
          <w:sz w:val="20"/>
          <w:szCs w:val="20"/>
          <w:color w:val="auto"/>
        </w:rPr>
      </w:pPr>
      <w:r>
        <w:rPr>
          <w:rFonts w:ascii="Arial" w:cs="Arial" w:eastAsia="Arial" w:hAnsi="Arial"/>
          <w:sz w:val="18"/>
          <w:szCs w:val="18"/>
          <w:color w:val="auto"/>
        </w:rPr>
        <w:t>NM Z Parent Inc. (aka Zep,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Novitex Acquisition, LLC (fka ARSloane</w:t>
      </w:r>
    </w:p>
    <w:p>
      <w:pPr>
        <w:ind w:left="180"/>
        <w:spacing w:after="0" w:line="186" w:lineRule="auto"/>
        <w:rPr>
          <w:sz w:val="20"/>
          <w:szCs w:val="20"/>
          <w:color w:val="auto"/>
        </w:rPr>
      </w:pPr>
      <w:r>
        <w:rPr>
          <w:rFonts w:ascii="Arial" w:cs="Arial" w:eastAsia="Arial" w:hAnsi="Arial"/>
          <w:sz w:val="18"/>
          <w:szCs w:val="18"/>
          <w:color w:val="auto"/>
        </w:rPr>
        <w:t>Acquisition,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84" w:lineRule="auto"/>
        <w:rPr>
          <w:sz w:val="20"/>
          <w:szCs w:val="20"/>
          <w:color w:val="auto"/>
        </w:rPr>
      </w:pPr>
      <w:r>
        <w:rPr>
          <w:rFonts w:ascii="Arial" w:cs="Arial" w:eastAsia="Arial" w:hAnsi="Arial"/>
          <w:sz w:val="18"/>
          <w:szCs w:val="18"/>
          <w:color w:val="auto"/>
        </w:rPr>
        <w:t>Onex Carestream Finance LP</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Onex Carestream Finance LP</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Otter Products, LLC (OtterBox Holdings, Inc.)</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(8), (9)</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PGX Holdings,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PrimeLine Utility Services LLC</w:t>
      </w:r>
    </w:p>
    <w:p>
      <w:pPr>
        <w:ind w:left="180"/>
        <w:spacing w:after="0" w:line="186" w:lineRule="auto"/>
        <w:rPr>
          <w:sz w:val="20"/>
          <w:szCs w:val="20"/>
          <w:color w:val="auto"/>
        </w:rPr>
      </w:pPr>
      <w:r>
        <w:rPr>
          <w:rFonts w:ascii="Arial" w:cs="Arial" w:eastAsia="Arial" w:hAnsi="Arial"/>
          <w:sz w:val="18"/>
          <w:szCs w:val="18"/>
          <w:color w:val="auto"/>
        </w:rPr>
        <w:t>(fka FR Utility Services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Energy: Electricity</w:t>
      </w:r>
    </w:p>
    <w:p>
      <w:pPr>
        <w:spacing w:after="0" w:line="7" w:lineRule="exact"/>
        <w:rPr>
          <w:sz w:val="20"/>
          <w:szCs w:val="20"/>
          <w:color w:val="auto"/>
        </w:rPr>
      </w:pPr>
    </w:p>
    <w:p>
      <w:pPr>
        <w:ind w:left="180" w:hanging="179"/>
        <w:spacing w:after="0" w:line="234" w:lineRule="auto"/>
        <w:rPr>
          <w:sz w:val="20"/>
          <w:szCs w:val="20"/>
          <w:color w:val="auto"/>
        </w:rPr>
      </w:pPr>
      <w:r>
        <w:rPr>
          <w:rFonts w:ascii="Arial" w:cs="Arial" w:eastAsia="Arial" w:hAnsi="Arial"/>
          <w:sz w:val="16"/>
          <w:szCs w:val="16"/>
          <w:color w:val="auto"/>
        </w:rPr>
        <w:t>Priority Payment Systems Holdings, LLC</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180" w:lineRule="auto"/>
        <w:rPr>
          <w:sz w:val="20"/>
          <w:szCs w:val="20"/>
          <w:color w:val="auto"/>
        </w:rPr>
      </w:pPr>
      <w:r>
        <w:rPr>
          <w:rFonts w:ascii="Arial" w:cs="Arial" w:eastAsia="Arial" w:hAnsi="Arial"/>
          <w:sz w:val="18"/>
          <w:szCs w:val="18"/>
          <w:color w:val="auto"/>
        </w:rPr>
        <w:t>PSC Industrial Holdings Corp.</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Q Holding Company (fka Lexington Precision</w:t>
      </w:r>
    </w:p>
    <w:p>
      <w:pPr>
        <w:ind w:left="180"/>
        <w:spacing w:after="0" w:line="194" w:lineRule="auto"/>
        <w:rPr>
          <w:sz w:val="20"/>
          <w:szCs w:val="20"/>
          <w:color w:val="auto"/>
        </w:rPr>
      </w:pPr>
      <w:r>
        <w:rPr>
          <w:rFonts w:ascii="Arial" w:cs="Arial" w:eastAsia="Arial" w:hAnsi="Arial"/>
          <w:sz w:val="18"/>
          <w:szCs w:val="18"/>
          <w:color w:val="auto"/>
        </w:rPr>
        <w:t>Corporation)</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Chemicals, Plastics and Rubber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Quad-C JH Holdings Inc. (aka Joerns</w:t>
      </w:r>
    </w:p>
    <w:p>
      <w:pPr>
        <w:ind w:left="180"/>
        <w:spacing w:after="0" w:line="186" w:lineRule="auto"/>
        <w:rPr>
          <w:sz w:val="20"/>
          <w:szCs w:val="20"/>
          <w:color w:val="auto"/>
        </w:rPr>
      </w:pPr>
      <w:r>
        <w:rPr>
          <w:rFonts w:ascii="Arial" w:cs="Arial" w:eastAsia="Arial" w:hAnsi="Arial"/>
          <w:sz w:val="18"/>
          <w:szCs w:val="18"/>
          <w:color w:val="auto"/>
        </w:rPr>
        <w:t>Healthcare)</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84" w:lineRule="auto"/>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Consumer</w:t>
      </w:r>
    </w:p>
    <w:p>
      <w:pPr>
        <w:spacing w:after="0" w:line="184" w:lineRule="auto"/>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Sandy Creek Energy Associates,</w:t>
      </w:r>
    </w:p>
    <w:p>
      <w:pPr>
        <w:ind w:left="180"/>
        <w:spacing w:after="0" w:line="184" w:lineRule="auto"/>
        <w:rPr>
          <w:sz w:val="20"/>
          <w:szCs w:val="20"/>
          <w:color w:val="auto"/>
        </w:rPr>
      </w:pPr>
      <w:r>
        <w:rPr>
          <w:rFonts w:ascii="Arial" w:cs="Arial" w:eastAsia="Arial" w:hAnsi="Arial"/>
          <w:sz w:val="30"/>
          <w:szCs w:val="30"/>
          <w:color w:val="auto"/>
          <w:vertAlign w:val="subscript"/>
        </w:rPr>
        <w:t>L.P.</w:t>
      </w:r>
      <w:r>
        <w:rPr>
          <w:rFonts w:ascii="Arial" w:cs="Arial" w:eastAsia="Arial" w:hAnsi="Arial"/>
          <w:sz w:val="14"/>
          <w:szCs w:val="14"/>
          <w:color w:val="auto"/>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 6.3%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1,985,000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1,967,461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4.0%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7/20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2,417,989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2,419,940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2,417,989</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 11.8%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1,477,675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5.5% Cash, 1.0% Libor Floor, Due 12/21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2,970,280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A-1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2,350,684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2,335,796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2,350,449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A-2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2,066,562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2,052,899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2,066,355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6.2% Cash, 1.0% Libor Floor, Due 8/20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5,361,360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5,326,136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5,199,447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4"/>
              </w:rPr>
              <w:t>Senior Secured Loan — 2016 Term Loan 5.0%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3,447,500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3,459,466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3,481,630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B-2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 8.0% Cash, 1.3%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7/20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1,941,336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1,899,875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1,882,707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9.5% Cash, 1.0% Libor Floor, Due 12/19</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1,647,295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5"/>
              </w:rPr>
              <w:t>Senior Secured Loan — 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2013) 5.0% Cash, 1.0% Libor Floor, Due 6/19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1,750,135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1,753,387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1,704,920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5.8%</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2,600,266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2,587,099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2,507,697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3,620,714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3,598,052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3,626,381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1,958,956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1,969,606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 Due 11/22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3,935,672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3,904,453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3,937,247</w:t>
            </w: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1/23</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3,960,000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5.8% Cash, 1.0% Libor Floor, Due 12/20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2,974,300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2,953,559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2,941,583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2,992,366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2,962,443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2,962,443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A 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3,900,079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3,883,565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3,666,075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 Due 7/21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2,421,875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2,412,614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2,324,516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Lien) 11.3% Cash, Due 9/19</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6,666,733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2,613,239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2,606,016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-7132955</wp:posOffset>
            </wp:positionV>
            <wp:extent cx="72466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-6421120</wp:posOffset>
            </wp:positionV>
            <wp:extent cx="72466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-5821045</wp:posOffset>
            </wp:positionV>
            <wp:extent cx="72466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-5220970</wp:posOffset>
            </wp:positionV>
            <wp:extent cx="7246620" cy="43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-4483100</wp:posOffset>
            </wp:positionV>
            <wp:extent cx="724662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-3771265</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-2948305</wp:posOffset>
            </wp:positionV>
            <wp:extent cx="724662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-2210435</wp:posOffset>
            </wp:positionV>
            <wp:extent cx="724662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-1473200</wp:posOffset>
            </wp:positionV>
            <wp:extent cx="7246620" cy="43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-735330</wp:posOffset>
            </wp:positionV>
            <wp:extent cx="724662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-7990840</wp:posOffset>
            </wp:positionV>
            <wp:extent cx="7246620" cy="420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120"/>
            <w:col w:w="7860"/>
          </w:cols>
          <w:pgMar w:left="240" w:top="904" w:right="239" w:bottom="545" w:gutter="0" w:footer="0" w:header="0"/>
        </w:sectPr>
      </w:pPr>
    </w:p>
    <w:tbl>
      <w:tblPr>
        <w:tblLayout w:type="fixed"/>
        <w:tblInd w:w="0" w:type="dxa"/>
        <w:tblCellMar>
          <w:top w:w="0" w:type="dxa"/>
          <w:left w:w="0" w:type="dxa"/>
          <w:bottom w:w="0" w:type="dxa"/>
          <w:right w:w="0" w:type="dxa"/>
        </w:tblCellMar>
      </w:tblP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5"/>
              </w:rPr>
              <w:t>Stafford Logistics, Inc.(dba Custom Ecology,</w:t>
            </w:r>
          </w:p>
        </w:tc>
        <w:tc>
          <w:tcPr>
            <w:tcW w:w="342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w w:val="98"/>
              </w:rPr>
              <w:t>Senior Secured Loan — Term Loan 7.5%</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7"/>
        </w:trPr>
        <w:tc>
          <w:tcPr>
            <w:tcW w:w="3420" w:type="dxa"/>
            <w:vAlign w:val="bottom"/>
            <w:shd w:val="clear" w:color="auto" w:fill="CCEEFF"/>
          </w:tcPr>
          <w:p>
            <w:pPr>
              <w:ind w:left="180"/>
              <w:spacing w:after="0" w:line="217" w:lineRule="exact"/>
              <w:rPr>
                <w:sz w:val="20"/>
                <w:szCs w:val="20"/>
                <w:color w:val="auto"/>
              </w:rPr>
            </w:pPr>
            <w:r>
              <w:rPr>
                <w:rFonts w:ascii="Arial" w:cs="Arial" w:eastAsia="Arial" w:hAnsi="Arial"/>
                <w:sz w:val="25"/>
                <w:szCs w:val="25"/>
                <w:color w:val="auto"/>
                <w:vertAlign w:val="subscript"/>
              </w:rPr>
              <w:t>Inc.)</w:t>
            </w:r>
            <w:r>
              <w:rPr>
                <w:rFonts w:ascii="Arial" w:cs="Arial" w:eastAsia="Arial" w:hAnsi="Arial"/>
                <w:sz w:val="12"/>
                <w:szCs w:val="12"/>
                <w:color w:val="auto"/>
              </w:rPr>
              <w:t>(8), (9)</w:t>
            </w: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1.0% Libor Floor,</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Environmental Industries</w:t>
            </w: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8/21</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2,709,639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2,694,201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2,677,395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45" w:gutter="0" w:footer="0" w:header="0"/>
          <w:type w:val="continuous"/>
        </w:sectPr>
      </w:pPr>
    </w:p>
    <w:bookmarkStart w:id="18" w:name="page19"/>
    <w:bookmarkEnd w:id="18"/>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Company/Principal Business</w:t>
      </w:r>
    </w:p>
    <w:p>
      <w:pPr>
        <w:spacing w:after="0"/>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 (14)</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184" w:lineRule="auto"/>
        <w:rPr>
          <w:sz w:val="20"/>
          <w:szCs w:val="20"/>
          <w:color w:val="auto"/>
        </w:rPr>
      </w:pPr>
      <w:r>
        <w:rPr>
          <w:rFonts w:ascii="Arial" w:cs="Arial" w:eastAsia="Arial" w:hAnsi="Arial"/>
          <w:sz w:val="18"/>
          <w:szCs w:val="18"/>
          <w:color w:val="auto"/>
        </w:rPr>
        <w:t>Terra Millennium Corporation</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184" w:lineRule="auto"/>
        <w:rPr>
          <w:sz w:val="20"/>
          <w:szCs w:val="20"/>
          <w:color w:val="auto"/>
        </w:rPr>
      </w:pPr>
      <w:r>
        <w:rPr>
          <w:rFonts w:ascii="Arial" w:cs="Arial" w:eastAsia="Arial" w:hAnsi="Arial"/>
          <w:sz w:val="18"/>
          <w:szCs w:val="18"/>
          <w:color w:val="auto"/>
        </w:rPr>
        <w:t>TronAir Parent Inc.</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169" w:lineRule="exact"/>
        <w:rPr>
          <w:sz w:val="20"/>
          <w:szCs w:val="20"/>
          <w:color w:val="auto"/>
        </w:rPr>
      </w:pPr>
    </w:p>
    <w:p>
      <w:pPr>
        <w:ind w:left="180" w:right="120" w:hanging="179"/>
        <w:spacing w:after="0" w:line="212" w:lineRule="auto"/>
        <w:rPr>
          <w:sz w:val="20"/>
          <w:szCs w:val="20"/>
          <w:color w:val="auto"/>
        </w:rPr>
      </w:pPr>
      <w:r>
        <w:rPr>
          <w:rFonts w:ascii="Arial" w:cs="Arial" w:eastAsia="Arial" w:hAnsi="Arial"/>
          <w:sz w:val="18"/>
          <w:szCs w:val="18"/>
          <w:color w:val="auto"/>
        </w:rPr>
        <w:t>U.S. Shipping Corp (fka U.S. Shipping Partners LP)</w:t>
      </w:r>
      <w:r>
        <w:rPr>
          <w:rFonts w:ascii="Arial" w:cs="Arial" w:eastAsia="Arial" w:hAnsi="Arial"/>
          <w:sz w:val="30"/>
          <w:szCs w:val="30"/>
          <w:color w:val="auto"/>
          <w:vertAlign w:val="superscript"/>
        </w:rPr>
        <w:t>(8),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Investment</w:t>
      </w:r>
    </w:p>
    <w:p>
      <w:pPr>
        <w:spacing w:after="0" w:line="208" w:lineRule="auto"/>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-8890</wp:posOffset>
            </wp:positionV>
            <wp:extent cx="724662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80"/>
        <w:spacing w:after="0" w:line="297" w:lineRule="auto"/>
        <w:rPr>
          <w:sz w:val="20"/>
          <w:szCs w:val="20"/>
          <w:color w:val="auto"/>
        </w:rPr>
      </w:pPr>
      <w:r>
        <w:rPr>
          <w:rFonts w:ascii="Arial" w:cs="Arial" w:eastAsia="Arial" w:hAnsi="Arial"/>
          <w:sz w:val="16"/>
          <w:szCs w:val="16"/>
          <w:color w:val="auto"/>
        </w:rPr>
        <w:t>Senior Secured Loan — Loan 10.0% Cash, 4.0% PIK, 3.0% Libor Floor, Due 8/19</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Senior Secured Loan — First Out Term Loan 7.3% Cash, 1.0% Libor Floor, Due 10/22</w:t>
      </w:r>
    </w:p>
    <w:p>
      <w:pPr>
        <w:spacing w:after="0" w:line="256" w:lineRule="auto"/>
        <w:rPr>
          <w:sz w:val="20"/>
          <w:szCs w:val="20"/>
          <w:color w:val="auto"/>
        </w:rPr>
      </w:pPr>
      <w:r>
        <w:rPr>
          <w:rFonts w:ascii="Arial" w:cs="Arial" w:eastAsia="Arial" w:hAnsi="Arial"/>
          <w:sz w:val="18"/>
          <w:szCs w:val="18"/>
          <w:color w:val="auto"/>
        </w:rPr>
        <w:t>Senior Secured Loan — Initial Term Loan (First Lien) 5.8% Cash, 1.0% Libor Floor, Due 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right="200"/>
        <w:spacing w:after="0" w:line="250" w:lineRule="auto"/>
        <w:rPr>
          <w:sz w:val="20"/>
          <w:szCs w:val="20"/>
          <w:color w:val="auto"/>
        </w:rPr>
      </w:pPr>
      <w:r>
        <w:rPr>
          <w:rFonts w:ascii="Arial" w:cs="Arial" w:eastAsia="Arial" w:hAnsi="Arial"/>
          <w:sz w:val="18"/>
          <w:szCs w:val="18"/>
          <w:color w:val="auto"/>
        </w:rPr>
        <w:t>Junior Secured Loan — Term Loan (Second Lien) 14.0% Cash, 1.0% Libor Floor, Due 12/19</w:t>
      </w:r>
    </w:p>
    <w:p>
      <w:pPr>
        <w:spacing w:after="0" w:line="1"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Senior Secured Loan — Tranche B-2 Term Loan 5.3% Cash, 1.0% Libor Floor, Due 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-300355</wp:posOffset>
            </wp:positionV>
            <wp:extent cx="7246620" cy="43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Amortized</w:t>
            </w:r>
          </w:p>
        </w:tc>
        <w:tc>
          <w:tcPr>
            <w:tcW w:w="1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Fair Value</w:t>
            </w:r>
            <w:r>
              <w:rPr>
                <w:rFonts w:ascii="Arial" w:cs="Arial" w:eastAsia="Arial" w:hAnsi="Arial"/>
                <w:sz w:val="30"/>
                <w:szCs w:val="30"/>
                <w:b w:val="1"/>
                <w:bCs w:val="1"/>
                <w:color w:val="auto"/>
                <w:w w:val="99"/>
                <w:vertAlign w:val="superscript"/>
              </w:rPr>
              <w:t>(2)</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10,750,808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10,656,975</w:t>
            </w:r>
          </w:p>
        </w:tc>
        <w:tc>
          <w:tcPr>
            <w:tcW w:w="1260" w:type="dxa"/>
            <w:vAlign w:val="bottom"/>
          </w:tcPr>
          <w:p>
            <w:pPr>
              <w:jc w:val="right"/>
              <w:spacing w:after="0"/>
              <w:rPr>
                <w:sz w:val="20"/>
                <w:szCs w:val="20"/>
                <w:color w:val="auto"/>
              </w:rPr>
            </w:pPr>
            <w:r>
              <w:rPr>
                <w:rFonts w:ascii="Arial" w:cs="Arial" w:eastAsia="Arial" w:hAnsi="Arial"/>
                <w:sz w:val="18"/>
                <w:szCs w:val="18"/>
                <w:color w:val="auto"/>
              </w:rPr>
              <w:t>6,550,311</w:t>
            </w:r>
          </w:p>
        </w:tc>
        <w:tc>
          <w:tcPr>
            <w:tcW w:w="0" w:type="dxa"/>
            <w:vAlign w:val="bottom"/>
          </w:tcPr>
          <w:p>
            <w:pPr>
              <w:spacing w:after="0"/>
              <w:rPr>
                <w:sz w:val="1"/>
                <w:szCs w:val="1"/>
                <w:color w:val="auto"/>
              </w:rPr>
            </w:pPr>
          </w:p>
        </w:tc>
      </w:tr>
      <w:tr>
        <w:trPr>
          <w:trHeight w:val="473"/>
        </w:trPr>
        <w:tc>
          <w:tcPr>
            <w:tcW w:w="1260" w:type="dxa"/>
            <w:vAlign w:val="bottom"/>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3,960,202</w:t>
            </w:r>
          </w:p>
        </w:tc>
        <w:tc>
          <w:tcPr>
            <w:tcW w:w="1260" w:type="dxa"/>
            <w:vAlign w:val="bottom"/>
          </w:tcPr>
          <w:p>
            <w:pPr>
              <w:jc w:val="right"/>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648"/>
        </w:trPr>
        <w:tc>
          <w:tcPr>
            <w:tcW w:w="1260" w:type="dxa"/>
            <w:vAlign w:val="bottom"/>
          </w:tcPr>
          <w:p>
            <w:pPr>
              <w:jc w:val="right"/>
              <w:spacing w:after="0"/>
              <w:rPr>
                <w:sz w:val="20"/>
                <w:szCs w:val="20"/>
                <w:color w:val="auto"/>
              </w:rPr>
            </w:pPr>
            <w:r>
              <w:rPr>
                <w:rFonts w:ascii="Arial" w:cs="Arial" w:eastAsia="Arial" w:hAnsi="Arial"/>
                <w:sz w:val="18"/>
                <w:szCs w:val="18"/>
                <w:color w:val="auto"/>
              </w:rPr>
              <w:t>3,960,000</w:t>
            </w:r>
          </w:p>
        </w:tc>
        <w:tc>
          <w:tcPr>
            <w:tcW w:w="2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3,923,893</w:t>
            </w:r>
          </w:p>
        </w:tc>
        <w:tc>
          <w:tcPr>
            <w:tcW w:w="1260" w:type="dxa"/>
            <w:vAlign w:val="bottom"/>
          </w:tcPr>
          <w:p>
            <w:pPr>
              <w:jc w:val="right"/>
              <w:spacing w:after="0"/>
              <w:rPr>
                <w:sz w:val="20"/>
                <w:szCs w:val="20"/>
                <w:color w:val="auto"/>
              </w:rPr>
            </w:pPr>
            <w:r>
              <w:rPr>
                <w:rFonts w:ascii="Arial" w:cs="Arial" w:eastAsia="Arial" w:hAnsi="Arial"/>
                <w:sz w:val="18"/>
                <w:szCs w:val="18"/>
                <w:color w:val="auto"/>
              </w:rPr>
              <w:t>3,959,208</w:t>
            </w:r>
          </w:p>
        </w:tc>
        <w:tc>
          <w:tcPr>
            <w:tcW w:w="0" w:type="dxa"/>
            <w:vAlign w:val="bottom"/>
          </w:tcPr>
          <w:p>
            <w:pPr>
              <w:spacing w:after="0"/>
              <w:rPr>
                <w:sz w:val="1"/>
                <w:szCs w:val="1"/>
                <w:color w:val="auto"/>
              </w:rPr>
            </w:pPr>
          </w:p>
        </w:tc>
      </w:tr>
      <w:tr>
        <w:trPr>
          <w:trHeight w:val="648"/>
        </w:trPr>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991,495</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474" w:lineRule="exact"/>
        <w:rPr>
          <w:sz w:val="20"/>
          <w:szCs w:val="20"/>
          <w:color w:val="auto"/>
        </w:rPr>
      </w:pPr>
    </w:p>
    <w:p>
      <w:pPr>
        <w:sectPr>
          <w:pgSz w:w="11900" w:h="16838" w:orient="portrait"/>
          <w:cols w:equalWidth="0" w:num="3">
            <w:col w:w="2940" w:space="620"/>
            <w:col w:w="3380" w:space="180"/>
            <w:col w:w="4200"/>
          </w:cols>
          <w:pgMar w:left="240" w:top="904" w:right="339" w:bottom="1440" w:gutter="0" w:footer="0" w:header="0"/>
        </w:sect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213" w:lineRule="auto"/>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184" w:lineRule="auto"/>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WideOpenWest Finance, LLC</w:t>
      </w:r>
      <w:r>
        <w:rPr>
          <w:rFonts w:ascii="Arial" w:cs="Arial" w:eastAsia="Arial" w:hAnsi="Arial"/>
          <w:sz w:val="30"/>
          <w:szCs w:val="30"/>
          <w:color w:val="auto"/>
          <w:vertAlign w:val="superscript"/>
        </w:rPr>
        <w:t>(8), (9)</w:t>
      </w:r>
    </w:p>
    <w:p>
      <w:pPr>
        <w:ind w:left="180"/>
        <w:spacing w:after="0"/>
        <w:rPr>
          <w:sz w:val="20"/>
          <w:szCs w:val="20"/>
          <w:color w:val="auto"/>
        </w:rPr>
      </w:pPr>
      <w:r>
        <w:rPr>
          <w:rFonts w:ascii="Arial" w:cs="Arial" w:eastAsia="Arial" w:hAnsi="Arial"/>
          <w:sz w:val="18"/>
          <w:szCs w:val="18"/>
          <w:i w:val="1"/>
          <w:iCs w:val="1"/>
          <w:color w:val="auto"/>
        </w:rPr>
        <w:t>Media: Broadcasting &amp;</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Subscription</w:t>
      </w:r>
    </w:p>
    <w:p>
      <w:pPr>
        <w:spacing w:after="0" w:line="186" w:lineRule="auto"/>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(8)</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WireCo WorldGroup Inc. (WireCo</w:t>
      </w:r>
    </w:p>
    <w:p>
      <w:pPr>
        <w:ind w:left="180"/>
        <w:spacing w:after="0" w:line="195" w:lineRule="auto"/>
        <w:rPr>
          <w:sz w:val="20"/>
          <w:szCs w:val="20"/>
          <w:color w:val="auto"/>
        </w:rPr>
      </w:pPr>
      <w:r>
        <w:rPr>
          <w:rFonts w:ascii="Arial" w:cs="Arial" w:eastAsia="Arial" w:hAnsi="Arial"/>
          <w:sz w:val="18"/>
          <w:szCs w:val="18"/>
          <w:color w:val="auto"/>
        </w:rPr>
        <w:t>WorldGroup Finance LP)</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7" w:lineRule="exact"/>
        <w:rPr>
          <w:sz w:val="20"/>
          <w:szCs w:val="20"/>
          <w:color w:val="auto"/>
        </w:rPr>
      </w:pPr>
    </w:p>
    <w:p>
      <w:pPr>
        <w:ind w:left="180" w:hanging="179"/>
        <w:spacing w:after="0" w:line="307" w:lineRule="auto"/>
        <w:rPr>
          <w:sz w:val="20"/>
          <w:szCs w:val="20"/>
          <w:color w:val="auto"/>
        </w:rPr>
      </w:pPr>
      <w:r>
        <w:rPr>
          <w:rFonts w:ascii="Arial" w:cs="Arial" w:eastAsia="Arial" w:hAnsi="Arial"/>
          <w:sz w:val="17"/>
          <w:szCs w:val="17"/>
          <w:b w:val="1"/>
          <w:bCs w:val="1"/>
          <w:color w:val="auto"/>
        </w:rPr>
        <w:t>Total Investment in Debt Securities (122%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Senior Secured Loan — Term Loan 7.0%</w:t>
            </w:r>
          </w:p>
        </w:tc>
        <w:tc>
          <w:tcPr>
            <w:tcW w:w="1040" w:type="dxa"/>
            <w:vAlign w:val="bottom"/>
          </w:tcPr>
          <w:p>
            <w:pPr>
              <w:jc w:val="right"/>
              <w:spacing w:after="0"/>
              <w:rPr>
                <w:sz w:val="20"/>
                <w:szCs w:val="20"/>
                <w:color w:val="auto"/>
              </w:rPr>
            </w:pPr>
            <w:r>
              <w:rPr>
                <w:rFonts w:ascii="Arial" w:cs="Arial" w:eastAsia="Arial" w:hAnsi="Arial"/>
                <w:sz w:val="18"/>
                <w:szCs w:val="18"/>
                <w:color w:val="auto"/>
              </w:rPr>
              <w:t>1,392,213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1,391,361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1,312,857</w:t>
            </w:r>
          </w:p>
        </w:tc>
        <w:tc>
          <w:tcPr>
            <w:tcW w:w="0" w:type="dxa"/>
            <w:vAlign w:val="bottom"/>
          </w:tcPr>
          <w:p>
            <w:pPr>
              <w:spacing w:after="0"/>
              <w:rPr>
                <w:sz w:val="1"/>
                <w:szCs w:val="1"/>
                <w:color w:val="auto"/>
              </w:rPr>
            </w:pPr>
          </w:p>
        </w:tc>
      </w:tr>
      <w:tr>
        <w:trPr>
          <w:trHeight w:val="186"/>
        </w:trPr>
        <w:tc>
          <w:tcPr>
            <w:tcW w:w="378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Due 4/20</w:t>
            </w:r>
          </w:p>
        </w:tc>
        <w:tc>
          <w:tcPr>
            <w:tcW w:w="1040" w:type="dxa"/>
            <w:vAlign w:val="bottom"/>
          </w:tcPr>
          <w:p>
            <w:pPr>
              <w:jc w:val="right"/>
              <w:spacing w:after="0"/>
              <w:rPr>
                <w:sz w:val="20"/>
                <w:szCs w:val="20"/>
                <w:color w:val="auto"/>
              </w:rPr>
            </w:pPr>
            <w:r>
              <w:rPr>
                <w:rFonts w:ascii="Arial" w:cs="Arial" w:eastAsia="Arial" w:hAnsi="Arial"/>
                <w:sz w:val="18"/>
                <w:szCs w:val="18"/>
                <w:color w:val="auto"/>
              </w:rPr>
              <w:t>3,679,796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3,669,622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3,497,278</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gridSpan w:val="2"/>
          </w:tcPr>
          <w:p>
            <w:pPr>
              <w:spacing w:after="0"/>
              <w:rPr>
                <w:sz w:val="20"/>
                <w:szCs w:val="20"/>
                <w:color w:val="auto"/>
              </w:rPr>
            </w:pPr>
            <w:r>
              <w:rPr>
                <w:rFonts w:ascii="Arial" w:cs="Arial" w:eastAsia="Arial" w:hAnsi="Arial"/>
                <w:sz w:val="18"/>
                <w:szCs w:val="18"/>
                <w:color w:val="auto"/>
              </w:rPr>
              <w:t>6.0% Cash, 1.0% Libor Floor, Due 7/20</w:t>
            </w:r>
          </w:p>
        </w:tc>
        <w:tc>
          <w:tcPr>
            <w:tcW w:w="1040" w:type="dxa"/>
            <w:vAlign w:val="bottom"/>
          </w:tcPr>
          <w:p>
            <w:pPr>
              <w:jc w:val="right"/>
              <w:spacing w:after="0"/>
              <w:rPr>
                <w:sz w:val="20"/>
                <w:szCs w:val="20"/>
                <w:color w:val="auto"/>
              </w:rPr>
            </w:pPr>
            <w:r>
              <w:rPr>
                <w:rFonts w:ascii="Arial" w:cs="Arial" w:eastAsia="Arial" w:hAnsi="Arial"/>
                <w:sz w:val="18"/>
                <w:szCs w:val="18"/>
                <w:color w:val="auto"/>
              </w:rPr>
              <w:t>3,766,302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3,733,929</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3,641,261</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 5.8%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916,023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912,479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Term Loan 5.8%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Cash, 1.0% Libor Floor,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Due 11/18</w:t>
            </w:r>
          </w:p>
        </w:tc>
        <w:tc>
          <w:tcPr>
            <w:tcW w:w="1040" w:type="dxa"/>
            <w:vAlign w:val="bottom"/>
          </w:tcPr>
          <w:p>
            <w:pPr>
              <w:jc w:val="right"/>
              <w:spacing w:after="0"/>
              <w:rPr>
                <w:sz w:val="20"/>
                <w:szCs w:val="20"/>
                <w:color w:val="auto"/>
              </w:rPr>
            </w:pPr>
            <w:r>
              <w:rPr>
                <w:rFonts w:ascii="Arial" w:cs="Arial" w:eastAsia="Arial" w:hAnsi="Arial"/>
                <w:sz w:val="18"/>
                <w:szCs w:val="18"/>
                <w:color w:val="auto"/>
              </w:rPr>
              <w:t>4,567,552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4,550,168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4,432,809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New Term B Loan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4.5% Cash, 1.0% Libor Floor, Due 8/23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Junior Secured Loan — Initial Term Loan</w:t>
            </w:r>
          </w:p>
        </w:tc>
        <w:tc>
          <w:tcPr>
            <w:tcW w:w="1040" w:type="dxa"/>
            <w:vAlign w:val="bottom"/>
          </w:tcPr>
          <w:p>
            <w:pPr>
              <w:jc w:val="right"/>
              <w:spacing w:after="0"/>
              <w:rPr>
                <w:sz w:val="20"/>
                <w:szCs w:val="20"/>
                <w:color w:val="auto"/>
              </w:rPr>
            </w:pPr>
            <w:r>
              <w:rPr>
                <w:rFonts w:ascii="Arial" w:cs="Arial" w:eastAsia="Arial" w:hAnsi="Arial"/>
                <w:sz w:val="18"/>
                <w:szCs w:val="18"/>
                <w:color w:val="auto"/>
              </w:rPr>
              <w:t>2,992,500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2,992,500</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3,028,829</w:t>
            </w:r>
          </w:p>
        </w:tc>
        <w:tc>
          <w:tcPr>
            <w:tcW w:w="0" w:type="dxa"/>
            <w:vAlign w:val="bottom"/>
          </w:tcPr>
          <w:p>
            <w:pPr>
              <w:spacing w:after="0"/>
              <w:rPr>
                <w:sz w:val="1"/>
                <w:szCs w:val="1"/>
                <w:color w:val="auto"/>
              </w:rPr>
            </w:pPr>
          </w:p>
        </w:tc>
      </w:tr>
      <w:tr>
        <w:trPr>
          <w:trHeight w:val="202"/>
        </w:trPr>
        <w:tc>
          <w:tcPr>
            <w:tcW w:w="37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(Second Lien) 10.0% Cash, 1.0% Libor Floor,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Due 9/24</w:t>
            </w:r>
          </w:p>
        </w:tc>
        <w:tc>
          <w:tcPr>
            <w:tcW w:w="10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2,956,358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(First Lien) 6.5% Cash, 1.0% Libor Floor, Due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60" w:type="dxa"/>
            <w:vAlign w:val="bottom"/>
          </w:tcPr>
          <w:p>
            <w:pPr>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1,745,625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1,728,771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1,763,780</w:t>
            </w:r>
          </w:p>
        </w:tc>
        <w:tc>
          <w:tcPr>
            <w:tcW w:w="0" w:type="dxa"/>
            <w:vAlign w:val="bottom"/>
          </w:tcPr>
          <w:p>
            <w:pPr>
              <w:spacing w:after="0"/>
              <w:rPr>
                <w:sz w:val="1"/>
                <w:szCs w:val="1"/>
                <w:color w:val="auto"/>
              </w:rPr>
            </w:pPr>
          </w:p>
        </w:tc>
      </w:tr>
      <w:tr>
        <w:trPr>
          <w:trHeight w:val="426"/>
        </w:trPr>
        <w:tc>
          <w:tcPr>
            <w:tcW w:w="378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251,222,570</w:t>
            </w:r>
          </w:p>
        </w:tc>
        <w:tc>
          <w:tcPr>
            <w:tcW w:w="12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249,520,234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-1997710</wp:posOffset>
            </wp:positionV>
            <wp:extent cx="72466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-1148715</wp:posOffset>
            </wp:positionV>
            <wp:extent cx="72466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60" w:space="300"/>
            <w:col w:w="7760"/>
          </w:cols>
          <w:pgMar w:left="240" w:top="904"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Percentage</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6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0"/>
              </w:rPr>
              <w:t>Interest/Shares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100,549</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(8)</w:t>
            </w:r>
          </w:p>
        </w:tc>
        <w:tc>
          <w:tcPr>
            <w:tcW w:w="3540" w:type="dxa"/>
            <w:vAlign w:val="bottom"/>
            <w:gridSpan w:val="2"/>
          </w:tcPr>
          <w:p>
            <w:pPr>
              <w:spacing w:after="0"/>
              <w:rPr>
                <w:sz w:val="20"/>
                <w:szCs w:val="20"/>
                <w:color w:val="auto"/>
              </w:rPr>
            </w:pPr>
            <w:r>
              <w:rPr>
                <w:rFonts w:ascii="Arial" w:cs="Arial" w:eastAsia="Arial" w:hAnsi="Arial"/>
                <w:sz w:val="18"/>
                <w:szCs w:val="18"/>
                <w:color w:val="auto"/>
              </w:rPr>
              <w:t>Series A Preferred Interests</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1,183,746</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532,342</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(8)</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Warrants</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(8)</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Healthcare, Education and Childcare</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5"/>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FP WRCA Coinvestment Fund VII,</w:t>
            </w:r>
          </w:p>
        </w:tc>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Class A Shares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ind w:left="180"/>
              <w:spacing w:after="0" w:line="253" w:lineRule="exact"/>
              <w:rPr>
                <w:sz w:val="20"/>
                <w:szCs w:val="20"/>
                <w:color w:val="auto"/>
              </w:rPr>
            </w:pPr>
            <w:r>
              <w:rPr>
                <w:rFonts w:ascii="Arial" w:cs="Arial" w:eastAsia="Arial" w:hAnsi="Arial"/>
                <w:sz w:val="29"/>
                <w:szCs w:val="29"/>
                <w:color w:val="auto"/>
                <w:vertAlign w:val="subscript"/>
              </w:rPr>
              <w:t>Ltd.</w:t>
            </w:r>
            <w:r>
              <w:rPr>
                <w:rFonts w:ascii="Arial" w:cs="Arial" w:eastAsia="Arial" w:hAnsi="Arial"/>
                <w:sz w:val="13"/>
                <w:szCs w:val="13"/>
                <w:color w:val="auto"/>
              </w:rPr>
              <w:t>(3), (5)</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Capital Equipment</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811,268</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(8)</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Hotel, Gaming &amp; Leisure</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(8)</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(8), (11)</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(8)</w:t>
            </w:r>
          </w:p>
        </w:tc>
        <w:tc>
          <w:tcPr>
            <w:tcW w:w="35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(8)</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1,253,450</w:t>
            </w:r>
          </w:p>
        </w:tc>
        <w:tc>
          <w:tcPr>
            <w:tcW w:w="0" w:type="dxa"/>
            <w:vAlign w:val="bottom"/>
          </w:tcPr>
          <w:p>
            <w:pPr>
              <w:spacing w:after="0"/>
              <w:rPr>
                <w:sz w:val="1"/>
                <w:szCs w:val="1"/>
                <w:color w:val="auto"/>
              </w:rPr>
            </w:pPr>
          </w:p>
        </w:tc>
      </w:tr>
      <w:tr>
        <w:trPr>
          <w:trHeight w:val="205"/>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540" w:type="dxa"/>
            <w:vAlign w:val="bottom"/>
            <w:gridSpan w:val="2"/>
          </w:tcPr>
          <w:p>
            <w:pPr>
              <w:spacing w:after="0" w:line="206" w:lineRule="exact"/>
              <w:rPr>
                <w:sz w:val="20"/>
                <w:szCs w:val="20"/>
                <w:color w:val="auto"/>
              </w:rPr>
            </w:pPr>
            <w:r>
              <w:rPr>
                <w:rFonts w:ascii="Arial" w:cs="Arial" w:eastAsia="Arial" w:hAnsi="Arial"/>
                <w:sz w:val="18"/>
                <w:szCs w:val="18"/>
                <w:color w:val="auto"/>
              </w:rPr>
              <w:t>Common</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ind w:left="18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w:t>
            </w:r>
            <w:r>
              <w:rPr>
                <w:rFonts w:ascii="Arial" w:cs="Arial" w:eastAsia="Arial" w:hAnsi="Arial"/>
                <w:sz w:val="18"/>
                <w:szCs w:val="18"/>
                <w:color w:val="auto"/>
              </w:rPr>
              <w:t>,</w:t>
            </w:r>
            <w:r>
              <w:rPr>
                <w:rFonts w:ascii="Arial" w:cs="Arial" w:eastAsia="Arial" w:hAnsi="Arial"/>
                <w:sz w:val="29"/>
                <w:szCs w:val="29"/>
                <w:color w:val="auto"/>
                <w:vertAlign w:val="superscript"/>
              </w:rPr>
              <w:t>(8)</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Equity</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Securities (3% of net asset value at fair</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value)</w:t>
            </w:r>
          </w:p>
        </w:tc>
        <w:tc>
          <w:tcPr>
            <w:tcW w:w="3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6"/>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(12)</w:t>
            </w:r>
          </w:p>
        </w:tc>
        <w:tc>
          <w:tcPr>
            <w:tcW w:w="100" w:type="dxa"/>
            <w:vAlign w:val="bottom"/>
            <w:vMerge w:val="restart"/>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 (13)</w:t>
            </w:r>
          </w:p>
        </w:tc>
        <w:tc>
          <w:tcPr>
            <w:tcW w:w="120" w:type="dxa"/>
            <w:vAlign w:val="bottom"/>
            <w:shd w:val="clear" w:color="auto" w:fill="CCEEFF"/>
          </w:tcPr>
          <w:p>
            <w:pPr>
              <w:spacing w:after="0"/>
              <w:rPr>
                <w:sz w:val="17"/>
                <w:szCs w:val="17"/>
                <w:color w:val="auto"/>
              </w:rPr>
            </w:pPr>
          </w:p>
        </w:tc>
        <w:tc>
          <w:tcPr>
            <w:tcW w:w="3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 effective interest</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2,485,886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0.1%, 1/21 maturity</w:t>
            </w:r>
          </w:p>
        </w:tc>
        <w:tc>
          <w:tcPr>
            <w:tcW w:w="146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 (13)</w:t>
            </w: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5"/>
              </w:rPr>
              <w:t>Preferred Shares, effective interest 0.1%, 5/15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2"/>
              </w:rPr>
              <w:t>Preferred Shares, effective interest 30.8%, 4/22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28,022,646</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20,453,099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 (13)</w:t>
            </w: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9"/>
              </w:rPr>
              <w:t>Income Notes, effective interest 47.9%, 6/21</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1,195,152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3.1%,</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5,919,933</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2,819,412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2013- 1 Ltd.</w:t>
            </w:r>
            <w:r>
              <w:rPr>
                <w:rFonts w:ascii="Arial" w:cs="Arial" w:eastAsia="Arial" w:hAnsi="Arial"/>
                <w:sz w:val="23"/>
                <w:szCs w:val="23"/>
                <w:color w:val="auto"/>
                <w:vertAlign w:val="superscript"/>
              </w:rPr>
              <w:t>(3), (6)</w:t>
            </w: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7"/>
              </w:rPr>
              <w:t>Subordinated Notes, effective interest 14.9%,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5,237,222</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4,918,807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10.0%,</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7,818,484</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4,546,682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7"/>
              </w:rPr>
              <w:t>Subordinated Notes, effective interest 10.9%,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6,967,560</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5,092,087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36.2%,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1,343,467</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1,895,566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2015-1 Ltd.</w:t>
            </w:r>
            <w:r>
              <w:rPr>
                <w:rFonts w:ascii="Arial" w:cs="Arial" w:eastAsia="Arial" w:hAnsi="Arial"/>
                <w:sz w:val="23"/>
                <w:szCs w:val="23"/>
                <w:color w:val="auto"/>
                <w:vertAlign w:val="superscript"/>
              </w:rPr>
              <w:t>(3), (6)</w:t>
            </w: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rPr>
              <w:t>Subordinated Notes, effective interest 9.5%,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4,543,317</w:t>
            </w: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3,223,255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4/27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2016-1 Ltd.</w:t>
            </w:r>
            <w:r>
              <w:rPr>
                <w:rFonts w:ascii="Arial" w:cs="Arial" w:eastAsia="Arial" w:hAnsi="Arial"/>
                <w:sz w:val="23"/>
                <w:szCs w:val="23"/>
                <w:color w:val="auto"/>
                <w:vertAlign w:val="superscript"/>
              </w:rPr>
              <w:t>(3), (6)</w:t>
            </w: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13.9%,</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1/29 maturity</w:t>
            </w:r>
          </w:p>
        </w:tc>
        <w:tc>
          <w:tcPr>
            <w:tcW w:w="146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10,140,000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8,350,290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Securities</w:t>
            </w: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75,409,590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52,864,350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CLO Rated-Note Investments</w:t>
            </w: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gridSpan w:val="2"/>
            <w:shd w:val="clear" w:color="auto" w:fill="CCEEFF"/>
          </w:tcPr>
          <w:p>
            <w:pPr>
              <w:spacing w:after="0" w:line="197" w:lineRule="exact"/>
              <w:rPr>
                <w:sz w:val="20"/>
                <w:szCs w:val="20"/>
                <w:color w:val="auto"/>
              </w:rPr>
            </w:pPr>
            <w:r>
              <w:rPr>
                <w:rFonts w:ascii="Arial" w:cs="Arial" w:eastAsia="Arial" w:hAnsi="Arial"/>
                <w:sz w:val="14"/>
                <w:szCs w:val="14"/>
                <w:color w:val="auto"/>
              </w:rPr>
              <w:t>CRMN 2014 – 1A</w:t>
            </w:r>
            <w:r>
              <w:rPr>
                <w:rFonts w:ascii="Arial" w:cs="Arial" w:eastAsia="Arial" w:hAnsi="Arial"/>
                <w:sz w:val="22"/>
                <w:szCs w:val="22"/>
                <w:color w:val="auto"/>
                <w:vertAlign w:val="superscript"/>
              </w:rPr>
              <w:t>(3), (6)</w:t>
            </w:r>
          </w:p>
        </w:tc>
        <w:tc>
          <w:tcPr>
            <w:tcW w:w="1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Float – 04/2026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14889FAC7,</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6.6%, 4/26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1,441,727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Rated-Note</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1,441,727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100" w:type="dxa"/>
            <w:vAlign w:val="bottom"/>
            <w:tcBorders>
              <w:top w:val="single" w:sz="8" w:color="CCEEFF"/>
            </w:tcBorders>
            <w:gridSpan w:val="6"/>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Fund Securities (28% of net asset value at</w:t>
            </w: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fair value)</w:t>
            </w:r>
          </w:p>
        </w:tc>
        <w:tc>
          <w:tcPr>
            <w:tcW w:w="1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76,851,317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Asset Manager Affiliates</w:t>
            </w: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auto"/>
            </w:tcBorders>
            <w:gridSpan w:val="2"/>
            <w:shd w:val="clear" w:color="auto" w:fill="CCEEFF"/>
          </w:tcPr>
          <w:p>
            <w:pPr>
              <w:spacing w:after="0" w:line="197" w:lineRule="exact"/>
              <w:rPr>
                <w:sz w:val="20"/>
                <w:szCs w:val="20"/>
                <w:color w:val="auto"/>
              </w:rPr>
            </w:pPr>
            <w:r>
              <w:rPr>
                <w:rFonts w:ascii="Arial" w:cs="Arial" w:eastAsia="Arial" w:hAnsi="Arial"/>
                <w:sz w:val="14"/>
                <w:szCs w:val="14"/>
                <w:color w:val="auto"/>
              </w:rPr>
              <w:t>Asset Manager Affiliates</w:t>
            </w:r>
            <w:r>
              <w:rPr>
                <w:rFonts w:ascii="Arial" w:cs="Arial" w:eastAsia="Arial" w:hAnsi="Arial"/>
                <w:sz w:val="22"/>
                <w:szCs w:val="22"/>
                <w:color w:val="auto"/>
                <w:vertAlign w:val="superscript"/>
              </w:rPr>
              <w:t>(8), (10)</w:t>
            </w:r>
          </w:p>
        </w:tc>
        <w:tc>
          <w:tcPr>
            <w:tcW w:w="1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55,341,230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100" w:type="dxa"/>
            <w:vAlign w:val="bottom"/>
            <w:gridSpan w:val="6"/>
          </w:tcPr>
          <w:p>
            <w:pPr>
              <w:spacing w:after="0" w:line="178" w:lineRule="exact"/>
              <w:rPr>
                <w:sz w:val="20"/>
                <w:szCs w:val="20"/>
                <w:color w:val="auto"/>
              </w:rPr>
            </w:pPr>
            <w:r>
              <w:rPr>
                <w:rFonts w:ascii="Arial" w:cs="Arial" w:eastAsia="Arial" w:hAnsi="Arial"/>
                <w:sz w:val="18"/>
                <w:szCs w:val="18"/>
                <w:b w:val="1"/>
                <w:bCs w:val="1"/>
                <w:color w:val="auto"/>
              </w:rPr>
              <w:t>Total Investment in Asset Manager Affiliates (21% of net asset value at</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55,341,230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6"/>
          <w:szCs w:val="16"/>
          <w:b w:val="1"/>
          <w:bCs w:val="1"/>
          <w:color w:val="auto"/>
        </w:rPr>
        <w:t>Time Deposits and Money Market Account</w:t>
      </w:r>
    </w:p>
    <w:p>
      <w:pPr>
        <w:sectPr>
          <w:pgSz w:w="11900" w:h="16838" w:orient="portrait"/>
          <w:cols w:equalWidth="0" w:num="1">
            <w:col w:w="11400"/>
          </w:cols>
          <w:pgMar w:left="240" w:top="904"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Deposit and Money Market Accounts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JP Morgan Business Money Market Account</w:t>
      </w:r>
      <w:r>
        <w:rPr>
          <w:rFonts w:ascii="Arial" w:cs="Arial" w:eastAsia="Arial" w:hAnsi="Arial"/>
          <w:sz w:val="30"/>
          <w:szCs w:val="30"/>
          <w:color w:val="auto"/>
          <w:vertAlign w:val="superscript"/>
        </w:rPr>
        <w:t>(7), (8)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US Bank Money Market Account</w:t>
      </w:r>
      <w:r>
        <w:rPr>
          <w:rFonts w:ascii="Arial" w:cs="Arial" w:eastAsia="Arial" w:hAnsi="Arial"/>
          <w:sz w:val="30"/>
          <w:szCs w:val="30"/>
          <w:color w:val="auto"/>
          <w:vertAlign w:val="superscript"/>
        </w:rPr>
        <w:t>(8)</w:t>
      </w:r>
    </w:p>
    <w:p>
      <w:pPr>
        <w:spacing w:after="0" w:line="93" w:lineRule="exact"/>
        <w:rPr>
          <w:sz w:val="20"/>
          <w:szCs w:val="20"/>
          <w:color w:val="auto"/>
        </w:rPr>
      </w:pPr>
    </w:p>
    <w:p>
      <w:pPr>
        <w:ind w:left="180" w:hanging="179"/>
        <w:spacing w:after="0" w:line="261" w:lineRule="auto"/>
        <w:rPr>
          <w:sz w:val="20"/>
          <w:szCs w:val="20"/>
          <w:color w:val="auto"/>
        </w:rPr>
      </w:pPr>
      <w:r>
        <w:rPr>
          <w:rFonts w:ascii="Arial" w:cs="Arial" w:eastAsia="Arial" w:hAnsi="Arial"/>
          <w:sz w:val="18"/>
          <w:szCs w:val="18"/>
          <w:b w:val="1"/>
          <w:bCs w:val="1"/>
          <w:color w:val="auto"/>
        </w:rPr>
        <w:t>Total Investment in Time Deposit and Money Market Accounts (15% of net asset value at fair value)</w:t>
      </w:r>
    </w:p>
    <w:p>
      <w:pPr>
        <w:spacing w:after="0"/>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r>
        <w:rPr>
          <w:rFonts w:ascii="Arial" w:cs="Arial" w:eastAsia="Arial" w:hAnsi="Arial"/>
          <w:sz w:val="18"/>
          <w:szCs w:val="18"/>
          <w:b w:val="1"/>
          <w:bCs w:val="1"/>
          <w:color w:val="auto"/>
        </w:rPr>
        <w:t xml:space="preserve"> (188% of net asset value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097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Par/Amortized</w:t>
            </w:r>
          </w:p>
        </w:tc>
        <w:tc>
          <w:tcPr>
            <w:tcW w:w="120" w:type="dxa"/>
            <w:vAlign w:val="bottom"/>
          </w:tcPr>
          <w:p>
            <w:pPr>
              <w:spacing w:after="0"/>
              <w:rPr>
                <w:sz w:val="18"/>
                <w:szCs w:val="18"/>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Money Market</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Account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14,268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Money Market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80" w:type="dxa"/>
            <w:vAlign w:val="bottom"/>
            <w:gridSpan w:val="2"/>
          </w:tcPr>
          <w:p>
            <w:pPr>
              <w:spacing w:after="0"/>
              <w:rPr>
                <w:sz w:val="20"/>
                <w:szCs w:val="20"/>
                <w:color w:val="auto"/>
              </w:rPr>
            </w:pPr>
            <w:r>
              <w:rPr>
                <w:rFonts w:ascii="Arial" w:cs="Arial" w:eastAsia="Arial" w:hAnsi="Arial"/>
                <w:sz w:val="18"/>
                <w:szCs w:val="18"/>
                <w:color w:val="auto"/>
              </w:rPr>
              <w:t>Account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28,685,001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28,685,001</w:t>
            </w: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28,699,269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420,801,057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366,471,304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-488315</wp:posOffset>
            </wp:positionV>
            <wp:extent cx="7246620" cy="283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-1054100</wp:posOffset>
            </wp:positionV>
            <wp:extent cx="7246620"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320" w:space="300"/>
            <w:col w:w="5780"/>
          </w:cols>
          <w:pgMar w:left="240" w:top="904" w:right="259" w:bottom="1440" w:gutter="0" w:footer="0" w:header="0"/>
          <w:type w:val="continuous"/>
        </w:sectPr>
      </w:pPr>
    </w:p>
    <w:p>
      <w:pPr>
        <w:spacing w:after="0" w:line="48" w:lineRule="exact"/>
        <w:rPr>
          <w:sz w:val="20"/>
          <w:szCs w:val="20"/>
          <w:color w:val="auto"/>
        </w:rPr>
      </w:pPr>
    </w:p>
    <w:p>
      <w:pPr>
        <w:ind w:left="700" w:hanging="570"/>
        <w:spacing w:after="0" w:line="25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2016. As noted in the table above, 93% (based on par) of debt securities contain LIBOR floors which range between 0.75% and 3.0%.</w:t>
      </w:r>
    </w:p>
    <w:p>
      <w:pPr>
        <w:spacing w:after="0" w:line="215"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fair market value of all investments as of December 31, 2016, as determined by the Company’s Board of Directors.</w:t>
      </w:r>
    </w:p>
    <w:p>
      <w:pPr>
        <w:spacing w:after="0" w:line="252"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252" w:lineRule="exact"/>
        <w:rPr>
          <w:rFonts w:ascii="Arial" w:cs="Arial" w:eastAsia="Arial" w:hAnsi="Arial"/>
          <w:sz w:val="18"/>
          <w:szCs w:val="18"/>
          <w:color w:val="auto"/>
        </w:rPr>
      </w:pPr>
    </w:p>
    <w:p>
      <w:pPr>
        <w:ind w:left="700" w:right="260" w:hanging="570"/>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cost of investments for federal income tax purposes is approximately $429 million. The aggregate gross unrealized appreciation is approximately $2.1 million, the aggregate gross unrealized depreciation is approximately $65.0 million, and the net unrealized depreciation is approximately $62.9 million.</w:t>
      </w:r>
    </w:p>
    <w:p>
      <w:pPr>
        <w:spacing w:after="0" w:line="208"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252"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affiliate CLO Fund managed by an Asset Manager Affiliate (as such term is defined in the notes to the financial statements).</w:t>
      </w:r>
    </w:p>
    <w:p>
      <w:pPr>
        <w:spacing w:after="0" w:line="225"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225"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225" w:lineRule="exact"/>
        <w:rPr>
          <w:rFonts w:ascii="Arial" w:cs="Arial" w:eastAsia="Arial" w:hAnsi="Arial"/>
          <w:sz w:val="18"/>
          <w:szCs w:val="18"/>
          <w:color w:val="auto"/>
        </w:rPr>
      </w:pPr>
    </w:p>
    <w:p>
      <w:pPr>
        <w:ind w:left="700" w:right="260" w:hanging="570"/>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2016, this investment is owned by KCAP Senior Funding I, LLC and was pledged to secure KCAP Senior Funding I, LLC’s obligation.</w:t>
      </w:r>
    </w:p>
    <w:p>
      <w:pPr>
        <w:spacing w:after="0" w:line="170" w:lineRule="exact"/>
        <w:rPr>
          <w:rFonts w:ascii="Arial" w:cs="Arial" w:eastAsia="Arial" w:hAnsi="Arial"/>
          <w:sz w:val="18"/>
          <w:szCs w:val="18"/>
          <w:color w:val="auto"/>
        </w:rPr>
      </w:pPr>
    </w:p>
    <w:p>
      <w:pPr>
        <w:ind w:left="700" w:right="60" w:hanging="570"/>
        <w:spacing w:after="0" w:line="259"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86"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Non-voting.</w:t>
      </w:r>
    </w:p>
    <w:p>
      <w:pPr>
        <w:spacing w:after="0" w:line="225" w:lineRule="exact"/>
        <w:rPr>
          <w:rFonts w:ascii="Arial" w:cs="Arial" w:eastAsia="Arial" w:hAnsi="Arial"/>
          <w:sz w:val="18"/>
          <w:szCs w:val="18"/>
          <w:color w:val="auto"/>
        </w:rPr>
      </w:pPr>
    </w:p>
    <w:p>
      <w:pPr>
        <w:ind w:left="700" w:hanging="570"/>
        <w:spacing w:after="0" w:line="259"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86"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Notice of redemption has been received for this transaction.</w:t>
      </w:r>
    </w:p>
    <w:p>
      <w:pPr>
        <w:spacing w:after="0" w:line="225" w:lineRule="exact"/>
        <w:rPr>
          <w:rFonts w:ascii="Arial" w:cs="Arial" w:eastAsia="Arial" w:hAnsi="Arial"/>
          <w:sz w:val="18"/>
          <w:szCs w:val="18"/>
          <w:color w:val="auto"/>
        </w:rPr>
      </w:pPr>
    </w:p>
    <w:p>
      <w:pPr>
        <w:ind w:left="700" w:hanging="57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Net asset value, at beginning of period</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5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29"/>
                <w:szCs w:val="29"/>
                <w:color w:val="auto"/>
                <w:vertAlign w:val="superscript"/>
              </w:rPr>
              <w:t>1</w:t>
            </w: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Realized losses from extinguishment of debt</w:t>
            </w:r>
            <w:r>
              <w:rPr>
                <w:rFonts w:ascii="Arial" w:cs="Arial" w:eastAsia="Arial" w:hAnsi="Arial"/>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decrease in net assets resulting from operations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Stockholder Distributions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relating to stock-based transactions: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 based compensation</w:t>
            </w: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shd w:val="clear" w:color="auto" w:fill="CCEEFF"/>
          </w:tcPr>
          <w:p>
            <w:pPr>
              <w:ind w:left="320"/>
              <w:spacing w:after="0" w:line="236" w:lineRule="exact"/>
              <w:rPr>
                <w:sz w:val="20"/>
                <w:szCs w:val="20"/>
                <w:color w:val="auto"/>
              </w:rPr>
            </w:pPr>
            <w:r>
              <w:rPr>
                <w:rFonts w:ascii="Arial" w:cs="Arial" w:eastAsia="Arial" w:hAnsi="Arial"/>
                <w:sz w:val="17"/>
                <w:szCs w:val="17"/>
                <w:color w:val="auto"/>
              </w:rPr>
              <w:t>Net increase (decrease) in net assets relating to stock-based transactions</w:t>
            </w:r>
            <w:r>
              <w:rPr>
                <w:rFonts w:ascii="Arial" w:cs="Arial" w:eastAsia="Arial" w:hAnsi="Arial"/>
                <w:sz w:val="27"/>
                <w:szCs w:val="27"/>
                <w:color w:val="auto"/>
                <w:vertAlign w:val="superscript"/>
              </w:rPr>
              <w:t>6</w:t>
            </w: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5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37,317,815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37,160,770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184,785,444</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199,903,373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144,298,499</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192,692,951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Asset coverage ratio</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0"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ending of period net asset value per share over the beginning of period net asset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 per share plus distributions (including any return of capital), divided by the beginning of period net asset value per share.</w:t>
      </w:r>
    </w:p>
    <w:p>
      <w:pPr>
        <w:spacing w:after="0" w:line="7" w:lineRule="exact"/>
        <w:rPr>
          <w:sz w:val="20"/>
          <w:szCs w:val="20"/>
          <w:color w:val="auto"/>
        </w:rPr>
      </w:pPr>
    </w:p>
    <w:p>
      <w:pPr>
        <w:ind w:left="340" w:right="560" w:hanging="332"/>
        <w:spacing w:after="0" w:line="187"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of period market price per share over the beginning of period price per share plus distributions (including any return of capital), divided by the beginning of period market price per share.</w:t>
      </w:r>
    </w:p>
    <w:p>
      <w:pPr>
        <w:ind w:left="340" w:hanging="332"/>
        <w:spacing w:after="0" w:line="182"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Not annualized. Portfolio turnover rate equals the year-to-date sales and paydowns over the average of the invested assets at fair value.</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ind w:left="340" w:hanging="332"/>
        <w:spacing w:after="0" w:line="180"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of September 30, 2017, Katonah Debt Advisors and Trimaran Advisors, as well as affiliated management companies Katonah 2007-1 Management, L.L.C., Trimaran Advisors Management, L.L.C. and KCAP Management L.L.C., (collectively the “Asset Manager Affiliates”), had approximately $2.8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investments in the CLO Funds they manage; however, KCAP holds investments in a portion of the securities issued by the CLO Funds managed by the Asset Manager Affiliates.</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340" w:right="7840" w:hanging="332"/>
        <w:spacing w:after="0" w:line="503" w:lineRule="auto"/>
        <w:tabs>
          <w:tab w:leader="none" w:pos="19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2016,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100" w:firstLine="32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The Asset Manager Affiliates adopted ASU 2015-2 in 2016 which resulted in the deconsolidation of the CLO Funds managed by them.</w:t>
      </w:r>
    </w:p>
    <w:p>
      <w:pPr>
        <w:spacing w:after="0" w:line="17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Stockholder distributions on the Statement of Changes in Net Assets reflect the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nine months ended September 30, 2017, the Company provided approximately $17 million to portfolio companies to support their growth objectives, none of which was contractually obligated. See also Note 8 – Commitments and Contingencies. As of September 30, 2017, the Company held loans it made to 38 investee companies with aggregate principal amounts of $135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2017, the Company did not engage in any such or similar activities.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financial instruments are scoped out of ASC 606. Management is evaluating the impact of the standard on certain fees earned by the Company.</w:t>
      </w:r>
    </w:p>
    <w:p>
      <w:pPr>
        <w:spacing w:after="0" w:line="19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For public business entities, ASU 2016-09 is effective for annual periods beginning after December 15 2016, and interim periods within those annual periods. Early adoption is permitted. We adopted 2016-09 during the first quarter of 2017 and there was no impact from adoption.</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November 2016, the FASB issued Accounting Standards Update 2016-18, Restricted Cash (“ASU 2016-18”) which requires entities to show the changes in the total cash, cash equivalents, restricted cash and restricted cash equivalents in the statement of cash flows. The guidance is effective for fiscal years beginning after December 15, 2017, and interim periods within those years. Early adoption is permitted, and entities will be required to apply the guidance retrospectively when adopted. We have early adopted ASU 2016-18 retrospectively during the first quarter of 2017 and earlier periods were restated. The following table depicts the retroactive application of ASU 2016-18: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520" w:type="dxa"/>
            <w:vAlign w:val="bottom"/>
            <w:gridSpan w:val="3"/>
          </w:tcPr>
          <w:p>
            <w:pPr>
              <w:jc w:val="right"/>
              <w:ind w:right="2225"/>
              <w:spacing w:after="0"/>
              <w:rPr>
                <w:sz w:val="20"/>
                <w:szCs w:val="20"/>
                <w:color w:val="auto"/>
              </w:rPr>
            </w:pPr>
            <w:r>
              <w:rPr>
                <w:rFonts w:ascii="Arial" w:cs="Arial" w:eastAsia="Arial" w:hAnsi="Arial"/>
                <w:sz w:val="18"/>
                <w:szCs w:val="18"/>
                <w:b w:val="1"/>
                <w:bCs w:val="1"/>
                <w:color w:val="auto"/>
                <w:w w:val="93"/>
              </w:rPr>
              <w:t>Consolidated Statements of Cash Flows</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September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as reported</w:t>
            </w:r>
          </w:p>
        </w:tc>
        <w:tc>
          <w:tcPr>
            <w:tcW w:w="5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(46,702,870)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Impact of Adoption</w:t>
            </w: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3,771,347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Net cash (used in) financing activities after adoption</w:t>
            </w:r>
          </w:p>
        </w:tc>
        <w:tc>
          <w:tcPr>
            <w:tcW w:w="54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(42,931,523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2017, the Financial Accounting Standards Board issued an Accounting Standards Update, ASU 2017-08, Receivables— Nonrefundable Fees and Other Costs (Subtopic 310-20), Premium Amortization on Purchased Callable Debt Securities (“ASU-2017-08”) which amends the amortization period for certain purchased callable debt securities held at a premium, shortening such period to the earliest call date. ASU-2017-08 does not require any accounting change for debt securities held at a discount; the discount continues to be amortized to maturity. ASU-2017-08 is effective for fiscal years, and interim periods within those fiscal years, beginning after December 15, 2018. At this time, management is evaluating the implications of these changes on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2016 annual review concluded that the Company’s model appropriately factors in all the necessary inputs required to build an equity cash flow model for CLO Securities for fair value purposes and that the inputs were being employed correctly.</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8" w:name="page29"/>
    <w:bookmarkEnd w:id="28"/>
    <w:p>
      <w:pPr>
        <w:ind w:right="4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Company’s investment in KCAP Freedom 3 LLC (“Joint Venture”), is a joint venture with Freedom 3 Opportunities.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carries investments in joint ventures at fair value based upon the fair value of the investments held by the joint venture. See Note 4 below, for more information regarding the Joint Venture.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54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investments</w:t>
      </w:r>
      <w:r>
        <w:rPr>
          <w:rFonts w:ascii="Arial" w:cs="Arial" w:eastAsia="Arial" w:hAnsi="Arial"/>
          <w:sz w:val="18"/>
          <w:szCs w:val="18"/>
          <w:color w:val="auto"/>
        </w:rPr>
        <w:t>. Short-term investments are generally comprised of money market accounts, time deposits, and U.S. treasury bills.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September 30, 2017, two issuers representing 1% of the Company’s total investments at fair value were on a non-accrual status, and one of our investments, representing 2% of the Company’s investments at fair value, was on partial non-accrual status, whereby we have recognized income on a portion of contractual payment-in-kind (PIK) amounts due.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CLO 2014-1, interest is earned at a fixed spread relative to the LIBOR index.</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Joint Venture</w:t>
      </w:r>
      <w:r>
        <w:rPr>
          <w:rFonts w:ascii="Arial" w:cs="Arial" w:eastAsia="Arial" w:hAnsi="Arial"/>
          <w:sz w:val="17"/>
          <w:szCs w:val="17"/>
          <w:color w:val="auto"/>
        </w:rPr>
        <w:t>. For interim periods, the Company recognizes investment income on its investment in the Joint Venture based upon its share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using the effective interest method over the expected term of the borrowing.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right="6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nine months ended September 30, 2017 and 2016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(669,449)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2,237,830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Net (increase) decrease in net assets allocated to unvested share awards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(30,313)</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Net increase (decrease) in net assets available to common stockholders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(666,189)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2,686,300</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2,219,736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(1,101,900)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5"/>
              </w:rPr>
              <w:t>Weighted average number of common shares outstanding for basic shares</w:t>
            </w: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37,196,621</w:t>
            </w: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37,152,622</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37,202,011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37,142,002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common and common stock equivalent shares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diluted shares computation</w:t>
            </w: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37,196,621</w:t>
            </w:r>
          </w:p>
        </w:tc>
        <w:tc>
          <w:tcPr>
            <w:tcW w:w="3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37,152,622</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37,202,011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37,142,002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per basic common shares: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per diluted shares: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were 50,000 options to purchase shares of common stock considered for the computation of the diluted per share information for the three months and nine months ended September 30, 2017 and 2016. Since the effects are anti-dilutive for both periods, the options were not considered in the computation. For the three months ended September 30, 2017 and 2016, the Company purchased 349 and 309 shares of common stock, respectively. For the nine months ended September 30, 2017 and 2016 the Company purchased 64,176 and 67,654 shares of common stock, respectively, in connection with the vesting of employee restricted stock, such shares are treated as treasury shares and reduce the weighted average shares outstanding in the computation of earnings per share.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100" w:firstLine="324"/>
        <w:spacing w:after="0" w:line="255" w:lineRule="auto"/>
        <w:rPr>
          <w:sz w:val="20"/>
          <w:szCs w:val="20"/>
          <w:color w:val="auto"/>
        </w:rPr>
      </w:pPr>
      <w:r>
        <w:rPr>
          <w:rFonts w:ascii="Arial" w:cs="Arial" w:eastAsia="Arial" w:hAnsi="Arial"/>
          <w:sz w:val="18"/>
          <w:szCs w:val="18"/>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nine month period ended September 30, 2016, the effects of the convertible notes were anti-dilutive. The Convertible Notes matured and were repaid in March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September 30, 2017 (unaudited)</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2016</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00" w:type="dxa"/>
            <w:vAlign w:val="bottom"/>
          </w:tcPr>
          <w:p>
            <w:pPr>
              <w:spacing w:after="0"/>
              <w:rPr>
                <w:sz w:val="16"/>
                <w:szCs w:val="16"/>
                <w:color w:val="auto"/>
              </w:rPr>
            </w:pPr>
          </w:p>
        </w:tc>
        <w:tc>
          <w:tcPr>
            <w:tcW w:w="124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vMerge w:val="continue"/>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57,024,828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57,024,828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49,982,415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46,124,914</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207,701,078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200,322,152</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59,490,855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58,343,554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37,251,776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35,444,440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Unsecured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20,000,000</w:t>
            </w: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3,054,337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1,063,762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Bond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1,503,404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1,494,600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1,487,400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78,544,739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51,843,344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76,851,317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54,174,350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10,389,007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4,450,177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10,389,007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5,056,355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53,341,230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39,679,000</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55,341,230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40,198,000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36,738,873</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36,591,122</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370,069,689</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316,615,300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420,801,057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366,471,304</w:t>
            </w: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right="240" w:firstLine="324"/>
        <w:spacing w:after="0" w:line="277" w:lineRule="auto"/>
        <w:rPr>
          <w:sz w:val="20"/>
          <w:szCs w:val="20"/>
          <w:color w:val="auto"/>
        </w:rPr>
      </w:pPr>
      <w:r>
        <w:rPr>
          <w:rFonts w:ascii="Arial" w:cs="Arial" w:eastAsia="Arial" w:hAnsi="Arial"/>
          <w:sz w:val="18"/>
          <w:szCs w:val="18"/>
          <w:color w:val="auto"/>
        </w:rPr>
        <w:t>The industry-related information, based on the fair value of the Company’s investment portfolio as of September 30, 2017 and December 31, 2016, for the Company’s investment portfolio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September 30, 2017 (unaudited)</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2016</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220" w:type="dxa"/>
            <w:vAlign w:val="bottom"/>
          </w:tcPr>
          <w:p>
            <w:pPr>
              <w:spacing w:after="0"/>
              <w:rPr>
                <w:sz w:val="16"/>
                <w:szCs w:val="16"/>
                <w:color w:val="auto"/>
              </w:rPr>
            </w:pPr>
          </w:p>
        </w:tc>
        <w:tc>
          <w:tcPr>
            <w:tcW w:w="122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continue"/>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4,929,171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3,268,788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8,394,633</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8,450,106</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53,341,230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39,679,000</w:t>
            </w:r>
          </w:p>
        </w:tc>
        <w:tc>
          <w:tcPr>
            <w:tcW w:w="660" w:type="dxa"/>
            <w:vAlign w:val="bottom"/>
          </w:tcPr>
          <w:p>
            <w:pPr>
              <w:spacing w:after="0"/>
              <w:rPr>
                <w:sz w:val="22"/>
                <w:szCs w:val="22"/>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55,341,230</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40,198,000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6,322,551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6,196,154</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3,466,776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3,443,506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6,805,514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6,782,010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4,512,854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4,346,400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15,198,830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14,703,372</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5,455,586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4,744,140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6,185,129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5,575,048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6,421,909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6,444,073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78,544,739</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51,843,344</w:t>
            </w: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76,851,317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54,174,350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5,919,158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5,929,606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3,054,338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1,064,762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12,319,905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10,118,736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732,896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734,613</w:t>
            </w: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14,766,390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14,452,096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Ecological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1,741,292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1,760,783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3,904,453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3,937,247</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13,929,048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10,575,738</w:t>
            </w: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14,493,835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8,805,761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6,156,451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12,279,924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12,185,239</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1,557,040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1,600,960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4,192,889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4,192,907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36,573,091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33,901,061</w:t>
            </w: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58,769,668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53,594,534</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16,093,619</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16,051,970</w:t>
            </w: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9,854,093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9,936,109</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36,738,873</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36,591,122</w:t>
            </w: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3,875,038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11,712,682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11,453,447</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8,273,174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8,372,984</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20,000,000</w:t>
            </w: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1,415,457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759,581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5,523,913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4,427,100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16,125,481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16,230,486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6,212,108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6,204,889</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3,965,663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3,939,200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12,809,799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12,767,823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Textiles and Leather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7,948,833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7,847,841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32,015,828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32,015,828</w:t>
            </w: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28,699,269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28,699,269</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2,496,958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7,557,315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7,190,135</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2,412,614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2,324,516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U.S. Government Obligation</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25,009,000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25,009,000</w:t>
            </w:r>
          </w:p>
        </w:tc>
        <w:tc>
          <w:tcPr>
            <w:tcW w:w="66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1,991,015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5,420,438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5,031,043</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370,069,689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316,615,300</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420,801,057</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366,471,304</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may invest up to 30% of the its total assets in “non-qualifying” opportunistic investments, including investments in debt and equity securities of CLO Funds, distressed debt or debt and equity securities of large cap public companies. Within this 30%, the Company also may invest in debt of middle market companies located outside of the United States.</w:t>
      </w:r>
    </w:p>
    <w:p>
      <w:pPr>
        <w:spacing w:after="0" w:line="1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At September 30, 2017 and December 31, 2016, the total amount of non-qualifying assets was approximately 28% and 17% of the total investment portfolio, respectively. The majority of non-qualifying assets were foreign investments which were approximately 17% and 14% of the total investment portfolio, respectively (including the Company’s investments in CLO Funds, which are typically domiciled outside the U.S. and represented approximately 16% and 15% of total assets on such dates,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89"/>
              </w:rPr>
              <w:t>September 30, 2017 (unaudited)</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21"/>
                <w:szCs w:val="21"/>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of FMV</w:t>
            </w:r>
          </w:p>
        </w:tc>
      </w:tr>
      <w:tr>
        <w:trPr>
          <w:trHeight w:val="20"/>
        </w:trPr>
        <w:tc>
          <w:tcPr>
            <w:tcW w:w="6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53,341,230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KCAP Freedom 3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36,738,873</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36,591,122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32,001,559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32,001,559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31,123,451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21,447,386</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Trimaran Advisors, L.L.C.</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U.S Treasury Bills - CUSIP: 912796LY3</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15,007,000</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15,007,000</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 - CUSIP: 912796KR9</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10,002,000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10,002,000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12,420,461</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8,222,814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10,196,554</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8,585,018</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3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10,023,444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9,290,017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9"/>
                <w:szCs w:val="19"/>
                <w:color w:val="auto"/>
              </w:rPr>
            </w:pPr>
          </w:p>
        </w:tc>
      </w:tr>
      <w:tr>
        <w:trPr>
          <w:trHeight w:val="26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230,854,572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200,825,916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vMerge w:val="continue"/>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28,685,001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28,022,646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20,453,099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9,828,619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9,113,125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10,140,000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8,350,290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11,822,180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6,552,311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5,462,647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5,321,809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Nielson &amp; Bainbrige,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5,092,087</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135,464,169</w:t>
            </w:r>
          </w:p>
        </w:tc>
        <w:tc>
          <w:tcPr>
            <w:tcW w:w="2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49% and 13% of the total fair value of the Company’s investments at September 30, 2017 and December 31,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20" w:firstLine="324"/>
        <w:spacing w:after="0" w:line="277" w:lineRule="auto"/>
        <w:rPr>
          <w:sz w:val="20"/>
          <w:szCs w:val="20"/>
          <w:color w:val="auto"/>
        </w:rPr>
      </w:pPr>
      <w:r>
        <w:rPr>
          <w:rFonts w:ascii="Arial" w:cs="Arial" w:eastAsia="Arial" w:hAnsi="Arial"/>
          <w:sz w:val="18"/>
          <w:szCs w:val="18"/>
          <w:color w:val="auto"/>
        </w:rPr>
        <w:t>In December 2016, the Company purchased $10.1 million of the notional value of the Subordinated Notes of Catamaran 2016-1 CLO (“Catamaran 2016-1”) managed by Trimaran Advisors.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the third quarter of 2017, the Company purchased $3.8 million notional value of the Subordinated Notes of Catamaran 2014-1 CLO managed by Trimaran Advisors.</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In January 2017, the trustees of Trimaran CLO VII, Ltd. (Trimaran VII) received notice that the holders of a majority of the income notes issued by Trimaran VII had exercised their right of optional redemption. With the exception of Katonah III, Ltd. and Grant Grove CLO, Ltd. (both of which have been called), all third-party managed CLO Funds are making distributions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investments in affiliates: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at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at</w:t>
            </w:r>
          </w:p>
        </w:tc>
        <w:tc>
          <w:tcPr>
            <w:tcW w:w="220" w:type="dxa"/>
            <w:vAlign w:val="bottom"/>
          </w:tcPr>
          <w:p>
            <w:pPr>
              <w:spacing w:after="0"/>
              <w:rPr>
                <w:sz w:val="12"/>
                <w:szCs w:val="12"/>
                <w:color w:val="auto"/>
              </w:rPr>
            </w:pPr>
          </w:p>
        </w:tc>
        <w:tc>
          <w:tcPr>
            <w:tcW w:w="16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Purchases/(Sales) of 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December</w:t>
            </w: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30, 2017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31, 2016</w:t>
            </w:r>
          </w:p>
        </w:tc>
        <w:tc>
          <w:tcPr>
            <w:tcW w:w="188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Advances/(Distributions)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Accretion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Gain/(Loss)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Asset Manager Affiliates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40,198,000</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39,679,000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line="130" w:lineRule="exact"/>
              <w:rPr>
                <w:sz w:val="20"/>
                <w:szCs w:val="20"/>
                <w:color w:val="auto"/>
              </w:rPr>
            </w:pPr>
            <w:r>
              <w:rPr>
                <w:rFonts w:ascii="Arial" w:cs="Arial" w:eastAsia="Arial" w:hAnsi="Arial"/>
                <w:sz w:val="14"/>
                <w:szCs w:val="14"/>
                <w:color w:val="auto"/>
              </w:rPr>
              <w:t>Trimaran Advisors, LLC Related Party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20"/>
                <w:szCs w:val="20"/>
                <w:color w:val="auto"/>
              </w:rPr>
            </w:pPr>
            <w:r>
              <w:rPr>
                <w:rFonts w:ascii="Arial" w:cs="Arial" w:eastAsia="Arial" w:hAnsi="Arial"/>
                <w:sz w:val="14"/>
                <w:szCs w:val="14"/>
                <w:color w:val="auto"/>
              </w:rPr>
              <w:t>Loan</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20,000,000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20,000,000</w:t>
            </w:r>
          </w:p>
        </w:tc>
        <w:tc>
          <w:tcPr>
            <w:tcW w:w="16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506,306</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Katonah 2007-I CLO, Ltd.</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20,453,099</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(1,841,861)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4,942,665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(2,106,519)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21,447,386</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4,942,665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Trimaran CLO VII, Ltd.</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1,195,152</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(1,264,090)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78,938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Catamaran CLO 2012-1, Ltd.</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2,819,412</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(636,377)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476,425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(419,650)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2,239,810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476,425</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Catamaran CLO 2013-1, Ltd.</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4,918,807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(985,219)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534,047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(661,535)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3,806,101</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534,047</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Catamaran CLO 2014-1, Ltd.</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4,546,682</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303,037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560,220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(562,318)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4,847,621</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560,220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Catamaran CLO 2014-2, Ltd.</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5,092,087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(880,468)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612,786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4,484,010</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612,786</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Catamaran CLO 2015-1, Ltd.</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3,223,255</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(442,803)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316,181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(62,913)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3,033,719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316,181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Catamaran CLO 2016-1, Ltd.</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8,350,290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(791,935)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848,489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178,174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8,585,018</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848,489</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CRMN 2014-1A</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1,310,000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200,341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1,520,000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87,974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KCAP Freedom 3, LLC</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36,738,873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(147,751)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36,591,122</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685,000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Arial" w:cs="Arial" w:eastAsia="Arial" w:hAnsi="Arial"/>
                <w:sz w:val="14"/>
                <w:szCs w:val="14"/>
                <w:color w:val="auto"/>
              </w:rPr>
              <w:t>Total Affiliated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92,106,784</w:t>
            </w: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48,199,157</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8,300,472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210" w:lineRule="exact"/>
              <w:rPr>
                <w:sz w:val="20"/>
                <w:szCs w:val="20"/>
                <w:color w:val="auto"/>
              </w:rPr>
            </w:pPr>
            <w:r>
              <w:rPr>
                <w:rFonts w:ascii="Arial" w:cs="Arial" w:eastAsia="Arial" w:hAnsi="Arial"/>
                <w:sz w:val="13"/>
                <w:szCs w:val="13"/>
                <w:color w:val="auto"/>
              </w:rPr>
              <w:t>(2,362,628</w:t>
            </w:r>
            <w:r>
              <w:rPr>
                <w:rFonts w:ascii="Arial" w:cs="Arial" w:eastAsia="Arial" w:hAnsi="Arial"/>
                <w:sz w:val="24"/>
                <w:szCs w:val="24"/>
                <w:color w:val="auto"/>
                <w:vertAlign w:val="superscript"/>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146,243,787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8,885,093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a new fund (the "Fund")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178"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7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has determined that the Joint Venture is an investment company under ASC 946, however, in accordance with such guidance; the Company will generally not consolidate its investment in a company other than a wholly owned investment company subsidiary or a controlled operating company whose business consists of providing services to the Company. Accordingly, the Company does not consolidate its non-controlling interest in the Joint Venture.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1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5"/>
              </w:rPr>
              <w:t>KCAP Freedom 3 LLC</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8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Summarized Balance Sheet (unaudited)</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at fair value</w:t>
            </w:r>
          </w:p>
        </w:tc>
        <w:tc>
          <w:tcPr>
            <w:tcW w:w="3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62,591,610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3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62,591,610</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Liabilities</w:t>
            </w:r>
          </w:p>
        </w:tc>
        <w:tc>
          <w:tcPr>
            <w:tcW w:w="4180" w:type="dxa"/>
            <w:vAlign w:val="bottom"/>
            <w:gridSpan w:val="3"/>
          </w:tcPr>
          <w:p>
            <w:pPr>
              <w:ind w:left="38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1,026,962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3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61,564,648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62,591,610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1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5"/>
              </w:rPr>
              <w:t>KCAP Freedom 3 LLC</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0" w:type="dxa"/>
            <w:vAlign w:val="bottom"/>
            <w:gridSpan w:val="5"/>
          </w:tcPr>
          <w:p>
            <w:pPr>
              <w:ind w:left="3140"/>
              <w:spacing w:after="0"/>
              <w:rPr>
                <w:sz w:val="20"/>
                <w:szCs w:val="20"/>
                <w:color w:val="auto"/>
              </w:rPr>
            </w:pPr>
            <w:r>
              <w:rPr>
                <w:rFonts w:ascii="Arial" w:cs="Arial" w:eastAsia="Arial" w:hAnsi="Arial"/>
                <w:sz w:val="18"/>
                <w:szCs w:val="18"/>
                <w:b w:val="1"/>
                <w:bCs w:val="1"/>
                <w:color w:val="auto"/>
                <w:w w:val="94"/>
              </w:rPr>
              <w:t>For the period from July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2017 (date of 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Operating Expenses</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8"/>
              </w:rPr>
              <w:t>Unrealized appreciation on Investments</w:t>
            </w:r>
          </w:p>
        </w:tc>
        <w:tc>
          <w:tcPr>
            <w:tcW w:w="3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three months ended September 30, 2017, KCAP Management LLC recognized approximately $185 thousand of management fees from the Fund, which is a wholly-owned subsidiary of the Joint Venture. In turn, the Company has recognized dividend income of approximately $180 thousand during the three months ended September 30, 2017 (included in Dividends from Asset Manager Affiliates) related to distributions from KCAP Management,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7" w:name="page38"/>
    <w:bookmarkEnd w:id="37"/>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6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2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0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of investments by the above ASC 820: Fair Value hierarchy levels as of September 30, 2017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2016, respectively: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8"/>
          </w:tcPr>
          <w:p>
            <w:pPr>
              <w:ind w:left="80"/>
              <w:spacing w:after="0"/>
              <w:rPr>
                <w:sz w:val="20"/>
                <w:szCs w:val="20"/>
                <w:color w:val="auto"/>
              </w:rPr>
            </w:pPr>
            <w:r>
              <w:rPr>
                <w:rFonts w:ascii="Arial" w:cs="Arial" w:eastAsia="Arial" w:hAnsi="Arial"/>
                <w:sz w:val="18"/>
                <w:szCs w:val="18"/>
                <w:b w:val="1"/>
                <w:bCs w:val="1"/>
                <w:color w:val="auto"/>
                <w:w w:val="91"/>
              </w:rPr>
              <w:t>As of September 30, 2017 (unaudited)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Money market accounts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32,015,828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32,015,828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25,009,000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25,009,000</w:t>
            </w: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68,707,692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58,319,137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127,026,829</w:t>
            </w: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51,843,344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51,843,344</w:t>
            </w: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4,450,177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4,450,177</w:t>
            </w: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Asset Manager Affiliates</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39,679,000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39,679,000</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Joint Venture</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36,591,122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36,591,122</w:t>
            </w:r>
          </w:p>
        </w:tc>
      </w:tr>
      <w:tr>
        <w:trPr>
          <w:trHeight w:val="210"/>
        </w:trPr>
        <w:tc>
          <w:tcPr>
            <w:tcW w:w="5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25,009,000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100,723,520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190,882,780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316,615,300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ind w:left="180"/>
              <w:spacing w:after="0"/>
              <w:rPr>
                <w:sz w:val="20"/>
                <w:szCs w:val="20"/>
                <w:color w:val="auto"/>
              </w:rPr>
            </w:pPr>
            <w:r>
              <w:rPr>
                <w:rFonts w:ascii="Arial" w:cs="Arial" w:eastAsia="Arial" w:hAnsi="Arial"/>
                <w:sz w:val="18"/>
                <w:szCs w:val="18"/>
                <w:b w:val="1"/>
                <w:bCs w:val="1"/>
                <w:color w:val="auto"/>
              </w:rPr>
              <w:t>As of December 31, 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Money market accounts</w:t>
            </w:r>
          </w:p>
        </w:tc>
        <w:tc>
          <w:tcPr>
            <w:tcW w:w="980" w:type="dxa"/>
            <w:vAlign w:val="bottom"/>
            <w:tcBorders>
              <w:top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84,601,585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153,741,745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238,343,330</w:t>
            </w: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 Fund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5,056,355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5,056,355</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Manager Affiliates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40,198,000</w:t>
            </w:r>
          </w:p>
        </w:tc>
      </w:tr>
      <w:tr>
        <w:trPr>
          <w:trHeight w:val="210"/>
        </w:trPr>
        <w:tc>
          <w:tcPr>
            <w:tcW w:w="5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113,300,854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253,170,450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366,471,304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13"/>
          </w:tcPr>
          <w:p>
            <w:pPr>
              <w:jc w:val="right"/>
              <w:ind w:right="680"/>
              <w:spacing w:after="0"/>
              <w:rPr>
                <w:sz w:val="20"/>
                <w:szCs w:val="20"/>
                <w:color w:val="auto"/>
              </w:rPr>
            </w:pPr>
            <w:r>
              <w:rPr>
                <w:rFonts w:ascii="Arial" w:cs="Arial" w:eastAsia="Arial" w:hAnsi="Arial"/>
                <w:sz w:val="18"/>
                <w:szCs w:val="18"/>
                <w:b w:val="1"/>
                <w:bCs w:val="1"/>
                <w:color w:val="auto"/>
                <w:w w:val="95"/>
              </w:rPr>
              <w:t>Nine Months Ended September 30, 2017 (unaudited)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CLO Fund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Equity</w:t>
            </w:r>
          </w:p>
        </w:tc>
        <w:tc>
          <w:tcPr>
            <w:tcW w:w="1440" w:type="dxa"/>
            <w:vAlign w:val="bottom"/>
            <w:gridSpan w:val="4"/>
          </w:tcPr>
          <w:p>
            <w:pPr>
              <w:jc w:val="right"/>
              <w:ind w:right="220"/>
              <w:spacing w:after="0" w:line="191" w:lineRule="exact"/>
              <w:rPr>
                <w:sz w:val="20"/>
                <w:szCs w:val="20"/>
                <w:color w:val="auto"/>
              </w:rPr>
            </w:pPr>
            <w:r>
              <w:rPr>
                <w:rFonts w:ascii="Arial" w:cs="Arial" w:eastAsia="Arial" w:hAnsi="Arial"/>
                <w:sz w:val="18"/>
                <w:szCs w:val="18"/>
                <w:b w:val="1"/>
                <w:bCs w:val="1"/>
                <w:color w:val="auto"/>
                <w:w w:val="93"/>
              </w:rPr>
              <w:t>Asset Manager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7"/>
              </w:rPr>
              <w:t>Debt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Affiliate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153,741,745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54,174,350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253,170,450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3"/>
                <w:szCs w:val="23"/>
                <w:color w:val="auto"/>
                <w:vertAlign w:val="superscript"/>
              </w:rPr>
              <w:t>(1)</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206,241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443,434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649,675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20,048,575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36,738,873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58,037,437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(126,670,826)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(128,670,826)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(995,630)</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w w:val="98"/>
              </w:rPr>
              <w:t>Total unrealized gain (loss) included in earnings</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5,617,032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(4,024,428)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(606,179)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(147,751)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2,319,674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58,319,137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51,843,344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4,450,177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36,591,122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190,882,780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Changes in unrealized gains (losses) included in</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earnings related to investments still held at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reporting date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1,174,559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(4,024,428)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1,481,000</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(147,751)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(1,368,870)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¹Transfers out of Level III represent a transfer of $0 relating to debt and equity securities for which pricing inputs, other than their quoted prices in active markets were observable as of September 30, 2017.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²Transfers into Level III represent a transfer of $6,372,000 relating to debt and equity securities for which pricing inputs, other than their quoted prices in active markets were unobservable as of September 30,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b w:val="1"/>
                <w:bCs w:val="1"/>
                <w:color w:val="auto"/>
                <w:w w:val="90"/>
              </w:rPr>
              <w:t>Year Ended December 31, 2016</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rPr>
              <w:t>CLO Fund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Equity</w:t>
            </w:r>
          </w:p>
        </w:tc>
        <w:tc>
          <w:tcPr>
            <w:tcW w:w="136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8"/>
              </w:rPr>
              <w:t>Asset Manager</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520" w:type="dxa"/>
            <w:vAlign w:val="bottom"/>
            <w:gridSpan w:val="4"/>
          </w:tcPr>
          <w:p>
            <w:pPr>
              <w:ind w:left="160"/>
              <w:spacing w:after="0"/>
              <w:rPr>
                <w:sz w:val="20"/>
                <w:szCs w:val="20"/>
                <w:color w:val="auto"/>
              </w:rPr>
            </w:pPr>
            <w:r>
              <w:rPr>
                <w:rFonts w:ascii="Arial" w:cs="Arial" w:eastAsia="Arial" w:hAnsi="Arial"/>
                <w:sz w:val="18"/>
                <w:szCs w:val="18"/>
                <w:b w:val="1"/>
                <w:bCs w:val="1"/>
                <w:color w:val="auto"/>
              </w:rPr>
              <w:t>Debt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Affiliate</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Joint Venture</w:t>
            </w:r>
          </w:p>
        </w:tc>
        <w:tc>
          <w:tcPr>
            <w:tcW w:w="1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183,400,465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$ 305,756,850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w w:val="97"/>
              </w:rPr>
              <w:t>(14,855,471)</w:t>
            </w:r>
            <w:r>
              <w:rPr>
                <w:rFonts w:ascii="Arial" w:cs="Arial" w:eastAsia="Arial" w:hAnsi="Arial"/>
                <w:sz w:val="29"/>
                <w:szCs w:val="29"/>
                <w:color w:val="auto"/>
                <w:w w:val="97"/>
                <w:vertAlign w:val="superscript"/>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(14,855,471)</w:t>
            </w:r>
          </w:p>
        </w:tc>
        <w:tc>
          <w:tcPr>
            <w:tcW w:w="0" w:type="dxa"/>
            <w:vAlign w:val="bottom"/>
          </w:tcPr>
          <w:p>
            <w:pPr>
              <w:spacing w:after="0"/>
              <w:rPr>
                <w:sz w:val="1"/>
                <w:szCs w:val="1"/>
                <w:color w:val="auto"/>
              </w:rPr>
            </w:pPr>
          </w:p>
        </w:tc>
      </w:tr>
      <w:tr>
        <w:trPr>
          <w:trHeight w:val="15"/>
        </w:trPr>
        <w:tc>
          <w:tcPr>
            <w:tcW w:w="3640" w:type="dxa"/>
            <w:vAlign w:val="bottom"/>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22,107,141</w:t>
            </w: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
                <w:szCs w:val="1"/>
                <w:color w:val="auto"/>
              </w:rPr>
              <w:t>—</w:t>
            </w: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445,485</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
                <w:szCs w:val="1"/>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
                <w:szCs w:val="1"/>
                <w:color w:val="auto"/>
              </w:rPr>
              <w:t>22,552,626</w:t>
            </w:r>
          </w:p>
        </w:tc>
        <w:tc>
          <w:tcPr>
            <w:tcW w:w="0" w:type="dxa"/>
            <w:vAlign w:val="bottom"/>
          </w:tcPr>
          <w:p>
            <w:pPr>
              <w:spacing w:after="0" w:line="20" w:lineRule="exact"/>
              <w:rPr>
                <w:sz w:val="1"/>
                <w:szCs w:val="1"/>
                <w:color w:val="auto"/>
              </w:rPr>
            </w:pPr>
          </w:p>
        </w:tc>
      </w:tr>
      <w:tr>
        <w:trPr>
          <w:trHeight w:val="201"/>
        </w:trPr>
        <w:tc>
          <w:tcPr>
            <w:tcW w:w="3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318,999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(2,192,069)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(1,873,070)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33,641,315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43,961,476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(66,559,349)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(4,743,682)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(76,753,031)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(10,111,560)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4,484,742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(5,993,742)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4"/>
              </w:rPr>
              <w:t>Total unrealized gain (loss) included in earnings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(3,944,431)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4,665,597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(15,933,000)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(19,625,188)</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153,741,745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54,174,350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253,170,450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Changes in unrealized gains (losses) included in</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earnings related to investments still held at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640" w:type="dxa"/>
            <w:vAlign w:val="bottom"/>
          </w:tcPr>
          <w:p>
            <w:pPr>
              <w:spacing w:after="0"/>
              <w:rPr>
                <w:sz w:val="20"/>
                <w:szCs w:val="20"/>
                <w:color w:val="auto"/>
              </w:rPr>
            </w:pPr>
            <w:r>
              <w:rPr>
                <w:rFonts w:ascii="Arial" w:cs="Arial" w:eastAsia="Arial" w:hAnsi="Arial"/>
                <w:sz w:val="18"/>
                <w:szCs w:val="18"/>
                <w:color w:val="auto"/>
              </w:rPr>
              <w:t>reporting date</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(6,969,509)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4,665,597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(15,933,000)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(22,650,266)</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$14,855,471 relating to debt securities for which pricing inputs, other than their quoted prices in active markets were observable as of December 31,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$22,107,141 relating to debt securities for which pricing inputs, other than their quoted prices in active markets were unobservable as of December 31, 2016.</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September 30,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$100,723,520 as of September 30, 2017.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As of September 30,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32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820" w:type="dxa"/>
            <w:vAlign w:val="bottom"/>
            <w:tcBorders>
              <w:top w:val="single" w:sz="8" w:color="auto"/>
              <w:right w:val="single" w:sz="8" w:color="auto"/>
            </w:tcBorders>
            <w:gridSpan w:val="2"/>
            <w:vMerge w:val="restart"/>
            <w:shd w:val="clear" w:color="auto" w:fill="DAEEF3"/>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1860" w:type="dxa"/>
            <w:vAlign w:val="bottom"/>
            <w:tcBorders>
              <w:top w:val="single" w:sz="8" w:color="auto"/>
              <w:right w:val="single" w:sz="8" w:color="auto"/>
            </w:tcBorders>
            <w:shd w:val="clear" w:color="auto" w:fill="DAEEF3"/>
          </w:tcPr>
          <w:p>
            <w:pPr>
              <w:ind w:left="200"/>
              <w:spacing w:after="0" w:line="198" w:lineRule="exact"/>
              <w:rPr>
                <w:sz w:val="20"/>
                <w:szCs w:val="20"/>
                <w:color w:val="auto"/>
              </w:rPr>
            </w:pPr>
            <w:r>
              <w:rPr>
                <w:rFonts w:ascii="Arial" w:cs="Arial" w:eastAsia="Arial" w:hAnsi="Arial"/>
                <w:sz w:val="18"/>
                <w:szCs w:val="18"/>
                <w:b w:val="1"/>
                <w:bCs w:val="1"/>
                <w:color w:val="auto"/>
              </w:rPr>
              <w:t>Primary Valuation</w:t>
            </w:r>
          </w:p>
        </w:tc>
        <w:tc>
          <w:tcPr>
            <w:tcW w:w="1820" w:type="dxa"/>
            <w:vAlign w:val="bottom"/>
            <w:tcBorders>
              <w:top w:val="single" w:sz="8" w:color="auto"/>
              <w:right w:val="single" w:sz="8" w:color="auto"/>
            </w:tcBorders>
            <w:shd w:val="clear" w:color="auto" w:fill="DAEEF3"/>
          </w:tcPr>
          <w:p>
            <w:pPr>
              <w:ind w:left="360"/>
              <w:spacing w:after="0" w:line="198" w:lineRule="exact"/>
              <w:rPr>
                <w:sz w:val="20"/>
                <w:szCs w:val="20"/>
                <w:color w:val="auto"/>
              </w:rPr>
            </w:pPr>
            <w:r>
              <w:rPr>
                <w:rFonts w:ascii="Arial" w:cs="Arial" w:eastAsia="Arial" w:hAnsi="Arial"/>
                <w:sz w:val="18"/>
                <w:szCs w:val="18"/>
                <w:b w:val="1"/>
                <w:bCs w:val="1"/>
                <w:color w:val="auto"/>
              </w:rPr>
              <w:t>Unobservable</w:t>
            </w:r>
          </w:p>
        </w:tc>
        <w:tc>
          <w:tcPr>
            <w:tcW w:w="2520" w:type="dxa"/>
            <w:vAlign w:val="bottom"/>
            <w:tcBorders>
              <w:top w:val="single" w:sz="8" w:color="auto"/>
              <w:right w:val="single" w:sz="8" w:color="auto"/>
            </w:tcBorders>
            <w:shd w:val="clear" w:color="auto" w:fill="DAEEF3"/>
          </w:tcPr>
          <w:p>
            <w:pPr>
              <w:ind w:left="620"/>
              <w:spacing w:after="0" w:line="198" w:lineRule="exact"/>
              <w:rPr>
                <w:sz w:val="20"/>
                <w:szCs w:val="20"/>
                <w:color w:val="auto"/>
              </w:rPr>
            </w:pPr>
            <w:r>
              <w:rPr>
                <w:rFonts w:ascii="Arial" w:cs="Arial" w:eastAsia="Arial" w:hAnsi="Arial"/>
                <w:sz w:val="18"/>
                <w:szCs w:val="18"/>
                <w:b w:val="1"/>
                <w:bCs w:val="1"/>
                <w:color w:val="auto"/>
              </w:rPr>
              <w:t>Range of Inputs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320" w:type="dxa"/>
            <w:vAlign w:val="bottom"/>
            <w:tcBorders>
              <w:left w:val="single" w:sz="8" w:color="auto"/>
              <w:right w:val="single" w:sz="8" w:color="auto"/>
            </w:tcBorders>
            <w:vMerge w:val="continue"/>
            <w:shd w:val="clear" w:color="auto" w:fill="DAEEF3"/>
          </w:tcPr>
          <w:p>
            <w:pPr>
              <w:spacing w:after="0"/>
              <w:rPr>
                <w:sz w:val="12"/>
                <w:szCs w:val="12"/>
                <w:color w:val="auto"/>
              </w:rPr>
            </w:pPr>
          </w:p>
        </w:tc>
        <w:tc>
          <w:tcPr>
            <w:tcW w:w="1820" w:type="dxa"/>
            <w:vAlign w:val="bottom"/>
            <w:tcBorders>
              <w:right w:val="single" w:sz="8" w:color="auto"/>
            </w:tcBorders>
            <w:gridSpan w:val="2"/>
            <w:vMerge w:val="continue"/>
            <w:shd w:val="clear" w:color="auto" w:fill="DAEEF3"/>
          </w:tcPr>
          <w:p>
            <w:pPr>
              <w:spacing w:after="0"/>
              <w:rPr>
                <w:sz w:val="12"/>
                <w:szCs w:val="12"/>
                <w:color w:val="auto"/>
              </w:rPr>
            </w:pPr>
          </w:p>
        </w:tc>
        <w:tc>
          <w:tcPr>
            <w:tcW w:w="1860" w:type="dxa"/>
            <w:vAlign w:val="bottom"/>
            <w:tcBorders>
              <w:right w:val="single" w:sz="8" w:color="auto"/>
            </w:tcBorders>
            <w:vMerge w:val="restart"/>
            <w:shd w:val="clear" w:color="auto" w:fill="DAEEF3"/>
          </w:tcPr>
          <w:p>
            <w:pPr>
              <w:ind w:left="42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right w:val="single" w:sz="8" w:color="auto"/>
            </w:tcBorders>
            <w:vMerge w:val="restart"/>
            <w:shd w:val="clear" w:color="auto" w:fill="DAEEF3"/>
          </w:tcPr>
          <w:p>
            <w:pPr>
              <w:ind w:left="640"/>
              <w:spacing w:after="0"/>
              <w:rPr>
                <w:sz w:val="20"/>
                <w:szCs w:val="20"/>
                <w:color w:val="auto"/>
              </w:rPr>
            </w:pPr>
            <w:r>
              <w:rPr>
                <w:rFonts w:ascii="Arial" w:cs="Arial" w:eastAsia="Arial" w:hAnsi="Arial"/>
                <w:sz w:val="18"/>
                <w:szCs w:val="18"/>
                <w:b w:val="1"/>
                <w:bCs w:val="1"/>
                <w:color w:val="auto"/>
              </w:rPr>
              <w:t>Inputs</w:t>
            </w:r>
          </w:p>
        </w:tc>
        <w:tc>
          <w:tcPr>
            <w:tcW w:w="2520" w:type="dxa"/>
            <w:vAlign w:val="bottom"/>
            <w:tcBorders>
              <w:right w:val="single" w:sz="8" w:color="auto"/>
            </w:tcBorders>
            <w:vMerge w:val="restart"/>
            <w:shd w:val="clear" w:color="auto" w:fill="DAEEF3"/>
          </w:tcPr>
          <w:p>
            <w:pPr>
              <w:ind w:left="480"/>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20" w:type="dxa"/>
            <w:vAlign w:val="bottom"/>
            <w:tcBorders>
              <w:left w:val="single" w:sz="8" w:color="auto"/>
              <w:bottom w:val="single" w:sz="8" w:color="auto"/>
              <w:right w:val="single" w:sz="8" w:color="auto"/>
            </w:tcBorders>
            <w:shd w:val="clear" w:color="auto" w:fill="DAEEF3"/>
          </w:tcPr>
          <w:p>
            <w:pPr>
              <w:spacing w:after="0"/>
              <w:rPr>
                <w:sz w:val="8"/>
                <w:szCs w:val="8"/>
                <w:color w:val="auto"/>
              </w:rPr>
            </w:pPr>
          </w:p>
        </w:tc>
        <w:tc>
          <w:tcPr>
            <w:tcW w:w="800" w:type="dxa"/>
            <w:vAlign w:val="bottom"/>
            <w:tcBorders>
              <w:bottom w:val="single" w:sz="8" w:color="auto"/>
            </w:tcBorders>
            <w:shd w:val="clear" w:color="auto" w:fill="DAEEF3"/>
          </w:tcPr>
          <w:p>
            <w:pPr>
              <w:spacing w:after="0"/>
              <w:rPr>
                <w:sz w:val="8"/>
                <w:szCs w:val="8"/>
                <w:color w:val="auto"/>
              </w:rPr>
            </w:pPr>
          </w:p>
        </w:tc>
        <w:tc>
          <w:tcPr>
            <w:tcW w:w="1020" w:type="dxa"/>
            <w:vAlign w:val="bottom"/>
            <w:tcBorders>
              <w:bottom w:val="single" w:sz="8" w:color="auto"/>
              <w:right w:val="single" w:sz="8" w:color="auto"/>
            </w:tcBorders>
            <w:shd w:val="clear" w:color="auto" w:fill="DAEEF3"/>
          </w:tcPr>
          <w:p>
            <w:pPr>
              <w:spacing w:after="0"/>
              <w:rPr>
                <w:sz w:val="8"/>
                <w:szCs w:val="8"/>
                <w:color w:val="auto"/>
              </w:rPr>
            </w:pPr>
          </w:p>
        </w:tc>
        <w:tc>
          <w:tcPr>
            <w:tcW w:w="186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182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252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20" w:type="dxa"/>
            <w:vAlign w:val="bottom"/>
            <w:tcBorders>
              <w:left w:val="single" w:sz="8" w:color="auto"/>
              <w:right w:val="single" w:sz="8" w:color="auto"/>
            </w:tcBorders>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11,219,800</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5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5.2x - 6.7x (5.5x)</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800" w:type="dxa"/>
            <w:vAlign w:val="bottom"/>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 WACC</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13.3% - 17.7% (16.8%)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808080"/>
              <w:right w:val="single" w:sz="8" w:color="auto"/>
            </w:tcBorders>
            <w:vMerge w:val="continue"/>
          </w:tcPr>
          <w:p>
            <w:pPr>
              <w:spacing w:after="0"/>
              <w:rPr>
                <w:sz w:val="9"/>
                <w:szCs w:val="9"/>
                <w:color w:val="auto"/>
              </w:rPr>
            </w:pPr>
          </w:p>
        </w:tc>
        <w:tc>
          <w:tcPr>
            <w:tcW w:w="2520" w:type="dxa"/>
            <w:vAlign w:val="bottom"/>
            <w:tcBorders>
              <w:bottom w:val="single" w:sz="8" w:color="808080"/>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20" w:type="dxa"/>
            <w:vAlign w:val="bottom"/>
            <w:tcBorders>
              <w:left w:val="single" w:sz="8" w:color="auto"/>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47,099,337</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Income Approach</w:t>
            </w:r>
          </w:p>
        </w:tc>
        <w:tc>
          <w:tcPr>
            <w:tcW w:w="1820" w:type="dxa"/>
            <w:vAlign w:val="bottom"/>
            <w:tcBorders>
              <w:right w:val="single" w:sz="8" w:color="auto"/>
            </w:tcBorders>
            <w:vMerge w:val="restart"/>
          </w:tcPr>
          <w:p>
            <w:pPr>
              <w:ind w:left="80"/>
              <w:spacing w:after="0" w:line="182" w:lineRule="exact"/>
              <w:rPr>
                <w:sz w:val="20"/>
                <w:szCs w:val="20"/>
                <w:color w:val="auto"/>
              </w:rPr>
            </w:pPr>
            <w:r>
              <w:rPr>
                <w:rFonts w:ascii="Arial" w:cs="Arial" w:eastAsia="Arial" w:hAnsi="Arial"/>
                <w:sz w:val="18"/>
                <w:szCs w:val="18"/>
                <w:color w:val="auto"/>
              </w:rPr>
              <w:t>Implied Discount</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6.0% - 26.4% (13.8%)</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320" w:type="dxa"/>
            <w:vAlign w:val="bottom"/>
            <w:tcBorders>
              <w:left w:val="single" w:sz="8" w:color="auto"/>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25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20" w:type="dxa"/>
            <w:vAlign w:val="bottom"/>
            <w:tcBorders>
              <w:left w:val="single" w:sz="8" w:color="auto"/>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Rate</w:t>
            </w:r>
          </w:p>
        </w:tc>
        <w:tc>
          <w:tcPr>
            <w:tcW w:w="2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20" w:type="dxa"/>
            <w:vAlign w:val="bottom"/>
            <w:tcBorders>
              <w:left w:val="single" w:sz="8" w:color="auto"/>
              <w:bottom w:val="single" w:sz="8" w:color="auto"/>
              <w:right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2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4,442,177</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Average EBITDA</w:t>
            </w:r>
          </w:p>
        </w:tc>
        <w:tc>
          <w:tcPr>
            <w:tcW w:w="25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4.6x – 16.1x (10.4x)</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800" w:type="dxa"/>
            <w:vAlign w:val="bottom"/>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Multiple / WACC</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10.6% - 14.6% (12.2%)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252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8,000</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Options Value</w:t>
            </w:r>
          </w:p>
        </w:tc>
        <w:tc>
          <w:tcPr>
            <w:tcW w:w="18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520" w:type="dxa"/>
            <w:vAlign w:val="bottom"/>
            <w:tcBorders>
              <w:bottom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2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left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7"/>
              </w:rPr>
              <w:t>30,395,957</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5"/>
              </w:rPr>
              <w:t>Discounted Cash Flow</w:t>
            </w:r>
          </w:p>
        </w:tc>
        <w:tc>
          <w:tcPr>
            <w:tcW w:w="18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Probability of Default</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800" w:type="dxa"/>
            <w:vAlign w:val="bottom"/>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1860" w:type="dxa"/>
            <w:vAlign w:val="bottom"/>
            <w:tcBorders>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Loss Severity</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right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vMerge w:val="restart"/>
          </w:tcPr>
          <w:p>
            <w:pPr>
              <w:ind w:left="80"/>
              <w:spacing w:after="0" w:line="196" w:lineRule="exact"/>
              <w:rPr>
                <w:sz w:val="20"/>
                <w:szCs w:val="20"/>
                <w:color w:val="auto"/>
              </w:rPr>
            </w:pPr>
            <w:r>
              <w:rPr>
                <w:rFonts w:ascii="Arial" w:cs="Arial" w:eastAsia="Arial" w:hAnsi="Arial"/>
                <w:sz w:val="18"/>
                <w:szCs w:val="18"/>
                <w:color w:val="auto"/>
              </w:rPr>
              <w:t>Recovery Rate</w:t>
            </w:r>
          </w:p>
        </w:tc>
        <w:tc>
          <w:tcPr>
            <w:tcW w:w="2520" w:type="dxa"/>
            <w:vAlign w:val="bottom"/>
            <w:tcBorders>
              <w:right w:val="single" w:sz="8" w:color="auto"/>
            </w:tcBorders>
            <w:vMerge w:val="restart"/>
          </w:tcPr>
          <w:p>
            <w:pPr>
              <w:ind w:left="100"/>
              <w:spacing w:after="0" w:line="196" w:lineRule="exact"/>
              <w:rPr>
                <w:sz w:val="20"/>
                <w:szCs w:val="20"/>
                <w:color w:val="auto"/>
              </w:rPr>
            </w:pPr>
            <w:r>
              <w:rPr>
                <w:rFonts w:ascii="Arial" w:cs="Arial" w:eastAsia="Arial" w:hAnsi="Arial"/>
                <w:sz w:val="18"/>
                <w:szCs w:val="18"/>
                <w:color w:val="auto"/>
              </w:rPr>
              <w:t>74.1%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320" w:type="dxa"/>
            <w:vAlign w:val="bottom"/>
            <w:tcBorders>
              <w:left w:val="single" w:sz="8" w:color="auto"/>
              <w:righ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2520" w:type="dxa"/>
            <w:vAlign w:val="bottom"/>
            <w:tcBorders>
              <w:bottom w:val="single" w:sz="8" w:color="auto"/>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320" w:type="dxa"/>
            <w:vAlign w:val="bottom"/>
            <w:tcBorders>
              <w:left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Prepayment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20" w:type="dxa"/>
            <w:vAlign w:val="bottom"/>
            <w:tcBorders>
              <w:left w:val="single" w:sz="8" w:color="auto"/>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7"/>
              </w:rPr>
              <w:t>21,447,386</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Liquidation Value</w:t>
            </w:r>
          </w:p>
        </w:tc>
        <w:tc>
          <w:tcPr>
            <w:tcW w:w="18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520" w:type="dxa"/>
            <w:vAlign w:val="bottom"/>
            <w:tcBorders>
              <w:bottom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2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2"/>
              </w:rPr>
              <w:t>Asset Manager Affiliate</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7"/>
              </w:rPr>
              <w:t>39,679,000</w:t>
            </w:r>
          </w:p>
        </w:tc>
        <w:tc>
          <w:tcPr>
            <w:tcW w:w="186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w w:val="95"/>
              </w:rPr>
              <w:t>Discounted Cash Flow</w:t>
            </w:r>
          </w:p>
        </w:tc>
        <w:tc>
          <w:tcPr>
            <w:tcW w:w="18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 - 12.0% (6.5%)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7"/>
              </w:rPr>
              <w:t>36,591,122</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Enterprise Value</w:t>
            </w:r>
          </w:p>
        </w:tc>
        <w:tc>
          <w:tcPr>
            <w:tcW w:w="182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520" w:type="dxa"/>
            <w:vAlign w:val="bottom"/>
            <w:tcBorders>
              <w:bottom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w w:val="96"/>
              </w:rPr>
              <w:t>Total Level III Investments</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190,882,780</w:t>
            </w:r>
          </w:p>
        </w:tc>
        <w:tc>
          <w:tcPr>
            <w:tcW w:w="18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40" w:firstLine="8"/>
        <w:spacing w:after="0" w:line="256" w:lineRule="auto"/>
        <w:tabs>
          <w:tab w:leader="none" w:pos="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As of December 31, 2016,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30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840" w:type="dxa"/>
            <w:vAlign w:val="bottom"/>
            <w:tcBorders>
              <w:top w:val="single" w:sz="8" w:color="auto"/>
              <w:right w:val="single" w:sz="8" w:color="auto"/>
            </w:tcBorders>
            <w:gridSpan w:val="2"/>
            <w:vMerge w:val="restart"/>
            <w:shd w:val="clear" w:color="auto" w:fill="DAEEF3"/>
          </w:tcPr>
          <w:p>
            <w:pPr>
              <w:ind w:left="500"/>
              <w:spacing w:after="0"/>
              <w:rPr>
                <w:sz w:val="20"/>
                <w:szCs w:val="20"/>
                <w:color w:val="auto"/>
              </w:rPr>
            </w:pPr>
            <w:r>
              <w:rPr>
                <w:rFonts w:ascii="Arial" w:cs="Arial" w:eastAsia="Arial" w:hAnsi="Arial"/>
                <w:sz w:val="18"/>
                <w:szCs w:val="18"/>
                <w:b w:val="1"/>
                <w:bCs w:val="1"/>
                <w:color w:val="auto"/>
              </w:rPr>
              <w:t>Fair Value</w:t>
            </w:r>
          </w:p>
        </w:tc>
        <w:tc>
          <w:tcPr>
            <w:tcW w:w="1840" w:type="dxa"/>
            <w:vAlign w:val="bottom"/>
            <w:tcBorders>
              <w:top w:val="single" w:sz="8" w:color="auto"/>
              <w:right w:val="single" w:sz="8" w:color="auto"/>
            </w:tcBorders>
            <w:shd w:val="clear" w:color="auto" w:fill="DAEEF3"/>
          </w:tcPr>
          <w:p>
            <w:pPr>
              <w:ind w:left="180"/>
              <w:spacing w:after="0" w:line="198" w:lineRule="exact"/>
              <w:rPr>
                <w:sz w:val="20"/>
                <w:szCs w:val="20"/>
                <w:color w:val="auto"/>
              </w:rPr>
            </w:pPr>
            <w:r>
              <w:rPr>
                <w:rFonts w:ascii="Arial" w:cs="Arial" w:eastAsia="Arial" w:hAnsi="Arial"/>
                <w:sz w:val="18"/>
                <w:szCs w:val="18"/>
                <w:b w:val="1"/>
                <w:bCs w:val="1"/>
                <w:color w:val="auto"/>
              </w:rPr>
              <w:t>Primary Valuation</w:t>
            </w:r>
          </w:p>
        </w:tc>
        <w:tc>
          <w:tcPr>
            <w:tcW w:w="1840" w:type="dxa"/>
            <w:vAlign w:val="bottom"/>
            <w:tcBorders>
              <w:top w:val="single" w:sz="8" w:color="auto"/>
              <w:right w:val="single" w:sz="8" w:color="auto"/>
            </w:tcBorders>
            <w:shd w:val="clear" w:color="auto" w:fill="DAEEF3"/>
          </w:tcPr>
          <w:p>
            <w:pPr>
              <w:ind w:left="380"/>
              <w:spacing w:after="0" w:line="198" w:lineRule="exact"/>
              <w:rPr>
                <w:sz w:val="20"/>
                <w:szCs w:val="20"/>
                <w:color w:val="auto"/>
              </w:rPr>
            </w:pPr>
            <w:r>
              <w:rPr>
                <w:rFonts w:ascii="Arial" w:cs="Arial" w:eastAsia="Arial" w:hAnsi="Arial"/>
                <w:sz w:val="18"/>
                <w:szCs w:val="18"/>
                <w:b w:val="1"/>
                <w:bCs w:val="1"/>
                <w:color w:val="auto"/>
              </w:rPr>
              <w:t>Unobservable</w:t>
            </w:r>
          </w:p>
        </w:tc>
        <w:tc>
          <w:tcPr>
            <w:tcW w:w="2520" w:type="dxa"/>
            <w:vAlign w:val="bottom"/>
            <w:tcBorders>
              <w:top w:val="single" w:sz="8" w:color="auto"/>
              <w:right w:val="single" w:sz="8" w:color="auto"/>
            </w:tcBorders>
            <w:shd w:val="clear" w:color="auto" w:fill="DAEEF3"/>
          </w:tcPr>
          <w:p>
            <w:pPr>
              <w:ind w:left="620"/>
              <w:spacing w:after="0" w:line="198" w:lineRule="exact"/>
              <w:rPr>
                <w:sz w:val="20"/>
                <w:szCs w:val="20"/>
                <w:color w:val="auto"/>
              </w:rPr>
            </w:pPr>
            <w:r>
              <w:rPr>
                <w:rFonts w:ascii="Arial" w:cs="Arial" w:eastAsia="Arial" w:hAnsi="Arial"/>
                <w:sz w:val="18"/>
                <w:szCs w:val="18"/>
                <w:b w:val="1"/>
                <w:bCs w:val="1"/>
                <w:color w:val="auto"/>
              </w:rPr>
              <w:t>Range of Inputs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300" w:type="dxa"/>
            <w:vAlign w:val="bottom"/>
            <w:tcBorders>
              <w:left w:val="single" w:sz="8" w:color="auto"/>
              <w:right w:val="single" w:sz="8" w:color="auto"/>
            </w:tcBorders>
            <w:vMerge w:val="continue"/>
            <w:shd w:val="clear" w:color="auto" w:fill="DAEEF3"/>
          </w:tcPr>
          <w:p>
            <w:pPr>
              <w:spacing w:after="0"/>
              <w:rPr>
                <w:sz w:val="12"/>
                <w:szCs w:val="12"/>
                <w:color w:val="auto"/>
              </w:rPr>
            </w:pPr>
          </w:p>
        </w:tc>
        <w:tc>
          <w:tcPr>
            <w:tcW w:w="1840" w:type="dxa"/>
            <w:vAlign w:val="bottom"/>
            <w:tcBorders>
              <w:right w:val="single" w:sz="8" w:color="auto"/>
            </w:tcBorders>
            <w:gridSpan w:val="2"/>
            <w:vMerge w:val="continue"/>
            <w:shd w:val="clear" w:color="auto" w:fill="DAEEF3"/>
          </w:tcPr>
          <w:p>
            <w:pPr>
              <w:spacing w:after="0"/>
              <w:rPr>
                <w:sz w:val="12"/>
                <w:szCs w:val="12"/>
                <w:color w:val="auto"/>
              </w:rPr>
            </w:pPr>
          </w:p>
        </w:tc>
        <w:tc>
          <w:tcPr>
            <w:tcW w:w="1840" w:type="dxa"/>
            <w:vAlign w:val="bottom"/>
            <w:tcBorders>
              <w:right w:val="single" w:sz="8" w:color="auto"/>
            </w:tcBorders>
            <w:vMerge w:val="restart"/>
            <w:shd w:val="clear" w:color="auto" w:fill="DAEEF3"/>
          </w:tcPr>
          <w:p>
            <w:pPr>
              <w:ind w:left="400"/>
              <w:spacing w:after="0"/>
              <w:rPr>
                <w:sz w:val="20"/>
                <w:szCs w:val="20"/>
                <w:color w:val="auto"/>
              </w:rPr>
            </w:pPr>
            <w:r>
              <w:rPr>
                <w:rFonts w:ascii="Arial" w:cs="Arial" w:eastAsia="Arial" w:hAnsi="Arial"/>
                <w:sz w:val="18"/>
                <w:szCs w:val="18"/>
                <w:b w:val="1"/>
                <w:bCs w:val="1"/>
                <w:color w:val="auto"/>
              </w:rPr>
              <w:t>Methodology</w:t>
            </w:r>
          </w:p>
        </w:tc>
        <w:tc>
          <w:tcPr>
            <w:tcW w:w="1840" w:type="dxa"/>
            <w:vAlign w:val="bottom"/>
            <w:tcBorders>
              <w:right w:val="single" w:sz="8" w:color="auto"/>
            </w:tcBorders>
            <w:vMerge w:val="restart"/>
            <w:shd w:val="clear" w:color="auto" w:fill="DAEEF3"/>
          </w:tcPr>
          <w:p>
            <w:pPr>
              <w:ind w:left="660"/>
              <w:spacing w:after="0"/>
              <w:rPr>
                <w:sz w:val="20"/>
                <w:szCs w:val="20"/>
                <w:color w:val="auto"/>
              </w:rPr>
            </w:pPr>
            <w:r>
              <w:rPr>
                <w:rFonts w:ascii="Arial" w:cs="Arial" w:eastAsia="Arial" w:hAnsi="Arial"/>
                <w:sz w:val="18"/>
                <w:szCs w:val="18"/>
                <w:b w:val="1"/>
                <w:bCs w:val="1"/>
                <w:color w:val="auto"/>
              </w:rPr>
              <w:t>Inputs</w:t>
            </w:r>
          </w:p>
        </w:tc>
        <w:tc>
          <w:tcPr>
            <w:tcW w:w="2520" w:type="dxa"/>
            <w:vAlign w:val="bottom"/>
            <w:tcBorders>
              <w:right w:val="single" w:sz="8" w:color="auto"/>
            </w:tcBorders>
            <w:vMerge w:val="restart"/>
            <w:shd w:val="clear" w:color="auto" w:fill="DAEEF3"/>
          </w:tcPr>
          <w:p>
            <w:pPr>
              <w:ind w:left="480"/>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00" w:type="dxa"/>
            <w:vAlign w:val="bottom"/>
            <w:tcBorders>
              <w:left w:val="single" w:sz="8" w:color="auto"/>
              <w:bottom w:val="single" w:sz="8" w:color="auto"/>
              <w:right w:val="single" w:sz="8" w:color="auto"/>
            </w:tcBorders>
            <w:shd w:val="clear" w:color="auto" w:fill="DAEEF3"/>
          </w:tcPr>
          <w:p>
            <w:pPr>
              <w:spacing w:after="0"/>
              <w:rPr>
                <w:sz w:val="8"/>
                <w:szCs w:val="8"/>
                <w:color w:val="auto"/>
              </w:rPr>
            </w:pPr>
          </w:p>
        </w:tc>
        <w:tc>
          <w:tcPr>
            <w:tcW w:w="740" w:type="dxa"/>
            <w:vAlign w:val="bottom"/>
            <w:tcBorders>
              <w:bottom w:val="single" w:sz="8" w:color="auto"/>
            </w:tcBorders>
            <w:shd w:val="clear" w:color="auto" w:fill="DAEEF3"/>
          </w:tcPr>
          <w:p>
            <w:pPr>
              <w:spacing w:after="0"/>
              <w:rPr>
                <w:sz w:val="8"/>
                <w:szCs w:val="8"/>
                <w:color w:val="auto"/>
              </w:rPr>
            </w:pPr>
          </w:p>
        </w:tc>
        <w:tc>
          <w:tcPr>
            <w:tcW w:w="1100" w:type="dxa"/>
            <w:vAlign w:val="bottom"/>
            <w:tcBorders>
              <w:bottom w:val="single" w:sz="8" w:color="auto"/>
              <w:right w:val="single" w:sz="8" w:color="auto"/>
            </w:tcBorders>
            <w:shd w:val="clear" w:color="auto" w:fill="DAEEF3"/>
          </w:tcPr>
          <w:p>
            <w:pPr>
              <w:spacing w:after="0"/>
              <w:rPr>
                <w:sz w:val="8"/>
                <w:szCs w:val="8"/>
                <w:color w:val="auto"/>
              </w:rPr>
            </w:pPr>
          </w:p>
        </w:tc>
        <w:tc>
          <w:tcPr>
            <w:tcW w:w="184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184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252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300" w:type="dxa"/>
            <w:vAlign w:val="bottom"/>
            <w:tcBorders>
              <w:left w:val="single" w:sz="8" w:color="auto"/>
              <w:right w:val="single" w:sz="8" w:color="auto"/>
            </w:tcBorders>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7,639,648</w:t>
            </w: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18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Average EBITDA</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5.3x</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740" w:type="dxa"/>
            <w:vAlign w:val="bottom"/>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Multiple</w:t>
            </w:r>
          </w:p>
        </w:tc>
        <w:tc>
          <w:tcPr>
            <w:tcW w:w="2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0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808080"/>
              <w:right w:val="single" w:sz="8" w:color="auto"/>
            </w:tcBorders>
            <w:vMerge w:val="continue"/>
          </w:tcPr>
          <w:p>
            <w:pPr>
              <w:spacing w:after="0"/>
              <w:rPr>
                <w:sz w:val="8"/>
                <w:szCs w:val="8"/>
                <w:color w:val="auto"/>
              </w:rPr>
            </w:pPr>
          </w:p>
        </w:tc>
        <w:tc>
          <w:tcPr>
            <w:tcW w:w="2520" w:type="dxa"/>
            <w:vAlign w:val="bottom"/>
            <w:tcBorders>
              <w:bottom w:val="single" w:sz="8" w:color="808080"/>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0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5"/>
              </w:rPr>
              <w:t>146,102,097</w:t>
            </w: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Income Approach</w:t>
            </w:r>
          </w:p>
        </w:tc>
        <w:tc>
          <w:tcPr>
            <w:tcW w:w="1840" w:type="dxa"/>
            <w:vAlign w:val="bottom"/>
            <w:tcBorders>
              <w:right w:val="single" w:sz="8" w:color="auto"/>
            </w:tcBorders>
            <w:vMerge w:val="restart"/>
          </w:tcPr>
          <w:p>
            <w:pPr>
              <w:ind w:left="100"/>
              <w:spacing w:after="0" w:line="182" w:lineRule="exact"/>
              <w:rPr>
                <w:sz w:val="20"/>
                <w:szCs w:val="20"/>
                <w:color w:val="auto"/>
              </w:rPr>
            </w:pPr>
            <w:r>
              <w:rPr>
                <w:rFonts w:ascii="Arial" w:cs="Arial" w:eastAsia="Arial" w:hAnsi="Arial"/>
                <w:sz w:val="18"/>
                <w:szCs w:val="18"/>
                <w:color w:val="auto"/>
              </w:rPr>
              <w:t>Implied Discount</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5.6% - 21.5% (9.15%)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300" w:type="dxa"/>
            <w:vAlign w:val="bottom"/>
            <w:tcBorders>
              <w:left w:val="single" w:sz="8" w:color="auto"/>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vMerge w:val="continue"/>
          </w:tcPr>
          <w:p>
            <w:pPr>
              <w:spacing w:after="0"/>
              <w:rPr>
                <w:sz w:val="6"/>
                <w:szCs w:val="6"/>
                <w:color w:val="auto"/>
              </w:rPr>
            </w:pPr>
          </w:p>
        </w:tc>
        <w:tc>
          <w:tcPr>
            <w:tcW w:w="252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300" w:type="dxa"/>
            <w:vAlign w:val="bottom"/>
            <w:tcBorders>
              <w:left w:val="single" w:sz="8" w:color="auto"/>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Rate</w:t>
            </w:r>
          </w:p>
        </w:tc>
        <w:tc>
          <w:tcPr>
            <w:tcW w:w="25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00" w:type="dxa"/>
            <w:vAlign w:val="bottom"/>
            <w:tcBorders>
              <w:left w:val="single" w:sz="8" w:color="auto"/>
              <w:bottom w:val="single" w:sz="8" w:color="auto"/>
              <w:right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vMerge w:val="continue"/>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300" w:type="dxa"/>
            <w:vAlign w:val="bottom"/>
            <w:tcBorders>
              <w:left w:val="single" w:sz="8" w:color="auto"/>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5,050,355</w:t>
            </w: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18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Average EBITDA</w:t>
            </w:r>
          </w:p>
        </w:tc>
        <w:tc>
          <w:tcPr>
            <w:tcW w:w="25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4.8x/7.4% - 14.1x/13.9%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740" w:type="dxa"/>
            <w:vAlign w:val="bottom"/>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Multiple/WACC</w:t>
            </w:r>
          </w:p>
        </w:tc>
        <w:tc>
          <w:tcPr>
            <w:tcW w:w="25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(9.3x/12.0%)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0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vMerge w:val="continue"/>
          </w:tcPr>
          <w:p>
            <w:pPr>
              <w:spacing w:after="0"/>
              <w:rPr>
                <w:sz w:val="8"/>
                <w:szCs w:val="8"/>
                <w:color w:val="auto"/>
              </w:rPr>
            </w:pPr>
          </w:p>
        </w:tc>
        <w:tc>
          <w:tcPr>
            <w:tcW w:w="2520" w:type="dxa"/>
            <w:vAlign w:val="bottom"/>
            <w:tcBorders>
              <w:bottom w:val="single" w:sz="8" w:color="auto"/>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30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6,000</w:t>
            </w: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184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520" w:type="dxa"/>
            <w:vAlign w:val="bottom"/>
            <w:tcBorders>
              <w:bottom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11.3% - 13.0% (13.0%)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left w:val="single" w:sz="8" w:color="auto"/>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45,824,060</w:t>
            </w: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Discounted Cash Flow</w:t>
            </w: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Probability of Default</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2.0% - 2.5% (2.0%)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740" w:type="dxa"/>
            <w:vAlign w:val="bottom"/>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840" w:type="dxa"/>
            <w:vAlign w:val="bottom"/>
            <w:tcBorders>
              <w:right w:val="single" w:sz="8" w:color="auto"/>
            </w:tcBorders>
            <w:vMerge w:val="continue"/>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Loss Severity</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25.0% - 25.9% (25.9%)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00" w:type="dxa"/>
            <w:vAlign w:val="bottom"/>
            <w:tcBorders>
              <w:left w:val="single" w:sz="8" w:color="auto"/>
              <w:right w:val="single" w:sz="8" w:color="auto"/>
            </w:tcBorders>
            <w:vMerge w:val="continue"/>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vMerge w:val="restart"/>
          </w:tcPr>
          <w:p>
            <w:pPr>
              <w:ind w:left="100"/>
              <w:spacing w:after="0" w:line="196" w:lineRule="exact"/>
              <w:rPr>
                <w:sz w:val="20"/>
                <w:szCs w:val="20"/>
                <w:color w:val="auto"/>
              </w:rPr>
            </w:pPr>
            <w:r>
              <w:rPr>
                <w:rFonts w:ascii="Arial" w:cs="Arial" w:eastAsia="Arial" w:hAnsi="Arial"/>
                <w:sz w:val="18"/>
                <w:szCs w:val="18"/>
                <w:color w:val="auto"/>
              </w:rPr>
              <w:t>Recovery Rate</w:t>
            </w:r>
          </w:p>
        </w:tc>
        <w:tc>
          <w:tcPr>
            <w:tcW w:w="2520" w:type="dxa"/>
            <w:vAlign w:val="bottom"/>
            <w:tcBorders>
              <w:right w:val="single" w:sz="8" w:color="auto"/>
            </w:tcBorders>
            <w:vMerge w:val="restart"/>
          </w:tcPr>
          <w:p>
            <w:pPr>
              <w:ind w:left="100"/>
              <w:spacing w:after="0" w:line="196" w:lineRule="exact"/>
              <w:rPr>
                <w:sz w:val="20"/>
                <w:szCs w:val="20"/>
                <w:color w:val="auto"/>
              </w:rPr>
            </w:pPr>
            <w:r>
              <w:rPr>
                <w:rFonts w:ascii="Arial" w:cs="Arial" w:eastAsia="Arial" w:hAnsi="Arial"/>
                <w:sz w:val="18"/>
                <w:szCs w:val="18"/>
                <w:color w:val="auto"/>
              </w:rPr>
              <w:t>74.1% - 75.% (74.2%)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300" w:type="dxa"/>
            <w:vAlign w:val="bottom"/>
            <w:tcBorders>
              <w:left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840" w:type="dxa"/>
            <w:vAlign w:val="bottom"/>
            <w:tcBorders>
              <w:bottom w:val="single" w:sz="8" w:color="auto"/>
              <w:right w:val="single" w:sz="8" w:color="auto"/>
            </w:tcBorders>
            <w:vMerge w:val="continue"/>
          </w:tcPr>
          <w:p>
            <w:pPr>
              <w:spacing w:after="0"/>
              <w:rPr>
                <w:sz w:val="5"/>
                <w:szCs w:val="5"/>
                <w:color w:val="auto"/>
              </w:rPr>
            </w:pPr>
          </w:p>
        </w:tc>
        <w:tc>
          <w:tcPr>
            <w:tcW w:w="2520" w:type="dxa"/>
            <w:vAlign w:val="bottom"/>
            <w:tcBorders>
              <w:bottom w:val="single" w:sz="8" w:color="auto"/>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300" w:type="dxa"/>
            <w:vAlign w:val="bottom"/>
            <w:tcBorders>
              <w:left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Prepayment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25.0% - 29.1% (25.1%)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0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8,350,290</w:t>
            </w: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184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Party Quote</w:t>
            </w:r>
          </w:p>
        </w:tc>
        <w:tc>
          <w:tcPr>
            <w:tcW w:w="2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82.35% (82.35%)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1"/>
              </w:rPr>
              <w:t>Asset Manager Affiliate</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40,198,000</w:t>
            </w:r>
          </w:p>
        </w:tc>
        <w:tc>
          <w:tcPr>
            <w:tcW w:w="18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w w:val="95"/>
              </w:rPr>
              <w:t>Discounted Cash Flow</w:t>
            </w:r>
          </w:p>
        </w:tc>
        <w:tc>
          <w:tcPr>
            <w:tcW w:w="18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2.5% - 13.0% (7.6%)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w w:val="96"/>
              </w:rPr>
              <w:t>Total Level III Investments</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253,170,450</w:t>
            </w:r>
          </w:p>
        </w:tc>
        <w:tc>
          <w:tcPr>
            <w:tcW w:w="1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8"/>
        <w:spacing w:after="0" w:line="277" w:lineRule="auto"/>
        <w:tabs>
          <w:tab w:leader="none" w:pos="1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7"/>
          <w:szCs w:val="17"/>
          <w:color w:val="auto"/>
        </w:rPr>
        <w:t>The Company’s investment in the Joint Venture is carried at fair value based upon the fair value of the investments held by the Joint Venture.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2017 and December 31, 2016, the Asset Manager Affiliates had approximately $2.8 billion and $3.0 billion of par value of assets under management, respectively, and the Company’s 100% equity interest in the Asset Manager Affiliates had a fair value of approximately $39.7 million and $40.2 million, respectively.</w:t>
      </w:r>
    </w:p>
    <w:p>
      <w:pPr>
        <w:spacing w:after="0" w:line="15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three months ended September 30, 2017 and 2016, the Asset Manager Affiliates declared cash distributions of $880,000 and $750,000 to the Company, respectively. For the nine months ended September 30, 2017 and 2016, the Asset Manager Affiliates declared cash distributions of approximately $2.2 million and $2.7 million to the Company, respectively. Any distributions from the Asset Manager Affiliates out of their estimated tax-basis earnings and profits are recorded as “Dividends from Asset Manager Affiliates” on the Company’s statement of operations. The Company recognized $180,000 of Dividends from Asset Manager Affiliates in the Statement of Operations for the three months ended September 30, 2017.For the nine months ended September 30, 2017 and 2016, the Company recognized $180,000 and $1.4 million, respectively of Dividends from Asset Manager Affiliates in the Statement of Operations.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9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the Asset Manager Affiliate).</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firstLine="324"/>
        <w:spacing w:after="0" w:line="288" w:lineRule="auto"/>
        <w:rPr>
          <w:sz w:val="20"/>
          <w:szCs w:val="20"/>
          <w:color w:val="auto"/>
        </w:rPr>
      </w:pPr>
      <w:r>
        <w:rPr>
          <w:rFonts w:ascii="Arial" w:cs="Arial" w:eastAsia="Arial" w:hAnsi="Arial"/>
          <w:sz w:val="16"/>
          <w:szCs w:val="16"/>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Prior year amounts have been restated to reflect the retrospective adoption of ASU 2015-2. In addition, in accordance with Regulation S-X, additional financial information with respect to the Asset Manager Affiliates and one of the CLO Funds in which the Company has an investment, Katonah 2007-I CLO, is required to be included in the Company’s SEC Filings. This additional financial information regarding the Asset Manager Affiliates and Katonah 2007-1 CLO does not directly impact the financial position, results of operations, or cash flows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60" w:type="dxa"/>
            <w:vAlign w:val="bottom"/>
            <w:gridSpan w:val="4"/>
          </w:tcPr>
          <w:p>
            <w:pPr>
              <w:ind w:left="1680"/>
              <w:spacing w:after="0"/>
              <w:rPr>
                <w:sz w:val="20"/>
                <w:szCs w:val="20"/>
                <w:color w:val="auto"/>
              </w:rPr>
            </w:pPr>
            <w:r>
              <w:rPr>
                <w:rFonts w:ascii="Arial" w:cs="Arial" w:eastAsia="Arial" w:hAnsi="Arial"/>
                <w:sz w:val="18"/>
                <w:szCs w:val="18"/>
                <w:b w:val="1"/>
                <w:bCs w:val="1"/>
                <w:color w:val="auto"/>
                <w:w w:val="98"/>
              </w:rPr>
              <w:t>September 30, 2017</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14,532,648</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Investments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10,000,000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22,830,000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23,157,541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Assets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3,762,880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5,024,174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51,125,528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31,607,424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25,970,228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6,619,619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25,155,300</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24,987,805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6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51,125,528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31,607,424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0"/>
              </w:rPr>
              <w:t>For the 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9,707,075</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570,865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1,138,483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3,052,758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3,719,218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12,031,218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2,547,545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2,789,654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7,852,377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8,618,839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327,541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982,623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485,355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525,034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1,353,135</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2,669,013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3,602,550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8,704,952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10,954,597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Pre-Tax Income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3,326,266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(109,039)</w:t>
            </w: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(346,447)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237,408</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r>
      <w:tr>
        <w:trPr>
          <w:trHeight w:val="234"/>
        </w:trPr>
        <w:tc>
          <w:tcPr>
            <w:tcW w:w="3780" w:type="dxa"/>
            <w:vAlign w:val="bottom"/>
          </w:tcPr>
          <w:p>
            <w:pPr>
              <w:spacing w:after="0"/>
              <w:rPr>
                <w:sz w:val="20"/>
                <w:szCs w:val="20"/>
                <w:color w:val="auto"/>
              </w:rPr>
            </w:pPr>
          </w:p>
        </w:tc>
        <w:tc>
          <w:tcPr>
            <w:tcW w:w="3260" w:type="dxa"/>
            <w:vAlign w:val="bottom"/>
            <w:gridSpan w:val="4"/>
          </w:tcPr>
          <w:p>
            <w:pPr>
              <w:ind w:left="1580"/>
              <w:spacing w:after="0"/>
              <w:rPr>
                <w:sz w:val="20"/>
                <w:szCs w:val="20"/>
                <w:color w:val="auto"/>
              </w:rPr>
            </w:pPr>
            <w:r>
              <w:rPr>
                <w:rFonts w:ascii="Arial" w:cs="Arial" w:eastAsia="Arial" w:hAnsi="Arial"/>
                <w:sz w:val="18"/>
                <w:szCs w:val="18"/>
                <w:b w:val="1"/>
                <w:bCs w:val="1"/>
                <w:color w:val="auto"/>
                <w:w w:val="98"/>
              </w:rPr>
              <w:t>September 30, 2017</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2016</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80,158,889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176,684,976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24,632,168</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34,982,770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105,370,828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212,160,163</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104,216,372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208,812,164</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105,374,980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210,463,954</w:t>
            </w: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Total Net Assets (deficit)</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(4,151)</w:t>
            </w:r>
          </w:p>
        </w:tc>
        <w:tc>
          <w:tcPr>
            <w:tcW w:w="4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1,696,209</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3420" w:type="dxa"/>
            <w:vAlign w:val="bottom"/>
          </w:tcPr>
          <w:p>
            <w:pPr>
              <w:spacing w:after="0"/>
              <w:rPr>
                <w:sz w:val="24"/>
                <w:szCs w:val="24"/>
                <w:color w:val="auto"/>
              </w:rPr>
            </w:pPr>
          </w:p>
        </w:tc>
        <w:tc>
          <w:tcPr>
            <w:tcW w:w="370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96"/>
              </w:rPr>
              <w:t>Katonah 2007-I CLO Ltd.</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5200" w:type="dxa"/>
            <w:vAlign w:val="bottom"/>
            <w:gridSpan w:val="7"/>
          </w:tcPr>
          <w:p>
            <w:pPr>
              <w:jc w:val="center"/>
              <w:ind w:right="60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24"/>
                <w:szCs w:val="24"/>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3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1,185,765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4,336,891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7,338,815</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income</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1,203,940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2,373,500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4,392,101</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7,683,808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1,275,068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2,184,144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4,289,994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6,724,410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expenses</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1,401,622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2,400,770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4,885,278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7,497,100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(48,669)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1,397,748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(1,207,183)</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3,783,015</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89"/>
              </w:rPr>
              <w:t>Increase in net assets resulting from operations</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(246,351)</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1,370,478</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(1,700,360)</w:t>
            </w: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3,969,723</w:t>
            </w:r>
          </w:p>
        </w:tc>
      </w:tr>
    </w:tbl>
    <w:p>
      <w:pPr>
        <w:spacing w:after="0" w:line="187"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Except for KCAP Management, LLC, which is a designated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6"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of both which are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right="40" w:firstLine="324"/>
        <w:spacing w:after="0" w:line="264"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September 30, 2017 and December 31, 2016, there was $20 million and $0 million, respectively, outstanding under the Trimaran Credit Facility. For the three months ended September 30, 2017 and 2016, the Company recognized interest income of approximately $126,000 and $485,000, respectively, related to the Trimaran Credit Facility. For the nine months ended September 30, 2017 and 2016, the Company recognized interest income of approximately $529,000 and $1.3 million, respectively, related to the Trimaran Credit Facility.</w:t>
      </w:r>
    </w:p>
    <w:p>
      <w:pPr>
        <w:sectPr>
          <w:pgSz w:w="11900" w:h="16838" w:orient="portrait"/>
          <w:cols w:equalWidth="0" w:num="1">
            <w:col w:w="11400"/>
          </w:cols>
          <w:pgMar w:left="240" w:top="908"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Notes issued by KCAP Senior Funding I, LLC (net of discount and offering costs of: 2016 - $2,286,425 and $2,459,156,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7.375 Notes (net of offering costs of: 2017 - $306,073; 2016 - $550,774)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6.125 Notes (net of offering costs of: 2017 - $2,757,357)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700" w:type="dxa"/>
            <w:vAlign w:val="bottom"/>
            <w:gridSpan w:val="4"/>
          </w:tcPr>
          <w:p>
            <w:pPr>
              <w:spacing w:after="0"/>
              <w:rPr>
                <w:sz w:val="20"/>
                <w:szCs w:val="20"/>
                <w:color w:val="auto"/>
              </w:rPr>
            </w:pPr>
            <w:r>
              <w:rPr>
                <w:rFonts w:ascii="Arial" w:cs="Arial" w:eastAsia="Arial" w:hAnsi="Arial"/>
                <w:sz w:val="18"/>
                <w:szCs w:val="18"/>
                <w:b w:val="1"/>
                <w:bCs w:val="1"/>
                <w:color w:val="auto"/>
                <w:w w:val="99"/>
              </w:rPr>
              <w:t>September 30, 2017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2016</w:t>
            </w:r>
          </w:p>
        </w:tc>
      </w:tr>
      <w:tr>
        <w:trPr>
          <w:trHeight w:val="627"/>
        </w:trPr>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142,604,419</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26,693,927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32,980,151</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74,649,843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101,343,770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175,584,570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380"/>
            <w:col w:w="3240"/>
          </w:cols>
          <w:pgMar w:left="240" w:top="908" w:right="259" w:bottom="1440" w:gutter="0" w:footer="0" w:header="0"/>
          <w:type w:val="continuous"/>
        </w:sectPr>
      </w:pPr>
    </w:p>
    <w:p>
      <w:pPr>
        <w:spacing w:after="0" w:line="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2017 were 6.4% and 4.2 years, respectively, and as of December 31, 2016 were 3.9% and 6.7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46" w:name="page47"/>
    <w:bookmarkEnd w:id="46"/>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35"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of the Class A,B,C and D notes were repaid in the third quarter of 2017. In connection there with, the Company recorded a realized loss from the extinguishment of debt of $4.0 million in the third quarter of 2017.</w:t>
      </w:r>
    </w:p>
    <w:p>
      <w:pPr>
        <w:spacing w:after="0" w:line="170"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For the three months ended September 30, 2017, interest expense, including the amortization of deferred debt issuance costs and the OID was approximately $337,000 consisting of stated interest expense of approximately $263,000, accreted discount of approximately $35,000, and deferred debt issuance costs of approximately $38,000. For the nine months ended September 30, 2017, interest expense, including the amortization of deferred debt issuance costs and the discount on the face amount of the notes, was approximately $3.4 million consisting of stated interest expense of approximately $2.7 million, accreted discount of approximately $352,000, and deferred debt issuance costs of approximately $379,000.</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60" w:firstLine="324"/>
        <w:spacing w:after="0" w:line="286" w:lineRule="auto"/>
        <w:rPr>
          <w:sz w:val="20"/>
          <w:szCs w:val="20"/>
          <w:color w:val="auto"/>
        </w:rPr>
      </w:pPr>
      <w:r>
        <w:rPr>
          <w:rFonts w:ascii="Arial" w:cs="Arial" w:eastAsia="Arial" w:hAnsi="Arial"/>
          <w:sz w:val="17"/>
          <w:szCs w:val="17"/>
          <w:i w:val="1"/>
          <w:iCs w:val="1"/>
          <w:color w:val="auto"/>
        </w:rPr>
        <w:t xml:space="preserve">Fair Value of KCAP Senior Funding I. </w:t>
      </w:r>
      <w:r>
        <w:rPr>
          <w:rFonts w:ascii="Arial" w:cs="Arial" w:eastAsia="Arial" w:hAnsi="Arial"/>
          <w:sz w:val="17"/>
          <w:szCs w:val="17"/>
          <w:color w:val="auto"/>
        </w:rPr>
        <w:t>The Company carried the KCAP Senior Funding I Notes at cost, net of unamortized discount and offering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KCAP Senior Funding I Notes was approximately $146.3 million at December 31, 2016. The fair value was determined based on third party indicative values. The KCAP Senior Funding I L.L.C. Notes were categorized as Level III under ASC 820: Fair Value.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September 30, 2017, the Company was in compliance with all of its debt covenants.</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For the three months ended September 30, 2017 and 2016, interest expense related to the 7.375% Notes Due 2019 was approximately $498,000 and</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$712,000, respectively. For the nine months ended September 30, 2017 and 2016, interest expense related to the 7.375% Notes Due 2019 was approximately $1.7 million and $2.2 million, respectively.</w:t>
      </w:r>
    </w:p>
    <w:p>
      <w:pPr>
        <w:spacing w:after="0" w:line="18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$306,000 remains to be amortized, and is included on the consolidated balance sheets as a reduction in the related debt liability.</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KCAP subsequently surrendered these notes to the Trustee for cancellation.</w:t>
      </w:r>
    </w:p>
    <w:p>
      <w:pPr>
        <w:spacing w:after="0" w:line="1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During the fourth quarter of 2016, approximately $469,000 par value of the 7.375% Notes Due 2019 was redeemed by the Company, resulting in a realized loss on extinguishment of $15,006. KCAP subsequently surrendered these notes to the Trustee for cancellation.</w:t>
      </w:r>
    </w:p>
    <w:p>
      <w:pPr>
        <w:spacing w:after="0" w:line="14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KCAP subsequently surrendered these notes to the Trustee for cancellation.</w:t>
      </w:r>
    </w:p>
    <w:p>
      <w:pPr>
        <w:spacing w:after="0" w:line="124"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i w:val="1"/>
          <w:iCs w:val="1"/>
          <w:color w:val="auto"/>
        </w:rPr>
        <w:t>Fair Value of 7.375% Notes Due 2019</w:t>
      </w:r>
      <w:r>
        <w:rPr>
          <w:rFonts w:ascii="Arial" w:cs="Arial" w:eastAsia="Arial" w:hAnsi="Arial"/>
          <w:sz w:val="18"/>
          <w:szCs w:val="18"/>
          <w:color w:val="auto"/>
        </w:rPr>
        <w:t>. The 7.375% Notes Due 2019 were issued in a public offering on October 10, 2012 and are carried at cost.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Company’s outstanding 7.375% Notes Due 2019 was approximately $27.1 million at September 30, 2017. The fair value was determined based on the closing price on September 30, 2017 for the 7.375% Notes Due 2019. The 7.375% Notes Due 2019 are categorized as Level I under the ASC 820 Fair Value.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i w:val="1"/>
          <w:iCs w:val="1"/>
          <w:color w:val="auto"/>
        </w:rPr>
        <w:t>6.125% Notes Due 2022</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September 30, 2017, the Company was in compliance with all of its debt covenants.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and nine months ended September 30, 2017 interest expense related to the 6.125% Notes Due 2022 was approximately $450,000.</w:t>
      </w:r>
    </w:p>
    <w:p>
      <w:pPr>
        <w:spacing w:after="0" w:line="2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 issuance of the 6.125% Notes Due 2022, the Company incurred approximately $2.8 million of debt offering costs which are being amortized over the expected term of the facility on an effective yield method, of which approximately $2.8 million remains to be amortized as of September 30, 2017, and is included on the consolidated balance sheets as a reduction in the related debt liability.</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Fair Value of 6.125% Notes Due 2022. </w:t>
      </w:r>
      <w:r>
        <w:rPr>
          <w:rFonts w:ascii="Arial" w:cs="Arial" w:eastAsia="Arial" w:hAnsi="Arial"/>
          <w:sz w:val="18"/>
          <w:szCs w:val="18"/>
          <w:color w:val="auto"/>
        </w:rPr>
        <w:t>The 6.125% Notes Due 2022 were issued via public offering during the third quarter of 2017 and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cost. The fair value of the Company’s outstanding 6.125% Notes Due 2022 was approximately $77.3 million at September 30, 2017.The fair value was determined based on the closing price on September 30, 2017 for the 6.125% Notes Due 2022. The 6.125% Notes Due 2022 are categorized as Level I under the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realized a loss on the extinguishment of this debt. The indenture governing the Convertible Notes contains certain restrictive covenants, including compliance with certain provisions of the 1940 Act and conditions governing the undertaking of new debt.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Notes matured and were fully repaid on March 15,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September 30, 2016, interest expense related to the Convertible Notes was approximately $378,000.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2017).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80" w:firstLine="324"/>
        <w:spacing w:after="0" w:line="277" w:lineRule="auto"/>
        <w:rPr>
          <w:sz w:val="20"/>
          <w:szCs w:val="20"/>
          <w:color w:val="auto"/>
        </w:rPr>
      </w:pPr>
      <w:r>
        <w:rPr>
          <w:rFonts w:ascii="Arial" w:cs="Arial" w:eastAsia="Arial" w:hAnsi="Arial"/>
          <w:sz w:val="18"/>
          <w:szCs w:val="18"/>
          <w:color w:val="auto"/>
        </w:rPr>
        <w:t>The following reconciles net increase (decrease) in net assets resulting from operations to taxable income for the nine months ended September 30,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2,237,830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(875,365)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9,309,013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6,993,940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(1,697,865)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6,883,325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14,773,021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6"/>
              </w:rPr>
              <w:t>Taxable income before deductions for distributions per weighted average basic shares for the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w w:val="94"/>
              </w:rPr>
              <w:t>Taxable income before deductions for distributions per weighted average diluted shares for the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nine months ended September 30, 2017 and 2016, the Asset Manager Affiliates declared cash distributions of $2.2 million and $2.7 million to the Company, respectively. The Company recognized $1.4 million, respectively, of dividends from Asset Manager Affiliates in the Statement of Operations for the nine months ended September 30, 2016. The difference of $2.0 million and $1.3 million, respectively, between cash distributions received and the tax-basis earnings and profits of the distributing affiliate, are recorded as an adjustment to the cost basis in the Asset Manager Affiliate (i.e. tax-basis return of capital), for the nine months ended September 30, 2017 and 2016, respectively.</w:t>
      </w:r>
    </w:p>
    <w:p>
      <w:pPr>
        <w:spacing w:after="0" w:line="16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At September 30, 2017, the Company had a net capital loss carryforward of approximately $98.0 million to offset net capital gains, to the extent provided by federal tax law. Of the net capital loss carryforward, $66.7 million is not subject to expiration under the RIC Modernization Act of 2010.</w:t>
      </w:r>
    </w:p>
    <w:p>
      <w:pPr>
        <w:spacing w:after="0" w:line="1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On September 22, 2017 the Company’s Board of Directors declared a distribution to shareholders of $0.12 per share for a total of approximately $4.4 million. The record date was October 10, 2017 and the distribution was paid on October 26, 2017.</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2017 and December 31, 2016, the Company had approximately $3 million and $565,000 of outstanding commitments to fund investments,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During the nine months ended September 30, 2017 and 2016, the Company issued 75,059 and 153,792 shares, respectively, of common stock under its dividend reinvestment plan. For the nine months ended September 30, 2017, there were 139,620 grants, 10,982 forfeitures, and 242,918 shares vested plan with respect to restricted stock..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September 30, 2017 and December 31, 2016 was</w:t>
      </w:r>
    </w:p>
    <w:p>
      <w:pPr>
        <w:spacing w:after="0" w:line="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37,317,815 and 37,178,294, respectively. During the nine months ended September 30, 2017 and 2016, the Company repurchased 64,176 and 67,654 shares, respectively, at an aggregate cost of approximately $225,000 and $248,000, respectively, in connection with the vesting of restricted stock awards.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Company has an equity incentive plan, established in 2006 and as amended in 2008, 2014, 2015 and most recently in May 2017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 except for the grant in September of 2017, which will occur in two equal installments of 50%, on each of the third and fourth anniversaries of the grant date.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June 20, 2014, the Company’s Board of Directors approved the amended and restated the 2011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March 21, 2017, the Company’s Board of Directors approved the 2017 Non-Employee Director Plan, which extended the term of the 2011 Non-Employee Director Plan (together, the “Non-Employee Director Plan”). The Company’s shareholders approved the Non-Employee Director Plan on May 4,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right="26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2016 through September 30, 2017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3"/>
          </w:tcPr>
          <w:p>
            <w:pPr>
              <w:jc w:val="center"/>
              <w:ind w:right="240"/>
              <w:spacing w:after="0" w:line="181" w:lineRule="exact"/>
              <w:rPr>
                <w:sz w:val="20"/>
                <w:szCs w:val="20"/>
                <w:color w:val="auto"/>
              </w:rPr>
            </w:pPr>
            <w:r>
              <w:rPr>
                <w:rFonts w:ascii="Arial" w:cs="Arial" w:eastAsia="Arial" w:hAnsi="Arial"/>
                <w:sz w:val="18"/>
                <w:szCs w:val="18"/>
                <w:b w:val="1"/>
                <w:bCs w:val="1"/>
                <w:color w:val="auto"/>
                <w:w w:val="89"/>
              </w:rPr>
              <w:t>Exercise Price per</w:t>
            </w:r>
          </w:p>
        </w:tc>
        <w:tc>
          <w:tcPr>
            <w:tcW w:w="16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100" w:type="dxa"/>
            <w:vAlign w:val="bottom"/>
          </w:tcPr>
          <w:p>
            <w:pPr>
              <w:ind w:left="560"/>
              <w:spacing w:after="0"/>
              <w:rPr>
                <w:sz w:val="20"/>
                <w:szCs w:val="20"/>
                <w:color w:val="auto"/>
              </w:rPr>
            </w:pPr>
            <w:r>
              <w:rPr>
                <w:rFonts w:ascii="Arial" w:cs="Arial" w:eastAsia="Arial" w:hAnsi="Arial"/>
                <w:sz w:val="18"/>
                <w:szCs w:val="18"/>
                <w:b w:val="1"/>
                <w:bCs w:val="1"/>
                <w:color w:val="auto"/>
                <w:w w:val="86"/>
              </w:rPr>
              <w:t>Shares</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center"/>
              <w:ind w:left="354"/>
              <w:spacing w:after="0"/>
              <w:rPr>
                <w:sz w:val="20"/>
                <w:szCs w:val="20"/>
                <w:color w:val="auto"/>
              </w:rPr>
            </w:pPr>
            <w:r>
              <w:rPr>
                <w:rFonts w:ascii="Arial" w:cs="Arial" w:eastAsia="Arial" w:hAnsi="Arial"/>
                <w:sz w:val="18"/>
                <w:szCs w:val="18"/>
                <w:b w:val="1"/>
                <w:bCs w:val="1"/>
                <w:color w:val="auto"/>
                <w:w w:val="87"/>
              </w:rPr>
              <w:t>Share</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40"/>
              <w:spacing w:after="0" w:line="269" w:lineRule="exact"/>
              <w:rPr>
                <w:sz w:val="20"/>
                <w:szCs w:val="20"/>
                <w:color w:val="auto"/>
              </w:rPr>
            </w:pPr>
            <w:r>
              <w:rPr>
                <w:rFonts w:ascii="Arial" w:cs="Arial" w:eastAsia="Arial" w:hAnsi="Arial"/>
                <w:sz w:val="18"/>
                <w:szCs w:val="18"/>
                <w:b w:val="1"/>
                <w:bCs w:val="1"/>
                <w:color w:val="auto"/>
                <w:w w:val="89"/>
              </w:rPr>
              <w:t>Intrinsic Value</w:t>
            </w:r>
            <w:r>
              <w:rPr>
                <w:rFonts w:ascii="Arial" w:cs="Arial" w:eastAsia="Arial" w:hAnsi="Arial"/>
                <w:sz w:val="30"/>
                <w:szCs w:val="30"/>
                <w:b w:val="1"/>
                <w:bCs w:val="1"/>
                <w:color w:val="auto"/>
                <w:w w:val="89"/>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2016</w:t>
            </w: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4"/>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16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gridSpan w:val="2"/>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at September 30, 2017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50,000</w:t>
            </w:r>
          </w:p>
        </w:tc>
        <w:tc>
          <w:tcPr>
            <w:tcW w:w="1280" w:type="dxa"/>
            <w:vAlign w:val="bottom"/>
            <w:gridSpan w:val="2"/>
            <w:shd w:val="clear" w:color="auto" w:fill="CCEEFF"/>
          </w:tcPr>
          <w:p>
            <w:pPr>
              <w:jc w:val="right"/>
              <w:ind w:right="99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2017 and 2016, the Company did not recognize any non-cash compensation expense related to stock options. At September 30, 2017, the Company had no remaining compensation costs related to unvested stock option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nine months ended September 30, 2017 and 2016, the Company repurchased 64,176 and 67,654 shares, respectively, of common stock at an aggregate cost of approximately $225,000 and $248,000,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Equity Incentive Plan reserve and could not be reissued under the Company’s Equity Incentive Plan.</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During the nine months ended September 30, 2017, 242,918 shares of restricted stock vested and 10,982 shares of restricted stock were forfeited. As of September 30, 2017, after giving effect to these restricted stock awards, there were 297,199 shares of restricted stock outstanding. Information with respect to restricted stock granted, exercised and forfeited under the Plan for the period January 1, 2016 through September 30, 2017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sz w:val="18"/>
                <w:szCs w:val="18"/>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Non-vested</w:t>
            </w:r>
          </w:p>
        </w:tc>
      </w:tr>
      <w:tr>
        <w:trPr>
          <w:trHeight w:val="234"/>
        </w:trPr>
        <w:tc>
          <w:tcPr>
            <w:tcW w:w="962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Restricted Shares</w:t>
            </w: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2016</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(260,607)</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(34,453)</w:t>
            </w: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2016</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139,620</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(242,918)</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(10,982)</w:t>
            </w:r>
          </w:p>
        </w:tc>
      </w:tr>
      <w:tr>
        <w:trPr>
          <w:trHeight w:val="223"/>
        </w:trPr>
        <w:tc>
          <w:tcPr>
            <w:tcW w:w="9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September 30, 2017</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For the three months ended September 30, 2017, non-cash compensation expense related to restricted stock was approximately $226,000 of this amount approximately $83,000 was expensed at the Company, and approximately $143,000 was a reimbursable expense allocated to the Asset Manager Affiliates. For the three months ended September 30, 2016, non-cash compensation expense related to restricted stock was approximately $394,000 of this amount approximately $161,000 was expensed at the Company, and approximately $233,000 was a reimbursable expense allocated to the Asset Manager Affiliates. For the nine months ended September 30, 2017, non-cash compensation expense related to restricted stock was approximately $878,000 of this amount approximately $330,000 was expensed at the Company, and approximately $548,000 was a reimbursable expense allocated to the Asset Manager Affiliates. For the nine months ended September 30, 2016, non-cash compensation expense related to restricted stock was approximately $1.2 million; of this amount approximately $472,000 was expensed at the Company and approximately $682,000 was a reimbursable expense allocated to the Asset Manager Affiliates.</w:t>
      </w:r>
    </w:p>
    <w:p>
      <w:pPr>
        <w:spacing w:after="0" w:line="16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September 30, 2017, the Company had approximately $1.4 million of total unrecognized compensation cost related to non-vested restricted share awards. That cost is expected to be recognized over the remaining weighted average period of 1.6 years.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$1,000 and $1,000 was expensed during the three months ended September 30, 2017 and 2016, respectively, related to the 401K Plan. During the nine months ended September 30, 2017 and 2016, approximately $35,000 and $19,000 was expensed related to the 401K Plan.</w:t>
      </w:r>
    </w:p>
    <w:p>
      <w:pPr>
        <w:spacing w:after="0" w:line="15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and $46,000 was expensed during the three months ended September 30, 2017 and 2016, respectively, related to the Profit-Sharing Plan. During the nine months ended September 30, 2017 and 2016, approximately $139,000 and $138,000, respectively, was expensed related to the Profit-Sharing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On October 31, 2017, the Joint Venture made a cash distribution to the Company of approximately $12.6 million. The Company expects that approximately $11.8 million of this distribution will be return of capital, reducing the cost basis of its investment in the JV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70"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September 30, 2017 for items that should potentially be recognized or disclosed in these financial statements. Other than as noted above,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2016,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80" w:firstLine="42"/>
        <w:spacing w:after="0" w:line="255"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 “Item 1A. Risk Factors” in our Annual Report on Form 10-K for the fiscal year ended December 31, 2016.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w:t>
      </w:r>
    </w:p>
    <w:p>
      <w:pPr>
        <w:spacing w:after="0" w:line="18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$2.8 billion of par value assets under management as of September 30, 2017.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6" w:name="page57"/>
    <w:bookmarkEnd w:id="56"/>
    <w:p>
      <w:pPr>
        <w:ind w:right="20"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2017 (unaudited) and for the year ended December 31, 2016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CLO Fund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Equity</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Manager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740" w:type="dxa"/>
            <w:vAlign w:val="bottom"/>
            <w:gridSpan w:val="4"/>
          </w:tcPr>
          <w:p>
            <w:pPr>
              <w:ind w:left="440"/>
              <w:spacing w:after="0"/>
              <w:rPr>
                <w:sz w:val="20"/>
                <w:szCs w:val="20"/>
                <w:color w:val="auto"/>
              </w:rPr>
            </w:pPr>
            <w:r>
              <w:rPr>
                <w:rFonts w:ascii="Arial" w:cs="Arial" w:eastAsia="Arial" w:hAnsi="Arial"/>
                <w:sz w:val="18"/>
                <w:szCs w:val="18"/>
                <w:b w:val="1"/>
                <w:bCs w:val="1"/>
                <w:color w:val="auto"/>
                <w:w w:val="97"/>
              </w:rPr>
              <w:t>Debt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Affiliates</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9"/>
              </w:rPr>
              <w:t>Joint Venture</w:t>
            </w: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284,639,244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407,441,114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2016 Activity:</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74,584,952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10,140,000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Sales / Pay-downs / Return of Capital</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(123,240,416)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(4,563,521)</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(133,253,937)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(2,192,071)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realized (losses) gains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(540,649)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(10,111,560)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4,484,742</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(6,167,467)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2,492,707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4,665,599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(4,413,354)</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(15,933,000)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(13,188,048)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238,343,330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54,174,350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5,056,355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40,198,000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337,772,035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Year to Date 2017 Activity:</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137,288,374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1,249,988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36,738,873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175,277,236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Sales / Pay-downs / Return of Capital</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(250,169,877)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(252,169,877)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443,434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(2,871,941)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(2,871,941)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4,172,723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(4,024,428)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(606,179)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127,026,829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51,843,344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4,450,177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39,679,000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36,591,122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259,590,472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September 30, 2017 (unaudited)</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2016</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57,024,828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57,024,828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49,982,415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46,124,914</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207,701,078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200,322,152</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59,490,855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58,343,554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37,251,776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35,444,440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Unsecured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20,000,000</w:t>
            </w: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3,054,337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1,063,762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Bond</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1,503,404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1,494,600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1,487,400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78,544,739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51,843,344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76,851,317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54,174,350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10,389,007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4,450,177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10,389,007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5,056,355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53,341,230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39,679,000</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55,341,230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40,198,000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36,738,873</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36,591,122</w:t>
            </w:r>
          </w:p>
        </w:tc>
        <w:tc>
          <w:tcPr>
            <w:tcW w:w="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370,069,689</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316,615,300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420,801,057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366,471,304</w:t>
            </w: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industry-related information, based on the fair value of the Company’s investment portfolio as of September 30, 2017 and December 31, 2016, for our investment portfolio were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w w:val="89"/>
              </w:rPr>
              <w:t>September 30, 2017 (unaudited)</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December 31, 2016</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200" w:type="dxa"/>
            <w:vAlign w:val="bottom"/>
          </w:tcPr>
          <w:p>
            <w:pPr>
              <w:spacing w:after="0"/>
              <w:rPr>
                <w:sz w:val="16"/>
                <w:szCs w:val="16"/>
                <w:color w:val="auto"/>
              </w:rPr>
            </w:pPr>
          </w:p>
        </w:tc>
        <w:tc>
          <w:tcPr>
            <w:tcW w:w="12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30"/>
                <w:szCs w:val="30"/>
                <w:b w:val="1"/>
                <w:bCs w:val="1"/>
                <w:color w:val="auto"/>
                <w:w w:val="95"/>
                <w:vertAlign w:val="superscript"/>
              </w:rPr>
              <w:t>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gridSpan w:val="2"/>
            <w:vMerge w:val="continue"/>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3,268,788</w:t>
            </w:r>
          </w:p>
        </w:tc>
        <w:tc>
          <w:tcPr>
            <w:tcW w:w="2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8,394,633</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53,341,230</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39,679,000</w:t>
            </w:r>
          </w:p>
        </w:tc>
        <w:tc>
          <w:tcPr>
            <w:tcW w:w="340" w:type="dxa"/>
            <w:vAlign w:val="bottom"/>
          </w:tcPr>
          <w:p>
            <w:pPr>
              <w:spacing w:after="0"/>
              <w:rPr>
                <w:sz w:val="22"/>
                <w:szCs w:val="22"/>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55,341,230</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6,322,551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6,196,154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Banking, Finance, Insurance &amp; Real Estate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3,466,776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3,443,506</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6,805,514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6,782,010</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4,346,400</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15,198,830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14,703,372</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Equipment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5,455,586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4,744,140</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6,185,129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5,575,048</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6,421,909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6,444,073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78,544,739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51,843,344</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76,851,317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1,007,423</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5,919,158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3,054,338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1,064,762</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12,319,905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10,118,736</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732,896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734,613</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14,766,390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14,452,096</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Ecological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1,741,292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1,760,783</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3,904,453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3,937,247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Energy: Oil &amp; Gas</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13,929,048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10,575,738</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14,493,835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8,805,761</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6,156,451</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12,279,924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12,185,239</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1,557,040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1,600,960</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4,192,889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4,192,907</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36,573,091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33,901,061</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58,769,668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53,594,534</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High Tech Industries</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16,093,619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16,051,970</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9,854,093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9,936,109</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36,738,873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36,591,122</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3,875,038</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11,712,682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11,453,447</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Media: Broadcasting &amp; Subscription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8,273,174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8,372,984</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1,415,457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759,581</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4,427,100</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16,125,481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16,230,486</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Services: Consumer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6,212,108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6,204,889</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3,965,663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3,939,200</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12,809,799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12,767,823</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Textiles and Leather</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7,948,833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7,847,841</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32,015,828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32,015,828</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28,699,269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28,699,269</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Transportation: Cargo</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2,496,958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7,557,315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7,190,135</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2,412,614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2,324,516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U.S. Government Obligation</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25,009,000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25,009,000</w:t>
            </w:r>
          </w:p>
        </w:tc>
        <w:tc>
          <w:tcPr>
            <w:tcW w:w="34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1,979,983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1,991,015</w:t>
            </w: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5,420,438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5,031,043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370,069,689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316,615,300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420,801,057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366,471,304</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At September 30, 2017 and December 31, 2016, our investments in income producing debt securities portfolio, excluding CLO Fund securities, had a weighted average interest rate of approximately 9.2% and 7.0%, respectively. For the nine months ended September 30, 2017, our total net asset value return per share was 1.3% and our total market return based on our stock price was 0.7%. For the year ended December 31, 2016, our total net asset value return per share was 0.2% and our total market return based on stock price was 12.3%. Total net asset value return per share and total market return based on stock price do not reflect the sales load paid by stockholders.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9" w:name="page60"/>
    <w:bookmarkEnd w:id="59"/>
    <w:p>
      <w:pPr>
        <w:jc w:val="both"/>
        <w:ind w:right="320" w:firstLine="324"/>
        <w:spacing w:after="0" w:line="286" w:lineRule="auto"/>
        <w:rPr>
          <w:sz w:val="20"/>
          <w:szCs w:val="20"/>
          <w:color w:val="auto"/>
        </w:rPr>
      </w:pPr>
      <w:r>
        <w:rPr>
          <w:rFonts w:ascii="Arial" w:cs="Arial" w:eastAsia="Arial" w:hAnsi="Arial"/>
          <w:sz w:val="17"/>
          <w:szCs w:val="17"/>
          <w:color w:val="auto"/>
        </w:rPr>
        <w:t>The investment portfolio (excluding the Company’s investment in Asset Manager Affiliates, CLO Fund Securities, the Joint Venture, and Short-term investments) at September 30, 2017 was spread across 19 different industries and 19 different entities with an average balance per entity of approximately $5.3 million. As of September 30, 2017, all but two of our portfolio companies were current on their debt service obligations.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invest up to 30% of our total assets in “Non-qualifying” opportunistic investments such as high-yield bonds, debt and equity securities of CLO Funds, foreign investments, and distressed debt or equity securities of large cap public companies. At September 30, 2017 and December 31, 2016, the total amount of non-qualifying assets were approximately 28% and 17% of the total investment portfolio, respectively. The majority of non-qualifying assets were foreign investments which were approximately 16% and 14% of the Company’s total investment portfolio, respectively (including the Company’s investments in CLO Funds, which are typically domiciled outside the U.S. and represented approximately 16% and 14%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September 30, 2017 and December 31, 2016, our Asset Manager Affiliates had approximately $2.8 billion and $3.0 billion of par value respectively, of assets under management on which they earn management fees, and were valued at approximately $39.7 million and $40.2 million, respectively.</w:t>
      </w:r>
    </w:p>
    <w:p>
      <w:pPr>
        <w:spacing w:after="0" w:line="188"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All CLO Funds managed by the Asset Manager Affiliates are currently paying all senior and subordinate management fees. In addition, in the nine months ended September 30, 2017 our Asset Manager Affiliates recognized $3.0 million of incentive fees from one fund.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2017, we had approximately $52 million invested in CLO Fund Securities, issued primarily by funds managed by our Asset Manager Affiliates.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September 30, 2017 and December 31, 2016 are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6"/>
          </w:tcPr>
          <w:p>
            <w:pPr>
              <w:ind w:left="220"/>
              <w:spacing w:after="0"/>
              <w:rPr>
                <w:sz w:val="20"/>
                <w:szCs w:val="20"/>
                <w:color w:val="auto"/>
              </w:rPr>
            </w:pPr>
            <w:r>
              <w:rPr>
                <w:rFonts w:ascii="Arial" w:cs="Arial" w:eastAsia="Arial" w:hAnsi="Arial"/>
                <w:sz w:val="18"/>
                <w:szCs w:val="18"/>
                <w:b w:val="1"/>
                <w:bCs w:val="1"/>
                <w:color w:val="auto"/>
              </w:rPr>
              <w:t>September 30, 2017</w:t>
            </w:r>
          </w:p>
        </w:tc>
        <w:tc>
          <w:tcPr>
            <w:tcW w:w="280" w:type="dxa"/>
            <w:vAlign w:val="bottom"/>
          </w:tcPr>
          <w:p>
            <w:pPr>
              <w:spacing w:after="0"/>
              <w:rPr>
                <w:sz w:val="20"/>
                <w:szCs w:val="20"/>
                <w:color w:val="auto"/>
              </w:rPr>
            </w:pPr>
          </w:p>
        </w:tc>
        <w:tc>
          <w:tcPr>
            <w:tcW w:w="232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1"/>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80" w:type="dxa"/>
            <w:vAlign w:val="bottom"/>
          </w:tcPr>
          <w:p>
            <w:pPr>
              <w:spacing w:after="0"/>
              <w:rPr>
                <w:sz w:val="16"/>
                <w:szCs w:val="16"/>
                <w:color w:val="auto"/>
              </w:rPr>
            </w:pPr>
          </w:p>
        </w:tc>
        <w:tc>
          <w:tcPr>
            <w:tcW w:w="13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Cost/Amortized</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w:t>
            </w:r>
          </w:p>
        </w:tc>
        <w:tc>
          <w:tcPr>
            <w:tcW w:w="1460" w:type="dxa"/>
            <w:vAlign w:val="bottom"/>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22.2%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2,485,886</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369,000</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31,123,451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21,447,386</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28,022,646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20,453,099</w:t>
            </w:r>
          </w:p>
        </w:tc>
        <w:tc>
          <w:tcPr>
            <w:tcW w:w="0" w:type="dxa"/>
            <w:vAlign w:val="bottom"/>
          </w:tcPr>
          <w:p>
            <w:pPr>
              <w:spacing w:after="0"/>
              <w:rPr>
                <w:sz w:val="1"/>
                <w:szCs w:val="1"/>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1,195,152</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5,759,981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2,239,810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5,919,933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2,819,412</w:t>
            </w:r>
          </w:p>
        </w:tc>
        <w:tc>
          <w:tcPr>
            <w:tcW w:w="0" w:type="dxa"/>
            <w:vAlign w:val="bottom"/>
          </w:tcPr>
          <w:p>
            <w:pPr>
              <w:spacing w:after="0"/>
              <w:rPr>
                <w:sz w:val="1"/>
                <w:szCs w:val="1"/>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3,806,100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5,237,222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4,918,807</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8,681,740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4,847,620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7,818,484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4,546,682</w:t>
            </w:r>
          </w:p>
        </w:tc>
        <w:tc>
          <w:tcPr>
            <w:tcW w:w="0" w:type="dxa"/>
            <w:vAlign w:val="bottom"/>
          </w:tcPr>
          <w:p>
            <w:pPr>
              <w:spacing w:after="0"/>
              <w:rPr>
                <w:sz w:val="1"/>
                <w:szCs w:val="1"/>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Class E Notes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1,451,386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1,520,000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1,441,727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1,499,682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1,895,566</w:t>
            </w:r>
          </w:p>
        </w:tc>
        <w:tc>
          <w:tcPr>
            <w:tcW w:w="0" w:type="dxa"/>
            <w:vAlign w:val="bottom"/>
          </w:tcPr>
          <w:p>
            <w:pPr>
              <w:spacing w:after="0"/>
              <w:rPr>
                <w:sz w:val="1"/>
                <w:szCs w:val="1"/>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29"/>
                <w:szCs w:val="29"/>
                <w:color w:val="auto"/>
                <w:vertAlign w:val="superscript"/>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6,699,877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4,484,009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6,967,560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5,092,087</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29"/>
                <w:szCs w:val="29"/>
                <w:color w:val="auto"/>
                <w:vertAlign w:val="superscript"/>
              </w:rPr>
              <w:t>2</w:t>
            </w: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4,416,694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3,033,719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4,543,317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3,223,255</w:t>
            </w:r>
          </w:p>
        </w:tc>
        <w:tc>
          <w:tcPr>
            <w:tcW w:w="0" w:type="dxa"/>
            <w:vAlign w:val="bottom"/>
          </w:tcPr>
          <w:p>
            <w:pPr>
              <w:spacing w:after="0"/>
              <w:rPr>
                <w:sz w:val="1"/>
                <w:szCs w:val="1"/>
                <w:color w:val="auto"/>
              </w:rPr>
            </w:pPr>
          </w:p>
        </w:tc>
      </w:tr>
      <w:tr>
        <w:trPr>
          <w:trHeight w:val="270"/>
        </w:trPr>
        <w:tc>
          <w:tcPr>
            <w:tcW w:w="2720" w:type="dxa"/>
            <w:vAlign w:val="bottom"/>
          </w:tcPr>
          <w:p>
            <w:pPr>
              <w:spacing w:after="0" w:line="269" w:lineRule="exact"/>
              <w:rPr>
                <w:sz w:val="20"/>
                <w:szCs w:val="20"/>
                <w:color w:val="auto"/>
              </w:rPr>
            </w:pPr>
            <w:r>
              <w:rPr>
                <w:rFonts w:ascii="Arial" w:cs="Arial" w:eastAsia="Arial" w:hAnsi="Arial"/>
                <w:sz w:val="18"/>
                <w:szCs w:val="18"/>
                <w:color w:val="auto"/>
              </w:rPr>
              <w:t>Catamaran CLO 2016-1 Ltd.</w:t>
            </w:r>
            <w:r>
              <w:rPr>
                <w:rFonts w:ascii="Arial" w:cs="Arial" w:eastAsia="Arial" w:hAnsi="Arial"/>
                <w:sz w:val="30"/>
                <w:szCs w:val="30"/>
                <w:color w:val="auto"/>
                <w:vertAlign w:val="superscript"/>
              </w:rPr>
              <w:t>2</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10,196,554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8,585,018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10,140,000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8,350,290</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78,544,739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51,843,344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76,851,317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54,174,350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right="6820" w:firstLine="8"/>
        <w:spacing w:after="0" w:line="274" w:lineRule="auto"/>
        <w:tabs>
          <w:tab w:leader="none" w:pos="99"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percentage of class held as of September 30, 2017. ² A CLO Fund managed by an Asset Manager Affiliate.</w:t>
      </w:r>
    </w:p>
    <w:p>
      <w:pPr>
        <w:spacing w:after="0"/>
        <w:rPr>
          <w:rFonts w:ascii="Arial" w:cs="Arial" w:eastAsia="Arial" w:hAnsi="Arial"/>
          <w:sz w:val="17"/>
          <w:szCs w:val="17"/>
          <w:color w:val="auto"/>
        </w:rPr>
      </w:pPr>
      <w:r>
        <w:rPr>
          <w:rFonts w:ascii="Arial" w:cs="Arial" w:eastAsia="Arial" w:hAnsi="Arial"/>
          <w:sz w:val="18"/>
          <w:szCs w:val="18"/>
          <w:color w:val="auto"/>
        </w:rPr>
        <w:t>³ As of September 30, 2017, this CLO Fund security was not providing a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third quarter of 2017, the Company and Freedom 3 Opportunities LLC (“Freedom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a new fund (the "Fund")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178"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7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has determined that the Joint Venture is an investment company under ASC 946, however, in accordance with such guidance, the Company will generally not consolidate its investment in a company other than a wholly owned investment company subsidiary or a controlled operating company whose business consists of providing services to the Company. Accordingly, the Company does not consolidate its non-controlling interest in the Joint Venture.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September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w w:val="89"/>
              </w:rPr>
              <w:t>September 30, 2017 (unaudited)</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20"/>
                <w:szCs w:val="20"/>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of FMV</w:t>
            </w:r>
          </w:p>
        </w:tc>
      </w:tr>
      <w:tr>
        <w:trPr>
          <w:trHeight w:val="20"/>
        </w:trPr>
        <w:tc>
          <w:tcPr>
            <w:tcW w:w="6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53,341,230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KCAP Freedom 3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36,738,873</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36,591,122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Bank Money Market Account</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32,001,559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32,001,559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31,123,451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21,447,386</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Trimaran Advisors, L.L.C.</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U.S Treasury Bills - CUSIP: 912796LY3</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15,007,000</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15,007,000</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 - CUSIP: 912796KR9</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10,002,000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10,002,000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12,420,461</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8,222,814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10,196,554</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8,585,018</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3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10,023,444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9,290,017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9"/>
                <w:szCs w:val="19"/>
                <w:color w:val="auto"/>
              </w:rPr>
            </w:pPr>
          </w:p>
        </w:tc>
      </w:tr>
      <w:tr>
        <w:trPr>
          <w:trHeight w:val="26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230,854,572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200,825,916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vMerge w:val="continue"/>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28,685,001</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28,022,646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20,453,099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9,828,619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9,113,125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10,140,000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8,350,290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11,822,180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6,552,311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6,499,000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5,462,647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5,321,809</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Nielson &amp; Bainbrige,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5,092,087</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135,464,169</w:t>
            </w:r>
          </w:p>
        </w:tc>
        <w:tc>
          <w:tcPr>
            <w:tcW w:w="200" w:type="dxa"/>
            <w:vAlign w:val="bottom"/>
          </w:tcPr>
          <w:p>
            <w:pPr>
              <w:spacing w:after="0"/>
              <w:rPr>
                <w:sz w:val="21"/>
                <w:szCs w:val="21"/>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Excluding the Asset Manager Affiliates and CLO Fund Securities, the Company’s ten largest portfolio companies represented approximately 49% and 13% of the total fair value of the Company’s investments at September 30, 2017 and December 31,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nine months ended September 30, 2017, the Asset Manager Affiliates received incentive fees from one fund.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3" w:name="page64"/>
    <w:bookmarkEnd w:id="63"/>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 $39.7 million at September 30, 2017, with an unrealized gain during the nine months ended September 30, 2017 of approximately $1.5 million. For the three months ended September 30, 2017 and 2016, we recognized dividend income of approximately $180,000 and $0 from the Asset Manager Affiliates, respectively, while cash distributions received were $880,000 and $750,000 for the three months ended September 30, 2017 and 2016, respectively. For the nine months ended September 30, 2017 and 2016, we recognized dividend income of approximately $180,000 and $1.4 million from the Asset Manager Affiliates, respectively, while cash distributions received were approximately $2.2 million and $2.7 million for the three months ended September 30, 2017 and 2016,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$2.8 billion and $3.0 billion as of September 30, 2017 and December 31, 2016, respectively.</w:t>
      </w:r>
    </w:p>
    <w:p>
      <w:pPr>
        <w:spacing w:after="0" w:line="17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i w:val="1"/>
          <w:iCs w:val="1"/>
          <w:color w:val="auto"/>
        </w:rPr>
        <w:t xml:space="preserve">Investment in Joint Venture. </w:t>
      </w:r>
      <w:r>
        <w:rPr>
          <w:rFonts w:ascii="Arial" w:cs="Arial" w:eastAsia="Arial" w:hAnsi="Arial"/>
          <w:sz w:val="16"/>
          <w:szCs w:val="16"/>
          <w:color w:val="auto"/>
        </w:rPr>
        <w:t>For the three months ended September 30, 2017, the Company recognized $685,000 in investment income from its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 the Joint Venture. As of September 30, 2017, the fair value of the Company’s investment in Joint venture was $36.6 million.</w:t>
      </w:r>
    </w:p>
    <w:p>
      <w:pPr>
        <w:spacing w:after="0" w:line="12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Investment income for the three months ended September 30, 2017 and 2016 was approximately $6.3 million and $9.0 million, respectively. Of these amounts, approximately $2.4 million and $5.2 million was attributable to interest income on our Debt Securities Portfolio.</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Investment income for the nine months ended September 30, 2017 and 2016 was approximately $21.7 million and $28.1 million, respectively. Of these amounts, approximately $11.8 million and $16.1 million was attributable to interest income on our Debt Securities Portfolio.</w:t>
      </w:r>
    </w:p>
    <w:p>
      <w:pPr>
        <w:spacing w:after="0" w:line="14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weighted average interest rate on our income producing Debt Securities Portfolio was 9.2% and 7.0% as of September 30, 2017 and December 31, 2016, respectively. For the nine months ended September 30, 2017, our total net asset value return per share was 1.3% and our total market return based on stock price was 0.7%. For the nine months ended September 30, 2016, our total net asset value return per share was 0.2% and our total market return based on stock price was 24.8%. Total net asset value return per share and total market return based on stock price do not reflect the sales load paid by stockholders.</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4" w:name="page65"/>
    <w:bookmarkEnd w:id="64"/>
    <w:p>
      <w:pPr>
        <w:ind w:firstLine="324"/>
        <w:spacing w:after="0" w:line="253" w:lineRule="auto"/>
        <w:rPr>
          <w:sz w:val="20"/>
          <w:szCs w:val="20"/>
          <w:color w:val="auto"/>
        </w:rPr>
      </w:pPr>
      <w:r>
        <w:rPr>
          <w:rFonts w:ascii="Arial" w:cs="Arial" w:eastAsia="Arial" w:hAnsi="Arial"/>
          <w:sz w:val="18"/>
          <w:szCs w:val="18"/>
          <w:color w:val="auto"/>
        </w:rPr>
        <w:t>For the three months ended September 30, 2017 and 2016, approximately $2.8 million and $3.5 million, respectively, of investment income was attributable to investments in CLO Fund Securities. For the nine months ended September 30, 2017 and 2016, approximately $8.7 million and $10.1 million, respectively, of investment income was attributable to investments in CLO Fund Securities. On a tax-basis, the Company recognized $2.3 million and $7.0 million of taxable distributable income on distributions from our CLO Fund Securities during the three and nine months ended September 30, 2017,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Total expenses for the three months ended September 30, 2017 and 2016 were approximately $3.7 million and $4.5 million, respectively. Interest expense and amortization on debt issuance costs for the periods, were approximately $1.4 million and $2.1 million, respectively, on average debt outstanding of $34 million and $186 million, respectively.</w:t>
      </w:r>
    </w:p>
    <w:p>
      <w:pPr>
        <w:spacing w:after="0" w:line="18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For the three months ended September 30, 2017 and 2016, approximately $1.1 million and $1.2 million, respectively, of expenses were attributable to employee compensation, including salaries, bonuses, employee benefits, payroll taxes and stock-based compensation expense. For the three months ended September 30, 2017 and 2016, respectively, professional fees and insurance expenses totaled approximately $883,000 and $802,000. Administrative costs, which include occupancy expense, technology and other office expenses, totaled approximately $396,000 and $372,000 for the three months ended September 30, 2017 and 2016, respectively.</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expenses for the nine months ended September 30, 2017 and 2016 were approximately $13.3 million and $13.7 million, respectively. Interest expense and amortization on debt issuance costs for the periods, were approximately $5.8 million and $7.0 million, respectively, on average debt outstanding of $131 million and $193 million, respectively.</w:t>
      </w:r>
    </w:p>
    <w:p>
      <w:pPr>
        <w:spacing w:after="0" w:line="18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For the nine months ended September 30, 2017 and 2016, approximately $3.5 million and $3.2 million, respectively, of expenses were attributable to employee compensation, including salaries, bonuses, employee benefits, payroll taxes and stock-based compensation expense. For the nine months ended September 30, 2017 and 2016, respectively, professional fees and insurance expenses totaled approximately $2.8 million and $2.2 million. Administrative costs, which include occupancy expense, technology and other office expenses, totaled approximately $1.3 million and $1.3 million for the nine months ended September 30, 2017 and 2016, respectively.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Net investment income and net realized gains (losses) represents the net change in stockholder’s equity before net unrealized appreciation or depreciation on investments. For the three months ended September 30, 2017, net investment income and net realized losses were approximately $623,000, or $0.02 per share. For the three months ended September 30, 2016, net investment income and net realized gains were approximately $9.2 million or $0.25 per share. For the nine months ended September 30, 2017, net investment income and net realized losses were approximately $5.5 million, or $0.15 per share. For the nine months ended September 30, 2016, net investment income and net realized losses were approximately $8.3 million or $0.22 per share. Net investment income represents the income earned on our investments less operating and interest expense before net realized gains or losses and unrealized appreciation or depreciation on investments.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September 30, 2017 and 2016, GAAP-basis net investment income was approximately $2.5 million or $0.07 per share, and $4.5 million or $0.12 per share, respectively, while tax-basis distributable income was approximately $2.3 million or $0.07 per share and $4.6 million or $0.12 per share, respectively. For the nine months ended September 30, 2017 and 2016, GAAP-basis net investment income was approximately $8.4 million or $0.23 per share, and $14.4 million or $0.39 per share, respectively, while tax-basis distributable income was approximately $6.9 million or $0.19 per share and $14.9 million or $0.40 per share,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three months ended September 30, 2017, our total investments had net unrealized appreciation of approximately $2.7 million. During the three months ended September 30, 2016, our total investments had net unrealized depreciation of approximately $6.4 million. For the three months ended September 30, 2017, our Asset Manager Affiliates had net unrealized appreciation of approximately $2.9 million. For the three months ended September 30, 2016, our Asset Manager Affiliates had net unrealized depreciation of approximately $1.1 million. For the three months ended September 30, 2017, our portfolio of debt securities and equity securities had net unrealized appreciation of approximately $1.6 million, compared with net unrealized depreciation of $4.1 million during the third quarter of 2016. For the three months ended September 30, 2017, our CLO Fund Securities had net unrealized depreciation of approximately $1.6 million compared with net unrealized depreciation of $1.1 million during the third quarter of 2016. For the three months ended September 30, 2017, our investment in the Joint Venture had net unrealized depreciation of $147,000.</w:t>
      </w:r>
    </w:p>
    <w:p>
      <w:pPr>
        <w:spacing w:after="0" w:line="17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During the nine months ended September 30, 2017, our total investments had net unrealized appreciation of approximately $875,000. During the nine months ended September 30, 2016, our total investments had net unrealized depreciation of approximately $9.3 million. For the nine months ended September 30, 2017, our Asset Manager Affiliates had net unrealized appreciation of approximately $1.5 million. For the nine months ended September 30, 2016, our Asset Manager Affiliates had net unrealized depreciation of approximately $12.7 million. For the nine months ended September 30, 2017, our portfolio of debt securities and equity securities had net unrealized appreciation of approximately $3.6 million, compared with net unrealized depreciation of $2.4 million during the nine months ended September 30, 2016. For the nine months ended September 30, 2017, our CLO Fund Securities had net unrealized depreciation of approximately $4.0 million compared with net unrealized appreciation of $5.8 million during the nine months ended September 30, 2016. For the nine months ended September 30, 2017, our investment in the Joint Venture had net unrealized depreciation of $147,000.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three months ended September 30, 2017 was $669,000, or $0.02 per share. Net decrease in stockholders’ equity resulting from operations for the three months ended September 30, 2016 was $2.7 million, or $0.07 per share.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increase in stockholders’ equity resulting from operations for the nine months ended September 30, 2017 was $2.2 million, or $0.08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 stockholders’ equity resulting from operations for the nine months ended September 30, 2016 was $1.1 million, or $0.03)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and December 31, 2016 the fair value of investments and cash were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September 30, 2017</w:t>
            </w: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1,186,838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8,528,298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57,024,828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28,699,269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46,124,913</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200,322,152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58,343,554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35,444,440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3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1,063,762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Senior Secured Bond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1,494,600</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1,487,400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51,843,344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54,174,350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4,450,177</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5,056,355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39,679,000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36,591,122</w:t>
            </w:r>
          </w:p>
        </w:tc>
        <w:tc>
          <w:tcPr>
            <w:tcW w:w="32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317,802,138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376,306,859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September 30, 2017, we had approximately $104.4 million of par value of outstanding borrowings and our asset coverage ratio of total assets to total borrowings was 274%,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w:t>
      </w:r>
    </w:p>
    <w:p>
      <w:pPr>
        <w:ind w:right="20"/>
        <w:spacing w:after="0" w:line="267" w:lineRule="auto"/>
        <w:rPr>
          <w:sz w:val="20"/>
          <w:szCs w:val="20"/>
          <w:color w:val="auto"/>
        </w:rPr>
      </w:pPr>
      <w:r>
        <w:rPr>
          <w:rFonts w:ascii="Arial" w:cs="Arial" w:eastAsia="Arial" w:hAnsi="Arial"/>
          <w:sz w:val="17"/>
          <w:szCs w:val="17"/>
          <w:color w:val="auto"/>
        </w:rPr>
        <w:t>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September 30, 2017,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July 20, 2017 $147.4 million par value of notes issued by KCAP Senior Funding were repaid in full, resulting in a realized loss on extinguishment of debt of $4 million.</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During the third quarter of 2017, the company issued $77.4 million aggregate principal amount of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of the Company. In addition, due to the coverage test applicable to the Company as a BDC and a covenant that the Company agreed to in connection with the issuance of the 6.125% Notes Due 2022, the Company is limited in its ability to make distributions if its asset coverage, as defined in the 1940 Act, is below 200% at the time of the declaration of the distribution. At September 30, 2017,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7" w:name="page68"/>
    <w:bookmarkEnd w:id="67"/>
    <w:p>
      <w:pPr>
        <w:ind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net asset value per share without stockholder approval (which we currently do not have), we have been and may continue to be limited in our ability to raise equity capital.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distributable taxable income and the after-tax free cash flow from our Asset Manager Affiliates.</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on our common stock if our asset coverage, as defined in the 1940 Act, falls below 200%. In any such event, we would be prohibited from making distributions required in order to maintain our status as a RIC.</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sets forth the quarterly distributions declared by us since for the two most recently completed fiscal years and the current fiscal year to date.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Declaration</w:t>
            </w:r>
          </w:p>
        </w:tc>
        <w:tc>
          <w:tcPr>
            <w:tcW w:w="1240" w:type="dxa"/>
            <w:vAlign w:val="bottom"/>
          </w:tcPr>
          <w:p>
            <w:pPr>
              <w:jc w:val="right"/>
              <w:ind w:right="291"/>
              <w:spacing w:after="0"/>
              <w:rPr>
                <w:sz w:val="20"/>
                <w:szCs w:val="20"/>
                <w:color w:val="auto"/>
              </w:rPr>
            </w:pPr>
            <w:r>
              <w:rPr>
                <w:rFonts w:ascii="Arial" w:cs="Arial" w:eastAsia="Arial" w:hAnsi="Arial"/>
                <w:sz w:val="18"/>
                <w:szCs w:val="18"/>
                <w:b w:val="1"/>
                <w:bCs w:val="1"/>
                <w:color w:val="auto"/>
              </w:rPr>
              <w:t>Record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Distribution</w:t>
            </w:r>
          </w:p>
        </w:tc>
        <w:tc>
          <w:tcPr>
            <w:tcW w:w="240" w:type="dxa"/>
            <w:vAlign w:val="bottom"/>
          </w:tcPr>
          <w:p>
            <w:pPr>
              <w:spacing w:after="0"/>
              <w:rPr>
                <w:sz w:val="20"/>
                <w:szCs w:val="20"/>
                <w:color w:val="auto"/>
              </w:rPr>
            </w:pPr>
          </w:p>
        </w:tc>
        <w:tc>
          <w:tcPr>
            <w:tcW w:w="150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240" w:type="dxa"/>
            <w:vAlign w:val="bottom"/>
          </w:tcPr>
          <w:p>
            <w:pPr>
              <w:jc w:val="right"/>
              <w:ind w:right="351"/>
              <w:spacing w:after="0"/>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9/22/2017</w:t>
            </w:r>
          </w:p>
        </w:tc>
        <w:tc>
          <w:tcPr>
            <w:tcW w:w="1240" w:type="dxa"/>
            <w:vAlign w:val="bottom"/>
          </w:tcPr>
          <w:p>
            <w:pPr>
              <w:jc w:val="right"/>
              <w:spacing w:after="0"/>
              <w:rPr>
                <w:sz w:val="20"/>
                <w:szCs w:val="20"/>
                <w:color w:val="auto"/>
              </w:rPr>
            </w:pPr>
            <w:r>
              <w:rPr>
                <w:rFonts w:ascii="Arial" w:cs="Arial" w:eastAsia="Arial" w:hAnsi="Arial"/>
                <w:sz w:val="18"/>
                <w:szCs w:val="18"/>
                <w:color w:val="auto"/>
              </w:rPr>
              <w:t>10/10/2017</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3/21/2017</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4/7/2017</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0.12</w:t>
            </w:r>
          </w:p>
        </w:tc>
        <w:tc>
          <w:tcPr>
            <w:tcW w:w="1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12/14/2016</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1/6/2017</w:t>
            </w:r>
          </w:p>
        </w:tc>
        <w:tc>
          <w:tcPr>
            <w:tcW w:w="2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w w:val="71"/>
              </w:rPr>
              <w:t>1</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1/27/2017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9/20/2016</w:t>
            </w:r>
          </w:p>
        </w:tc>
        <w:tc>
          <w:tcPr>
            <w:tcW w:w="1240" w:type="dxa"/>
            <w:vAlign w:val="bottom"/>
          </w:tcPr>
          <w:p>
            <w:pPr>
              <w:jc w:val="right"/>
              <w:spacing w:after="0"/>
              <w:rPr>
                <w:sz w:val="20"/>
                <w:szCs w:val="20"/>
                <w:color w:val="auto"/>
              </w:rPr>
            </w:pPr>
            <w:r>
              <w:rPr>
                <w:rFonts w:ascii="Arial" w:cs="Arial" w:eastAsia="Arial" w:hAnsi="Arial"/>
                <w:sz w:val="18"/>
                <w:szCs w:val="18"/>
                <w:color w:val="auto"/>
              </w:rPr>
              <w:t>10/14/2016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6/21/2016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3/18/2016</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4/7/2016</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0.15</w:t>
            </w:r>
          </w:p>
        </w:tc>
        <w:tc>
          <w:tcPr>
            <w:tcW w:w="1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12/16/2015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1/6/2016</w:t>
            </w:r>
          </w:p>
        </w:tc>
        <w:tc>
          <w:tcPr>
            <w:tcW w:w="2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w w:val="71"/>
              </w:rPr>
              <w:t>1</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1/28/2016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9/22/2015</w:t>
            </w:r>
          </w:p>
        </w:tc>
        <w:tc>
          <w:tcPr>
            <w:tcW w:w="1240" w:type="dxa"/>
            <w:vAlign w:val="bottom"/>
          </w:tcPr>
          <w:p>
            <w:pPr>
              <w:jc w:val="right"/>
              <w:spacing w:after="0"/>
              <w:rPr>
                <w:sz w:val="20"/>
                <w:szCs w:val="20"/>
                <w:color w:val="auto"/>
              </w:rPr>
            </w:pPr>
            <w:r>
              <w:rPr>
                <w:rFonts w:ascii="Arial" w:cs="Arial" w:eastAsia="Arial" w:hAnsi="Arial"/>
                <w:sz w:val="18"/>
                <w:szCs w:val="18"/>
                <w:color w:val="auto"/>
              </w:rPr>
              <w:t>10/14/2015</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6/23/2015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74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3/24/2015</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4/6/2015</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¹ Since the record date of this distribution is subsequent to year-end, it is a subsequent year tax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2017 and December 31, 2016, the Company had approximately $3 million and $565,000 of commitments to make such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w w:val="97"/>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center"/>
              <w:ind w:right="38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tcPr>
          <w:p>
            <w:pPr>
              <w:jc w:val="center"/>
              <w:ind w:left="235"/>
              <w:spacing w:after="0"/>
              <w:rPr>
                <w:sz w:val="20"/>
                <w:szCs w:val="20"/>
                <w:color w:val="auto"/>
              </w:rPr>
            </w:pPr>
            <w:r>
              <w:rPr>
                <w:rFonts w:ascii="Arial" w:cs="Arial" w:eastAsia="Arial" w:hAnsi="Arial"/>
                <w:sz w:val="18"/>
                <w:szCs w:val="18"/>
                <w:b w:val="1"/>
                <w:bCs w:val="1"/>
                <w:color w:val="auto"/>
                <w:w w:val="91"/>
              </w:rPr>
              <w:t>year</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104,407,200</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77,407,200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580" w:right="100" w:hanging="248"/>
        <w:spacing w:after="0" w:line="286"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65" w:lineRule="exact"/>
        <w:rPr>
          <w:rFonts w:ascii="Arial" w:cs="Arial" w:eastAsia="Arial" w:hAnsi="Arial"/>
          <w:sz w:val="17"/>
          <w:szCs w:val="17"/>
          <w:color w:val="auto"/>
        </w:rPr>
      </w:pPr>
    </w:p>
    <w:p>
      <w:pPr>
        <w:ind w:left="580" w:right="40" w:hanging="248"/>
        <w:spacing w:after="0" w:line="276"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left="580" w:hanging="248"/>
        <w:spacing w:after="0" w:line="293"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2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KCAP carries investments in joint ventures at fair value based upon the fair value of the investments held by the joint venture.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1" w:name="page72"/>
    <w:bookmarkEnd w:id="71"/>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September 30, 2017, two issuers representing 1% of the Company’s total investments at fair value were on a non-accrual status, and one of our investments, representing 2% of the Company’s investments at fair value, was on partial non-accrual status, whereby we have recognized income on a portion of contractual payment-in-kind (PIK) amounts due.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right="10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from Joint Venture</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recognize investment income from our joint venture based on the Company’s share of thr tax-basis earnings and profits on the joint venture entity. For interim periods, the Company estimates the tax attributes of any distributions as being either tax-basis earnings and profits (i.e. dividend income) or return of capital (i.e. adjustment to the Company’s cost basis in the Joint Venture). The final determination of the tax attributes of distributions from our Joint Venture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Declaration</w:t>
            </w:r>
          </w:p>
        </w:tc>
        <w:tc>
          <w:tcPr>
            <w:tcW w:w="1360" w:type="dxa"/>
            <w:vAlign w:val="bottom"/>
          </w:tcPr>
          <w:p>
            <w:pPr>
              <w:jc w:val="right"/>
              <w:ind w:right="331"/>
              <w:spacing w:after="0"/>
              <w:rPr>
                <w:sz w:val="20"/>
                <w:szCs w:val="20"/>
                <w:color w:val="auto"/>
              </w:rPr>
            </w:pPr>
            <w:r>
              <w:rPr>
                <w:rFonts w:ascii="Arial" w:cs="Arial" w:eastAsia="Arial" w:hAnsi="Arial"/>
                <w:sz w:val="18"/>
                <w:szCs w:val="18"/>
                <w:b w:val="1"/>
                <w:bCs w:val="1"/>
                <w:color w:val="auto"/>
              </w:rPr>
              <w:t>Record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Distribution</w:t>
            </w:r>
          </w:p>
        </w:tc>
        <w:tc>
          <w:tcPr>
            <w:tcW w:w="24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411"/>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2017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0.12</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9/22/2017</w:t>
            </w:r>
          </w:p>
        </w:tc>
        <w:tc>
          <w:tcPr>
            <w:tcW w:w="1360" w:type="dxa"/>
            <w:vAlign w:val="bottom"/>
          </w:tcPr>
          <w:p>
            <w:pPr>
              <w:jc w:val="right"/>
              <w:spacing w:after="0"/>
              <w:rPr>
                <w:sz w:val="20"/>
                <w:szCs w:val="20"/>
                <w:color w:val="auto"/>
              </w:rPr>
            </w:pPr>
            <w:r>
              <w:rPr>
                <w:rFonts w:ascii="Arial" w:cs="Arial" w:eastAsia="Arial" w:hAnsi="Arial"/>
                <w:sz w:val="18"/>
                <w:szCs w:val="18"/>
                <w:color w:val="auto"/>
              </w:rPr>
              <w:t>10/10/2017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10/26/2017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70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3/21/2017</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Total declared in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Pr>
          <w:p>
            <w:pPr>
              <w:spacing w:after="0" w:line="256" w:lineRule="exact"/>
              <w:rPr>
                <w:sz w:val="20"/>
                <w:szCs w:val="20"/>
                <w:color w:val="auto"/>
              </w:rPr>
            </w:pPr>
            <w:r>
              <w:rPr>
                <w:rFonts w:ascii="Arial" w:cs="Arial" w:eastAsia="Arial" w:hAnsi="Arial"/>
                <w:sz w:val="18"/>
                <w:szCs w:val="18"/>
                <w:color w:val="auto"/>
              </w:rPr>
              <w:t xml:space="preserve">2016 </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0.12</w:t>
            </w:r>
          </w:p>
        </w:tc>
        <w:tc>
          <w:tcPr>
            <w:tcW w:w="1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12/14/2016</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1/27/2017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9/20/2016</w:t>
            </w:r>
          </w:p>
        </w:tc>
        <w:tc>
          <w:tcPr>
            <w:tcW w:w="1360" w:type="dxa"/>
            <w:vAlign w:val="bottom"/>
          </w:tcPr>
          <w:p>
            <w:pPr>
              <w:jc w:val="right"/>
              <w:spacing w:after="0"/>
              <w:rPr>
                <w:sz w:val="20"/>
                <w:szCs w:val="20"/>
                <w:color w:val="auto"/>
              </w:rPr>
            </w:pPr>
            <w:r>
              <w:rPr>
                <w:rFonts w:ascii="Arial" w:cs="Arial" w:eastAsia="Arial" w:hAnsi="Arial"/>
                <w:sz w:val="18"/>
                <w:szCs w:val="18"/>
                <w:color w:val="auto"/>
              </w:rPr>
              <w:t>10/14/2016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70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3/18/2016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4/7/2016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20" w:type="dxa"/>
            <w:vAlign w:val="bottom"/>
            <w:gridSpan w:val="2"/>
          </w:tcPr>
          <w:p>
            <w:pPr>
              <w:spacing w:after="0"/>
              <w:rPr>
                <w:sz w:val="20"/>
                <w:szCs w:val="20"/>
                <w:color w:val="auto"/>
              </w:rPr>
            </w:pPr>
            <w:r>
              <w:rPr>
                <w:rFonts w:ascii="Arial" w:cs="Arial" w:eastAsia="Arial" w:hAnsi="Arial"/>
                <w:sz w:val="18"/>
                <w:szCs w:val="18"/>
                <w:color w:val="auto"/>
              </w:rPr>
              <w:t>Total declared in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Pr>
          <w:p>
            <w:pPr>
              <w:spacing w:after="0" w:line="256" w:lineRule="exact"/>
              <w:rPr>
                <w:sz w:val="20"/>
                <w:szCs w:val="20"/>
                <w:color w:val="auto"/>
              </w:rPr>
            </w:pPr>
            <w:r>
              <w:rPr>
                <w:rFonts w:ascii="Arial" w:cs="Arial" w:eastAsia="Arial" w:hAnsi="Arial"/>
                <w:sz w:val="18"/>
                <w:szCs w:val="18"/>
                <w:color w:val="auto"/>
              </w:rPr>
              <w:t xml:space="preserve">2015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0.15</w:t>
            </w:r>
          </w:p>
        </w:tc>
        <w:tc>
          <w:tcPr>
            <w:tcW w:w="1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12/16/2015</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1/6/2016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1/28/2016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36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9/22/2015</w:t>
            </w:r>
          </w:p>
        </w:tc>
        <w:tc>
          <w:tcPr>
            <w:tcW w:w="1360" w:type="dxa"/>
            <w:vAlign w:val="bottom"/>
          </w:tcPr>
          <w:p>
            <w:pPr>
              <w:jc w:val="right"/>
              <w:spacing w:after="0"/>
              <w:rPr>
                <w:sz w:val="20"/>
                <w:szCs w:val="20"/>
                <w:color w:val="auto"/>
              </w:rPr>
            </w:pPr>
            <w:r>
              <w:rPr>
                <w:rFonts w:ascii="Arial" w:cs="Arial" w:eastAsia="Arial" w:hAnsi="Arial"/>
                <w:sz w:val="18"/>
                <w:szCs w:val="18"/>
                <w:color w:val="auto"/>
              </w:rPr>
              <w:t>10/14/2015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70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3/24/2015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4/6/2015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Total declared in 2015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Percentage of distributions representing a return of capital will be determined on a full-year basis for 2017 in early 2018</w:t>
      </w:r>
    </w:p>
    <w:p>
      <w:pPr>
        <w:spacing w:after="0" w:line="1" w:lineRule="exact"/>
        <w:rPr>
          <w:rFonts w:ascii="Arial" w:cs="Arial" w:eastAsia="Arial" w:hAnsi="Arial"/>
          <w:sz w:val="30"/>
          <w:szCs w:val="30"/>
          <w:color w:val="auto"/>
          <w:vertAlign w:val="superscript"/>
        </w:rPr>
      </w:pPr>
    </w:p>
    <w:p>
      <w:pPr>
        <w:ind w:right="5920"/>
        <w:spacing w:after="0" w:line="384"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Approximately 33.7% of 2016 distributions represented a return of capital.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Approximately 0.0% of 2015 distributions represented a return of capital.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20" w:type="dxa"/>
            <w:vAlign w:val="bottom"/>
          </w:tcPr>
          <w:p>
            <w:pPr>
              <w:spacing w:after="0"/>
              <w:rPr>
                <w:sz w:val="22"/>
                <w:szCs w:val="22"/>
                <w:color w:val="auto"/>
              </w:rPr>
            </w:pPr>
          </w:p>
        </w:tc>
        <w:tc>
          <w:tcPr>
            <w:tcW w:w="29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4"/>
              </w:rPr>
              <w:t>Three Months Ended September</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9"/>
                <w:szCs w:val="29"/>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9"/>
                <w:szCs w:val="29"/>
                <w:b w:val="1"/>
                <w:bCs w:val="1"/>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(0.01)</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distributed to the Company by Asset Manager Affiliates in excess of</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their taxable earnings</w:t>
            </w:r>
          </w:p>
        </w:tc>
        <w:tc>
          <w:tcPr>
            <w:tcW w:w="8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Cash received from CLO Equity Investments in excess of their taxable</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earnings</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distribution²</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Distributed</w:t>
            </w:r>
          </w:p>
        </w:tc>
        <w:tc>
          <w:tcPr>
            <w:tcW w:w="8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w:t>
            </w:r>
          </w:p>
        </w:tc>
        <w:tc>
          <w:tcPr>
            <w:tcW w:w="86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(0.04</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ind w:left="340" w:right="40" w:hanging="332"/>
        <w:spacing w:after="0" w:line="290"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$0.02 and $0.05 per share of cash distributed to the Company by the Asset Manager Affiliates in excess of their taxable earnings is subtracted from the "Available for distribution" financial measure for the three and nine months ended September, 30, 2017, respectively. The Company's management believes that the presentation of the non-GAAP "Available for distribution" financial measure provides useful information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October 31, 2017, the Joint Venture made a cash distribution to the Company of approximately $12.6 million. The Company expects that approximately $11.8 million of this distribution will be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 to be fluctuations in interest rates.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2017, approximately 98.1% of our debt securities portfolio were either fixed rate or floating rate with a spread to an interest rate index such as LIBOR or the prime rate. Most of these floating rate loans contain LIBOR floors ranging between 1.00% and 3.00%. We generally expect that future portfolio investments will predominately be floating rate investments. As of September 30, 2017, we had $104.4 million of borrowings outstanding at a current weighted average rate of 6.4%.</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and 6.125% Notes Due 2022 would remain the same, given that this debt is at a fixed rate.</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2017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240" w:type="dxa"/>
            <w:vAlign w:val="bottom"/>
            <w:gridSpan w:val="9"/>
          </w:tcPr>
          <w:p>
            <w:pPr>
              <w:spacing w:after="0"/>
              <w:rPr>
                <w:sz w:val="20"/>
                <w:szCs w:val="20"/>
                <w:color w:val="auto"/>
              </w:rPr>
            </w:pPr>
            <w:r>
              <w:rPr>
                <w:rFonts w:ascii="Arial" w:cs="Arial" w:eastAsia="Arial" w:hAnsi="Arial"/>
                <w:sz w:val="18"/>
                <w:szCs w:val="18"/>
                <w:color w:val="auto"/>
                <w:w w:val="90"/>
              </w:rPr>
              <w:t>Impact on net investment income from a change in interest</w:t>
            </w:r>
          </w:p>
        </w:tc>
      </w:tr>
      <w:tr>
        <w:trPr>
          <w:trHeight w:val="230"/>
        </w:trPr>
        <w:tc>
          <w:tcPr>
            <w:tcW w:w="5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rates at: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2,536,515</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(220,059)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(220,059)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(220,059)</w:t>
            </w:r>
          </w:p>
        </w:tc>
      </w:tr>
    </w:tbl>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$865,000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$1.7 million and $2.5 million, respectively. Since LIBOR underlying certain investments, as well as certain of our borrowings, is currently low, it is unlikely that the underlying rate will decrease by 1% or 2% or even 3%. If the underlying rate decreased to 0%, it would result in approximately a $220,000 decrease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2017.</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2017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September 30, 2017, we issued a total of 18,141 shares of common stock under our dividend reinvestment plan (“DRIP”). This issuance was not subject to the registration requirements of the Securities Act of 1933. For the three months ended September 30, 2017, the aggregate value of the shares of our common stock issued under our DRIP was approximately $64,000.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ind w:left="2020"/>
              <w:spacing w:after="0"/>
              <w:rPr>
                <w:sz w:val="20"/>
                <w:szCs w:val="20"/>
                <w:color w:val="auto"/>
              </w:rPr>
            </w:pPr>
            <w:r>
              <w:rPr>
                <w:rFonts w:ascii="Arial" w:cs="Arial" w:eastAsia="Arial" w:hAnsi="Arial"/>
                <w:sz w:val="18"/>
                <w:szCs w:val="18"/>
                <w:color w:val="auto"/>
              </w:rPr>
              <w:t>KCAP FINANCIAL, INC.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November 7, 2017</w:t>
            </w:r>
          </w:p>
        </w:tc>
        <w:tc>
          <w:tcPr>
            <w:tcW w:w="282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8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November 7, 2017</w:t>
            </w:r>
          </w:p>
        </w:tc>
        <w:tc>
          <w:tcPr>
            <w:tcW w:w="282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64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340" w:type="dxa"/>
            <w:vAlign w:val="bottom"/>
            <w:gridSpan w:val="3"/>
          </w:tcPr>
          <w:p>
            <w:pPr>
              <w:ind w:left="3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00"/>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6"/>
          </w:tcPr>
          <w:p>
            <w:pPr>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412"/>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r:id="rId18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tcBorders>
              <w:top w:val="single" w:sz="8" w:color="auto"/>
              <w:bottom w:val="single" w:sz="8" w:color="0000EE"/>
            </w:tcBorders>
            <w:gridSpan w:val="4"/>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Purchase and Sale Agreement, dated February 29, 2012, by and among Kohlberg Capital Corporation (the “Company”), Commodore</w:t>
              </w:r>
            </w:hyperlink>
          </w:p>
        </w:tc>
        <w:tc>
          <w:tcPr>
            <w:tcW w:w="44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Holdings, L.L.C., Trimaran Advisors, L.L.C., HBK Caravelle, L.L.C., Trimaran Fund Management, L.L.C., Jay R. Bloom, and Dean C.</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Kehler.</w:t>
              </w:r>
            </w:hyperlink>
          </w:p>
        </w:tc>
        <w:tc>
          <w:tcPr>
            <w:tcW w:w="16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76"/>
              </w:rPr>
            </w:pPr>
            <w:hyperlink r:id="rId180">
              <w:r>
                <w:rPr>
                  <w:rFonts w:ascii="Arial" w:cs="Arial" w:eastAsia="Arial" w:hAnsi="Arial"/>
                  <w:sz w:val="15"/>
                  <w:szCs w:val="15"/>
                  <w:color w:val="0000EE"/>
                  <w:w w:val="76"/>
                </w:rPr>
                <w:t>(1)</w:t>
              </w:r>
            </w:hyperlink>
          </w:p>
        </w:tc>
        <w:tc>
          <w:tcPr>
            <w:tcW w:w="934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93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9" w:lineRule="exact"/>
        <w:rPr>
          <w:sz w:val="20"/>
          <w:szCs w:val="20"/>
          <w:color w:val="auto"/>
        </w:rPr>
      </w:pPr>
    </w:p>
    <w:p>
      <w:pPr>
        <w:spacing w:after="0"/>
        <w:rPr>
          <w:rFonts w:ascii="Arial" w:cs="Arial" w:eastAsia="Arial" w:hAnsi="Arial"/>
          <w:sz w:val="17"/>
          <w:szCs w:val="17"/>
          <w:u w:val="single" w:color="auto"/>
          <w:color w:val="0000EE"/>
        </w:rPr>
      </w:pPr>
      <w:hyperlink r:id="rId181">
        <w:r>
          <w:rPr>
            <w:rFonts w:ascii="Arial" w:cs="Arial" w:eastAsia="Arial" w:hAnsi="Arial"/>
            <w:sz w:val="17"/>
            <w:szCs w:val="17"/>
            <w:u w:val="single" w:color="auto"/>
            <w:color w:val="0000EE"/>
          </w:rPr>
          <w:t>3.1</w:t>
        </w:r>
      </w:hyperlink>
    </w:p>
    <w:p>
      <w:pPr>
        <w:spacing w:after="0" w:line="277" w:lineRule="exact"/>
        <w:rPr>
          <w:sz w:val="20"/>
          <w:szCs w:val="20"/>
          <w:color w:val="auto"/>
        </w:rPr>
      </w:pPr>
    </w:p>
    <w:p>
      <w:pPr>
        <w:spacing w:after="0"/>
        <w:rPr>
          <w:rFonts w:ascii="Arial" w:cs="Arial" w:eastAsia="Arial" w:hAnsi="Arial"/>
          <w:sz w:val="17"/>
          <w:szCs w:val="17"/>
          <w:u w:val="single" w:color="auto"/>
          <w:color w:val="0000EE"/>
        </w:rPr>
      </w:pPr>
      <w:hyperlink r:id="rId182">
        <w:r>
          <w:rPr>
            <w:rFonts w:ascii="Arial" w:cs="Arial" w:eastAsia="Arial" w:hAnsi="Arial"/>
            <w:sz w:val="17"/>
            <w:szCs w:val="17"/>
            <w:u w:val="single" w:color="auto"/>
            <w:color w:val="0000EE"/>
          </w:rPr>
          <w:t>3.2</w:t>
        </w:r>
      </w:hyperlink>
    </w:p>
    <w:p>
      <w:pPr>
        <w:spacing w:after="0" w:line="277" w:lineRule="exact"/>
        <w:rPr>
          <w:sz w:val="20"/>
          <w:szCs w:val="20"/>
          <w:color w:val="auto"/>
        </w:rPr>
      </w:pPr>
    </w:p>
    <w:p>
      <w:pPr>
        <w:spacing w:after="0"/>
        <w:rPr>
          <w:rFonts w:ascii="Arial" w:cs="Arial" w:eastAsia="Arial" w:hAnsi="Arial"/>
          <w:sz w:val="17"/>
          <w:szCs w:val="17"/>
          <w:u w:val="single" w:color="auto"/>
          <w:color w:val="0000EE"/>
        </w:rPr>
      </w:pPr>
      <w:hyperlink r:id="rId183">
        <w:r>
          <w:rPr>
            <w:rFonts w:ascii="Arial" w:cs="Arial" w:eastAsia="Arial" w:hAnsi="Arial"/>
            <w:sz w:val="17"/>
            <w:szCs w:val="17"/>
            <w:u w:val="single" w:color="auto"/>
            <w:color w:val="0000EE"/>
          </w:rPr>
          <w:t>4.1</w:t>
        </w:r>
      </w:hyperlink>
    </w:p>
    <w:p>
      <w:pPr>
        <w:spacing w:after="0" w:line="277" w:lineRule="exact"/>
        <w:rPr>
          <w:sz w:val="20"/>
          <w:szCs w:val="20"/>
          <w:color w:val="auto"/>
        </w:rPr>
      </w:pPr>
    </w:p>
    <w:p>
      <w:pPr>
        <w:spacing w:after="0"/>
        <w:rPr>
          <w:rFonts w:ascii="Arial" w:cs="Arial" w:eastAsia="Arial" w:hAnsi="Arial"/>
          <w:sz w:val="17"/>
          <w:szCs w:val="17"/>
          <w:u w:val="single" w:color="auto"/>
          <w:color w:val="0000EE"/>
        </w:rPr>
      </w:pPr>
      <w:hyperlink r:id="rId184">
        <w:r>
          <w:rPr>
            <w:rFonts w:ascii="Arial" w:cs="Arial" w:eastAsia="Arial" w:hAnsi="Arial"/>
            <w:sz w:val="17"/>
            <w:szCs w:val="17"/>
            <w:u w:val="single" w:color="auto"/>
            <w:color w:val="0000EE"/>
          </w:rPr>
          <w:t>4.2</w:t>
        </w:r>
      </w:hyperlink>
    </w:p>
    <w:p>
      <w:pPr>
        <w:spacing w:after="0" w:line="277" w:lineRule="exact"/>
        <w:rPr>
          <w:sz w:val="20"/>
          <w:szCs w:val="20"/>
          <w:color w:val="auto"/>
        </w:rPr>
      </w:pPr>
    </w:p>
    <w:p>
      <w:pPr>
        <w:spacing w:after="0"/>
        <w:rPr>
          <w:rFonts w:ascii="Arial" w:cs="Arial" w:eastAsia="Arial" w:hAnsi="Arial"/>
          <w:sz w:val="17"/>
          <w:szCs w:val="17"/>
          <w:u w:val="single" w:color="auto"/>
          <w:color w:val="0000EE"/>
        </w:rPr>
      </w:pPr>
      <w:hyperlink r:id="rId185">
        <w:r>
          <w:rPr>
            <w:rFonts w:ascii="Arial" w:cs="Arial" w:eastAsia="Arial" w:hAnsi="Arial"/>
            <w:sz w:val="17"/>
            <w:szCs w:val="17"/>
            <w:u w:val="single" w:color="auto"/>
            <w:color w:val="0000EE"/>
          </w:rPr>
          <w:t>4.3</w:t>
        </w:r>
      </w:hyperlink>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7"/>
          <w:szCs w:val="17"/>
          <w:u w:val="single" w:color="auto"/>
          <w:color w:val="0000EE"/>
        </w:rPr>
      </w:pPr>
      <w:hyperlink r:id="rId185">
        <w:r>
          <w:rPr>
            <w:rFonts w:ascii="Arial" w:cs="Arial" w:eastAsia="Arial" w:hAnsi="Arial"/>
            <w:sz w:val="17"/>
            <w:szCs w:val="17"/>
            <w:u w:val="single" w:color="auto"/>
            <w:color w:val="0000EE"/>
          </w:rPr>
          <w:t>4.4</w:t>
        </w:r>
      </w:hyperlink>
    </w:p>
    <w:p>
      <w:pPr>
        <w:spacing w:after="0" w:line="277" w:lineRule="exact"/>
        <w:rPr>
          <w:sz w:val="20"/>
          <w:szCs w:val="20"/>
          <w:color w:val="auto"/>
        </w:rPr>
      </w:pPr>
    </w:p>
    <w:p>
      <w:pPr>
        <w:spacing w:after="0"/>
        <w:rPr>
          <w:rFonts w:ascii="Arial" w:cs="Arial" w:eastAsia="Arial" w:hAnsi="Arial"/>
          <w:sz w:val="17"/>
          <w:szCs w:val="17"/>
          <w:u w:val="single" w:color="auto"/>
          <w:color w:val="0000EE"/>
        </w:rPr>
      </w:pPr>
      <w:hyperlink r:id="rId186">
        <w:r>
          <w:rPr>
            <w:rFonts w:ascii="Arial" w:cs="Arial" w:eastAsia="Arial" w:hAnsi="Arial"/>
            <w:sz w:val="17"/>
            <w:szCs w:val="17"/>
            <w:u w:val="single" w:color="auto"/>
            <w:color w:val="0000EE"/>
          </w:rPr>
          <w:t>4.5</w:t>
        </w:r>
      </w:hyperlink>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Form of Certificate of Incorporation of the Company.</w:t>
        </w:r>
      </w:hyperlink>
      <w:r>
        <w:rPr>
          <w:rFonts w:ascii="Arial" w:cs="Arial" w:eastAsia="Arial" w:hAnsi="Arial"/>
          <w:sz w:val="30"/>
          <w:szCs w:val="30"/>
          <w:u w:val="single" w:color="auto"/>
          <w:color w:val="0000EE"/>
          <w:vertAlign w:val="superscript"/>
        </w:rPr>
        <w:t>(2)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Form of Bylaws of the Company, as amended and restated effective February 29, 2012.</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Form of Dividend Reinvestment Plan.</w:t>
        </w:r>
      </w:hyperlink>
      <w:r>
        <w:rPr>
          <w:rFonts w:ascii="Arial" w:cs="Arial" w:eastAsia="Arial" w:hAnsi="Arial"/>
          <w:sz w:val="30"/>
          <w:szCs w:val="30"/>
          <w:u w:val="single" w:color="auto"/>
          <w:color w:val="0000EE"/>
          <w:vertAlign w:val="superscript"/>
        </w:rPr>
        <w:t>(4)</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Form of Base Indenture between the Company, as Issuer, and U.S. Bank National Association, as Trustee</w:t>
        </w:r>
      </w:hyperlink>
      <w:r>
        <w:rPr>
          <w:rFonts w:ascii="Arial" w:cs="Arial" w:eastAsia="Arial" w:hAnsi="Arial"/>
          <w:sz w:val="30"/>
          <w:szCs w:val="30"/>
          <w:u w:val="single" w:color="auto"/>
          <w:color w:val="0000EE"/>
          <w:vertAlign w:val="superscript"/>
        </w:rPr>
        <w:t>(5)</w:t>
      </w:r>
    </w:p>
    <w:p>
      <w:pPr>
        <w:spacing w:after="0" w:line="124" w:lineRule="exact"/>
        <w:rPr>
          <w:sz w:val="20"/>
          <w:szCs w:val="20"/>
          <w:color w:val="auto"/>
        </w:rPr>
      </w:pPr>
    </w:p>
    <w:p>
      <w:pPr>
        <w:ind w:right="20"/>
        <w:spacing w:after="0" w:line="280" w:lineRule="auto"/>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Form of First Supplemental Indenture between the Company and U.S. Bank National Association relating to the 7.375% Senior Notes Due</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2019</w:t>
        </w:r>
        <w:r>
          <w:rPr>
            <w:rFonts w:ascii="Arial" w:cs="Arial" w:eastAsia="Arial" w:hAnsi="Arial"/>
            <w:sz w:val="30"/>
            <w:szCs w:val="30"/>
            <w:u w:val="single" w:color="auto"/>
            <w:color w:val="0000EE"/>
            <w:vertAlign w:val="superscript"/>
          </w:rPr>
          <w:t>(5)</w:t>
        </w:r>
      </w:hyperlink>
    </w:p>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Form of Note relating to the 7.375% Senior Notes Due 2019 (included as part of Exhibit 4.3)</w:t>
        </w:r>
      </w:hyperlink>
      <w:r>
        <w:rPr>
          <w:rFonts w:ascii="Arial" w:cs="Arial" w:eastAsia="Arial" w:hAnsi="Arial"/>
          <w:sz w:val="30"/>
          <w:szCs w:val="30"/>
          <w:u w:val="single" w:color="auto"/>
          <w:color w:val="0000EE"/>
          <w:vertAlign w:val="superscript"/>
        </w:rPr>
        <w:t>(5)</w:t>
      </w:r>
    </w:p>
    <w:p>
      <w:pPr>
        <w:spacing w:after="0" w:line="128" w:lineRule="exact"/>
        <w:rPr>
          <w:sz w:val="20"/>
          <w:szCs w:val="20"/>
          <w:color w:val="auto"/>
        </w:rPr>
      </w:pPr>
    </w:p>
    <w:p>
      <w:pPr>
        <w:spacing w:after="0"/>
        <w:rPr>
          <w:rFonts w:ascii="Arial" w:cs="Arial" w:eastAsia="Arial" w:hAnsi="Arial"/>
          <w:sz w:val="16"/>
          <w:szCs w:val="16"/>
          <w:u w:val="single" w:color="auto"/>
          <w:color w:val="0000EE"/>
        </w:rPr>
      </w:pPr>
      <w:hyperlink r:id="rId186">
        <w:r>
          <w:rPr>
            <w:rFonts w:ascii="Arial" w:cs="Arial" w:eastAsia="Arial" w:hAnsi="Arial"/>
            <w:sz w:val="16"/>
            <w:szCs w:val="16"/>
            <w:u w:val="single" w:color="auto"/>
            <w:color w:val="0000EE"/>
          </w:rPr>
          <w:t>Second Supplemental Indenture between the Company and U.S. Bank National Association relating to the 6.125% Notes Due 2022</w:t>
        </w:r>
      </w:hyperlink>
      <w:r>
        <w:rPr>
          <w:rFonts w:ascii="Arial" w:cs="Arial" w:eastAsia="Arial" w:hAnsi="Arial"/>
          <w:sz w:val="26"/>
          <w:szCs w:val="26"/>
          <w:u w:val="single" w:color="auto"/>
          <w:color w:val="0000EE"/>
          <w:vertAlign w:val="superscript"/>
        </w:rPr>
        <w:t>(6)</w:t>
      </w:r>
    </w:p>
    <w:p>
      <w:pPr>
        <w:spacing w:after="0" w:line="133" w:lineRule="exact"/>
        <w:rPr>
          <w:sz w:val="20"/>
          <w:szCs w:val="20"/>
          <w:color w:val="auto"/>
        </w:rPr>
      </w:pPr>
    </w:p>
    <w:p>
      <w:pPr>
        <w:sectPr>
          <w:pgSz w:w="11900" w:h="16838" w:orient="portrait"/>
          <w:cols w:equalWidth="0" w:num="2">
            <w:col w:w="660" w:space="720"/>
            <w:col w:w="100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40" w:type="dxa"/>
            <w:vAlign w:val="bottom"/>
            <w:vMerge w:val="restart"/>
          </w:tcPr>
          <w:p>
            <w:pPr>
              <w:spacing w:after="0"/>
              <w:rPr>
                <w:rFonts w:ascii="Arial" w:cs="Arial" w:eastAsia="Arial" w:hAnsi="Arial"/>
                <w:sz w:val="18"/>
                <w:szCs w:val="18"/>
                <w:color w:val="0000EE"/>
                <w:w w:val="87"/>
              </w:rPr>
            </w:pPr>
            <w:hyperlink r:id="rId1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0" w:type="dxa"/>
            <w:vAlign w:val="bottom"/>
            <w:gridSpan w:val="5"/>
            <w:vMerge w:val="restart"/>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6.125% Notes Due 2022 (included as part of Exhibit 4.5).</w:t>
              </w:r>
            </w:hyperlink>
          </w:p>
        </w:tc>
        <w:tc>
          <w:tcPr>
            <w:tcW w:w="160" w:type="dxa"/>
            <w:vAlign w:val="bottom"/>
            <w:tcBorders>
              <w:bottom w:val="single" w:sz="8" w:color="0000EE"/>
            </w:tcBorders>
          </w:tcPr>
          <w:p>
            <w:pPr>
              <w:jc w:val="right"/>
              <w:spacing w:after="0"/>
              <w:rPr>
                <w:rFonts w:ascii="Arial" w:cs="Arial" w:eastAsia="Arial" w:hAnsi="Arial"/>
                <w:sz w:val="15"/>
                <w:szCs w:val="15"/>
                <w:color w:val="0000EE"/>
                <w:w w:val="76"/>
              </w:rPr>
            </w:pPr>
            <w:hyperlink r:id="rId186">
              <w:r>
                <w:rPr>
                  <w:rFonts w:ascii="Arial" w:cs="Arial" w:eastAsia="Arial" w:hAnsi="Arial"/>
                  <w:sz w:val="15"/>
                  <w:szCs w:val="15"/>
                  <w:color w:val="0000EE"/>
                  <w:w w:val="76"/>
                </w:rPr>
                <w:t>(6)</w:t>
              </w:r>
            </w:hyperlink>
          </w:p>
        </w:tc>
        <w:tc>
          <w:tcPr>
            <w:tcW w:w="3700" w:type="dxa"/>
            <w:vAlign w:val="bottom"/>
            <w:vMerge w:val="restart"/>
          </w:tcPr>
          <w:p>
            <w:pPr>
              <w:spacing w:after="0"/>
              <w:rPr>
                <w:sz w:val="17"/>
                <w:szCs w:val="17"/>
                <w:color w:val="auto"/>
              </w:rPr>
            </w:pPr>
          </w:p>
        </w:tc>
        <w:tc>
          <w:tcPr>
            <w:tcW w:w="10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4800" w:type="dxa"/>
            <w:vAlign w:val="bottom"/>
            <w:gridSpan w:val="5"/>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4800" w:type="dxa"/>
            <w:vAlign w:val="bottom"/>
            <w:tcBorders>
              <w:bottom w:val="single" w:sz="8" w:color="0000EE"/>
            </w:tcBorders>
            <w:gridSpan w:val="5"/>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106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Computation of Per Share Earnings (included in the notes to the unaudited financial statements contained in this report).</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gridSpan w:val="2"/>
          </w:tcPr>
          <w:p>
            <w:pPr>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6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Chief Executive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60" w:type="dxa"/>
            <w:vAlign w:val="bottom"/>
          </w:tcPr>
          <w:p>
            <w:pPr>
              <w:spacing w:after="0"/>
              <w:rPr>
                <w:sz w:val="15"/>
                <w:szCs w:val="15"/>
                <w:color w:val="auto"/>
              </w:rPr>
            </w:pPr>
          </w:p>
        </w:tc>
        <w:tc>
          <w:tcPr>
            <w:tcW w:w="97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Section 302 of the Sarbanes-Oxley Act of 2002.**</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0" w:type="dxa"/>
            <w:vAlign w:val="bottom"/>
            <w:gridSpan w:val="2"/>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6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Chief Financial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60" w:type="dxa"/>
            <w:vAlign w:val="bottom"/>
          </w:tcPr>
          <w:p>
            <w:pPr>
              <w:spacing w:after="0"/>
              <w:rPr>
                <w:sz w:val="15"/>
                <w:szCs w:val="15"/>
                <w:color w:val="auto"/>
              </w:rPr>
            </w:pPr>
          </w:p>
        </w:tc>
        <w:tc>
          <w:tcPr>
            <w:tcW w:w="96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Section 302 of the Sarbanes-Oxley Act of 2002.**</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6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Chief Executive Officer Pursuant to 18 U. S. C. 1350, as adopted pursuant to Section 906 of the Sarbanes-Oxley Act of</w:t>
              </w:r>
            </w:hyperlink>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2002. **</w:t>
              </w:r>
            </w:hyperlink>
          </w:p>
        </w:tc>
        <w:tc>
          <w:tcPr>
            <w:tcW w:w="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20" w:type="dxa"/>
            <w:vAlign w:val="bottom"/>
            <w:gridSpan w:val="2"/>
          </w:tcPr>
          <w:p>
            <w:pPr>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06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Chief Financial Officer Pursuant to 18 U. S. C. 1350, as adopted pursuant to Section 906 of the Sarbanes-Oxley Act of</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2002.**</w:t>
              </w:r>
            </w:hyperlink>
          </w:p>
        </w:tc>
        <w:tc>
          <w:tcPr>
            <w:tcW w:w="40" w:type="dxa"/>
            <w:vAlign w:val="bottom"/>
            <w:tcBorders>
              <w:top w:val="single" w:sz="8" w:color="0000EE"/>
            </w:tcBorders>
          </w:tcPr>
          <w:p>
            <w:pPr>
              <w:spacing w:after="0"/>
              <w:rPr>
                <w:sz w:val="15"/>
                <w:szCs w:val="15"/>
                <w:color w:val="auto"/>
              </w:rPr>
            </w:pPr>
          </w:p>
        </w:tc>
        <w:tc>
          <w:tcPr>
            <w:tcW w:w="296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7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820" w:type="dxa"/>
            <w:vAlign w:val="bottom"/>
            <w:gridSpan w:val="11"/>
          </w:tcPr>
          <w:p>
            <w:pPr>
              <w:ind w:left="20"/>
              <w:spacing w:after="0"/>
              <w:rPr>
                <w:sz w:val="20"/>
                <w:szCs w:val="20"/>
                <w:color w:val="auto"/>
              </w:rPr>
            </w:pPr>
            <w:r>
              <w:rPr>
                <w:rFonts w:ascii="Arial" w:cs="Arial" w:eastAsia="Arial" w:hAnsi="Arial"/>
                <w:sz w:val="18"/>
                <w:szCs w:val="18"/>
                <w:color w:val="auto"/>
              </w:rPr>
              <w:t>Submitted herewith</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Pre-Effective Amendment No. 1 on Form N-2, as filed on October 6, 2006 (File No. 333-136714).</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Exhibit 3.1 of the Current Report on Form 8-K, as filed on March 1, 2012 (File No. 814-00735).</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Post-Effective Amendment No. 1 on Form N-2, as filed on August 14, 2017 (File No. 333-218596).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520" w:hanging="188"/>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520" w:hanging="188"/>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9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2017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2017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96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ý"/>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bullet"/>
      <w:start w:val="1"/>
    </w:lvl>
  </w:abstractNum>
  <w:abstractNum w:abstractNumId="3">
    <w:nsid w:val="3A95F874"/>
    <w:multiLevelType w:val="hybridMultilevel"/>
    <w:lvl w:ilvl="0">
      <w:lvlJc w:val="left"/>
      <w:lvlText w:val="2"/>
      <w:numFmt w:val="bullet"/>
      <w:start w:val="1"/>
    </w:lvl>
  </w:abstractNum>
  <w:abstractNum w:abstractNumId="4">
    <w:nsid w:val="8138641"/>
    <w:multiLevelType w:val="hybridMultilevel"/>
    <w:lvl w:ilvl="0">
      <w:lvlJc w:val="left"/>
      <w:lvlText w:val="3"/>
      <w:numFmt w:val="bullet"/>
      <w:start w:val="1"/>
    </w:lvl>
  </w:abstractNum>
  <w:abstractNum w:abstractNumId="5">
    <w:nsid w:val="1E7FF521"/>
    <w:multiLevelType w:val="hybridMultilevel"/>
    <w:lvl w:ilvl="0">
      <w:lvlJc w:val="left"/>
      <w:lvlText w:val="4"/>
      <w:numFmt w:val="bullet"/>
      <w:start w:val="1"/>
    </w:lvl>
  </w:abstractNum>
  <w:abstractNum w:abstractNumId="6">
    <w:nsid w:val="7C3DBD3D"/>
    <w:multiLevelType w:val="hybridMultilevel"/>
    <w:lvl w:ilvl="0">
      <w:lvlJc w:val="left"/>
      <w:lvlText w:val="5"/>
      <w:numFmt w:val="bullet"/>
      <w:start w:val="1"/>
    </w:lvl>
  </w:abstractNum>
  <w:abstractNum w:abstractNumId="7">
    <w:nsid w:val="737B8DDC"/>
    <w:multiLevelType w:val="hybridMultilevel"/>
    <w:lvl w:ilvl="0">
      <w:lvlJc w:val="left"/>
      <w:lvlText w:val="6"/>
      <w:numFmt w:val="bullet"/>
      <w:start w:val="1"/>
    </w:lvl>
  </w:abstractNum>
  <w:abstractNum w:abstractNumId="8">
    <w:nsid w:val="6CEAF087"/>
    <w:multiLevelType w:val="hybridMultilevel"/>
    <w:lvl w:ilvl="0">
      <w:lvlJc w:val="left"/>
      <w:lvlText w:val="7"/>
      <w:numFmt w:val="bullet"/>
      <w:start w:val="1"/>
    </w:lvl>
  </w:abstractNum>
  <w:abstractNum w:abstractNumId="9">
    <w:nsid w:val="22221A70"/>
    <w:multiLevelType w:val="hybridMultilevel"/>
    <w:lvl w:ilvl="0">
      <w:lvlJc w:val="left"/>
      <w:lvlText w:val="8"/>
      <w:numFmt w:val="bullet"/>
      <w:start w:val="1"/>
    </w:lvl>
  </w:abstractNum>
  <w:abstractNum w:abstractNumId="10">
    <w:nsid w:val="4516DDE9"/>
    <w:multiLevelType w:val="hybridMultilevel"/>
    <w:lvl w:ilvl="0">
      <w:lvlJc w:val="left"/>
      <w:lvlText w:val="9"/>
      <w:numFmt w:val="bullet"/>
      <w:start w:val="1"/>
    </w:lvl>
  </w:abstractNum>
  <w:abstractNum w:abstractNumId="11">
    <w:nsid w:val="3006C83E"/>
    <w:multiLevelType w:val="hybridMultilevel"/>
    <w:lvl w:ilvl="0">
      <w:lvlJc w:val="left"/>
      <w:lvlText w:val="%1"/>
      <w:numFmt w:val="decimal"/>
      <w:start w:val="10"/>
    </w:lvl>
  </w:abstractNum>
  <w:abstractNum w:abstractNumId="12">
    <w:nsid w:val="614FD4A1"/>
    <w:multiLevelType w:val="hybridMultilevel"/>
    <w:lvl w:ilvl="0">
      <w:lvlJc w:val="left"/>
      <w:lvlText w:val="%1"/>
      <w:numFmt w:val="upperLetter"/>
      <w:start w:val="54"/>
    </w:lvl>
  </w:abstractNum>
  <w:abstractNum w:abstractNumId="13">
    <w:nsid w:val="419AC241"/>
    <w:multiLevelType w:val="hybridMultilevel"/>
    <w:lvl w:ilvl="0">
      <w:lvlJc w:val="left"/>
      <w:lvlText w:val="%1"/>
      <w:numFmt w:val="upperLetter"/>
      <w:start w:val="6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bullet"/>
      <w:start w:val="1"/>
    </w:lvl>
  </w:abstractNum>
  <w:abstractNum w:abstractNumId="16">
    <w:nsid w:val="5072367"/>
    <w:multiLevelType w:val="hybridMultilevel"/>
    <w:lvl w:ilvl="0">
      <w:lvlJc w:val="left"/>
      <w:lvlText w:val="2"/>
      <w:numFmt w:val="bullet"/>
      <w:start w:val="1"/>
    </w:lvl>
  </w:abstractNum>
  <w:abstractNum w:abstractNumId="17">
    <w:nsid w:val="3804823E"/>
    <w:multiLevelType w:val="hybridMultilevel"/>
    <w:lvl w:ilvl="0">
      <w:lvlJc w:val="left"/>
      <w:lvlText w:val="3"/>
      <w:numFmt w:val="bullet"/>
      <w:start w:val="1"/>
    </w:lvl>
  </w:abstractNum>
  <w:abstractNum w:abstractNumId="18">
    <w:nsid w:val="77465F01"/>
    <w:multiLevelType w:val="hybridMultilevel"/>
    <w:lvl w:ilvl="0">
      <w:lvlJc w:val="left"/>
      <w:lvlText w:val="4"/>
      <w:numFmt w:val="bullet"/>
      <w:start w:val="1"/>
    </w:lvl>
  </w:abstractNum>
  <w:abstractNum w:abstractNumId="19">
    <w:nsid w:val="7724C67E"/>
    <w:multiLevelType w:val="hybridMultilevel"/>
    <w:lvl w:ilvl="0">
      <w:lvlJc w:val="left"/>
      <w:lvlText w:val="5"/>
      <w:numFmt w:val="bullet"/>
      <w:start w:val="1"/>
    </w:lvl>
  </w:abstractNum>
  <w:abstractNum w:abstractNumId="20">
    <w:nsid w:val="5C482A97"/>
    <w:multiLevelType w:val="hybridMultilevel"/>
    <w:lvl w:ilvl="0">
      <w:lvlJc w:val="left"/>
      <w:lvlText w:val="6"/>
      <w:numFmt w:val="bullet"/>
      <w:start w:val="1"/>
    </w:lvl>
  </w:abstractNum>
  <w:abstractNum w:abstractNumId="21">
    <w:nsid w:val="2463B9EA"/>
    <w:multiLevelType w:val="hybridMultilevel"/>
    <w:lvl w:ilvl="0">
      <w:lvlJc w:val="left"/>
      <w:lvlText w:val="%1."/>
      <w:numFmt w:val="decimal"/>
      <w:start w:val="2"/>
    </w:lvl>
  </w:abstractNum>
  <w:abstractNum w:abstractNumId="22">
    <w:nsid w:val="5E884ADC"/>
    <w:multiLevelType w:val="hybridMultilevel"/>
    <w:lvl w:ilvl="0">
      <w:lvlJc w:val="left"/>
      <w:lvlText w:val="¹"/>
      <w:numFmt w:val="bullet"/>
      <w:start w:val="1"/>
    </w:lvl>
  </w:abstractNum>
  <w:abstractNum w:abstractNumId="23">
    <w:nsid w:val="51EAD36B"/>
    <w:multiLevelType w:val="hybridMultilevel"/>
    <w:lvl w:ilvl="0">
      <w:lvlJc w:val="left"/>
      <w:lvlText w:val="²"/>
      <w:numFmt w:val="bullet"/>
      <w:start w:val="1"/>
    </w:lvl>
  </w:abstractNum>
  <w:abstractNum w:abstractNumId="24">
    <w:nsid w:val="2D517796"/>
    <w:multiLevelType w:val="hybridMultilevel"/>
    <w:lvl w:ilvl="0">
      <w:lvlJc w:val="left"/>
      <w:lvlText w:val="³"/>
      <w:numFmt w:val="bullet"/>
      <w:start w:val="1"/>
    </w:lvl>
  </w:abstractNum>
  <w:abstractNum w:abstractNumId="25">
    <w:nsid w:val="580BD78F"/>
    <w:multiLevelType w:val="hybridMultilevel"/>
    <w:lvl w:ilvl="0">
      <w:lvlJc w:val="left"/>
      <w:lvlText w:val="1"/>
      <w:numFmt w:val="bullet"/>
      <w:start w:val="1"/>
    </w:lvl>
  </w:abstractNum>
  <w:abstractNum w:abstractNumId="26">
    <w:nsid w:val="153EA438"/>
    <w:multiLevelType w:val="hybridMultilevel"/>
    <w:lvl w:ilvl="0">
      <w:lvlJc w:val="left"/>
      <w:lvlText w:val="2"/>
      <w:numFmt w:val="bullet"/>
      <w:start w:val="1"/>
    </w:lvl>
  </w:abstractNum>
  <w:abstractNum w:abstractNumId="27">
    <w:nsid w:val="3855585C"/>
    <w:multiLevelType w:val="hybridMultilevel"/>
    <w:lvl w:ilvl="0">
      <w:lvlJc w:val="left"/>
      <w:lvlText w:val="¹"/>
      <w:numFmt w:val="bullet"/>
      <w:start w:val="1"/>
    </w:lvl>
  </w:abstractNum>
  <w:abstractNum w:abstractNumId="28">
    <w:nsid w:val="70A64E2A"/>
    <w:multiLevelType w:val="hybridMultilevel"/>
    <w:lvl w:ilvl="0">
      <w:lvlJc w:val="left"/>
      <w:lvlText w:val="¹"/>
      <w:numFmt w:val="bullet"/>
      <w:start w:val="1"/>
    </w:lvl>
  </w:abstractNum>
  <w:abstractNum w:abstractNumId="29">
    <w:nsid w:val="6A2342EC"/>
    <w:multiLevelType w:val="hybridMultilevel"/>
    <w:lvl w:ilvl="0">
      <w:lvlJc w:val="left"/>
      <w:lvlText w:val="1"/>
      <w:numFmt w:val="bullet"/>
      <w:start w:val="1"/>
    </w:lvl>
  </w:abstractNum>
  <w:abstractNum w:abstractNumId="30">
    <w:nsid w:val="2A487CB0"/>
    <w:multiLevelType w:val="hybridMultilevel"/>
    <w:lvl w:ilvl="0">
      <w:lvlJc w:val="left"/>
      <w:lvlText w:val="(%1)"/>
      <w:numFmt w:val="lowerRoman"/>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¹"/>
      <w:numFmt w:val="bullet"/>
      <w:start w:val="1"/>
    </w:lvl>
  </w:abstractNum>
  <w:abstractNum w:abstractNumId="33">
    <w:nsid w:val="2CD89A32"/>
    <w:multiLevelType w:val="hybridMultilevel"/>
    <w:lvl w:ilvl="0">
      <w:lvlJc w:val="left"/>
      <w:lvlText w:val="²"/>
      <w:numFmt w:val="bullet"/>
      <w:start w:val="1"/>
    </w:lvl>
  </w:abstractNum>
  <w:abstractNum w:abstractNumId="34">
    <w:nsid w:val="57E4CCAF"/>
    <w:multiLevelType w:val="hybridMultilevel"/>
    <w:lvl w:ilvl="0">
      <w:lvlJc w:val="left"/>
      <w:lvlText w:val="³"/>
      <w:numFmt w:val="bullet"/>
      <w:start w:val="1"/>
    </w:lvl>
  </w:abstractNum>
  <w:abstractNum w:abstractNumId="35">
    <w:nsid w:val="7A6D8D3C"/>
    <w:multiLevelType w:val="hybridMultilevel"/>
    <w:lvl w:ilvl="0">
      <w:lvlJc w:val="left"/>
      <w:lvlText w:val="1"/>
      <w:numFmt w:val="bullet"/>
      <w:start w:val="1"/>
    </w:lvl>
  </w:abstractNum>
  <w:abstractNum w:abstractNumId="36">
    <w:nsid w:val="4B588F54"/>
    <w:multiLevelType w:val="hybridMultilevel"/>
    <w:lvl w:ilvl="0">
      <w:lvlJc w:val="left"/>
      <w:lvlText w:val="2"/>
      <w:numFmt w:val="bullet"/>
      <w:start w:val="1"/>
    </w:lvl>
  </w:abstractNum>
  <w:abstractNum w:abstractNumId="37">
    <w:nsid w:val="542289EC"/>
    <w:multiLevelType w:val="hybridMultilevel"/>
    <w:lvl w:ilvl="0">
      <w:lvlJc w:val="left"/>
      <w:lvlText w:val="¹"/>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bullet"/>
      <w:start w:val="1"/>
    </w:lvl>
  </w:abstractNum>
  <w:abstractNum w:abstractNumId="42">
    <w:nsid w:val="684A481A"/>
    <w:multiLevelType w:val="hybridMultilevel"/>
    <w:lvl w:ilvl="0">
      <w:lvlJc w:val="left"/>
      <w:lvlText w:val="¹"/>
      <w:numFmt w:val="bullet"/>
      <w:start w:val="1"/>
    </w:lvl>
  </w:abstractNum>
  <w:abstractNum w:abstractNumId="43">
    <w:nsid w:val="579478FE"/>
    <w:multiLevelType w:val="hybridMultilevel"/>
    <w:lvl w:ilvl="0">
      <w:lvlJc w:val="left"/>
      <w:lvlText w:val="²"/>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80" Type="http://schemas.openxmlformats.org/officeDocument/2006/relationships/hyperlink" Target="http://www.sec.gov/Archives/edgar/data/1372807/000114420412012240/v304412_ex2-1.htm" TargetMode="External"/><Relationship Id="rId181" Type="http://schemas.openxmlformats.org/officeDocument/2006/relationships/hyperlink" Target="http://www.sec.gov/Archives/edgar/data/1372807/000119312506204545/dex99a.htm" TargetMode="External"/><Relationship Id="rId182" Type="http://schemas.openxmlformats.org/officeDocument/2006/relationships/hyperlink" Target="http://www.sec.gov/Archives/edgar/data/1372807/000114420412012240/v304412_ex3-1.htm" TargetMode="External"/><Relationship Id="rId183" Type="http://schemas.openxmlformats.org/officeDocument/2006/relationships/hyperlink" Target="http://www.sec.gov/Archives/edgar/data/1372807/000119312506238694/dex99e.htm" TargetMode="External"/><Relationship Id="rId184" Type="http://schemas.openxmlformats.org/officeDocument/2006/relationships/hyperlink" Target="http://www.sec.gov/Archives/edgar/data/1372807/000114420412054349/v323537_ex99d3.htm" TargetMode="External"/><Relationship Id="rId185" Type="http://schemas.openxmlformats.org/officeDocument/2006/relationships/hyperlink" Target="http://www.sec.gov/Archives/edgar/data/1372807/000114420412054349/v323537_ex99d5.htm" TargetMode="External"/><Relationship Id="rId186" Type="http://schemas.openxmlformats.org/officeDocument/2006/relationships/hyperlink" Target="http://www.sec.gov/Archives/edgar/data/1372807/000114420417042730/v473026_ex99-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2019-12-29T03:20:47Z</dcterms:created>
  <dcterms:modified xsi:type="dcterms:W3CDTF">2019-12-29T03:20:47Z</dcterms:modified>
</cp:coreProperties>
</file>