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right"/>
        <w:rPr>
          <w:rFonts w:ascii="Times New Roman" w:hAnsi="Times New Roman"/>
          <w:sz w:val="20"/>
        </w:rPr>
      </w:pPr>
      <w:bookmarkStart w:id="0" w:name="d949001d425.htm"/>
      <w:bookmarkStart w:id="1" w:name="ksd949001d425"/>
      <w:bookmarkEnd w:id="0"/>
      <w:bookmarkEnd w:id="1"/>
      <w:r>
        <w:rPr>
          <w:rFonts w:ascii="Times New Roman" w:hAnsi="Times New Roman"/>
          <w:sz w:val="20"/>
        </w:rPr>
        <w:t xml:space="preserve">Filed by Portman Ridge Finance Corporation </w:t>
      </w:r>
    </w:p>
    <w:p>
      <w:pPr>
        <w:pStyle w:val="TextBody"/>
        <w:bidi w:val="0"/>
        <w:spacing w:before="0" w:after="0"/>
        <w:jc w:val="right"/>
        <w:rPr>
          <w:rFonts w:ascii="Times New Roman" w:hAnsi="Times New Roman"/>
          <w:sz w:val="20"/>
        </w:rPr>
      </w:pPr>
      <w:r>
        <w:rPr>
          <w:rFonts w:ascii="Times New Roman" w:hAnsi="Times New Roman"/>
          <w:sz w:val="20"/>
        </w:rPr>
        <w:t xml:space="preserve">pursuant to Rule 425 under the Securities Act of 1933 </w:t>
      </w:r>
    </w:p>
    <w:p>
      <w:pPr>
        <w:pStyle w:val="TextBody"/>
        <w:bidi w:val="0"/>
        <w:spacing w:before="0" w:after="0"/>
        <w:jc w:val="right"/>
        <w:rPr>
          <w:rFonts w:ascii="Times New Roman" w:hAnsi="Times New Roman"/>
          <w:sz w:val="20"/>
        </w:rPr>
      </w:pPr>
      <w:r>
        <w:rPr>
          <w:rFonts w:ascii="Times New Roman" w:hAnsi="Times New Roman"/>
          <w:sz w:val="20"/>
        </w:rPr>
        <w:t xml:space="preserve">Subject Company: Logan Ridge Finance Corporation </w:t>
      </w:r>
    </w:p>
    <w:p>
      <w:pPr>
        <w:pStyle w:val="TextBody"/>
        <w:bidi w:val="0"/>
        <w:spacing w:before="0" w:after="0"/>
        <w:jc w:val="right"/>
        <w:rPr>
          <w:rFonts w:ascii="Times New Roman" w:hAnsi="Times New Roman"/>
          <w:sz w:val="20"/>
        </w:rPr>
      </w:pPr>
      <w:r>
        <w:rPr>
          <w:rFonts w:ascii="Times New Roman" w:hAnsi="Times New Roman"/>
          <w:sz w:val="20"/>
        </w:rPr>
        <w:t xml:space="preserve">File No. of Related Registration Statement: 333-285230 </w:t>
      </w:r>
    </w:p>
    <w:p>
      <w:pPr>
        <w:pStyle w:val="TextBody"/>
        <w:bidi w:val="0"/>
        <w:spacing w:before="0" w:after="0"/>
        <w:jc w:val="right"/>
        <w:rPr>
          <w:rFonts w:ascii="Times New Roman" w:hAnsi="Times New Roman"/>
          <w:sz w:val="20"/>
        </w:rPr>
      </w:pPr>
      <w:r>
        <w:rPr>
          <w:rFonts w:ascii="Times New Roman" w:hAnsi="Times New Roman"/>
          <w:sz w:val="20"/>
        </w:rPr>
        <w:t xml:space="preserve">Date: May 8, 2025 </w:t>
      </w:r>
    </w:p>
    <w:p>
      <w:pPr>
        <w:pStyle w:val="TextBody"/>
        <w:bidi w:val="0"/>
        <w:spacing w:before="0" w:after="0"/>
        <w:jc w:val="left"/>
        <w:rPr/>
      </w:pPr>
      <w:r>
        <w:rPr/>
        <w:t> </w:t>
      </w:r>
    </w:p>
    <w:p>
      <w:pPr>
        <w:pStyle w:val="TextBody"/>
        <w:bidi w:val="0"/>
        <w:spacing w:before="0" w:after="0"/>
        <w:jc w:val="left"/>
        <w:rPr/>
      </w:pPr>
      <w:r>
        <w:rPr/>
        <w:drawing>
          <wp:inline distT="0" distB="0" distL="0" distR="0">
            <wp:extent cx="3381375" cy="8191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381375" cy="819150"/>
                    </a:xfrm>
                    <a:prstGeom prst="rect">
                      <a:avLst/>
                    </a:prstGeom>
                  </pic:spPr>
                </pic:pic>
              </a:graphicData>
            </a:graphic>
          </wp:inline>
        </w:drawing>
      </w:r>
      <w:r>
        <w:rPr/>
        <w:t xml:space="preserve"> </w:t>
      </w:r>
    </w:p>
    <w:p>
      <w:pPr>
        <w:pStyle w:val="TextBody"/>
        <w:bidi w:val="0"/>
        <w:spacing w:before="240" w:after="0"/>
        <w:jc w:val="left"/>
        <w:rPr>
          <w:rFonts w:ascii="Times New Roman" w:hAnsi="Times New Roman"/>
          <w:b/>
          <w:sz w:val="20"/>
          <w:u w:val="single"/>
        </w:rPr>
      </w:pPr>
      <w:r>
        <w:rPr>
          <w:rFonts w:ascii="Times New Roman" w:hAnsi="Times New Roman"/>
          <w:b/>
          <w:sz w:val="20"/>
          <w:u w:val="single"/>
        </w:rPr>
        <w:t xml:space="preserve">FOR IMMEDIATE RELEASE </w:t>
      </w:r>
    </w:p>
    <w:p>
      <w:pPr>
        <w:pStyle w:val="TextBody"/>
        <w:bidi w:val="0"/>
        <w:spacing w:before="240" w:after="0"/>
        <w:jc w:val="center"/>
        <w:rPr>
          <w:rFonts w:ascii="Times New Roman" w:hAnsi="Times New Roman"/>
          <w:b/>
          <w:sz w:val="20"/>
        </w:rPr>
      </w:pPr>
      <w:r>
        <w:rPr>
          <w:rFonts w:ascii="Times New Roman" w:hAnsi="Times New Roman"/>
          <w:b/>
          <w:sz w:val="20"/>
        </w:rPr>
        <w:t xml:space="preserve">Portman Ridge Finance Corporation Announces </w:t>
      </w:r>
    </w:p>
    <w:p>
      <w:pPr>
        <w:pStyle w:val="TextBody"/>
        <w:bidi w:val="0"/>
        <w:spacing w:before="0" w:after="0"/>
        <w:jc w:val="center"/>
        <w:rPr>
          <w:rFonts w:ascii="Times New Roman" w:hAnsi="Times New Roman"/>
          <w:b/>
          <w:sz w:val="20"/>
        </w:rPr>
      </w:pPr>
      <w:r>
        <w:rPr>
          <w:rFonts w:ascii="Times New Roman" w:hAnsi="Times New Roman"/>
          <w:b/>
          <w:sz w:val="20"/>
        </w:rPr>
        <w:t xml:space="preserve">First Quarter 2025 Financial Results </w:t>
      </w:r>
    </w:p>
    <w:p>
      <w:pPr>
        <w:pStyle w:val="TextBody"/>
        <w:bidi w:val="0"/>
        <w:spacing w:before="240" w:after="0"/>
        <w:jc w:val="center"/>
        <w:rPr>
          <w:rFonts w:ascii="Times New Roman" w:hAnsi="Times New Roman"/>
          <w:b/>
          <w:i/>
          <w:sz w:val="20"/>
        </w:rPr>
      </w:pPr>
      <w:r>
        <w:rPr>
          <w:rFonts w:ascii="Times New Roman" w:hAnsi="Times New Roman"/>
          <w:b/>
          <w:i/>
          <w:sz w:val="20"/>
        </w:rPr>
        <w:t xml:space="preserve">Reports Net Investment Income of $0.47 Per Share and Net Asset Value of $18.85 Per Share </w:t>
      </w:r>
    </w:p>
    <w:p>
      <w:pPr>
        <w:pStyle w:val="TextBody"/>
        <w:bidi w:val="0"/>
        <w:spacing w:before="240" w:after="0"/>
        <w:jc w:val="center"/>
        <w:rPr>
          <w:rFonts w:ascii="Times New Roman" w:hAnsi="Times New Roman"/>
          <w:b/>
          <w:i/>
          <w:sz w:val="20"/>
        </w:rPr>
      </w:pPr>
      <w:r>
        <w:rPr>
          <w:rFonts w:ascii="Times New Roman" w:hAnsi="Times New Roman"/>
          <w:b/>
          <w:i/>
          <w:sz w:val="20"/>
        </w:rPr>
        <w:t xml:space="preserve">Deployment of Approximately $17.5 Million and Sales and Repayments of Approximately $15.7 Million for Net Deployment of Approximately $1.8 Million </w:t>
      </w:r>
    </w:p>
    <w:p>
      <w:pPr>
        <w:pStyle w:val="TextBody"/>
        <w:bidi w:val="0"/>
        <w:spacing w:before="240" w:after="0"/>
        <w:jc w:val="center"/>
        <w:rPr>
          <w:rFonts w:ascii="Times New Roman" w:hAnsi="Times New Roman"/>
          <w:b/>
          <w:i/>
          <w:sz w:val="20"/>
        </w:rPr>
      </w:pPr>
      <w:r>
        <w:rPr>
          <w:rFonts w:ascii="Times New Roman" w:hAnsi="Times New Roman"/>
          <w:b/>
          <w:i/>
          <w:sz w:val="20"/>
        </w:rPr>
        <w:t xml:space="preserve">Announces Second Quarter 2025 Quarterly Base Distribution of $0.47 Per Share </w:t>
      </w:r>
    </w:p>
    <w:p>
      <w:pPr>
        <w:pStyle w:val="TextBody"/>
        <w:bidi w:val="0"/>
        <w:spacing w:before="240" w:after="0"/>
        <w:jc w:val="center"/>
        <w:rPr>
          <w:rFonts w:ascii="Times New Roman" w:hAnsi="Times New Roman"/>
          <w:b/>
          <w:i/>
          <w:sz w:val="20"/>
        </w:rPr>
      </w:pPr>
      <w:r>
        <w:rPr>
          <w:rFonts w:ascii="Times New Roman" w:hAnsi="Times New Roman"/>
          <w:b/>
          <w:i/>
          <w:sz w:val="20"/>
        </w:rPr>
        <w:t xml:space="preserve">Investors are Encouraged to Vote FOR the Acquisition of Logan Ridge Finance Corporation </w:t>
      </w:r>
    </w:p>
    <w:p>
      <w:pPr>
        <w:pStyle w:val="TextBody"/>
        <w:bidi w:val="0"/>
        <w:spacing w:before="240" w:after="0"/>
        <w:jc w:val="left"/>
        <w:rPr>
          <w:rFonts w:ascii="Times New Roman" w:hAnsi="Times New Roman"/>
          <w:sz w:val="20"/>
        </w:rPr>
      </w:pPr>
      <w:r>
        <w:rPr>
          <w:rFonts w:ascii="Times New Roman" w:hAnsi="Times New Roman"/>
          <w:b/>
          <w:sz w:val="20"/>
        </w:rPr>
        <w:t>NEW YORK, May</w:t>
      </w:r>
      <w:r>
        <w:rPr>
          <w:rFonts w:ascii="Times New Roman" w:hAnsi="Times New Roman"/>
          <w:sz w:val="20"/>
        </w:rPr>
        <w:t> </w:t>
      </w:r>
      <w:r>
        <w:rPr>
          <w:rFonts w:ascii="Times New Roman" w:hAnsi="Times New Roman"/>
          <w:b/>
          <w:sz w:val="20"/>
        </w:rPr>
        <w:t xml:space="preserve">8, 2025 (GLOBAL NEWSWIRE) </w:t>
      </w:r>
      <w:r>
        <w:rPr>
          <w:rFonts w:ascii="Times New Roman" w:hAnsi="Times New Roman"/>
          <w:sz w:val="20"/>
        </w:rPr>
        <w:t xml:space="preserve"> Portman Ridge Finance Corporation (Nasdaq: PTMN) (the Company or Portman Ridge) announced today its financial results for the first quarter ended March 31, 2025. </w:t>
      </w:r>
    </w:p>
    <w:p>
      <w:pPr>
        <w:pStyle w:val="TextBody"/>
        <w:bidi w:val="0"/>
        <w:spacing w:before="240" w:after="0"/>
        <w:jc w:val="left"/>
        <w:rPr>
          <w:rFonts w:ascii="Times New Roman" w:hAnsi="Times New Roman"/>
          <w:b/>
          <w:sz w:val="20"/>
        </w:rPr>
      </w:pPr>
      <w:r>
        <w:rPr>
          <w:rFonts w:ascii="Times New Roman" w:hAnsi="Times New Roman"/>
          <w:b/>
          <w:sz w:val="20"/>
        </w:rPr>
        <w:t xml:space="preserve">First Quarter 2025 Highlights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1"/>
        <w:gridCol w:w="9801"/>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Total investment income </w:t>
            </w:r>
            <w:r>
              <w:rPr>
                <w:rFonts w:ascii="Times New Roman" w:hAnsi="Times New Roman"/>
                <w:sz w:val="20"/>
              </w:rPr>
              <w:t xml:space="preserve">for the first quarter of 2025 was $12.1 million, down from $14.4 million in the fourth quarter of 2024, due to the reversal of previously accrued income after a portfolio company was placed on non-accrual status in the first quarter of 2025.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1"/>
        <w:gridCol w:w="9801"/>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b/>
                <w:sz w:val="20"/>
              </w:rPr>
              <w:t>Core investment income</w:t>
            </w:r>
            <w:r>
              <w:rPr>
                <w:rFonts w:ascii="Times New Roman" w:hAnsi="Times New Roman"/>
                <w:sz w:val="20"/>
              </w:rPr>
              <w:t xml:space="preserve">1, excluding the impact of purchase price accounting, for the first quarter of 2025 was $12.1 million, as compared to $14.4 million for the fourth quarter of 2024.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2"/>
        <w:gridCol w:w="102"/>
        <w:gridCol w:w="9800"/>
      </w:tblGrid>
      <w:tr>
        <w:trPr/>
        <w:tc>
          <w:tcPr>
            <w:tcW w:w="101" w:type="dxa"/>
            <w:tcBorders/>
            <w:vAlign w:val="center"/>
          </w:tcPr>
          <w:p>
            <w:pPr>
              <w:pStyle w:val="TableContents"/>
              <w:bidi w:val="0"/>
              <w:spacing w:before="0" w:after="283"/>
              <w:jc w:val="left"/>
              <w:rPr/>
            </w:pPr>
            <w:r>
              <w:rPr/>
              <w:t> </w:t>
            </w:r>
          </w:p>
        </w:tc>
        <w:tc>
          <w:tcPr>
            <w:tcW w:w="202"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b/>
                <w:sz w:val="20"/>
              </w:rPr>
              <w:t>Net investment income (NII)</w:t>
            </w:r>
            <w:r>
              <w:rPr>
                <w:rFonts w:ascii="Times New Roman" w:hAnsi="Times New Roman"/>
                <w:sz w:val="20"/>
              </w:rPr>
              <w:t xml:space="preserve"> for the first quarter of 2025 was $4.3 million ($0.47 per share), inclusive of the reversal of $0.4 million ($0.05 per share) of previously accrued interest income on a loan that was placed on non-accrual in the first quarter of 2025, as compared to $5.5 million ($0.60 per share) in the fourth quarter of 2024.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b/>
                <w:sz w:val="20"/>
              </w:rPr>
              <w:t>Net asset value (NAV)</w:t>
            </w:r>
            <w:r>
              <w:rPr>
                <w:rFonts w:ascii="Times New Roman" w:hAnsi="Times New Roman"/>
                <w:sz w:val="20"/>
              </w:rPr>
              <w:t xml:space="preserve">, as of March 31, 2025, was $173.5 million ($18.85 per share), as compared to NAV of $178.5 million ($19.41 per share) as of December 31, 2024.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Core investment income represents reported total investment income as determined in accordance with U.S. generally accepted accounting principles, or U.S. GAAP, less the impact of purchase discount accretion in connection with the Garrison Capital Inc. (GARS) and Harvest Capital Credit Corporation (HCAP) mergers. Portman Ridge believes presenting core investment income and the related per share amount is useful and appropriate supplemental disclosure for analyzing its financial performance due to the unique circumstance giving rise to the purchase accounting adjustment. However, core investment income is a non-U.S. GAAP measure and should not be considered as a replacement for total investment income and other earnings measures presented in accordance with U.S. GAAP. Instead, core investment income should be reviewed only in connection with such U.S. GAAP measures in analyzing Portman Ridges financial performance. </w:t>
            </w:r>
          </w:p>
        </w:tc>
      </w:tr>
    </w:tbl>
    <w:p>
      <w:pPr>
        <w:pStyle w:val="HorizontalLine"/>
        <w:pBdr>
          <w:bottom w:val="double" w:sz="6" w:space="0" w:color="808080"/>
        </w:pBdr>
        <w:bidi w:val="0"/>
        <w:jc w:val="left"/>
        <w:rPr/>
      </w:pPr>
      <w:r>
        <w:br w:type="page"/>
      </w:r>
      <w:r>
        <w:rPr/>
      </w:r>
    </w:p>
    <w:tbl>
      <w:tblPr>
        <w:tblW w:w="5000" w:type="pct"/>
        <w:jc w:val="left"/>
        <w:tblInd w:w="0" w:type="dxa"/>
        <w:tblLayout w:type="fixed"/>
        <w:tblCellMar>
          <w:top w:w="0" w:type="dxa"/>
          <w:left w:w="0" w:type="dxa"/>
          <w:bottom w:w="0" w:type="dxa"/>
          <w:right w:w="0" w:type="dxa"/>
        </w:tblCellMar>
      </w:tblPr>
      <w:tblGrid>
        <w:gridCol w:w="100"/>
        <w:gridCol w:w="203"/>
        <w:gridCol w:w="101"/>
        <w:gridCol w:w="9801"/>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Deployments of approximately </w:t>
            </w:r>
            <w:r>
              <w:rPr>
                <w:rFonts w:ascii="Times New Roman" w:hAnsi="Times New Roman"/>
                <w:sz w:val="20"/>
              </w:rPr>
              <w:t xml:space="preserve">$17.5 million and sales and repayments of approximately $15.7 million, resulting in net deployments of approximately $1.8 million.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Subsequent Events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2"/>
        <w:gridCol w:w="9798"/>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 May 8, 2025, the Company declared a regular quarterly base distribution of $0.47 per share of common stock. The distribution is payable on May 29, 2025, to stockholders of record at the close of business on May 19, 2025.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Management Commentary </w:t>
      </w:r>
    </w:p>
    <w:p>
      <w:pPr>
        <w:pStyle w:val="TextBody"/>
        <w:bidi w:val="0"/>
        <w:spacing w:before="120" w:after="0"/>
        <w:jc w:val="left"/>
        <w:rPr>
          <w:rFonts w:ascii="Times New Roman" w:hAnsi="Times New Roman"/>
          <w:sz w:val="20"/>
        </w:rPr>
      </w:pPr>
      <w:r>
        <w:rPr>
          <w:rFonts w:ascii="Times New Roman" w:hAnsi="Times New Roman"/>
          <w:sz w:val="20"/>
        </w:rPr>
        <w:t xml:space="preserve">Ted Goldthorpe, Chief Executive Officer of Portman Ridge, stated, During the first quarter we continued to execute on our disciplined investment strategy, deploying approximately $17.5 million into strong, defensively positioned portfolio companies. Concurrently, we had $15.7 million in repayments and sales, resulting in our return to net deployers of capital. </w:t>
      </w:r>
    </w:p>
    <w:p>
      <w:pPr>
        <w:pStyle w:val="TextBody"/>
        <w:bidi w:val="0"/>
        <w:spacing w:before="240" w:after="0"/>
        <w:jc w:val="left"/>
        <w:rPr>
          <w:rFonts w:ascii="Times New Roman" w:hAnsi="Times New Roman"/>
          <w:sz w:val="20"/>
        </w:rPr>
      </w:pPr>
      <w:r>
        <w:rPr>
          <w:rFonts w:ascii="Times New Roman" w:hAnsi="Times New Roman"/>
          <w:sz w:val="20"/>
        </w:rPr>
        <w:t xml:space="preserve">Looking ahead, the current macroeconomic backdrop shaped by shifting trade dynamics, inflation, and ever-evolving monetary policy, continues to drive uncertainty in the market. These dynamics highlight the importance of taking a long-term approach, grounded in disciplined credit selection and prudent risk management. That said, we view this as an opportunity to further differentiate through thoughtful deployment and rigorous underwriting, backed by our prudent investment strategy and experienced management team. I remain confident in our ability to drive the best outcome for shareholders. </w:t>
      </w:r>
    </w:p>
    <w:p>
      <w:pPr>
        <w:pStyle w:val="TextBody"/>
        <w:bidi w:val="0"/>
        <w:spacing w:before="240" w:after="0"/>
        <w:jc w:val="left"/>
        <w:rPr>
          <w:rFonts w:ascii="Times New Roman" w:hAnsi="Times New Roman"/>
          <w:sz w:val="20"/>
        </w:rPr>
      </w:pPr>
      <w:r>
        <w:rPr>
          <w:rFonts w:ascii="Times New Roman" w:hAnsi="Times New Roman"/>
          <w:sz w:val="20"/>
        </w:rPr>
        <w:t xml:space="preserve">Finally, we continue to believe in the strategic benefits the combination with Logan Ridge will provide. This merger represents a meaningful step forward for the Company, with the potential to provide increased scale, improved liquidity, and greater operational efficiency, all of which are critical to enhancing long-term shareholder value. We encourage shareholders to vote FOR the proposed merger, as recommended by the Board of Directors of both companies. We are excited about the road ahead and look forward to sharing more updates soon.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Selected Financial Highlights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2"/>
        <w:gridCol w:w="9798"/>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Total investment income </w:t>
            </w:r>
            <w:r>
              <w:rPr>
                <w:rFonts w:ascii="Times New Roman" w:hAnsi="Times New Roman"/>
                <w:sz w:val="20"/>
              </w:rPr>
              <w:t xml:space="preserve">for the quarter ended March 31, 2025, was $12.1 million, of which $10.3 million was attributable to interest income, inclusive of payment-in-kind income, from the Debt Securities Portfolio. This compares to total investment income of $16.5 million for the quarter ended March 31, 2024, of which $14.2 million was attributable to interest income, inclusive of payment-in-kind income, from the Debt Securities Portfolio.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1"/>
        <w:gridCol w:w="9801"/>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b/>
                <w:sz w:val="20"/>
              </w:rPr>
              <w:t>Core investment income</w:t>
            </w:r>
            <w:r>
              <w:rPr>
                <w:rFonts w:ascii="Times New Roman" w:hAnsi="Times New Roman"/>
                <w:sz w:val="20"/>
              </w:rPr>
              <w:t xml:space="preserve"> for the quarter ended March 31, 2025, excluding the impact of purchase discount accretion, was $12.1 million, as compared to core investment income of $16.5 million for the quarter ended March 31, 2024.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2"/>
        <w:gridCol w:w="102"/>
        <w:gridCol w:w="9800"/>
      </w:tblGrid>
      <w:tr>
        <w:trPr/>
        <w:tc>
          <w:tcPr>
            <w:tcW w:w="101" w:type="dxa"/>
            <w:tcBorders/>
            <w:vAlign w:val="center"/>
          </w:tcPr>
          <w:p>
            <w:pPr>
              <w:pStyle w:val="TableContents"/>
              <w:bidi w:val="0"/>
              <w:spacing w:before="0" w:after="283"/>
              <w:jc w:val="left"/>
              <w:rPr/>
            </w:pPr>
            <w:r>
              <w:rPr/>
              <w:t> </w:t>
            </w:r>
          </w:p>
        </w:tc>
        <w:tc>
          <w:tcPr>
            <w:tcW w:w="202"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b/>
                <w:sz w:val="20"/>
              </w:rPr>
              <w:t>Net investment income (NII)</w:t>
            </w:r>
            <w:r>
              <w:rPr>
                <w:rFonts w:ascii="Times New Roman" w:hAnsi="Times New Roman"/>
                <w:sz w:val="20"/>
              </w:rPr>
              <w:t xml:space="preserve"> for the quarter ended March 31, 2025, was $4.3 million ($0.47 per share) as compared to $6.2 million ($0.67 per share) for the quarter ended March 31, 2024.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b/>
                <w:sz w:val="20"/>
              </w:rPr>
              <w:t>Net asset value (NAV)</w:t>
            </w:r>
            <w:r>
              <w:rPr>
                <w:rFonts w:ascii="Times New Roman" w:hAnsi="Times New Roman"/>
                <w:sz w:val="20"/>
              </w:rPr>
              <w:t xml:space="preserve"> as of March 31, 2025, was $173.5 million ($18.85 per share), as compared to $178.5 million ($19.41 per share) for the fourth quarter of 2024.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2"/>
        <w:gridCol w:w="9799"/>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b/>
                <w:sz w:val="20"/>
              </w:rPr>
              <w:t>Deployment during the quarter was strong,</w:t>
            </w:r>
            <w:r>
              <w:rPr>
                <w:rFonts w:ascii="Times New Roman" w:hAnsi="Times New Roman"/>
                <w:sz w:val="20"/>
              </w:rPr>
              <w:t xml:space="preserve"> with deployments of approximately $17.5 million and sales and repayments of approximately $15.7 million, resulting in net deployment of approximately $1.8 million.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1"/>
        <w:gridCol w:w="9801"/>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b/>
                <w:sz w:val="20"/>
              </w:rPr>
              <w:t>Investment portfolio at fair value</w:t>
            </w:r>
            <w:r>
              <w:rPr>
                <w:rFonts w:ascii="Times New Roman" w:hAnsi="Times New Roman"/>
                <w:sz w:val="20"/>
              </w:rPr>
              <w:t xml:space="preserve"> as of March 31, 2025, was $406.4 million, comprised of 93 different portfolio companies. Our debt investment portfolio, excluding our investments in the CLO Funds, equities and Joint Ventures, totaled $324.8 million at fair value as of March 31, 2025, and was spread across 24 different industries comprised of 72 different portfolio companies with an average par balance per entity of approximately $2.6 million. This compares to a total investment portfolio at fair value as of December 31, 2024, of $405.0 million, comprised of 93 different portfolio companies. Our debt investment portfolio, excluding our investments in the CLO Funds, equities and Joint Ventures, totaled $320.7 million at fair value as of December 31, 2024, spread across 26 different industries and comprised of 71 different portfolio companies, with an average par balance per entity of approximately $2.5 million.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b/>
                <w:sz w:val="20"/>
              </w:rPr>
              <w:t>Debt investments on non-accrual</w:t>
            </w:r>
            <w:r>
              <w:rPr>
                <w:rFonts w:ascii="Times New Roman" w:hAnsi="Times New Roman"/>
                <w:sz w:val="20"/>
              </w:rPr>
              <w:t xml:space="preserve">, as of March 31, 2025, were six, representing 2.6% and 4.7% of the Companys investment portfolio at fair value and amortized cost, respectively. This compares to six debt investments representing 1.7% and 3.4% of the Companys investment portfolio at fair value and amortized cost, respectively, as of December 31, 2024.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2"/>
        <w:gridCol w:w="9799"/>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Weighted average annualized yield was approximately 11.0% (excluding income from non-accruals and collateralized loan obligations) as of March 31, 2025.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1"/>
        <w:gridCol w:w="9801"/>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b/>
                <w:sz w:val="20"/>
              </w:rPr>
              <w:t>Par value of outstanding borrowings</w:t>
            </w:r>
            <w:r>
              <w:rPr>
                <w:rFonts w:ascii="Times New Roman" w:hAnsi="Times New Roman"/>
                <w:sz w:val="20"/>
              </w:rPr>
              <w:t xml:space="preserve">, as of March 31, 2025, was $255.4 million, as compared to $267.5 million as of December 31, 2024, with an asset coverage ratio of total assets to total borrowings of 168% and 167%, respectively. On a net basis, leverage as of March 31, 2025, was 1.3x2 compared to 1.3x2 as of December 31, 2024.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Net leverage is calculated as the ratio between (A) debt, excluding unamortized debt issuance costs, less available cash and cash equivalents, and restricted cash and (B) NAV. Portman Ridge believes presenting a net leverage ratio is useful and appropriate supplemental disclosure because it reflects the Companys financial condition net of $23.5 million and $40.0 million of cash and cash equivalents and restricted cash as of March 31, 2025, and December 31, 2024, respectively. However, the net leverage ratio is a non-U.S. GAAP measure and should not be considered as a replacement for the regulatory asset coverage ratio and other similar information presented in accordance with U.S. GAAP. Instead, the net leverage ratio should be reviewed only in connection with such U.S. GAAP measures in analyzing Portman Ridges financial condition. </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b/>
          <w:sz w:val="20"/>
        </w:rPr>
      </w:pPr>
      <w:r>
        <w:rPr>
          <w:rFonts w:ascii="Times New Roman" w:hAnsi="Times New Roman"/>
          <w:b/>
          <w:sz w:val="20"/>
        </w:rPr>
        <w:t xml:space="preserve">Results of Operations </w:t>
      </w:r>
    </w:p>
    <w:p>
      <w:pPr>
        <w:pStyle w:val="TextBody"/>
        <w:bidi w:val="0"/>
        <w:spacing w:before="120" w:after="0"/>
        <w:jc w:val="left"/>
        <w:rPr>
          <w:rFonts w:ascii="Times New Roman" w:hAnsi="Times New Roman"/>
          <w:sz w:val="20"/>
        </w:rPr>
      </w:pPr>
      <w:r>
        <w:rPr>
          <w:rFonts w:ascii="Times New Roman" w:hAnsi="Times New Roman"/>
          <w:sz w:val="20"/>
        </w:rPr>
        <w:t xml:space="preserve">Operating results for the three months ended March 31, 2025, and March 31, 2024, were as follows: </w:t>
      </w:r>
    </w:p>
    <w:p>
      <w:pPr>
        <w:pStyle w:val="TextBody"/>
        <w:bidi w:val="0"/>
        <w:spacing w:before="0" w:after="0"/>
        <w:jc w:val="left"/>
        <w:rPr/>
      </w:pPr>
      <w:r>
        <w:rPr/>
        <w:t> </w:t>
      </w:r>
    </w:p>
    <w:tbl>
      <w:tblPr>
        <w:tblW w:w="8210" w:type="dxa"/>
        <w:jc w:val="center"/>
        <w:tblInd w:w="0" w:type="dxa"/>
        <w:tblLayout w:type="fixed"/>
        <w:tblCellMar>
          <w:top w:w="0" w:type="dxa"/>
          <w:left w:w="0" w:type="dxa"/>
          <w:bottom w:w="0" w:type="dxa"/>
          <w:right w:w="0" w:type="dxa"/>
        </w:tblCellMar>
      </w:tblPr>
      <w:tblGrid>
        <w:gridCol w:w="5420"/>
        <w:gridCol w:w="120"/>
        <w:gridCol w:w="140"/>
        <w:gridCol w:w="980"/>
        <w:gridCol w:w="155"/>
        <w:gridCol w:w="120"/>
        <w:gridCol w:w="140"/>
        <w:gridCol w:w="980"/>
        <w:gridCol w:w="155"/>
      </w:tblGrid>
      <w:tr>
        <w:trPr/>
        <w:tc>
          <w:tcPr>
            <w:tcW w:w="542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42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51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For the Three Months Ended</w:t>
              <w:br/>
              <w:t>March 31,</w:t>
            </w:r>
          </w:p>
        </w:tc>
        <w:tc>
          <w:tcPr>
            <w:tcW w:w="155" w:type="dxa"/>
            <w:tcBorders/>
            <w:vAlign w:val="bottom"/>
          </w:tcPr>
          <w:p>
            <w:pPr>
              <w:pStyle w:val="TableContents"/>
              <w:bidi w:val="0"/>
              <w:spacing w:before="0" w:after="283"/>
              <w:jc w:val="left"/>
              <w:rPr/>
            </w:pPr>
            <w:r>
              <w:rPr/>
              <w:t> </w:t>
            </w:r>
          </w:p>
        </w:tc>
      </w:tr>
      <w:tr>
        <w:trPr/>
        <w:tc>
          <w:tcPr>
            <w:tcW w:w="5420" w:type="dxa"/>
            <w:tcBorders/>
            <w:vAlign w:val="bottom"/>
          </w:tcPr>
          <w:p>
            <w:pPr>
              <w:pStyle w:val="TableContents"/>
              <w:bidi w:val="0"/>
              <w:spacing w:before="0" w:after="283"/>
              <w:jc w:val="left"/>
              <w:rPr>
                <w:b/>
              </w:rPr>
            </w:pPr>
            <w:r>
              <w:rPr>
                <w:b/>
              </w:rPr>
              <w:t>($ in thousands, except share and per share amounts)</w:t>
            </w:r>
          </w:p>
        </w:tc>
        <w:tc>
          <w:tcPr>
            <w:tcW w:w="120" w:type="dxa"/>
            <w:tcBorders/>
            <w:vAlign w:val="bottom"/>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55"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155" w:type="dxa"/>
            <w:tcBorders/>
            <w:vAlign w:val="bottom"/>
          </w:tcPr>
          <w:p>
            <w:pPr>
              <w:pStyle w:val="TableContents"/>
              <w:bidi w:val="0"/>
              <w:spacing w:before="0" w:after="283"/>
              <w:jc w:val="left"/>
              <w:rPr/>
            </w:pPr>
            <w:r>
              <w:rPr/>
              <w:t> </w:t>
            </w:r>
          </w:p>
        </w:tc>
      </w:tr>
      <w:tr>
        <w:trPr/>
        <w:tc>
          <w:tcPr>
            <w:tcW w:w="542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investment income</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80" w:type="dxa"/>
            <w:tcBorders/>
            <w:shd w:fill="CCEEFF" w:val="clear"/>
            <w:vAlign w:val="bottom"/>
          </w:tcPr>
          <w:p>
            <w:pPr>
              <w:pStyle w:val="TableContents"/>
              <w:bidi w:val="0"/>
              <w:spacing w:before="0" w:after="283"/>
              <w:jc w:val="right"/>
              <w:rPr/>
            </w:pPr>
            <w:r>
              <w:rPr/>
              <w:t>12,118</w:t>
            </w:r>
          </w:p>
        </w:tc>
        <w:tc>
          <w:tcPr>
            <w:tcW w:w="155"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80" w:type="dxa"/>
            <w:tcBorders/>
            <w:shd w:fill="CCEEFF" w:val="clear"/>
            <w:vAlign w:val="bottom"/>
          </w:tcPr>
          <w:p>
            <w:pPr>
              <w:pStyle w:val="TableContents"/>
              <w:bidi w:val="0"/>
              <w:spacing w:before="0" w:after="283"/>
              <w:jc w:val="right"/>
              <w:rPr/>
            </w:pPr>
            <w:r>
              <w:rPr/>
              <w:t>16,526</w:t>
            </w:r>
          </w:p>
        </w:tc>
        <w:tc>
          <w:tcPr>
            <w:tcW w:w="155" w:type="dxa"/>
            <w:tcBorders/>
            <w:shd w:fill="CCEEFF" w:val="clear"/>
            <w:vAlign w:val="bottom"/>
          </w:tcPr>
          <w:p>
            <w:pPr>
              <w:pStyle w:val="TableContents"/>
              <w:bidi w:val="0"/>
              <w:spacing w:before="0" w:after="283"/>
              <w:jc w:val="left"/>
              <w:rPr/>
            </w:pPr>
            <w:r>
              <w:rPr/>
              <w:t> </w:t>
            </w:r>
          </w:p>
        </w:tc>
      </w:tr>
      <w:tr>
        <w:trPr/>
        <w:tc>
          <w:tcPr>
            <w:tcW w:w="542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5420" w:type="dxa"/>
            <w:tcBorders/>
          </w:tcPr>
          <w:p>
            <w:pPr>
              <w:pStyle w:val="TableContents"/>
              <w:bidi w:val="0"/>
              <w:spacing w:before="0" w:after="0"/>
              <w:jc w:val="left"/>
              <w:rPr>
                <w:rFonts w:ascii="Times New Roman" w:hAnsi="Times New Roman"/>
                <w:sz w:val="20"/>
              </w:rPr>
            </w:pPr>
            <w:r>
              <w:rPr>
                <w:rFonts w:ascii="Times New Roman" w:hAnsi="Times New Roman"/>
                <w:sz w:val="20"/>
              </w:rPr>
              <w:t>Total expenses</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7,778</w:t>
            </w:r>
          </w:p>
        </w:tc>
        <w:tc>
          <w:tcPr>
            <w:tcW w:w="155"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10,300</w:t>
            </w:r>
          </w:p>
        </w:tc>
        <w:tc>
          <w:tcPr>
            <w:tcW w:w="155" w:type="dxa"/>
            <w:tcBorders/>
            <w:vAlign w:val="bottom"/>
          </w:tcPr>
          <w:p>
            <w:pPr>
              <w:pStyle w:val="TableContents"/>
              <w:bidi w:val="0"/>
              <w:spacing w:before="0" w:after="283"/>
              <w:jc w:val="left"/>
              <w:rPr/>
            </w:pPr>
            <w:r>
              <w:rPr/>
              <w:t> </w:t>
            </w:r>
          </w:p>
        </w:tc>
      </w:tr>
      <w:tr>
        <w:trPr/>
        <w:tc>
          <w:tcPr>
            <w:tcW w:w="542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5420"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Net Investment Income</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4,340</w:t>
            </w:r>
          </w:p>
        </w:tc>
        <w:tc>
          <w:tcPr>
            <w:tcW w:w="155"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6,226</w:t>
            </w:r>
          </w:p>
        </w:tc>
        <w:tc>
          <w:tcPr>
            <w:tcW w:w="155" w:type="dxa"/>
            <w:tcBorders/>
            <w:shd w:fill="CCEEFF" w:val="clear"/>
            <w:vAlign w:val="bottom"/>
          </w:tcPr>
          <w:p>
            <w:pPr>
              <w:pStyle w:val="TableContents"/>
              <w:bidi w:val="0"/>
              <w:spacing w:before="0" w:after="283"/>
              <w:jc w:val="left"/>
              <w:rPr/>
            </w:pPr>
            <w:r>
              <w:rPr/>
              <w:t> </w:t>
            </w:r>
          </w:p>
        </w:tc>
      </w:tr>
      <w:tr>
        <w:trPr/>
        <w:tc>
          <w:tcPr>
            <w:tcW w:w="542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5420" w:type="dxa"/>
            <w:tcBorders/>
          </w:tcPr>
          <w:p>
            <w:pPr>
              <w:pStyle w:val="TableContents"/>
              <w:bidi w:val="0"/>
              <w:spacing w:before="0" w:after="0"/>
              <w:jc w:val="left"/>
              <w:rPr>
                <w:rFonts w:ascii="Times New Roman" w:hAnsi="Times New Roman"/>
                <w:sz w:val="20"/>
              </w:rPr>
            </w:pPr>
            <w:r>
              <w:rPr>
                <w:rFonts w:ascii="Times New Roman" w:hAnsi="Times New Roman"/>
                <w:sz w:val="20"/>
              </w:rPr>
              <w:t>Net realized gain (loss) on investments</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(173</w:t>
            </w:r>
          </w:p>
        </w:tc>
        <w:tc>
          <w:tcPr>
            <w:tcW w:w="155"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(2,057</w:t>
            </w:r>
          </w:p>
        </w:tc>
        <w:tc>
          <w:tcPr>
            <w:tcW w:w="155" w:type="dxa"/>
            <w:tcBorders/>
            <w:vAlign w:val="bottom"/>
          </w:tcPr>
          <w:p>
            <w:pPr>
              <w:pStyle w:val="TableContents"/>
              <w:bidi w:val="0"/>
              <w:spacing w:before="0" w:after="283"/>
              <w:jc w:val="left"/>
              <w:rPr/>
            </w:pPr>
            <w:r>
              <w:rPr/>
              <w:t>) </w:t>
            </w:r>
          </w:p>
        </w:tc>
      </w:tr>
      <w:tr>
        <w:trPr/>
        <w:tc>
          <w:tcPr>
            <w:tcW w:w="542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542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change in unrealized gain (loss) on investments</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(3,903</w:t>
            </w:r>
          </w:p>
        </w:tc>
        <w:tc>
          <w:tcPr>
            <w:tcW w:w="155"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71</w:t>
            </w:r>
          </w:p>
        </w:tc>
        <w:tc>
          <w:tcPr>
            <w:tcW w:w="155" w:type="dxa"/>
            <w:tcBorders/>
            <w:shd w:fill="CCEEFF" w:val="clear"/>
            <w:vAlign w:val="bottom"/>
          </w:tcPr>
          <w:p>
            <w:pPr>
              <w:pStyle w:val="TableContents"/>
              <w:bidi w:val="0"/>
              <w:spacing w:before="0" w:after="283"/>
              <w:jc w:val="left"/>
              <w:rPr/>
            </w:pPr>
            <w:r>
              <w:rPr/>
              <w:t> </w:t>
            </w:r>
          </w:p>
        </w:tc>
      </w:tr>
      <w:tr>
        <w:trPr/>
        <w:tc>
          <w:tcPr>
            <w:tcW w:w="542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5420" w:type="dxa"/>
            <w:tcBorders/>
          </w:tcPr>
          <w:p>
            <w:pPr>
              <w:pStyle w:val="TableContents"/>
              <w:bidi w:val="0"/>
              <w:spacing w:before="0" w:after="0"/>
              <w:jc w:val="left"/>
              <w:rPr>
                <w:rFonts w:ascii="Times New Roman" w:hAnsi="Times New Roman"/>
                <w:sz w:val="20"/>
              </w:rPr>
            </w:pPr>
            <w:r>
              <w:rPr>
                <w:rFonts w:ascii="Times New Roman" w:hAnsi="Times New Roman"/>
                <w:sz w:val="20"/>
              </w:rPr>
              <w:t>Tax (provision) benefit on realized and unrealized gains (losses) on investments</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(346</w:t>
            </w:r>
          </w:p>
        </w:tc>
        <w:tc>
          <w:tcPr>
            <w:tcW w:w="155"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459</w:t>
            </w:r>
          </w:p>
        </w:tc>
        <w:tc>
          <w:tcPr>
            <w:tcW w:w="155" w:type="dxa"/>
            <w:tcBorders/>
            <w:vAlign w:val="bottom"/>
          </w:tcPr>
          <w:p>
            <w:pPr>
              <w:pStyle w:val="TableContents"/>
              <w:bidi w:val="0"/>
              <w:spacing w:before="0" w:after="283"/>
              <w:jc w:val="left"/>
              <w:rPr/>
            </w:pPr>
            <w:r>
              <w:rPr/>
              <w:t> </w:t>
            </w:r>
          </w:p>
        </w:tc>
      </w:tr>
      <w:tr>
        <w:trPr/>
        <w:tc>
          <w:tcPr>
            <w:tcW w:w="542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542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realized and unrealized appreciation (depreciation) on investments, net of taxes</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(4,422</w:t>
            </w:r>
          </w:p>
        </w:tc>
        <w:tc>
          <w:tcPr>
            <w:tcW w:w="155"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(1,527</w:t>
            </w:r>
          </w:p>
        </w:tc>
        <w:tc>
          <w:tcPr>
            <w:tcW w:w="155" w:type="dxa"/>
            <w:tcBorders/>
            <w:shd w:fill="CCEEFF" w:val="clear"/>
            <w:vAlign w:val="bottom"/>
          </w:tcPr>
          <w:p>
            <w:pPr>
              <w:pStyle w:val="TableContents"/>
              <w:bidi w:val="0"/>
              <w:spacing w:before="0" w:after="283"/>
              <w:jc w:val="left"/>
              <w:rPr/>
            </w:pPr>
            <w:r>
              <w:rPr/>
              <w:t>) </w:t>
            </w:r>
          </w:p>
        </w:tc>
      </w:tr>
      <w:tr>
        <w:trPr/>
        <w:tc>
          <w:tcPr>
            <w:tcW w:w="542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5420" w:type="dxa"/>
            <w:tcBorders/>
          </w:tcPr>
          <w:p>
            <w:pPr>
              <w:pStyle w:val="TableContents"/>
              <w:bidi w:val="0"/>
              <w:spacing w:before="0" w:after="0"/>
              <w:jc w:val="left"/>
              <w:rPr>
                <w:rFonts w:ascii="Times New Roman" w:hAnsi="Times New Roman"/>
                <w:sz w:val="20"/>
              </w:rPr>
            </w:pPr>
            <w:r>
              <w:rPr>
                <w:rFonts w:ascii="Times New Roman" w:hAnsi="Times New Roman"/>
                <w:sz w:val="20"/>
              </w:rPr>
              <w:t>Net realized gain (loss) on extinguishment of debt</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(213</w:t>
            </w:r>
          </w:p>
        </w:tc>
        <w:tc>
          <w:tcPr>
            <w:tcW w:w="155" w:type="dxa"/>
            <w:tcBorders/>
            <w:vAlign w:val="bottom"/>
          </w:tcPr>
          <w:p>
            <w:pPr>
              <w:pStyle w:val="TableContents"/>
              <w:bidi w:val="0"/>
              <w:spacing w:before="0" w:after="283"/>
              <w:jc w:val="left"/>
              <w:rPr/>
            </w:pPr>
            <w:r>
              <w:rPr/>
              <w:t>) </w:t>
            </w:r>
          </w:p>
        </w:tc>
      </w:tr>
      <w:tr>
        <w:trPr/>
        <w:tc>
          <w:tcPr>
            <w:tcW w:w="542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5420"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Net Increase (Decrease) in Net Assets Resulting from Operations</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80" w:type="dxa"/>
            <w:tcBorders/>
            <w:shd w:fill="CCEEFF" w:val="clear"/>
            <w:vAlign w:val="bottom"/>
          </w:tcPr>
          <w:p>
            <w:pPr>
              <w:pStyle w:val="TableContents"/>
              <w:bidi w:val="0"/>
              <w:spacing w:before="0" w:after="283"/>
              <w:jc w:val="right"/>
              <w:rPr/>
            </w:pPr>
            <w:r>
              <w:rPr/>
              <w:t>(82</w:t>
            </w:r>
          </w:p>
        </w:tc>
        <w:tc>
          <w:tcPr>
            <w:tcW w:w="155"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80" w:type="dxa"/>
            <w:tcBorders/>
            <w:shd w:fill="CCEEFF" w:val="clear"/>
            <w:vAlign w:val="bottom"/>
          </w:tcPr>
          <w:p>
            <w:pPr>
              <w:pStyle w:val="TableContents"/>
              <w:bidi w:val="0"/>
              <w:spacing w:before="0" w:after="283"/>
              <w:jc w:val="right"/>
              <w:rPr/>
            </w:pPr>
            <w:r>
              <w:rPr/>
              <w:t>4,486</w:t>
            </w:r>
          </w:p>
        </w:tc>
        <w:tc>
          <w:tcPr>
            <w:tcW w:w="155" w:type="dxa"/>
            <w:tcBorders/>
            <w:shd w:fill="CCEEFF" w:val="clear"/>
            <w:vAlign w:val="bottom"/>
          </w:tcPr>
          <w:p>
            <w:pPr>
              <w:pStyle w:val="TableContents"/>
              <w:bidi w:val="0"/>
              <w:spacing w:before="0" w:after="283"/>
              <w:jc w:val="left"/>
              <w:rPr/>
            </w:pPr>
            <w:r>
              <w:rPr/>
              <w:t> </w:t>
            </w:r>
          </w:p>
        </w:tc>
      </w:tr>
      <w:tr>
        <w:trPr/>
        <w:tc>
          <w:tcPr>
            <w:tcW w:w="542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8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8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5420" w:type="dxa"/>
            <w:tcBorders/>
          </w:tcPr>
          <w:p>
            <w:pPr>
              <w:pStyle w:val="TableContents"/>
              <w:bidi w:val="0"/>
              <w:spacing w:before="0" w:after="0"/>
              <w:jc w:val="left"/>
              <w:rPr>
                <w:rFonts w:ascii="Times New Roman" w:hAnsi="Times New Roman"/>
                <w:sz w:val="20"/>
              </w:rPr>
            </w:pPr>
            <w:r>
              <w:rPr>
                <w:rFonts w:ascii="Times New Roman" w:hAnsi="Times New Roman"/>
                <w:sz w:val="20"/>
              </w:rPr>
              <w:t>Net Increase (Decrease) In Net Assets Resulting from Operations per Common Share:</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8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8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r>
      <w:tr>
        <w:trPr/>
        <w:tc>
          <w:tcPr>
            <w:tcW w:w="542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Basic and Diluted:</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80" w:type="dxa"/>
            <w:tcBorders/>
            <w:shd w:fill="CCEEFF" w:val="clear"/>
            <w:vAlign w:val="bottom"/>
          </w:tcPr>
          <w:p>
            <w:pPr>
              <w:pStyle w:val="TableContents"/>
              <w:bidi w:val="0"/>
              <w:spacing w:before="0" w:after="283"/>
              <w:jc w:val="right"/>
              <w:rPr/>
            </w:pPr>
            <w:r>
              <w:rPr/>
              <w:t>(0.01</w:t>
            </w:r>
          </w:p>
        </w:tc>
        <w:tc>
          <w:tcPr>
            <w:tcW w:w="155"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80" w:type="dxa"/>
            <w:tcBorders/>
            <w:shd w:fill="CCEEFF" w:val="clear"/>
            <w:vAlign w:val="bottom"/>
          </w:tcPr>
          <w:p>
            <w:pPr>
              <w:pStyle w:val="TableContents"/>
              <w:bidi w:val="0"/>
              <w:spacing w:before="0" w:after="283"/>
              <w:jc w:val="right"/>
              <w:rPr/>
            </w:pPr>
            <w:r>
              <w:rPr/>
              <w:t>0.48</w:t>
            </w:r>
          </w:p>
        </w:tc>
        <w:tc>
          <w:tcPr>
            <w:tcW w:w="155" w:type="dxa"/>
            <w:tcBorders/>
            <w:shd w:fill="CCEEFF" w:val="clear"/>
            <w:vAlign w:val="bottom"/>
          </w:tcPr>
          <w:p>
            <w:pPr>
              <w:pStyle w:val="TableContents"/>
              <w:bidi w:val="0"/>
              <w:spacing w:before="0" w:after="283"/>
              <w:jc w:val="left"/>
              <w:rPr/>
            </w:pPr>
            <w:r>
              <w:rPr/>
              <w:t> </w:t>
            </w:r>
          </w:p>
        </w:tc>
      </w:tr>
      <w:tr>
        <w:trPr/>
        <w:tc>
          <w:tcPr>
            <w:tcW w:w="5420" w:type="dxa"/>
            <w:tcBorders/>
          </w:tcPr>
          <w:p>
            <w:pPr>
              <w:pStyle w:val="TableContents"/>
              <w:bidi w:val="0"/>
              <w:spacing w:before="0" w:after="0"/>
              <w:jc w:val="left"/>
              <w:rPr>
                <w:rFonts w:ascii="Times New Roman" w:hAnsi="Times New Roman"/>
                <w:sz w:val="20"/>
              </w:rPr>
            </w:pPr>
            <w:r>
              <w:rPr>
                <w:rFonts w:ascii="Times New Roman" w:hAnsi="Times New Roman"/>
                <w:sz w:val="20"/>
              </w:rPr>
              <w:t>Net Investment Income Per Common Share:</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8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8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r>
      <w:tr>
        <w:trPr/>
        <w:tc>
          <w:tcPr>
            <w:tcW w:w="542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Basic and Diluted:</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80" w:type="dxa"/>
            <w:tcBorders/>
            <w:shd w:fill="CCEEFF" w:val="clear"/>
            <w:vAlign w:val="bottom"/>
          </w:tcPr>
          <w:p>
            <w:pPr>
              <w:pStyle w:val="TableContents"/>
              <w:bidi w:val="0"/>
              <w:spacing w:before="0" w:after="283"/>
              <w:jc w:val="right"/>
              <w:rPr/>
            </w:pPr>
            <w:r>
              <w:rPr/>
              <w:t>0.47</w:t>
            </w:r>
          </w:p>
        </w:tc>
        <w:tc>
          <w:tcPr>
            <w:tcW w:w="155"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80" w:type="dxa"/>
            <w:tcBorders/>
            <w:shd w:fill="CCEEFF" w:val="clear"/>
            <w:vAlign w:val="bottom"/>
          </w:tcPr>
          <w:p>
            <w:pPr>
              <w:pStyle w:val="TableContents"/>
              <w:bidi w:val="0"/>
              <w:spacing w:before="0" w:after="283"/>
              <w:jc w:val="right"/>
              <w:rPr/>
            </w:pPr>
            <w:r>
              <w:rPr/>
              <w:t>0.67</w:t>
            </w:r>
          </w:p>
        </w:tc>
        <w:tc>
          <w:tcPr>
            <w:tcW w:w="155" w:type="dxa"/>
            <w:tcBorders/>
            <w:shd w:fill="CCEEFF" w:val="clear"/>
            <w:vAlign w:val="bottom"/>
          </w:tcPr>
          <w:p>
            <w:pPr>
              <w:pStyle w:val="TableContents"/>
              <w:bidi w:val="0"/>
              <w:spacing w:before="0" w:after="283"/>
              <w:jc w:val="left"/>
              <w:rPr/>
            </w:pPr>
            <w:r>
              <w:rPr/>
              <w:t> </w:t>
            </w:r>
          </w:p>
        </w:tc>
      </w:tr>
      <w:tr>
        <w:trPr/>
        <w:tc>
          <w:tcPr>
            <w:tcW w:w="5420" w:type="dxa"/>
            <w:tcBorders/>
          </w:tcPr>
          <w:p>
            <w:pPr>
              <w:pStyle w:val="TableContents"/>
              <w:bidi w:val="0"/>
              <w:spacing w:before="0" w:after="0"/>
              <w:jc w:val="left"/>
              <w:rPr>
                <w:rFonts w:ascii="Times New Roman" w:hAnsi="Times New Roman"/>
                <w:sz w:val="20"/>
              </w:rPr>
            </w:pPr>
            <w:r>
              <w:rPr>
                <w:rFonts w:ascii="Times New Roman" w:hAnsi="Times New Roman"/>
                <w:sz w:val="20"/>
              </w:rPr>
              <w:t>Weighted Average Shares of Common Stock Outstanding  Basic and Diluted</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9,198,223</w:t>
            </w:r>
          </w:p>
        </w:tc>
        <w:tc>
          <w:tcPr>
            <w:tcW w:w="155"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9,344,994</w:t>
            </w:r>
          </w:p>
        </w:tc>
        <w:tc>
          <w:tcPr>
            <w:tcW w:w="155" w:type="dxa"/>
            <w:tcBorders/>
            <w:vAlign w:val="bottom"/>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Investment Income </w:t>
      </w:r>
    </w:p>
    <w:p>
      <w:pPr>
        <w:pStyle w:val="TextBody"/>
        <w:bidi w:val="0"/>
        <w:spacing w:before="120" w:after="0"/>
        <w:jc w:val="left"/>
        <w:rPr>
          <w:rFonts w:ascii="Times New Roman" w:hAnsi="Times New Roman"/>
          <w:sz w:val="20"/>
        </w:rPr>
      </w:pPr>
      <w:r>
        <w:rPr>
          <w:rFonts w:ascii="Times New Roman" w:hAnsi="Times New Roman"/>
          <w:sz w:val="20"/>
        </w:rPr>
        <w:t xml:space="preserve">The composition of our investment income for the three months ended March 31, 2025, and March 31, 2024, was as follows: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3161"/>
        <w:gridCol w:w="242"/>
        <w:gridCol w:w="299"/>
        <w:gridCol w:w="1459"/>
        <w:gridCol w:w="329"/>
        <w:gridCol w:w="346"/>
        <w:gridCol w:w="299"/>
        <w:gridCol w:w="1461"/>
        <w:gridCol w:w="159"/>
      </w:tblGrid>
      <w:tr>
        <w:trPr/>
        <w:tc>
          <w:tcPr>
            <w:tcW w:w="3161" w:type="dxa"/>
            <w:tcBorders/>
            <w:vAlign w:val="center"/>
          </w:tcPr>
          <w:p>
            <w:pPr>
              <w:pStyle w:val="TableContents"/>
              <w:bidi w:val="0"/>
              <w:spacing w:before="0" w:after="283"/>
              <w:jc w:val="left"/>
              <w:rPr>
                <w:sz w:val="4"/>
                <w:szCs w:val="4"/>
              </w:rPr>
            </w:pPr>
            <w:r>
              <w:rPr>
                <w:sz w:val="4"/>
                <w:szCs w:val="4"/>
              </w:rPr>
            </w:r>
          </w:p>
        </w:tc>
        <w:tc>
          <w:tcPr>
            <w:tcW w:w="242" w:type="dxa"/>
            <w:tcBorders/>
            <w:vAlign w:val="bottom"/>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145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46" w:type="dxa"/>
            <w:tcBorders/>
            <w:vAlign w:val="bottom"/>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146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161" w:type="dxa"/>
            <w:tcBorders/>
            <w:vAlign w:val="bottom"/>
          </w:tcPr>
          <w:p>
            <w:pPr>
              <w:pStyle w:val="TableContents"/>
              <w:bidi w:val="0"/>
              <w:spacing w:before="0" w:after="283"/>
              <w:jc w:val="left"/>
              <w:rPr/>
            </w:pPr>
            <w:r>
              <w:rPr/>
              <w:t> </w:t>
            </w:r>
          </w:p>
        </w:tc>
        <w:tc>
          <w:tcPr>
            <w:tcW w:w="242" w:type="dxa"/>
            <w:tcBorders/>
            <w:vAlign w:val="bottom"/>
          </w:tcPr>
          <w:p>
            <w:pPr>
              <w:pStyle w:val="TableContents"/>
              <w:bidi w:val="0"/>
              <w:spacing w:before="0" w:after="283"/>
              <w:jc w:val="left"/>
              <w:rPr/>
            </w:pPr>
            <w:r>
              <w:rPr/>
              <w:t>  </w:t>
            </w:r>
          </w:p>
        </w:tc>
        <w:tc>
          <w:tcPr>
            <w:tcW w:w="4193" w:type="dxa"/>
            <w:gridSpan w:val="6"/>
            <w:tcBorders>
              <w:bottom w:val="single" w:sz="8" w:space="0" w:color="000000"/>
            </w:tcBorders>
            <w:tcMar>
              <w:bottom w:w="28" w:type="dxa"/>
            </w:tcMar>
            <w:vAlign w:val="bottom"/>
          </w:tcPr>
          <w:p>
            <w:pPr>
              <w:pStyle w:val="TableContents"/>
              <w:bidi w:val="0"/>
              <w:spacing w:before="0" w:after="283"/>
              <w:jc w:val="center"/>
              <w:rPr>
                <w:b/>
              </w:rPr>
            </w:pPr>
            <w:r>
              <w:rPr>
                <w:b/>
              </w:rPr>
              <w:t>For the Three Months Ended March 31,</w:t>
            </w:r>
          </w:p>
        </w:tc>
        <w:tc>
          <w:tcPr>
            <w:tcW w:w="159" w:type="dxa"/>
            <w:tcBorders/>
            <w:vAlign w:val="bottom"/>
          </w:tcPr>
          <w:p>
            <w:pPr>
              <w:pStyle w:val="TableContents"/>
              <w:bidi w:val="0"/>
              <w:spacing w:before="0" w:after="283"/>
              <w:jc w:val="left"/>
              <w:rPr/>
            </w:pPr>
            <w:r>
              <w:rPr/>
              <w:t> </w:t>
            </w:r>
          </w:p>
        </w:tc>
      </w:tr>
      <w:tr>
        <w:trPr/>
        <w:tc>
          <w:tcPr>
            <w:tcW w:w="3161" w:type="dxa"/>
            <w:tcBorders/>
            <w:vAlign w:val="bottom"/>
          </w:tcPr>
          <w:p>
            <w:pPr>
              <w:pStyle w:val="TableContents"/>
              <w:bidi w:val="0"/>
              <w:spacing w:before="0" w:after="283"/>
              <w:jc w:val="left"/>
              <w:rPr>
                <w:b/>
              </w:rPr>
            </w:pPr>
            <w:r>
              <w:rPr>
                <w:b/>
              </w:rPr>
              <w:t>($ in thousands)</w:t>
            </w:r>
          </w:p>
        </w:tc>
        <w:tc>
          <w:tcPr>
            <w:tcW w:w="242" w:type="dxa"/>
            <w:tcBorders/>
            <w:vAlign w:val="bottom"/>
          </w:tcPr>
          <w:p>
            <w:pPr>
              <w:pStyle w:val="TableContents"/>
              <w:bidi w:val="0"/>
              <w:spacing w:before="0" w:after="283"/>
              <w:jc w:val="left"/>
              <w:rPr/>
            </w:pPr>
            <w:r>
              <w:rPr/>
              <w:t>  </w:t>
            </w:r>
          </w:p>
        </w:tc>
        <w:tc>
          <w:tcPr>
            <w:tcW w:w="175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329" w:type="dxa"/>
            <w:tcBorders/>
            <w:vAlign w:val="bottom"/>
          </w:tcPr>
          <w:p>
            <w:pPr>
              <w:pStyle w:val="TableContents"/>
              <w:bidi w:val="0"/>
              <w:spacing w:before="0" w:after="283"/>
              <w:jc w:val="left"/>
              <w:rPr/>
            </w:pPr>
            <w:r>
              <w:rPr/>
              <w:t> </w:t>
            </w:r>
          </w:p>
        </w:tc>
        <w:tc>
          <w:tcPr>
            <w:tcW w:w="346" w:type="dxa"/>
            <w:tcBorders/>
            <w:vAlign w:val="bottom"/>
          </w:tcPr>
          <w:p>
            <w:pPr>
              <w:pStyle w:val="TableContents"/>
              <w:bidi w:val="0"/>
              <w:spacing w:before="0" w:after="283"/>
              <w:jc w:val="left"/>
              <w:rPr/>
            </w:pPr>
            <w:r>
              <w:rPr/>
              <w:t>  </w:t>
            </w:r>
          </w:p>
        </w:tc>
        <w:tc>
          <w:tcPr>
            <w:tcW w:w="17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159" w:type="dxa"/>
            <w:tcBorders/>
            <w:vAlign w:val="bottom"/>
          </w:tcPr>
          <w:p>
            <w:pPr>
              <w:pStyle w:val="TableContents"/>
              <w:bidi w:val="0"/>
              <w:spacing w:before="0" w:after="283"/>
              <w:jc w:val="left"/>
              <w:rPr/>
            </w:pPr>
            <w:r>
              <w:rPr/>
              <w:t> </w:t>
            </w:r>
          </w:p>
        </w:tc>
      </w:tr>
      <w:tr>
        <w:trPr/>
        <w:tc>
          <w:tcPr>
            <w:tcW w:w="316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income, excluding CLO income and purchase discount accretion</w:t>
            </w:r>
          </w:p>
        </w:tc>
        <w:tc>
          <w:tcPr>
            <w:tcW w:w="242" w:type="dxa"/>
            <w:tcBorders/>
            <w:shd w:fill="CCEEFF" w:val="clear"/>
            <w:vAlign w:val="bottom"/>
          </w:tcPr>
          <w:p>
            <w:pPr>
              <w:pStyle w:val="TableContents"/>
              <w:bidi w:val="0"/>
              <w:spacing w:before="0" w:after="283"/>
              <w:jc w:val="left"/>
              <w:rPr/>
            </w:pPr>
            <w:r>
              <w:rPr/>
              <w:t>  </w:t>
            </w:r>
          </w:p>
        </w:tc>
        <w:tc>
          <w:tcPr>
            <w:tcW w:w="299" w:type="dxa"/>
            <w:tcBorders/>
            <w:shd w:fill="CCEEFF" w:val="clear"/>
            <w:vAlign w:val="bottom"/>
          </w:tcPr>
          <w:p>
            <w:pPr>
              <w:pStyle w:val="TableContents"/>
              <w:bidi w:val="0"/>
              <w:spacing w:before="0" w:after="283"/>
              <w:jc w:val="left"/>
              <w:rPr/>
            </w:pPr>
            <w:r>
              <w:rPr/>
              <w:t>$</w:t>
            </w:r>
          </w:p>
        </w:tc>
        <w:tc>
          <w:tcPr>
            <w:tcW w:w="1459" w:type="dxa"/>
            <w:tcBorders/>
            <w:shd w:fill="CCEEFF" w:val="clear"/>
            <w:vAlign w:val="bottom"/>
          </w:tcPr>
          <w:p>
            <w:pPr>
              <w:pStyle w:val="TableContents"/>
              <w:bidi w:val="0"/>
              <w:spacing w:before="0" w:after="283"/>
              <w:jc w:val="right"/>
              <w:rPr/>
            </w:pPr>
            <w:r>
              <w:rPr/>
              <w:t>7,522</w:t>
            </w:r>
          </w:p>
        </w:tc>
        <w:tc>
          <w:tcPr>
            <w:tcW w:w="329" w:type="dxa"/>
            <w:tcBorders/>
            <w:shd w:fill="CCEEFF" w:val="clear"/>
            <w:vAlign w:val="bottom"/>
          </w:tcPr>
          <w:p>
            <w:pPr>
              <w:pStyle w:val="TableContents"/>
              <w:bidi w:val="0"/>
              <w:spacing w:before="0" w:after="283"/>
              <w:jc w:val="left"/>
              <w:rPr/>
            </w:pPr>
            <w:r>
              <w:rPr/>
              <w:t> </w:t>
            </w:r>
          </w:p>
        </w:tc>
        <w:tc>
          <w:tcPr>
            <w:tcW w:w="346" w:type="dxa"/>
            <w:tcBorders/>
            <w:shd w:fill="CCEEFF" w:val="clear"/>
            <w:vAlign w:val="bottom"/>
          </w:tcPr>
          <w:p>
            <w:pPr>
              <w:pStyle w:val="TableContents"/>
              <w:bidi w:val="0"/>
              <w:spacing w:before="0" w:after="283"/>
              <w:jc w:val="left"/>
              <w:rPr/>
            </w:pPr>
            <w:r>
              <w:rPr/>
              <w:t>  </w:t>
            </w:r>
          </w:p>
        </w:tc>
        <w:tc>
          <w:tcPr>
            <w:tcW w:w="299" w:type="dxa"/>
            <w:tcBorders/>
            <w:shd w:fill="CCEEFF" w:val="clear"/>
            <w:vAlign w:val="bottom"/>
          </w:tcPr>
          <w:p>
            <w:pPr>
              <w:pStyle w:val="TableContents"/>
              <w:bidi w:val="0"/>
              <w:spacing w:before="0" w:after="283"/>
              <w:jc w:val="left"/>
              <w:rPr/>
            </w:pPr>
            <w:r>
              <w:rPr/>
              <w:t>$</w:t>
            </w:r>
          </w:p>
        </w:tc>
        <w:tc>
          <w:tcPr>
            <w:tcW w:w="1461" w:type="dxa"/>
            <w:tcBorders/>
            <w:shd w:fill="CCEEFF" w:val="clear"/>
            <w:vAlign w:val="bottom"/>
          </w:tcPr>
          <w:p>
            <w:pPr>
              <w:pStyle w:val="TableContents"/>
              <w:bidi w:val="0"/>
              <w:spacing w:before="0" w:after="283"/>
              <w:jc w:val="right"/>
              <w:rPr/>
            </w:pPr>
            <w:r>
              <w:rPr/>
              <w:t>12,088</w:t>
            </w:r>
          </w:p>
        </w:tc>
        <w:tc>
          <w:tcPr>
            <w:tcW w:w="159" w:type="dxa"/>
            <w:tcBorders/>
            <w:shd w:fill="CCEEFF" w:val="clear"/>
            <w:vAlign w:val="bottom"/>
          </w:tcPr>
          <w:p>
            <w:pPr>
              <w:pStyle w:val="TableContents"/>
              <w:bidi w:val="0"/>
              <w:spacing w:before="0" w:after="283"/>
              <w:jc w:val="left"/>
              <w:rPr/>
            </w:pPr>
            <w:r>
              <w:rPr/>
              <w:t> </w:t>
            </w:r>
          </w:p>
        </w:tc>
      </w:tr>
      <w:tr>
        <w:trPr/>
        <w:tc>
          <w:tcPr>
            <w:tcW w:w="3161" w:type="dxa"/>
            <w:tcBorders/>
          </w:tcPr>
          <w:p>
            <w:pPr>
              <w:pStyle w:val="TableContents"/>
              <w:bidi w:val="0"/>
              <w:spacing w:before="0" w:after="0"/>
              <w:jc w:val="left"/>
              <w:rPr>
                <w:rFonts w:ascii="Times New Roman" w:hAnsi="Times New Roman"/>
                <w:sz w:val="20"/>
              </w:rPr>
            </w:pPr>
            <w:r>
              <w:rPr>
                <w:rFonts w:ascii="Times New Roman" w:hAnsi="Times New Roman"/>
                <w:sz w:val="20"/>
              </w:rPr>
              <w:t>Purchase discount accretion</w:t>
            </w:r>
          </w:p>
        </w:tc>
        <w:tc>
          <w:tcPr>
            <w:tcW w:w="242" w:type="dxa"/>
            <w:tcBorders/>
            <w:vAlign w:val="bottom"/>
          </w:tcPr>
          <w:p>
            <w:pPr>
              <w:pStyle w:val="TableContents"/>
              <w:bidi w:val="0"/>
              <w:spacing w:before="0" w:after="283"/>
              <w:jc w:val="left"/>
              <w:rPr/>
            </w:pPr>
            <w:r>
              <w:rPr/>
              <w:t>  </w:t>
            </w:r>
          </w:p>
        </w:tc>
        <w:tc>
          <w:tcPr>
            <w:tcW w:w="299" w:type="dxa"/>
            <w:tcBorders/>
            <w:vAlign w:val="bottom"/>
          </w:tcPr>
          <w:p>
            <w:pPr>
              <w:pStyle w:val="TableContents"/>
              <w:bidi w:val="0"/>
              <w:spacing w:before="0" w:after="283"/>
              <w:jc w:val="left"/>
              <w:rPr/>
            </w:pPr>
            <w:r>
              <w:rPr/>
              <w:t> </w:t>
            </w:r>
          </w:p>
        </w:tc>
        <w:tc>
          <w:tcPr>
            <w:tcW w:w="1459" w:type="dxa"/>
            <w:tcBorders/>
            <w:vAlign w:val="bottom"/>
          </w:tcPr>
          <w:p>
            <w:pPr>
              <w:pStyle w:val="TableContents"/>
              <w:bidi w:val="0"/>
              <w:spacing w:before="0" w:after="283"/>
              <w:jc w:val="right"/>
              <w:rPr/>
            </w:pPr>
            <w:r>
              <w:rPr/>
              <w:t>16</w:t>
            </w:r>
          </w:p>
        </w:tc>
        <w:tc>
          <w:tcPr>
            <w:tcW w:w="329" w:type="dxa"/>
            <w:tcBorders/>
            <w:vAlign w:val="bottom"/>
          </w:tcPr>
          <w:p>
            <w:pPr>
              <w:pStyle w:val="TableContents"/>
              <w:bidi w:val="0"/>
              <w:spacing w:before="0" w:after="283"/>
              <w:jc w:val="left"/>
              <w:rPr/>
            </w:pPr>
            <w:r>
              <w:rPr/>
              <w:t> </w:t>
            </w:r>
          </w:p>
        </w:tc>
        <w:tc>
          <w:tcPr>
            <w:tcW w:w="346" w:type="dxa"/>
            <w:tcBorders/>
            <w:vAlign w:val="bottom"/>
          </w:tcPr>
          <w:p>
            <w:pPr>
              <w:pStyle w:val="TableContents"/>
              <w:bidi w:val="0"/>
              <w:spacing w:before="0" w:after="283"/>
              <w:jc w:val="left"/>
              <w:rPr/>
            </w:pPr>
            <w:r>
              <w:rPr/>
              <w:t>  </w:t>
            </w:r>
          </w:p>
        </w:tc>
        <w:tc>
          <w:tcPr>
            <w:tcW w:w="299" w:type="dxa"/>
            <w:tcBorders/>
            <w:vAlign w:val="bottom"/>
          </w:tcPr>
          <w:p>
            <w:pPr>
              <w:pStyle w:val="TableContents"/>
              <w:bidi w:val="0"/>
              <w:spacing w:before="0" w:after="283"/>
              <w:jc w:val="left"/>
              <w:rPr/>
            </w:pPr>
            <w:r>
              <w:rPr/>
              <w:t> </w:t>
            </w:r>
          </w:p>
        </w:tc>
        <w:tc>
          <w:tcPr>
            <w:tcW w:w="1461" w:type="dxa"/>
            <w:tcBorders/>
            <w:vAlign w:val="bottom"/>
          </w:tcPr>
          <w:p>
            <w:pPr>
              <w:pStyle w:val="TableContents"/>
              <w:bidi w:val="0"/>
              <w:spacing w:before="0" w:after="283"/>
              <w:jc w:val="right"/>
              <w:rPr/>
            </w:pPr>
            <w:r>
              <w:rPr/>
              <w:t>73</w:t>
            </w:r>
          </w:p>
        </w:tc>
        <w:tc>
          <w:tcPr>
            <w:tcW w:w="159" w:type="dxa"/>
            <w:tcBorders/>
            <w:vAlign w:val="bottom"/>
          </w:tcPr>
          <w:p>
            <w:pPr>
              <w:pStyle w:val="TableContents"/>
              <w:bidi w:val="0"/>
              <w:spacing w:before="0" w:after="283"/>
              <w:jc w:val="left"/>
              <w:rPr/>
            </w:pPr>
            <w:r>
              <w:rPr/>
              <w:t> </w:t>
            </w:r>
          </w:p>
        </w:tc>
      </w:tr>
      <w:tr>
        <w:trPr/>
        <w:tc>
          <w:tcPr>
            <w:tcW w:w="316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PIK income</w:t>
            </w:r>
          </w:p>
        </w:tc>
        <w:tc>
          <w:tcPr>
            <w:tcW w:w="242" w:type="dxa"/>
            <w:tcBorders/>
            <w:shd w:fill="CCEEFF" w:val="clear"/>
            <w:vAlign w:val="bottom"/>
          </w:tcPr>
          <w:p>
            <w:pPr>
              <w:pStyle w:val="TableContents"/>
              <w:bidi w:val="0"/>
              <w:spacing w:before="0" w:after="283"/>
              <w:jc w:val="left"/>
              <w:rPr/>
            </w:pPr>
            <w:r>
              <w:rPr/>
              <w:t>  </w:t>
            </w:r>
          </w:p>
        </w:tc>
        <w:tc>
          <w:tcPr>
            <w:tcW w:w="299" w:type="dxa"/>
            <w:tcBorders/>
            <w:shd w:fill="CCEEFF" w:val="clear"/>
            <w:vAlign w:val="bottom"/>
          </w:tcPr>
          <w:p>
            <w:pPr>
              <w:pStyle w:val="TableContents"/>
              <w:bidi w:val="0"/>
              <w:spacing w:before="0" w:after="283"/>
              <w:jc w:val="left"/>
              <w:rPr/>
            </w:pPr>
            <w:r>
              <w:rPr/>
              <w:t> </w:t>
            </w:r>
          </w:p>
        </w:tc>
        <w:tc>
          <w:tcPr>
            <w:tcW w:w="1459" w:type="dxa"/>
            <w:tcBorders/>
            <w:shd w:fill="CCEEFF" w:val="clear"/>
            <w:vAlign w:val="bottom"/>
          </w:tcPr>
          <w:p>
            <w:pPr>
              <w:pStyle w:val="TableContents"/>
              <w:bidi w:val="0"/>
              <w:spacing w:before="0" w:after="283"/>
              <w:jc w:val="right"/>
              <w:rPr/>
            </w:pPr>
            <w:r>
              <w:rPr/>
              <w:t>3,061</w:t>
            </w:r>
          </w:p>
        </w:tc>
        <w:tc>
          <w:tcPr>
            <w:tcW w:w="329" w:type="dxa"/>
            <w:tcBorders/>
            <w:shd w:fill="CCEEFF" w:val="clear"/>
            <w:vAlign w:val="bottom"/>
          </w:tcPr>
          <w:p>
            <w:pPr>
              <w:pStyle w:val="TableContents"/>
              <w:bidi w:val="0"/>
              <w:spacing w:before="0" w:after="283"/>
              <w:jc w:val="left"/>
              <w:rPr/>
            </w:pPr>
            <w:r>
              <w:rPr/>
              <w:t> </w:t>
            </w:r>
          </w:p>
        </w:tc>
        <w:tc>
          <w:tcPr>
            <w:tcW w:w="346" w:type="dxa"/>
            <w:tcBorders/>
            <w:shd w:fill="CCEEFF" w:val="clear"/>
            <w:vAlign w:val="bottom"/>
          </w:tcPr>
          <w:p>
            <w:pPr>
              <w:pStyle w:val="TableContents"/>
              <w:bidi w:val="0"/>
              <w:spacing w:before="0" w:after="283"/>
              <w:jc w:val="left"/>
              <w:rPr/>
            </w:pPr>
            <w:r>
              <w:rPr/>
              <w:t>  </w:t>
            </w:r>
          </w:p>
        </w:tc>
        <w:tc>
          <w:tcPr>
            <w:tcW w:w="299" w:type="dxa"/>
            <w:tcBorders/>
            <w:shd w:fill="CCEEFF" w:val="clear"/>
            <w:vAlign w:val="bottom"/>
          </w:tcPr>
          <w:p>
            <w:pPr>
              <w:pStyle w:val="TableContents"/>
              <w:bidi w:val="0"/>
              <w:spacing w:before="0" w:after="283"/>
              <w:jc w:val="left"/>
              <w:rPr/>
            </w:pPr>
            <w:r>
              <w:rPr/>
              <w:t> </w:t>
            </w:r>
          </w:p>
        </w:tc>
        <w:tc>
          <w:tcPr>
            <w:tcW w:w="1461" w:type="dxa"/>
            <w:tcBorders/>
            <w:shd w:fill="CCEEFF" w:val="clear"/>
            <w:vAlign w:val="bottom"/>
          </w:tcPr>
          <w:p>
            <w:pPr>
              <w:pStyle w:val="TableContents"/>
              <w:bidi w:val="0"/>
              <w:spacing w:before="0" w:after="283"/>
              <w:jc w:val="right"/>
              <w:rPr/>
            </w:pPr>
            <w:r>
              <w:rPr/>
              <w:t>2,006</w:t>
            </w:r>
          </w:p>
        </w:tc>
        <w:tc>
          <w:tcPr>
            <w:tcW w:w="159" w:type="dxa"/>
            <w:tcBorders/>
            <w:shd w:fill="CCEEFF" w:val="clear"/>
            <w:vAlign w:val="bottom"/>
          </w:tcPr>
          <w:p>
            <w:pPr>
              <w:pStyle w:val="TableContents"/>
              <w:bidi w:val="0"/>
              <w:spacing w:before="0" w:after="283"/>
              <w:jc w:val="left"/>
              <w:rPr/>
            </w:pPr>
            <w:r>
              <w:rPr/>
              <w:t> </w:t>
            </w:r>
          </w:p>
        </w:tc>
      </w:tr>
      <w:tr>
        <w:trPr/>
        <w:tc>
          <w:tcPr>
            <w:tcW w:w="3161" w:type="dxa"/>
            <w:tcBorders/>
          </w:tcPr>
          <w:p>
            <w:pPr>
              <w:pStyle w:val="TableContents"/>
              <w:bidi w:val="0"/>
              <w:spacing w:before="0" w:after="0"/>
              <w:jc w:val="left"/>
              <w:rPr>
                <w:rFonts w:ascii="Times New Roman" w:hAnsi="Times New Roman"/>
                <w:sz w:val="20"/>
              </w:rPr>
            </w:pPr>
            <w:r>
              <w:rPr>
                <w:rFonts w:ascii="Times New Roman" w:hAnsi="Times New Roman"/>
                <w:sz w:val="20"/>
              </w:rPr>
              <w:t>CLO income</w:t>
            </w:r>
          </w:p>
        </w:tc>
        <w:tc>
          <w:tcPr>
            <w:tcW w:w="242" w:type="dxa"/>
            <w:tcBorders/>
            <w:vAlign w:val="bottom"/>
          </w:tcPr>
          <w:p>
            <w:pPr>
              <w:pStyle w:val="TableContents"/>
              <w:bidi w:val="0"/>
              <w:spacing w:before="0" w:after="283"/>
              <w:jc w:val="left"/>
              <w:rPr/>
            </w:pPr>
            <w:r>
              <w:rPr/>
              <w:t>  </w:t>
            </w:r>
          </w:p>
        </w:tc>
        <w:tc>
          <w:tcPr>
            <w:tcW w:w="299" w:type="dxa"/>
            <w:tcBorders/>
            <w:vAlign w:val="bottom"/>
          </w:tcPr>
          <w:p>
            <w:pPr>
              <w:pStyle w:val="TableContents"/>
              <w:bidi w:val="0"/>
              <w:spacing w:before="0" w:after="283"/>
              <w:jc w:val="left"/>
              <w:rPr/>
            </w:pPr>
            <w:r>
              <w:rPr/>
              <w:t> </w:t>
            </w:r>
          </w:p>
        </w:tc>
        <w:tc>
          <w:tcPr>
            <w:tcW w:w="1459" w:type="dxa"/>
            <w:tcBorders/>
            <w:vAlign w:val="bottom"/>
          </w:tcPr>
          <w:p>
            <w:pPr>
              <w:pStyle w:val="TableContents"/>
              <w:bidi w:val="0"/>
              <w:spacing w:before="0" w:after="283"/>
              <w:jc w:val="right"/>
              <w:rPr/>
            </w:pPr>
            <w:r>
              <w:rPr/>
              <w:t>78</w:t>
            </w:r>
          </w:p>
        </w:tc>
        <w:tc>
          <w:tcPr>
            <w:tcW w:w="329" w:type="dxa"/>
            <w:tcBorders/>
            <w:vAlign w:val="bottom"/>
          </w:tcPr>
          <w:p>
            <w:pPr>
              <w:pStyle w:val="TableContents"/>
              <w:bidi w:val="0"/>
              <w:spacing w:before="0" w:after="283"/>
              <w:jc w:val="left"/>
              <w:rPr/>
            </w:pPr>
            <w:r>
              <w:rPr/>
              <w:t> </w:t>
            </w:r>
          </w:p>
        </w:tc>
        <w:tc>
          <w:tcPr>
            <w:tcW w:w="346" w:type="dxa"/>
            <w:tcBorders/>
            <w:vAlign w:val="bottom"/>
          </w:tcPr>
          <w:p>
            <w:pPr>
              <w:pStyle w:val="TableContents"/>
              <w:bidi w:val="0"/>
              <w:spacing w:before="0" w:after="283"/>
              <w:jc w:val="left"/>
              <w:rPr/>
            </w:pPr>
            <w:r>
              <w:rPr/>
              <w:t>  </w:t>
            </w:r>
          </w:p>
        </w:tc>
        <w:tc>
          <w:tcPr>
            <w:tcW w:w="299" w:type="dxa"/>
            <w:tcBorders/>
            <w:vAlign w:val="bottom"/>
          </w:tcPr>
          <w:p>
            <w:pPr>
              <w:pStyle w:val="TableContents"/>
              <w:bidi w:val="0"/>
              <w:spacing w:before="0" w:after="283"/>
              <w:jc w:val="left"/>
              <w:rPr/>
            </w:pPr>
            <w:r>
              <w:rPr/>
              <w:t> </w:t>
            </w:r>
          </w:p>
        </w:tc>
        <w:tc>
          <w:tcPr>
            <w:tcW w:w="1461" w:type="dxa"/>
            <w:tcBorders/>
            <w:vAlign w:val="bottom"/>
          </w:tcPr>
          <w:p>
            <w:pPr>
              <w:pStyle w:val="TableContents"/>
              <w:bidi w:val="0"/>
              <w:spacing w:before="0" w:after="283"/>
              <w:jc w:val="right"/>
              <w:rPr/>
            </w:pPr>
            <w:r>
              <w:rPr/>
              <w:t>555</w:t>
            </w:r>
          </w:p>
        </w:tc>
        <w:tc>
          <w:tcPr>
            <w:tcW w:w="159" w:type="dxa"/>
            <w:tcBorders/>
            <w:vAlign w:val="bottom"/>
          </w:tcPr>
          <w:p>
            <w:pPr>
              <w:pStyle w:val="TableContents"/>
              <w:bidi w:val="0"/>
              <w:spacing w:before="0" w:after="283"/>
              <w:jc w:val="left"/>
              <w:rPr/>
            </w:pPr>
            <w:r>
              <w:rPr/>
              <w:t> </w:t>
            </w:r>
          </w:p>
        </w:tc>
      </w:tr>
      <w:tr>
        <w:trPr/>
        <w:tc>
          <w:tcPr>
            <w:tcW w:w="316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JV income</w:t>
            </w:r>
          </w:p>
        </w:tc>
        <w:tc>
          <w:tcPr>
            <w:tcW w:w="242" w:type="dxa"/>
            <w:tcBorders/>
            <w:shd w:fill="CCEEFF" w:val="clear"/>
            <w:vAlign w:val="bottom"/>
          </w:tcPr>
          <w:p>
            <w:pPr>
              <w:pStyle w:val="TableContents"/>
              <w:bidi w:val="0"/>
              <w:spacing w:before="0" w:after="283"/>
              <w:jc w:val="left"/>
              <w:rPr/>
            </w:pPr>
            <w:r>
              <w:rPr/>
              <w:t>  </w:t>
            </w:r>
          </w:p>
        </w:tc>
        <w:tc>
          <w:tcPr>
            <w:tcW w:w="299" w:type="dxa"/>
            <w:tcBorders/>
            <w:shd w:fill="CCEEFF" w:val="clear"/>
            <w:vAlign w:val="bottom"/>
          </w:tcPr>
          <w:p>
            <w:pPr>
              <w:pStyle w:val="TableContents"/>
              <w:bidi w:val="0"/>
              <w:spacing w:before="0" w:after="283"/>
              <w:jc w:val="left"/>
              <w:rPr/>
            </w:pPr>
            <w:r>
              <w:rPr/>
              <w:t> </w:t>
            </w:r>
          </w:p>
        </w:tc>
        <w:tc>
          <w:tcPr>
            <w:tcW w:w="1459" w:type="dxa"/>
            <w:tcBorders/>
            <w:shd w:fill="CCEEFF" w:val="clear"/>
            <w:vAlign w:val="bottom"/>
          </w:tcPr>
          <w:p>
            <w:pPr>
              <w:pStyle w:val="TableContents"/>
              <w:bidi w:val="0"/>
              <w:spacing w:before="0" w:after="283"/>
              <w:jc w:val="right"/>
              <w:rPr/>
            </w:pPr>
            <w:r>
              <w:rPr/>
              <w:t>1,417</w:t>
            </w:r>
          </w:p>
        </w:tc>
        <w:tc>
          <w:tcPr>
            <w:tcW w:w="329" w:type="dxa"/>
            <w:tcBorders/>
            <w:shd w:fill="CCEEFF" w:val="clear"/>
            <w:vAlign w:val="bottom"/>
          </w:tcPr>
          <w:p>
            <w:pPr>
              <w:pStyle w:val="TableContents"/>
              <w:bidi w:val="0"/>
              <w:spacing w:before="0" w:after="283"/>
              <w:jc w:val="left"/>
              <w:rPr/>
            </w:pPr>
            <w:r>
              <w:rPr/>
              <w:t> </w:t>
            </w:r>
          </w:p>
        </w:tc>
        <w:tc>
          <w:tcPr>
            <w:tcW w:w="346" w:type="dxa"/>
            <w:tcBorders/>
            <w:shd w:fill="CCEEFF" w:val="clear"/>
            <w:vAlign w:val="bottom"/>
          </w:tcPr>
          <w:p>
            <w:pPr>
              <w:pStyle w:val="TableContents"/>
              <w:bidi w:val="0"/>
              <w:spacing w:before="0" w:after="283"/>
              <w:jc w:val="left"/>
              <w:rPr/>
            </w:pPr>
            <w:r>
              <w:rPr/>
              <w:t>  </w:t>
            </w:r>
          </w:p>
        </w:tc>
        <w:tc>
          <w:tcPr>
            <w:tcW w:w="299" w:type="dxa"/>
            <w:tcBorders/>
            <w:shd w:fill="CCEEFF" w:val="clear"/>
            <w:vAlign w:val="bottom"/>
          </w:tcPr>
          <w:p>
            <w:pPr>
              <w:pStyle w:val="TableContents"/>
              <w:bidi w:val="0"/>
              <w:spacing w:before="0" w:after="283"/>
              <w:jc w:val="left"/>
              <w:rPr/>
            </w:pPr>
            <w:r>
              <w:rPr/>
              <w:t> </w:t>
            </w:r>
          </w:p>
        </w:tc>
        <w:tc>
          <w:tcPr>
            <w:tcW w:w="1461" w:type="dxa"/>
            <w:tcBorders/>
            <w:shd w:fill="CCEEFF" w:val="clear"/>
            <w:vAlign w:val="bottom"/>
          </w:tcPr>
          <w:p>
            <w:pPr>
              <w:pStyle w:val="TableContents"/>
              <w:bidi w:val="0"/>
              <w:spacing w:before="0" w:after="283"/>
              <w:jc w:val="right"/>
              <w:rPr/>
            </w:pPr>
            <w:r>
              <w:rPr/>
              <w:t>1,653</w:t>
            </w:r>
          </w:p>
        </w:tc>
        <w:tc>
          <w:tcPr>
            <w:tcW w:w="159" w:type="dxa"/>
            <w:tcBorders/>
            <w:shd w:fill="CCEEFF" w:val="clear"/>
            <w:vAlign w:val="bottom"/>
          </w:tcPr>
          <w:p>
            <w:pPr>
              <w:pStyle w:val="TableContents"/>
              <w:bidi w:val="0"/>
              <w:spacing w:before="0" w:after="283"/>
              <w:jc w:val="left"/>
              <w:rPr/>
            </w:pPr>
            <w:r>
              <w:rPr/>
              <w:t> </w:t>
            </w:r>
          </w:p>
        </w:tc>
      </w:tr>
      <w:tr>
        <w:trPr/>
        <w:tc>
          <w:tcPr>
            <w:tcW w:w="3161" w:type="dxa"/>
            <w:tcBorders/>
          </w:tcPr>
          <w:p>
            <w:pPr>
              <w:pStyle w:val="TableContents"/>
              <w:bidi w:val="0"/>
              <w:spacing w:before="0" w:after="0"/>
              <w:jc w:val="left"/>
              <w:rPr>
                <w:rFonts w:ascii="Times New Roman" w:hAnsi="Times New Roman"/>
                <w:sz w:val="20"/>
              </w:rPr>
            </w:pPr>
            <w:r>
              <w:rPr>
                <w:rFonts w:ascii="Times New Roman" w:hAnsi="Times New Roman"/>
                <w:sz w:val="20"/>
              </w:rPr>
              <w:t>Fees and other income</w:t>
            </w:r>
          </w:p>
        </w:tc>
        <w:tc>
          <w:tcPr>
            <w:tcW w:w="242" w:type="dxa"/>
            <w:tcBorders/>
            <w:vAlign w:val="bottom"/>
          </w:tcPr>
          <w:p>
            <w:pPr>
              <w:pStyle w:val="TableContents"/>
              <w:bidi w:val="0"/>
              <w:spacing w:before="0" w:after="283"/>
              <w:jc w:val="left"/>
              <w:rPr/>
            </w:pPr>
            <w:r>
              <w:rPr/>
              <w:t>  </w:t>
            </w:r>
          </w:p>
        </w:tc>
        <w:tc>
          <w:tcPr>
            <w:tcW w:w="299" w:type="dxa"/>
            <w:tcBorders/>
            <w:vAlign w:val="bottom"/>
          </w:tcPr>
          <w:p>
            <w:pPr>
              <w:pStyle w:val="TableContents"/>
              <w:bidi w:val="0"/>
              <w:spacing w:before="0" w:after="283"/>
              <w:jc w:val="left"/>
              <w:rPr/>
            </w:pPr>
            <w:r>
              <w:rPr/>
              <w:t> </w:t>
            </w:r>
          </w:p>
        </w:tc>
        <w:tc>
          <w:tcPr>
            <w:tcW w:w="1459" w:type="dxa"/>
            <w:tcBorders/>
            <w:vAlign w:val="bottom"/>
          </w:tcPr>
          <w:p>
            <w:pPr>
              <w:pStyle w:val="TableContents"/>
              <w:bidi w:val="0"/>
              <w:spacing w:before="0" w:after="283"/>
              <w:jc w:val="right"/>
              <w:rPr/>
            </w:pPr>
            <w:r>
              <w:rPr/>
              <w:t>24</w:t>
            </w:r>
          </w:p>
        </w:tc>
        <w:tc>
          <w:tcPr>
            <w:tcW w:w="329" w:type="dxa"/>
            <w:tcBorders/>
            <w:vAlign w:val="bottom"/>
          </w:tcPr>
          <w:p>
            <w:pPr>
              <w:pStyle w:val="TableContents"/>
              <w:bidi w:val="0"/>
              <w:spacing w:before="0" w:after="283"/>
              <w:jc w:val="left"/>
              <w:rPr/>
            </w:pPr>
            <w:r>
              <w:rPr/>
              <w:t> </w:t>
            </w:r>
          </w:p>
        </w:tc>
        <w:tc>
          <w:tcPr>
            <w:tcW w:w="346" w:type="dxa"/>
            <w:tcBorders/>
            <w:vAlign w:val="bottom"/>
          </w:tcPr>
          <w:p>
            <w:pPr>
              <w:pStyle w:val="TableContents"/>
              <w:bidi w:val="0"/>
              <w:spacing w:before="0" w:after="283"/>
              <w:jc w:val="left"/>
              <w:rPr/>
            </w:pPr>
            <w:r>
              <w:rPr/>
              <w:t>  </w:t>
            </w:r>
          </w:p>
        </w:tc>
        <w:tc>
          <w:tcPr>
            <w:tcW w:w="299" w:type="dxa"/>
            <w:tcBorders/>
            <w:vAlign w:val="bottom"/>
          </w:tcPr>
          <w:p>
            <w:pPr>
              <w:pStyle w:val="TableContents"/>
              <w:bidi w:val="0"/>
              <w:spacing w:before="0" w:after="283"/>
              <w:jc w:val="left"/>
              <w:rPr/>
            </w:pPr>
            <w:r>
              <w:rPr/>
              <w:t> </w:t>
            </w:r>
          </w:p>
        </w:tc>
        <w:tc>
          <w:tcPr>
            <w:tcW w:w="1461" w:type="dxa"/>
            <w:tcBorders/>
            <w:vAlign w:val="bottom"/>
          </w:tcPr>
          <w:p>
            <w:pPr>
              <w:pStyle w:val="TableContents"/>
              <w:bidi w:val="0"/>
              <w:spacing w:before="0" w:after="283"/>
              <w:jc w:val="right"/>
              <w:rPr/>
            </w:pPr>
            <w:r>
              <w:rPr/>
              <w:t>151</w:t>
            </w:r>
          </w:p>
        </w:tc>
        <w:tc>
          <w:tcPr>
            <w:tcW w:w="159" w:type="dxa"/>
            <w:tcBorders/>
            <w:vAlign w:val="bottom"/>
          </w:tcPr>
          <w:p>
            <w:pPr>
              <w:pStyle w:val="TableContents"/>
              <w:bidi w:val="0"/>
              <w:spacing w:before="0" w:after="283"/>
              <w:jc w:val="left"/>
              <w:rPr/>
            </w:pPr>
            <w:r>
              <w:rPr/>
              <w:t> </w:t>
            </w:r>
          </w:p>
        </w:tc>
      </w:tr>
      <w:tr>
        <w:trPr/>
        <w:tc>
          <w:tcPr>
            <w:tcW w:w="3161" w:type="dxa"/>
            <w:tcBorders/>
            <w:vAlign w:val="bottom"/>
          </w:tcPr>
          <w:p>
            <w:pPr>
              <w:pStyle w:val="TableContents"/>
              <w:bidi w:val="0"/>
              <w:spacing w:before="0" w:after="283"/>
              <w:jc w:val="left"/>
              <w:rPr>
                <w:sz w:val="4"/>
                <w:szCs w:val="4"/>
              </w:rPr>
            </w:pPr>
            <w:r>
              <w:rPr>
                <w:sz w:val="4"/>
                <w:szCs w:val="4"/>
              </w:rPr>
            </w:r>
          </w:p>
        </w:tc>
        <w:tc>
          <w:tcPr>
            <w:tcW w:w="242" w:type="dxa"/>
            <w:tcBorders/>
            <w:vAlign w:val="bottom"/>
          </w:tcPr>
          <w:p>
            <w:pPr>
              <w:pStyle w:val="TableContents"/>
              <w:bidi w:val="0"/>
              <w:spacing w:before="0" w:after="283"/>
              <w:jc w:val="left"/>
              <w:rPr/>
            </w:pPr>
            <w:r>
              <w:rPr/>
              <w:t>  </w:t>
            </w:r>
          </w:p>
        </w:tc>
        <w:tc>
          <w:tcPr>
            <w:tcW w:w="299" w:type="dxa"/>
            <w:tcBorders/>
            <w:vAlign w:val="bottom"/>
          </w:tcPr>
          <w:p>
            <w:pPr>
              <w:pStyle w:val="TableContents"/>
              <w:pBdr>
                <w:top w:val="single" w:sz="2" w:space="1" w:color="000000"/>
              </w:pBdr>
              <w:bidi w:val="0"/>
              <w:spacing w:before="0" w:after="0"/>
              <w:jc w:val="left"/>
              <w:rPr/>
            </w:pPr>
            <w:r>
              <w:rPr/>
              <w:t> </w:t>
            </w:r>
          </w:p>
        </w:tc>
        <w:tc>
          <w:tcPr>
            <w:tcW w:w="1459" w:type="dxa"/>
            <w:tcBorders/>
            <w:vAlign w:val="bottom"/>
          </w:tcPr>
          <w:p>
            <w:pPr>
              <w:pStyle w:val="TableContents"/>
              <w:pBdr>
                <w:top w:val="single" w:sz="2" w:space="1" w:color="000000"/>
              </w:pBdr>
              <w:bidi w:val="0"/>
              <w:spacing w:before="0" w:after="0"/>
              <w:jc w:val="left"/>
              <w:rPr/>
            </w:pPr>
            <w:r>
              <w:rPr/>
              <w:t> </w:t>
            </w:r>
          </w:p>
        </w:tc>
        <w:tc>
          <w:tcPr>
            <w:tcW w:w="329" w:type="dxa"/>
            <w:tcBorders/>
            <w:vAlign w:val="center"/>
          </w:tcPr>
          <w:p>
            <w:pPr>
              <w:pStyle w:val="TableContents"/>
              <w:bidi w:val="0"/>
              <w:spacing w:before="0" w:after="283"/>
              <w:jc w:val="left"/>
              <w:rPr/>
            </w:pPr>
            <w:r>
              <w:rPr/>
              <w:t> </w:t>
            </w:r>
          </w:p>
        </w:tc>
        <w:tc>
          <w:tcPr>
            <w:tcW w:w="346" w:type="dxa"/>
            <w:tcBorders/>
            <w:vAlign w:val="bottom"/>
          </w:tcPr>
          <w:p>
            <w:pPr>
              <w:pStyle w:val="TableContents"/>
              <w:bidi w:val="0"/>
              <w:spacing w:before="0" w:after="283"/>
              <w:jc w:val="left"/>
              <w:rPr/>
            </w:pPr>
            <w:r>
              <w:rPr/>
              <w:t>  </w:t>
            </w:r>
          </w:p>
        </w:tc>
        <w:tc>
          <w:tcPr>
            <w:tcW w:w="299" w:type="dxa"/>
            <w:tcBorders/>
            <w:vAlign w:val="bottom"/>
          </w:tcPr>
          <w:p>
            <w:pPr>
              <w:pStyle w:val="TableContents"/>
              <w:pBdr>
                <w:top w:val="single" w:sz="2" w:space="1" w:color="000000"/>
              </w:pBdr>
              <w:bidi w:val="0"/>
              <w:spacing w:before="0" w:after="0"/>
              <w:jc w:val="left"/>
              <w:rPr/>
            </w:pPr>
            <w:r>
              <w:rPr/>
              <w:t> </w:t>
            </w:r>
          </w:p>
        </w:tc>
        <w:tc>
          <w:tcPr>
            <w:tcW w:w="1461"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3161"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Investment Income</w:t>
            </w:r>
          </w:p>
        </w:tc>
        <w:tc>
          <w:tcPr>
            <w:tcW w:w="242" w:type="dxa"/>
            <w:tcBorders/>
            <w:shd w:fill="CCEEFF" w:val="clear"/>
            <w:vAlign w:val="bottom"/>
          </w:tcPr>
          <w:p>
            <w:pPr>
              <w:pStyle w:val="TableContents"/>
              <w:bidi w:val="0"/>
              <w:spacing w:before="0" w:after="283"/>
              <w:jc w:val="left"/>
              <w:rPr/>
            </w:pPr>
            <w:r>
              <w:rPr/>
              <w:t>  </w:t>
            </w:r>
          </w:p>
        </w:tc>
        <w:tc>
          <w:tcPr>
            <w:tcW w:w="299" w:type="dxa"/>
            <w:tcBorders/>
            <w:shd w:fill="CCEEFF" w:val="clear"/>
            <w:vAlign w:val="bottom"/>
          </w:tcPr>
          <w:p>
            <w:pPr>
              <w:pStyle w:val="TableContents"/>
              <w:bidi w:val="0"/>
              <w:spacing w:before="0" w:after="283"/>
              <w:jc w:val="left"/>
              <w:rPr/>
            </w:pPr>
            <w:r>
              <w:rPr/>
              <w:t>$</w:t>
            </w:r>
          </w:p>
        </w:tc>
        <w:tc>
          <w:tcPr>
            <w:tcW w:w="1459" w:type="dxa"/>
            <w:tcBorders/>
            <w:shd w:fill="CCEEFF" w:val="clear"/>
            <w:vAlign w:val="bottom"/>
          </w:tcPr>
          <w:p>
            <w:pPr>
              <w:pStyle w:val="TableContents"/>
              <w:bidi w:val="0"/>
              <w:spacing w:before="0" w:after="283"/>
              <w:jc w:val="right"/>
              <w:rPr/>
            </w:pPr>
            <w:r>
              <w:rPr/>
              <w:t>12,118</w:t>
            </w:r>
          </w:p>
        </w:tc>
        <w:tc>
          <w:tcPr>
            <w:tcW w:w="329" w:type="dxa"/>
            <w:tcBorders/>
            <w:shd w:fill="CCEEFF" w:val="clear"/>
            <w:vAlign w:val="bottom"/>
          </w:tcPr>
          <w:p>
            <w:pPr>
              <w:pStyle w:val="TableContents"/>
              <w:bidi w:val="0"/>
              <w:spacing w:before="0" w:after="283"/>
              <w:jc w:val="left"/>
              <w:rPr/>
            </w:pPr>
            <w:r>
              <w:rPr/>
              <w:t> </w:t>
            </w:r>
          </w:p>
        </w:tc>
        <w:tc>
          <w:tcPr>
            <w:tcW w:w="346" w:type="dxa"/>
            <w:tcBorders/>
            <w:shd w:fill="CCEEFF" w:val="clear"/>
            <w:vAlign w:val="bottom"/>
          </w:tcPr>
          <w:p>
            <w:pPr>
              <w:pStyle w:val="TableContents"/>
              <w:bidi w:val="0"/>
              <w:spacing w:before="0" w:after="283"/>
              <w:jc w:val="left"/>
              <w:rPr/>
            </w:pPr>
            <w:r>
              <w:rPr/>
              <w:t>  </w:t>
            </w:r>
          </w:p>
        </w:tc>
        <w:tc>
          <w:tcPr>
            <w:tcW w:w="299" w:type="dxa"/>
            <w:tcBorders/>
            <w:shd w:fill="CCEEFF" w:val="clear"/>
            <w:vAlign w:val="bottom"/>
          </w:tcPr>
          <w:p>
            <w:pPr>
              <w:pStyle w:val="TableContents"/>
              <w:bidi w:val="0"/>
              <w:spacing w:before="0" w:after="283"/>
              <w:jc w:val="left"/>
              <w:rPr/>
            </w:pPr>
            <w:r>
              <w:rPr/>
              <w:t>$</w:t>
            </w:r>
          </w:p>
        </w:tc>
        <w:tc>
          <w:tcPr>
            <w:tcW w:w="1461" w:type="dxa"/>
            <w:tcBorders/>
            <w:shd w:fill="CCEEFF" w:val="clear"/>
            <w:vAlign w:val="bottom"/>
          </w:tcPr>
          <w:p>
            <w:pPr>
              <w:pStyle w:val="TableContents"/>
              <w:bidi w:val="0"/>
              <w:spacing w:before="0" w:after="283"/>
              <w:jc w:val="right"/>
              <w:rPr/>
            </w:pPr>
            <w:r>
              <w:rPr/>
              <w:t>16,526</w:t>
            </w:r>
          </w:p>
        </w:tc>
        <w:tc>
          <w:tcPr>
            <w:tcW w:w="159" w:type="dxa"/>
            <w:tcBorders/>
            <w:shd w:fill="CCEEFF" w:val="clear"/>
            <w:vAlign w:val="bottom"/>
          </w:tcPr>
          <w:p>
            <w:pPr>
              <w:pStyle w:val="TableContents"/>
              <w:bidi w:val="0"/>
              <w:spacing w:before="0" w:after="283"/>
              <w:jc w:val="left"/>
              <w:rPr/>
            </w:pPr>
            <w:r>
              <w:rPr/>
              <w:t> </w:t>
            </w:r>
          </w:p>
        </w:tc>
      </w:tr>
      <w:tr>
        <w:trPr/>
        <w:tc>
          <w:tcPr>
            <w:tcW w:w="3161" w:type="dxa"/>
            <w:tcBorders/>
            <w:vAlign w:val="bottom"/>
          </w:tcPr>
          <w:p>
            <w:pPr>
              <w:pStyle w:val="TableContents"/>
              <w:bidi w:val="0"/>
              <w:spacing w:before="0" w:after="283"/>
              <w:jc w:val="left"/>
              <w:rPr>
                <w:sz w:val="4"/>
                <w:szCs w:val="4"/>
              </w:rPr>
            </w:pPr>
            <w:r>
              <w:rPr>
                <w:sz w:val="4"/>
                <w:szCs w:val="4"/>
              </w:rPr>
            </w:r>
          </w:p>
        </w:tc>
        <w:tc>
          <w:tcPr>
            <w:tcW w:w="242" w:type="dxa"/>
            <w:tcBorders/>
            <w:vAlign w:val="bottom"/>
          </w:tcPr>
          <w:p>
            <w:pPr>
              <w:pStyle w:val="TableContents"/>
              <w:bidi w:val="0"/>
              <w:spacing w:before="0" w:after="283"/>
              <w:jc w:val="left"/>
              <w:rPr/>
            </w:pPr>
            <w:r>
              <w:rPr/>
              <w:t>  </w:t>
            </w:r>
          </w:p>
        </w:tc>
        <w:tc>
          <w:tcPr>
            <w:tcW w:w="299" w:type="dxa"/>
            <w:tcBorders/>
            <w:vAlign w:val="bottom"/>
          </w:tcPr>
          <w:p>
            <w:pPr>
              <w:pStyle w:val="TableContents"/>
              <w:pBdr>
                <w:top w:val="single" w:sz="2" w:space="1" w:color="000000"/>
              </w:pBdr>
              <w:bidi w:val="0"/>
              <w:spacing w:before="0" w:after="0"/>
              <w:jc w:val="left"/>
              <w:rPr/>
            </w:pPr>
            <w:r>
              <w:rPr/>
              <w:t> </w:t>
            </w:r>
          </w:p>
        </w:tc>
        <w:tc>
          <w:tcPr>
            <w:tcW w:w="1459" w:type="dxa"/>
            <w:tcBorders/>
            <w:vAlign w:val="bottom"/>
          </w:tcPr>
          <w:p>
            <w:pPr>
              <w:pStyle w:val="TableContents"/>
              <w:pBdr>
                <w:top w:val="single" w:sz="2" w:space="1" w:color="000000"/>
              </w:pBdr>
              <w:bidi w:val="0"/>
              <w:spacing w:before="0" w:after="0"/>
              <w:jc w:val="left"/>
              <w:rPr/>
            </w:pPr>
            <w:r>
              <w:rPr/>
              <w:t> </w:t>
            </w:r>
          </w:p>
        </w:tc>
        <w:tc>
          <w:tcPr>
            <w:tcW w:w="329" w:type="dxa"/>
            <w:tcBorders/>
            <w:vAlign w:val="center"/>
          </w:tcPr>
          <w:p>
            <w:pPr>
              <w:pStyle w:val="TableContents"/>
              <w:bidi w:val="0"/>
              <w:spacing w:before="0" w:after="283"/>
              <w:jc w:val="left"/>
              <w:rPr/>
            </w:pPr>
            <w:r>
              <w:rPr/>
              <w:t> </w:t>
            </w:r>
          </w:p>
        </w:tc>
        <w:tc>
          <w:tcPr>
            <w:tcW w:w="346" w:type="dxa"/>
            <w:tcBorders/>
            <w:vAlign w:val="bottom"/>
          </w:tcPr>
          <w:p>
            <w:pPr>
              <w:pStyle w:val="TableContents"/>
              <w:bidi w:val="0"/>
              <w:spacing w:before="0" w:after="283"/>
              <w:jc w:val="left"/>
              <w:rPr/>
            </w:pPr>
            <w:r>
              <w:rPr/>
              <w:t>  </w:t>
            </w:r>
          </w:p>
        </w:tc>
        <w:tc>
          <w:tcPr>
            <w:tcW w:w="299" w:type="dxa"/>
            <w:tcBorders/>
            <w:vAlign w:val="bottom"/>
          </w:tcPr>
          <w:p>
            <w:pPr>
              <w:pStyle w:val="TableContents"/>
              <w:pBdr>
                <w:top w:val="single" w:sz="2" w:space="1" w:color="000000"/>
              </w:pBdr>
              <w:bidi w:val="0"/>
              <w:spacing w:before="0" w:after="0"/>
              <w:jc w:val="left"/>
              <w:rPr/>
            </w:pPr>
            <w:r>
              <w:rPr/>
              <w:t> </w:t>
            </w:r>
          </w:p>
        </w:tc>
        <w:tc>
          <w:tcPr>
            <w:tcW w:w="1461"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3161" w:type="dxa"/>
            <w:tcBorders/>
          </w:tcPr>
          <w:p>
            <w:pPr>
              <w:pStyle w:val="TableContents"/>
              <w:bidi w:val="0"/>
              <w:spacing w:before="0" w:after="0"/>
              <w:jc w:val="left"/>
              <w:rPr>
                <w:rFonts w:ascii="Times New Roman" w:hAnsi="Times New Roman"/>
                <w:sz w:val="20"/>
              </w:rPr>
            </w:pPr>
            <w:r>
              <w:rPr>
                <w:rFonts w:ascii="Times New Roman" w:hAnsi="Times New Roman"/>
                <w:sz w:val="20"/>
              </w:rPr>
              <w:t>Less: Purchase discount accretion</w:t>
            </w:r>
          </w:p>
        </w:tc>
        <w:tc>
          <w:tcPr>
            <w:tcW w:w="242" w:type="dxa"/>
            <w:tcBorders/>
            <w:vAlign w:val="bottom"/>
          </w:tcPr>
          <w:p>
            <w:pPr>
              <w:pStyle w:val="TableContents"/>
              <w:bidi w:val="0"/>
              <w:spacing w:before="0" w:after="283"/>
              <w:jc w:val="left"/>
              <w:rPr/>
            </w:pPr>
            <w:r>
              <w:rPr/>
              <w:t>  </w:t>
            </w:r>
          </w:p>
        </w:tc>
        <w:tc>
          <w:tcPr>
            <w:tcW w:w="299" w:type="dxa"/>
            <w:tcBorders/>
            <w:vAlign w:val="bottom"/>
          </w:tcPr>
          <w:p>
            <w:pPr>
              <w:pStyle w:val="TableContents"/>
              <w:bidi w:val="0"/>
              <w:spacing w:before="0" w:after="283"/>
              <w:jc w:val="left"/>
              <w:rPr/>
            </w:pPr>
            <w:r>
              <w:rPr/>
              <w:t>$</w:t>
            </w:r>
          </w:p>
        </w:tc>
        <w:tc>
          <w:tcPr>
            <w:tcW w:w="1459" w:type="dxa"/>
            <w:tcBorders/>
            <w:vAlign w:val="bottom"/>
          </w:tcPr>
          <w:p>
            <w:pPr>
              <w:pStyle w:val="TableContents"/>
              <w:bidi w:val="0"/>
              <w:spacing w:before="0" w:after="283"/>
              <w:jc w:val="right"/>
              <w:rPr/>
            </w:pPr>
            <w:r>
              <w:rPr/>
              <w:t>(16</w:t>
            </w:r>
          </w:p>
        </w:tc>
        <w:tc>
          <w:tcPr>
            <w:tcW w:w="329" w:type="dxa"/>
            <w:tcBorders/>
            <w:vAlign w:val="bottom"/>
          </w:tcPr>
          <w:p>
            <w:pPr>
              <w:pStyle w:val="TableContents"/>
              <w:bidi w:val="0"/>
              <w:spacing w:before="0" w:after="283"/>
              <w:jc w:val="left"/>
              <w:rPr/>
            </w:pPr>
            <w:r>
              <w:rPr/>
              <w:t>) </w:t>
            </w:r>
          </w:p>
        </w:tc>
        <w:tc>
          <w:tcPr>
            <w:tcW w:w="346" w:type="dxa"/>
            <w:tcBorders/>
            <w:vAlign w:val="bottom"/>
          </w:tcPr>
          <w:p>
            <w:pPr>
              <w:pStyle w:val="TableContents"/>
              <w:bidi w:val="0"/>
              <w:spacing w:before="0" w:after="283"/>
              <w:jc w:val="left"/>
              <w:rPr/>
            </w:pPr>
            <w:r>
              <w:rPr/>
              <w:t>  </w:t>
            </w:r>
          </w:p>
        </w:tc>
        <w:tc>
          <w:tcPr>
            <w:tcW w:w="299" w:type="dxa"/>
            <w:tcBorders/>
            <w:vAlign w:val="bottom"/>
          </w:tcPr>
          <w:p>
            <w:pPr>
              <w:pStyle w:val="TableContents"/>
              <w:bidi w:val="0"/>
              <w:spacing w:before="0" w:after="283"/>
              <w:jc w:val="left"/>
              <w:rPr/>
            </w:pPr>
            <w:r>
              <w:rPr/>
              <w:t>$</w:t>
            </w:r>
          </w:p>
        </w:tc>
        <w:tc>
          <w:tcPr>
            <w:tcW w:w="1461" w:type="dxa"/>
            <w:tcBorders/>
            <w:vAlign w:val="bottom"/>
          </w:tcPr>
          <w:p>
            <w:pPr>
              <w:pStyle w:val="TableContents"/>
              <w:bidi w:val="0"/>
              <w:spacing w:before="0" w:after="283"/>
              <w:jc w:val="right"/>
              <w:rPr/>
            </w:pPr>
            <w:r>
              <w:rPr/>
              <w:t>(73</w:t>
            </w:r>
          </w:p>
        </w:tc>
        <w:tc>
          <w:tcPr>
            <w:tcW w:w="159" w:type="dxa"/>
            <w:tcBorders/>
            <w:vAlign w:val="bottom"/>
          </w:tcPr>
          <w:p>
            <w:pPr>
              <w:pStyle w:val="TableContents"/>
              <w:bidi w:val="0"/>
              <w:spacing w:before="0" w:after="283"/>
              <w:jc w:val="left"/>
              <w:rPr/>
            </w:pPr>
            <w:r>
              <w:rPr/>
              <w:t>) </w:t>
            </w:r>
          </w:p>
        </w:tc>
      </w:tr>
      <w:tr>
        <w:trPr/>
        <w:tc>
          <w:tcPr>
            <w:tcW w:w="3161" w:type="dxa"/>
            <w:tcBorders/>
            <w:vAlign w:val="bottom"/>
          </w:tcPr>
          <w:p>
            <w:pPr>
              <w:pStyle w:val="TableContents"/>
              <w:bidi w:val="0"/>
              <w:spacing w:before="0" w:after="283"/>
              <w:jc w:val="left"/>
              <w:rPr>
                <w:sz w:val="4"/>
                <w:szCs w:val="4"/>
              </w:rPr>
            </w:pPr>
            <w:r>
              <w:rPr>
                <w:sz w:val="4"/>
                <w:szCs w:val="4"/>
              </w:rPr>
            </w:r>
          </w:p>
        </w:tc>
        <w:tc>
          <w:tcPr>
            <w:tcW w:w="242" w:type="dxa"/>
            <w:tcBorders/>
            <w:vAlign w:val="bottom"/>
          </w:tcPr>
          <w:p>
            <w:pPr>
              <w:pStyle w:val="TableContents"/>
              <w:bidi w:val="0"/>
              <w:spacing w:before="0" w:after="283"/>
              <w:jc w:val="left"/>
              <w:rPr/>
            </w:pPr>
            <w:r>
              <w:rPr/>
              <w:t>  </w:t>
            </w:r>
          </w:p>
        </w:tc>
        <w:tc>
          <w:tcPr>
            <w:tcW w:w="299" w:type="dxa"/>
            <w:tcBorders/>
            <w:vAlign w:val="bottom"/>
          </w:tcPr>
          <w:p>
            <w:pPr>
              <w:pStyle w:val="TableContents"/>
              <w:pBdr>
                <w:top w:val="single" w:sz="2" w:space="1" w:color="000000"/>
              </w:pBdr>
              <w:bidi w:val="0"/>
              <w:spacing w:before="0" w:after="0"/>
              <w:jc w:val="left"/>
              <w:rPr/>
            </w:pPr>
            <w:r>
              <w:rPr/>
              <w:t> </w:t>
            </w:r>
          </w:p>
        </w:tc>
        <w:tc>
          <w:tcPr>
            <w:tcW w:w="1459" w:type="dxa"/>
            <w:tcBorders/>
            <w:vAlign w:val="bottom"/>
          </w:tcPr>
          <w:p>
            <w:pPr>
              <w:pStyle w:val="TableContents"/>
              <w:pBdr>
                <w:top w:val="single" w:sz="2" w:space="1" w:color="000000"/>
              </w:pBdr>
              <w:bidi w:val="0"/>
              <w:spacing w:before="0" w:after="0"/>
              <w:jc w:val="left"/>
              <w:rPr/>
            </w:pPr>
            <w:r>
              <w:rPr/>
              <w:t> </w:t>
            </w:r>
          </w:p>
        </w:tc>
        <w:tc>
          <w:tcPr>
            <w:tcW w:w="329" w:type="dxa"/>
            <w:tcBorders/>
            <w:vAlign w:val="center"/>
          </w:tcPr>
          <w:p>
            <w:pPr>
              <w:pStyle w:val="TableContents"/>
              <w:bidi w:val="0"/>
              <w:spacing w:before="0" w:after="283"/>
              <w:jc w:val="left"/>
              <w:rPr/>
            </w:pPr>
            <w:r>
              <w:rPr/>
              <w:t> </w:t>
            </w:r>
          </w:p>
        </w:tc>
        <w:tc>
          <w:tcPr>
            <w:tcW w:w="346" w:type="dxa"/>
            <w:tcBorders/>
            <w:vAlign w:val="bottom"/>
          </w:tcPr>
          <w:p>
            <w:pPr>
              <w:pStyle w:val="TableContents"/>
              <w:bidi w:val="0"/>
              <w:spacing w:before="0" w:after="283"/>
              <w:jc w:val="left"/>
              <w:rPr/>
            </w:pPr>
            <w:r>
              <w:rPr/>
              <w:t>  </w:t>
            </w:r>
          </w:p>
        </w:tc>
        <w:tc>
          <w:tcPr>
            <w:tcW w:w="299" w:type="dxa"/>
            <w:tcBorders/>
            <w:vAlign w:val="bottom"/>
          </w:tcPr>
          <w:p>
            <w:pPr>
              <w:pStyle w:val="TableContents"/>
              <w:pBdr>
                <w:top w:val="single" w:sz="2" w:space="1" w:color="000000"/>
              </w:pBdr>
              <w:bidi w:val="0"/>
              <w:spacing w:before="0" w:after="0"/>
              <w:jc w:val="left"/>
              <w:rPr/>
            </w:pPr>
            <w:r>
              <w:rPr/>
              <w:t> </w:t>
            </w:r>
          </w:p>
        </w:tc>
        <w:tc>
          <w:tcPr>
            <w:tcW w:w="1461"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3161"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Core Investment Income</w:t>
            </w:r>
          </w:p>
        </w:tc>
        <w:tc>
          <w:tcPr>
            <w:tcW w:w="242" w:type="dxa"/>
            <w:tcBorders/>
            <w:shd w:fill="CCEEFF" w:val="clear"/>
            <w:vAlign w:val="bottom"/>
          </w:tcPr>
          <w:p>
            <w:pPr>
              <w:pStyle w:val="TableContents"/>
              <w:bidi w:val="0"/>
              <w:spacing w:before="0" w:after="283"/>
              <w:jc w:val="left"/>
              <w:rPr/>
            </w:pPr>
            <w:r>
              <w:rPr/>
              <w:t>  </w:t>
            </w:r>
          </w:p>
        </w:tc>
        <w:tc>
          <w:tcPr>
            <w:tcW w:w="299" w:type="dxa"/>
            <w:tcBorders/>
            <w:shd w:fill="CCEEFF" w:val="clear"/>
            <w:vAlign w:val="bottom"/>
          </w:tcPr>
          <w:p>
            <w:pPr>
              <w:pStyle w:val="TableContents"/>
              <w:bidi w:val="0"/>
              <w:spacing w:before="0" w:after="283"/>
              <w:jc w:val="left"/>
              <w:rPr/>
            </w:pPr>
            <w:r>
              <w:rPr/>
              <w:t>$</w:t>
            </w:r>
          </w:p>
        </w:tc>
        <w:tc>
          <w:tcPr>
            <w:tcW w:w="1459" w:type="dxa"/>
            <w:tcBorders/>
            <w:shd w:fill="CCEEFF" w:val="clear"/>
            <w:vAlign w:val="bottom"/>
          </w:tcPr>
          <w:p>
            <w:pPr>
              <w:pStyle w:val="TableContents"/>
              <w:bidi w:val="0"/>
              <w:spacing w:before="0" w:after="283"/>
              <w:jc w:val="right"/>
              <w:rPr/>
            </w:pPr>
            <w:r>
              <w:rPr/>
              <w:t>12,102</w:t>
            </w:r>
          </w:p>
        </w:tc>
        <w:tc>
          <w:tcPr>
            <w:tcW w:w="329" w:type="dxa"/>
            <w:tcBorders/>
            <w:shd w:fill="CCEEFF" w:val="clear"/>
            <w:vAlign w:val="bottom"/>
          </w:tcPr>
          <w:p>
            <w:pPr>
              <w:pStyle w:val="TableContents"/>
              <w:bidi w:val="0"/>
              <w:spacing w:before="0" w:after="283"/>
              <w:jc w:val="left"/>
              <w:rPr/>
            </w:pPr>
            <w:r>
              <w:rPr/>
              <w:t> </w:t>
            </w:r>
          </w:p>
        </w:tc>
        <w:tc>
          <w:tcPr>
            <w:tcW w:w="346" w:type="dxa"/>
            <w:tcBorders/>
            <w:shd w:fill="CCEEFF" w:val="clear"/>
            <w:vAlign w:val="bottom"/>
          </w:tcPr>
          <w:p>
            <w:pPr>
              <w:pStyle w:val="TableContents"/>
              <w:bidi w:val="0"/>
              <w:spacing w:before="0" w:after="283"/>
              <w:jc w:val="left"/>
              <w:rPr/>
            </w:pPr>
            <w:r>
              <w:rPr/>
              <w:t>  </w:t>
            </w:r>
          </w:p>
        </w:tc>
        <w:tc>
          <w:tcPr>
            <w:tcW w:w="299" w:type="dxa"/>
            <w:tcBorders/>
            <w:shd w:fill="CCEEFF" w:val="clear"/>
            <w:vAlign w:val="bottom"/>
          </w:tcPr>
          <w:p>
            <w:pPr>
              <w:pStyle w:val="TableContents"/>
              <w:bidi w:val="0"/>
              <w:spacing w:before="0" w:after="283"/>
              <w:jc w:val="left"/>
              <w:rPr/>
            </w:pPr>
            <w:r>
              <w:rPr/>
              <w:t>$</w:t>
            </w:r>
          </w:p>
        </w:tc>
        <w:tc>
          <w:tcPr>
            <w:tcW w:w="1461" w:type="dxa"/>
            <w:tcBorders/>
            <w:shd w:fill="CCEEFF" w:val="clear"/>
            <w:vAlign w:val="bottom"/>
          </w:tcPr>
          <w:p>
            <w:pPr>
              <w:pStyle w:val="TableContents"/>
              <w:bidi w:val="0"/>
              <w:spacing w:before="0" w:after="283"/>
              <w:jc w:val="right"/>
              <w:rPr/>
            </w:pPr>
            <w:r>
              <w:rPr/>
              <w:t>16,453</w:t>
            </w:r>
          </w:p>
        </w:tc>
        <w:tc>
          <w:tcPr>
            <w:tcW w:w="159" w:type="dxa"/>
            <w:tcBorders/>
            <w:shd w:fill="CCEEFF" w:val="clear"/>
            <w:vAlign w:val="bottom"/>
          </w:tcPr>
          <w:p>
            <w:pPr>
              <w:pStyle w:val="TableContents"/>
              <w:bidi w:val="0"/>
              <w:spacing w:before="0" w:after="283"/>
              <w:jc w:val="left"/>
              <w:rPr/>
            </w:pPr>
            <w:r>
              <w:rPr/>
              <w:t> </w:t>
            </w:r>
          </w:p>
        </w:tc>
      </w:tr>
      <w:tr>
        <w:trPr/>
        <w:tc>
          <w:tcPr>
            <w:tcW w:w="3161" w:type="dxa"/>
            <w:tcBorders/>
            <w:vAlign w:val="bottom"/>
          </w:tcPr>
          <w:p>
            <w:pPr>
              <w:pStyle w:val="TableContents"/>
              <w:bidi w:val="0"/>
              <w:spacing w:before="0" w:after="283"/>
              <w:jc w:val="left"/>
              <w:rPr>
                <w:sz w:val="4"/>
                <w:szCs w:val="4"/>
              </w:rPr>
            </w:pPr>
            <w:r>
              <w:rPr>
                <w:sz w:val="4"/>
                <w:szCs w:val="4"/>
              </w:rPr>
            </w:r>
          </w:p>
        </w:tc>
        <w:tc>
          <w:tcPr>
            <w:tcW w:w="242" w:type="dxa"/>
            <w:tcBorders/>
            <w:vAlign w:val="bottom"/>
          </w:tcPr>
          <w:p>
            <w:pPr>
              <w:pStyle w:val="TableContents"/>
              <w:bidi w:val="0"/>
              <w:spacing w:before="0" w:after="283"/>
              <w:jc w:val="left"/>
              <w:rPr/>
            </w:pPr>
            <w:r>
              <w:rPr/>
              <w:t>  </w:t>
            </w:r>
          </w:p>
        </w:tc>
        <w:tc>
          <w:tcPr>
            <w:tcW w:w="299" w:type="dxa"/>
            <w:tcBorders/>
            <w:vAlign w:val="bottom"/>
          </w:tcPr>
          <w:p>
            <w:pPr>
              <w:pStyle w:val="TableContents"/>
              <w:pBdr>
                <w:top w:val="single" w:sz="2" w:space="1" w:color="000000"/>
              </w:pBdr>
              <w:bidi w:val="0"/>
              <w:spacing w:before="0" w:after="0"/>
              <w:jc w:val="left"/>
              <w:rPr/>
            </w:pPr>
            <w:r>
              <w:rPr/>
              <w:t> </w:t>
            </w:r>
          </w:p>
        </w:tc>
        <w:tc>
          <w:tcPr>
            <w:tcW w:w="1459" w:type="dxa"/>
            <w:tcBorders/>
            <w:vAlign w:val="bottom"/>
          </w:tcPr>
          <w:p>
            <w:pPr>
              <w:pStyle w:val="TableContents"/>
              <w:pBdr>
                <w:top w:val="single" w:sz="2" w:space="1" w:color="000000"/>
              </w:pBdr>
              <w:bidi w:val="0"/>
              <w:spacing w:before="0" w:after="0"/>
              <w:jc w:val="left"/>
              <w:rPr/>
            </w:pPr>
            <w:r>
              <w:rPr/>
              <w:t> </w:t>
            </w:r>
          </w:p>
        </w:tc>
        <w:tc>
          <w:tcPr>
            <w:tcW w:w="329" w:type="dxa"/>
            <w:tcBorders/>
            <w:vAlign w:val="center"/>
          </w:tcPr>
          <w:p>
            <w:pPr>
              <w:pStyle w:val="TableContents"/>
              <w:bidi w:val="0"/>
              <w:spacing w:before="0" w:after="283"/>
              <w:jc w:val="left"/>
              <w:rPr/>
            </w:pPr>
            <w:r>
              <w:rPr/>
              <w:t> </w:t>
            </w:r>
          </w:p>
        </w:tc>
        <w:tc>
          <w:tcPr>
            <w:tcW w:w="346" w:type="dxa"/>
            <w:tcBorders/>
            <w:vAlign w:val="bottom"/>
          </w:tcPr>
          <w:p>
            <w:pPr>
              <w:pStyle w:val="TableContents"/>
              <w:bidi w:val="0"/>
              <w:spacing w:before="0" w:after="283"/>
              <w:jc w:val="left"/>
              <w:rPr/>
            </w:pPr>
            <w:r>
              <w:rPr/>
              <w:t>  </w:t>
            </w:r>
          </w:p>
        </w:tc>
        <w:tc>
          <w:tcPr>
            <w:tcW w:w="299" w:type="dxa"/>
            <w:tcBorders/>
            <w:vAlign w:val="bottom"/>
          </w:tcPr>
          <w:p>
            <w:pPr>
              <w:pStyle w:val="TableContents"/>
              <w:pBdr>
                <w:top w:val="single" w:sz="2" w:space="1" w:color="000000"/>
              </w:pBdr>
              <w:bidi w:val="0"/>
              <w:spacing w:before="0" w:after="0"/>
              <w:jc w:val="left"/>
              <w:rPr/>
            </w:pPr>
            <w:r>
              <w:rPr/>
              <w:t> </w:t>
            </w:r>
          </w:p>
        </w:tc>
        <w:tc>
          <w:tcPr>
            <w:tcW w:w="1461"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Fair Value of Investments </w:t>
      </w:r>
    </w:p>
    <w:p>
      <w:pPr>
        <w:pStyle w:val="TextBody"/>
        <w:bidi w:val="0"/>
        <w:spacing w:before="120" w:after="0"/>
        <w:jc w:val="left"/>
        <w:rPr>
          <w:rFonts w:ascii="Times New Roman" w:hAnsi="Times New Roman"/>
          <w:sz w:val="20"/>
        </w:rPr>
      </w:pPr>
      <w:r>
        <w:rPr>
          <w:rFonts w:ascii="Times New Roman" w:hAnsi="Times New Roman"/>
          <w:sz w:val="20"/>
        </w:rPr>
        <w:t xml:space="preserve">The composition of our investment portfolio as of March 31, 2025, and December 31, 2024, at cost and fair value was as follows: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655"/>
        <w:gridCol w:w="121"/>
        <w:gridCol w:w="163"/>
        <w:gridCol w:w="937"/>
        <w:gridCol w:w="60"/>
        <w:gridCol w:w="121"/>
        <w:gridCol w:w="140"/>
        <w:gridCol w:w="800"/>
        <w:gridCol w:w="60"/>
        <w:gridCol w:w="121"/>
        <w:gridCol w:w="145"/>
        <w:gridCol w:w="1360"/>
        <w:gridCol w:w="275"/>
        <w:gridCol w:w="61"/>
        <w:gridCol w:w="163"/>
        <w:gridCol w:w="937"/>
        <w:gridCol w:w="60"/>
        <w:gridCol w:w="121"/>
        <w:gridCol w:w="140"/>
        <w:gridCol w:w="799"/>
        <w:gridCol w:w="60"/>
        <w:gridCol w:w="121"/>
        <w:gridCol w:w="145"/>
        <w:gridCol w:w="1360"/>
        <w:gridCol w:w="280"/>
      </w:tblGrid>
      <w:tr>
        <w:trPr/>
        <w:tc>
          <w:tcPr>
            <w:tcW w:w="1655"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36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36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r>
      <w:tr>
        <w:trPr/>
        <w:tc>
          <w:tcPr>
            <w:tcW w:w="1655" w:type="dxa"/>
            <w:tcBorders/>
            <w:vAlign w:val="bottom"/>
          </w:tcPr>
          <w:p>
            <w:pPr>
              <w:pStyle w:val="TableContents"/>
              <w:bidi w:val="0"/>
              <w:spacing w:before="0" w:after="283"/>
              <w:jc w:val="left"/>
              <w:rPr>
                <w:b/>
              </w:rPr>
            </w:pPr>
            <w:r>
              <w:rPr>
                <w:b/>
              </w:rPr>
              <w:t>($ in thousands)</w:t>
            </w:r>
          </w:p>
        </w:tc>
        <w:tc>
          <w:tcPr>
            <w:tcW w:w="121" w:type="dxa"/>
            <w:tcBorders/>
            <w:vAlign w:val="bottom"/>
          </w:tcPr>
          <w:p>
            <w:pPr>
              <w:pStyle w:val="TableContents"/>
              <w:bidi w:val="0"/>
              <w:spacing w:before="0" w:after="283"/>
              <w:jc w:val="left"/>
              <w:rPr/>
            </w:pPr>
            <w:r>
              <w:rPr/>
              <w:t>  </w:t>
            </w:r>
          </w:p>
        </w:tc>
        <w:tc>
          <w:tcPr>
            <w:tcW w:w="3907"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March 31, 2025</w:t>
            </w:r>
          </w:p>
        </w:tc>
        <w:tc>
          <w:tcPr>
            <w:tcW w:w="275"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3906"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December 31, 2024</w:t>
            </w:r>
          </w:p>
        </w:tc>
        <w:tc>
          <w:tcPr>
            <w:tcW w:w="280" w:type="dxa"/>
            <w:tcBorders/>
            <w:vAlign w:val="bottom"/>
          </w:tcPr>
          <w:p>
            <w:pPr>
              <w:pStyle w:val="TableContents"/>
              <w:bidi w:val="0"/>
              <w:spacing w:before="0" w:after="283"/>
              <w:jc w:val="left"/>
              <w:rPr/>
            </w:pPr>
            <w:r>
              <w:rPr/>
              <w:t> </w:t>
            </w:r>
          </w:p>
        </w:tc>
      </w:tr>
      <w:tr>
        <w:trPr/>
        <w:tc>
          <w:tcPr>
            <w:tcW w:w="1655" w:type="dxa"/>
            <w:tcBorders/>
            <w:vAlign w:val="bottom"/>
          </w:tcPr>
          <w:p>
            <w:pPr>
              <w:pStyle w:val="TableContents"/>
              <w:bidi w:val="0"/>
              <w:spacing w:before="0" w:after="283"/>
              <w:jc w:val="left"/>
              <w:rPr>
                <w:b/>
              </w:rPr>
            </w:pPr>
            <w:r>
              <w:rPr>
                <w:b/>
              </w:rPr>
              <w:t>Security Type</w:t>
            </w:r>
          </w:p>
        </w:tc>
        <w:tc>
          <w:tcPr>
            <w:tcW w:w="121" w:type="dxa"/>
            <w:tcBorders/>
            <w:vAlign w:val="bottom"/>
          </w:tcPr>
          <w:p>
            <w:pPr>
              <w:pStyle w:val="TableContents"/>
              <w:bidi w:val="0"/>
              <w:spacing w:before="0" w:after="283"/>
              <w:jc w:val="left"/>
              <w:rPr/>
            </w:pPr>
            <w:r>
              <w:rPr/>
              <w:t>  </w:t>
            </w:r>
          </w:p>
        </w:tc>
        <w:tc>
          <w:tcPr>
            <w:tcW w:w="1100" w:type="dxa"/>
            <w:gridSpan w:val="2"/>
            <w:tcBorders>
              <w:bottom w:val="single" w:sz="8" w:space="0" w:color="000000"/>
            </w:tcBorders>
            <w:tcMar>
              <w:bottom w:w="28" w:type="dxa"/>
            </w:tcMar>
            <w:vAlign w:val="bottom"/>
          </w:tcPr>
          <w:p>
            <w:pPr>
              <w:pStyle w:val="TableContents"/>
              <w:bidi w:val="0"/>
              <w:spacing w:before="0" w:after="283"/>
              <w:jc w:val="center"/>
              <w:rPr/>
            </w:pPr>
            <w:r>
              <w:rPr>
                <w:b/>
              </w:rPr>
              <w:t>Cost/Amortized</w:t>
            </w:r>
            <w:r>
              <w:rPr/>
              <w:br/>
            </w:r>
            <w:r>
              <w:rPr>
                <w:b/>
              </w:rPr>
              <w:t>Cost</w:t>
            </w:r>
          </w:p>
        </w:tc>
        <w:tc>
          <w:tcPr>
            <w:tcW w:w="60"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Fair Value</w:t>
            </w:r>
          </w:p>
        </w:tc>
        <w:tc>
          <w:tcPr>
            <w:tcW w:w="60"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150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Fair Value</w:t>
              <w:br/>
              <w:t>Percentage of</w:t>
              <w:br/>
              <w:t>Total Portfolio</w:t>
            </w:r>
          </w:p>
        </w:tc>
        <w:tc>
          <w:tcPr>
            <w:tcW w:w="275"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1100" w:type="dxa"/>
            <w:gridSpan w:val="2"/>
            <w:tcBorders>
              <w:bottom w:val="single" w:sz="8" w:space="0" w:color="000000"/>
            </w:tcBorders>
            <w:tcMar>
              <w:bottom w:w="28" w:type="dxa"/>
            </w:tcMar>
            <w:vAlign w:val="bottom"/>
          </w:tcPr>
          <w:p>
            <w:pPr>
              <w:pStyle w:val="TableContents"/>
              <w:bidi w:val="0"/>
              <w:spacing w:before="0" w:after="283"/>
              <w:jc w:val="center"/>
              <w:rPr/>
            </w:pPr>
            <w:r>
              <w:rPr>
                <w:b/>
              </w:rPr>
              <w:t>Cost/Amortized</w:t>
            </w:r>
            <w:r>
              <w:rPr/>
              <w:br/>
            </w:r>
            <w:r>
              <w:rPr>
                <w:b/>
              </w:rPr>
              <w:t>Cost</w:t>
            </w:r>
          </w:p>
        </w:tc>
        <w:tc>
          <w:tcPr>
            <w:tcW w:w="60"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93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Fair Value</w:t>
            </w:r>
          </w:p>
        </w:tc>
        <w:tc>
          <w:tcPr>
            <w:tcW w:w="60"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150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Fair Value</w:t>
              <w:br/>
              <w:t>Percentage of</w:t>
              <w:br/>
              <w:t>Total Portfolio</w:t>
            </w:r>
          </w:p>
        </w:tc>
        <w:tc>
          <w:tcPr>
            <w:tcW w:w="280" w:type="dxa"/>
            <w:tcBorders/>
            <w:vAlign w:val="bottom"/>
          </w:tcPr>
          <w:p>
            <w:pPr>
              <w:pStyle w:val="TableContents"/>
              <w:bidi w:val="0"/>
              <w:spacing w:before="0" w:after="283"/>
              <w:jc w:val="left"/>
              <w:rPr/>
            </w:pPr>
            <w:r>
              <w:rPr/>
              <w:t> </w:t>
            </w:r>
          </w:p>
        </w:tc>
      </w:tr>
      <w:tr>
        <w:trPr/>
        <w:tc>
          <w:tcPr>
            <w:tcW w:w="16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First Lien Debt</w:t>
            </w:r>
          </w:p>
        </w:tc>
        <w:tc>
          <w:tcPr>
            <w:tcW w:w="121"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w:t>
            </w:r>
          </w:p>
        </w:tc>
        <w:tc>
          <w:tcPr>
            <w:tcW w:w="937" w:type="dxa"/>
            <w:tcBorders/>
            <w:shd w:fill="CCEEFF" w:val="clear"/>
            <w:vAlign w:val="bottom"/>
          </w:tcPr>
          <w:p>
            <w:pPr>
              <w:pStyle w:val="TableContents"/>
              <w:bidi w:val="0"/>
              <w:spacing w:before="0" w:after="283"/>
              <w:jc w:val="right"/>
              <w:rPr/>
            </w:pPr>
            <w:r>
              <w:rPr/>
              <w:t>318,953</w:t>
            </w:r>
          </w:p>
        </w:tc>
        <w:tc>
          <w:tcPr>
            <w:tcW w:w="60" w:type="dxa"/>
            <w:tcBorders/>
            <w:shd w:fill="CCEEFF" w:val="clear"/>
            <w:vAlign w:val="bottom"/>
          </w:tcPr>
          <w:p>
            <w:pPr>
              <w:pStyle w:val="TableContents"/>
              <w:bidi w:val="0"/>
              <w:spacing w:before="0" w:after="283"/>
              <w:jc w:val="left"/>
              <w:rPr/>
            </w:pPr>
            <w:r>
              <w:rPr/>
              <w:t> </w:t>
            </w:r>
          </w:p>
        </w:tc>
        <w:tc>
          <w:tcPr>
            <w:tcW w:w="12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0" w:type="dxa"/>
            <w:tcBorders/>
            <w:shd w:fill="CCEEFF" w:val="clear"/>
            <w:vAlign w:val="bottom"/>
          </w:tcPr>
          <w:p>
            <w:pPr>
              <w:pStyle w:val="TableContents"/>
              <w:bidi w:val="0"/>
              <w:spacing w:before="0" w:after="283"/>
              <w:jc w:val="right"/>
              <w:rPr/>
            </w:pPr>
            <w:r>
              <w:rPr/>
              <w:t>294,379</w:t>
            </w:r>
          </w:p>
        </w:tc>
        <w:tc>
          <w:tcPr>
            <w:tcW w:w="60" w:type="dxa"/>
            <w:tcBorders/>
            <w:shd w:fill="CCEEFF" w:val="clear"/>
            <w:vAlign w:val="bottom"/>
          </w:tcPr>
          <w:p>
            <w:pPr>
              <w:pStyle w:val="TableContents"/>
              <w:bidi w:val="0"/>
              <w:spacing w:before="0" w:after="283"/>
              <w:jc w:val="left"/>
              <w:rPr/>
            </w:pPr>
            <w:r>
              <w:rPr/>
              <w:t> </w:t>
            </w:r>
          </w:p>
        </w:tc>
        <w:tc>
          <w:tcPr>
            <w:tcW w:w="121"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360" w:type="dxa"/>
            <w:tcBorders/>
            <w:shd w:fill="CCEEFF" w:val="clear"/>
            <w:vAlign w:val="bottom"/>
          </w:tcPr>
          <w:p>
            <w:pPr>
              <w:pStyle w:val="TableContents"/>
              <w:bidi w:val="0"/>
              <w:spacing w:before="0" w:after="283"/>
              <w:jc w:val="right"/>
              <w:rPr/>
            </w:pPr>
            <w:r>
              <w:rPr/>
              <w:t>72.4</w:t>
            </w:r>
          </w:p>
        </w:tc>
        <w:tc>
          <w:tcPr>
            <w:tcW w:w="275"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w:t>
            </w:r>
          </w:p>
        </w:tc>
        <w:tc>
          <w:tcPr>
            <w:tcW w:w="937" w:type="dxa"/>
            <w:tcBorders/>
            <w:shd w:fill="CCEEFF" w:val="clear"/>
            <w:vAlign w:val="bottom"/>
          </w:tcPr>
          <w:p>
            <w:pPr>
              <w:pStyle w:val="TableContents"/>
              <w:bidi w:val="0"/>
              <w:spacing w:before="0" w:after="283"/>
              <w:jc w:val="right"/>
              <w:rPr/>
            </w:pPr>
            <w:r>
              <w:rPr/>
              <w:t>311,673</w:t>
            </w:r>
          </w:p>
        </w:tc>
        <w:tc>
          <w:tcPr>
            <w:tcW w:w="60" w:type="dxa"/>
            <w:tcBorders/>
            <w:shd w:fill="CCEEFF" w:val="clear"/>
            <w:vAlign w:val="bottom"/>
          </w:tcPr>
          <w:p>
            <w:pPr>
              <w:pStyle w:val="TableContents"/>
              <w:bidi w:val="0"/>
              <w:spacing w:before="0" w:after="283"/>
              <w:jc w:val="left"/>
              <w:rPr/>
            </w:pPr>
            <w:r>
              <w:rPr/>
              <w:t> </w:t>
            </w:r>
          </w:p>
        </w:tc>
        <w:tc>
          <w:tcPr>
            <w:tcW w:w="12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99" w:type="dxa"/>
            <w:tcBorders/>
            <w:shd w:fill="CCEEFF" w:val="clear"/>
            <w:vAlign w:val="bottom"/>
          </w:tcPr>
          <w:p>
            <w:pPr>
              <w:pStyle w:val="TableContents"/>
              <w:bidi w:val="0"/>
              <w:spacing w:before="0" w:after="283"/>
              <w:jc w:val="right"/>
              <w:rPr/>
            </w:pPr>
            <w:r>
              <w:rPr/>
              <w:t>289,957</w:t>
            </w:r>
          </w:p>
        </w:tc>
        <w:tc>
          <w:tcPr>
            <w:tcW w:w="60" w:type="dxa"/>
            <w:tcBorders/>
            <w:shd w:fill="CCEEFF" w:val="clear"/>
            <w:vAlign w:val="bottom"/>
          </w:tcPr>
          <w:p>
            <w:pPr>
              <w:pStyle w:val="TableContents"/>
              <w:bidi w:val="0"/>
              <w:spacing w:before="0" w:after="283"/>
              <w:jc w:val="left"/>
              <w:rPr/>
            </w:pPr>
            <w:r>
              <w:rPr/>
              <w:t> </w:t>
            </w:r>
          </w:p>
        </w:tc>
        <w:tc>
          <w:tcPr>
            <w:tcW w:w="121"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360" w:type="dxa"/>
            <w:tcBorders/>
            <w:shd w:fill="CCEEFF" w:val="clear"/>
            <w:vAlign w:val="bottom"/>
          </w:tcPr>
          <w:p>
            <w:pPr>
              <w:pStyle w:val="TableContents"/>
              <w:bidi w:val="0"/>
              <w:spacing w:before="0" w:after="283"/>
              <w:jc w:val="right"/>
              <w:rPr/>
            </w:pPr>
            <w:r>
              <w:rPr/>
              <w:t>71.6</w:t>
            </w:r>
          </w:p>
        </w:tc>
        <w:tc>
          <w:tcPr>
            <w:tcW w:w="280" w:type="dxa"/>
            <w:tcBorders/>
            <w:shd w:fill="CCEEFF" w:val="clear"/>
            <w:vAlign w:val="bottom"/>
          </w:tcPr>
          <w:p>
            <w:pPr>
              <w:pStyle w:val="TableContents"/>
              <w:bidi w:val="0"/>
              <w:spacing w:before="0" w:after="283"/>
              <w:jc w:val="left"/>
              <w:rPr/>
            </w:pPr>
            <w:r>
              <w:rPr/>
              <w:t>% </w:t>
            </w:r>
          </w:p>
        </w:tc>
      </w:tr>
      <w:tr>
        <w:trPr/>
        <w:tc>
          <w:tcPr>
            <w:tcW w:w="1655" w:type="dxa"/>
            <w:tcBorders/>
          </w:tcPr>
          <w:p>
            <w:pPr>
              <w:pStyle w:val="TableContents"/>
              <w:bidi w:val="0"/>
              <w:spacing w:before="0" w:after="0"/>
              <w:jc w:val="left"/>
              <w:rPr>
                <w:rFonts w:ascii="Times New Roman" w:hAnsi="Times New Roman"/>
                <w:sz w:val="20"/>
              </w:rPr>
            </w:pPr>
            <w:r>
              <w:rPr>
                <w:rFonts w:ascii="Times New Roman" w:hAnsi="Times New Roman"/>
                <w:sz w:val="20"/>
              </w:rPr>
              <w:t>Second Lien Debt</w:t>
            </w:r>
          </w:p>
        </w:tc>
        <w:tc>
          <w:tcPr>
            <w:tcW w:w="121"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937" w:type="dxa"/>
            <w:tcBorders/>
            <w:vAlign w:val="bottom"/>
          </w:tcPr>
          <w:p>
            <w:pPr>
              <w:pStyle w:val="TableContents"/>
              <w:bidi w:val="0"/>
              <w:spacing w:before="0" w:after="283"/>
              <w:jc w:val="right"/>
              <w:rPr/>
            </w:pPr>
            <w:r>
              <w:rPr/>
              <w:t>35,147</w:t>
            </w:r>
          </w:p>
        </w:tc>
        <w:tc>
          <w:tcPr>
            <w:tcW w:w="60"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28,724</w:t>
            </w:r>
          </w:p>
        </w:tc>
        <w:tc>
          <w:tcPr>
            <w:tcW w:w="60"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360" w:type="dxa"/>
            <w:tcBorders/>
            <w:vAlign w:val="bottom"/>
          </w:tcPr>
          <w:p>
            <w:pPr>
              <w:pStyle w:val="TableContents"/>
              <w:bidi w:val="0"/>
              <w:spacing w:before="0" w:after="283"/>
              <w:jc w:val="right"/>
              <w:rPr/>
            </w:pPr>
            <w:r>
              <w:rPr/>
              <w:t>7.1</w:t>
            </w:r>
          </w:p>
        </w:tc>
        <w:tc>
          <w:tcPr>
            <w:tcW w:w="275"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937" w:type="dxa"/>
            <w:tcBorders/>
            <w:vAlign w:val="bottom"/>
          </w:tcPr>
          <w:p>
            <w:pPr>
              <w:pStyle w:val="TableContents"/>
              <w:bidi w:val="0"/>
              <w:spacing w:before="0" w:after="283"/>
              <w:jc w:val="right"/>
              <w:rPr/>
            </w:pPr>
            <w:r>
              <w:rPr/>
              <w:t>34,892</w:t>
            </w:r>
          </w:p>
        </w:tc>
        <w:tc>
          <w:tcPr>
            <w:tcW w:w="60"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99" w:type="dxa"/>
            <w:tcBorders/>
            <w:vAlign w:val="bottom"/>
          </w:tcPr>
          <w:p>
            <w:pPr>
              <w:pStyle w:val="TableContents"/>
              <w:bidi w:val="0"/>
              <w:spacing w:before="0" w:after="283"/>
              <w:jc w:val="right"/>
              <w:rPr/>
            </w:pPr>
            <w:r>
              <w:rPr/>
              <w:t>28,996</w:t>
            </w:r>
          </w:p>
        </w:tc>
        <w:tc>
          <w:tcPr>
            <w:tcW w:w="60"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360" w:type="dxa"/>
            <w:tcBorders/>
            <w:vAlign w:val="bottom"/>
          </w:tcPr>
          <w:p>
            <w:pPr>
              <w:pStyle w:val="TableContents"/>
              <w:bidi w:val="0"/>
              <w:spacing w:before="0" w:after="283"/>
              <w:jc w:val="right"/>
              <w:rPr/>
            </w:pPr>
            <w:r>
              <w:rPr/>
              <w:t>7.2</w:t>
            </w:r>
          </w:p>
        </w:tc>
        <w:tc>
          <w:tcPr>
            <w:tcW w:w="280" w:type="dxa"/>
            <w:tcBorders/>
            <w:vAlign w:val="bottom"/>
          </w:tcPr>
          <w:p>
            <w:pPr>
              <w:pStyle w:val="TableContents"/>
              <w:bidi w:val="0"/>
              <w:spacing w:before="0" w:after="283"/>
              <w:jc w:val="left"/>
              <w:rPr/>
            </w:pPr>
            <w:r>
              <w:rPr/>
              <w:t>% </w:t>
            </w:r>
          </w:p>
        </w:tc>
      </w:tr>
      <w:tr>
        <w:trPr/>
        <w:tc>
          <w:tcPr>
            <w:tcW w:w="16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Subordinated Debt</w:t>
            </w:r>
          </w:p>
        </w:tc>
        <w:tc>
          <w:tcPr>
            <w:tcW w:w="121"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937" w:type="dxa"/>
            <w:tcBorders/>
            <w:shd w:fill="CCEEFF" w:val="clear"/>
            <w:vAlign w:val="bottom"/>
          </w:tcPr>
          <w:p>
            <w:pPr>
              <w:pStyle w:val="TableContents"/>
              <w:bidi w:val="0"/>
              <w:spacing w:before="0" w:after="283"/>
              <w:jc w:val="right"/>
              <w:rPr/>
            </w:pPr>
            <w:r>
              <w:rPr/>
              <w:t>8,034</w:t>
            </w:r>
          </w:p>
        </w:tc>
        <w:tc>
          <w:tcPr>
            <w:tcW w:w="60" w:type="dxa"/>
            <w:tcBorders/>
            <w:shd w:fill="CCEEFF" w:val="clear"/>
            <w:vAlign w:val="bottom"/>
          </w:tcPr>
          <w:p>
            <w:pPr>
              <w:pStyle w:val="TableContents"/>
              <w:bidi w:val="0"/>
              <w:spacing w:before="0" w:after="283"/>
              <w:jc w:val="left"/>
              <w:rPr/>
            </w:pPr>
            <w:r>
              <w:rPr/>
              <w:t> </w:t>
            </w:r>
          </w:p>
        </w:tc>
        <w:tc>
          <w:tcPr>
            <w:tcW w:w="12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1,740</w:t>
            </w:r>
          </w:p>
        </w:tc>
        <w:tc>
          <w:tcPr>
            <w:tcW w:w="60" w:type="dxa"/>
            <w:tcBorders/>
            <w:shd w:fill="CCEEFF" w:val="clear"/>
            <w:vAlign w:val="bottom"/>
          </w:tcPr>
          <w:p>
            <w:pPr>
              <w:pStyle w:val="TableContents"/>
              <w:bidi w:val="0"/>
              <w:spacing w:before="0" w:after="283"/>
              <w:jc w:val="left"/>
              <w:rPr/>
            </w:pPr>
            <w:r>
              <w:rPr/>
              <w:t> </w:t>
            </w:r>
          </w:p>
        </w:tc>
        <w:tc>
          <w:tcPr>
            <w:tcW w:w="121"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360" w:type="dxa"/>
            <w:tcBorders/>
            <w:shd w:fill="CCEEFF" w:val="clear"/>
            <w:vAlign w:val="bottom"/>
          </w:tcPr>
          <w:p>
            <w:pPr>
              <w:pStyle w:val="TableContents"/>
              <w:bidi w:val="0"/>
              <w:spacing w:before="0" w:after="283"/>
              <w:jc w:val="right"/>
              <w:rPr/>
            </w:pPr>
            <w:r>
              <w:rPr/>
              <w:t>0.4</w:t>
            </w:r>
          </w:p>
        </w:tc>
        <w:tc>
          <w:tcPr>
            <w:tcW w:w="275"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937" w:type="dxa"/>
            <w:tcBorders/>
            <w:shd w:fill="CCEEFF" w:val="clear"/>
            <w:vAlign w:val="bottom"/>
          </w:tcPr>
          <w:p>
            <w:pPr>
              <w:pStyle w:val="TableContents"/>
              <w:bidi w:val="0"/>
              <w:spacing w:before="0" w:after="283"/>
              <w:jc w:val="right"/>
              <w:rPr/>
            </w:pPr>
            <w:r>
              <w:rPr/>
              <w:t>8,059</w:t>
            </w:r>
          </w:p>
        </w:tc>
        <w:tc>
          <w:tcPr>
            <w:tcW w:w="60" w:type="dxa"/>
            <w:tcBorders/>
            <w:shd w:fill="CCEEFF" w:val="clear"/>
            <w:vAlign w:val="bottom"/>
          </w:tcPr>
          <w:p>
            <w:pPr>
              <w:pStyle w:val="TableContents"/>
              <w:bidi w:val="0"/>
              <w:spacing w:before="0" w:after="283"/>
              <w:jc w:val="left"/>
              <w:rPr/>
            </w:pPr>
            <w:r>
              <w:rPr/>
              <w:t> </w:t>
            </w:r>
          </w:p>
        </w:tc>
        <w:tc>
          <w:tcPr>
            <w:tcW w:w="12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99" w:type="dxa"/>
            <w:tcBorders/>
            <w:shd w:fill="CCEEFF" w:val="clear"/>
            <w:vAlign w:val="bottom"/>
          </w:tcPr>
          <w:p>
            <w:pPr>
              <w:pStyle w:val="TableContents"/>
              <w:bidi w:val="0"/>
              <w:spacing w:before="0" w:after="283"/>
              <w:jc w:val="right"/>
              <w:rPr/>
            </w:pPr>
            <w:r>
              <w:rPr/>
              <w:t>1,740</w:t>
            </w:r>
          </w:p>
        </w:tc>
        <w:tc>
          <w:tcPr>
            <w:tcW w:w="60" w:type="dxa"/>
            <w:tcBorders/>
            <w:shd w:fill="CCEEFF" w:val="clear"/>
            <w:vAlign w:val="bottom"/>
          </w:tcPr>
          <w:p>
            <w:pPr>
              <w:pStyle w:val="TableContents"/>
              <w:bidi w:val="0"/>
              <w:spacing w:before="0" w:after="283"/>
              <w:jc w:val="left"/>
              <w:rPr/>
            </w:pPr>
            <w:r>
              <w:rPr/>
              <w:t> </w:t>
            </w:r>
          </w:p>
        </w:tc>
        <w:tc>
          <w:tcPr>
            <w:tcW w:w="121"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360" w:type="dxa"/>
            <w:tcBorders/>
            <w:shd w:fill="CCEEFF" w:val="clear"/>
            <w:vAlign w:val="bottom"/>
          </w:tcPr>
          <w:p>
            <w:pPr>
              <w:pStyle w:val="TableContents"/>
              <w:bidi w:val="0"/>
              <w:spacing w:before="0" w:after="283"/>
              <w:jc w:val="right"/>
              <w:rPr/>
            </w:pPr>
            <w:r>
              <w:rPr/>
              <w:t>0.4</w:t>
            </w:r>
          </w:p>
        </w:tc>
        <w:tc>
          <w:tcPr>
            <w:tcW w:w="280" w:type="dxa"/>
            <w:tcBorders/>
            <w:shd w:fill="CCEEFF" w:val="clear"/>
            <w:vAlign w:val="bottom"/>
          </w:tcPr>
          <w:p>
            <w:pPr>
              <w:pStyle w:val="TableContents"/>
              <w:bidi w:val="0"/>
              <w:spacing w:before="0" w:after="283"/>
              <w:jc w:val="left"/>
              <w:rPr/>
            </w:pPr>
            <w:r>
              <w:rPr/>
              <w:t>% </w:t>
            </w:r>
          </w:p>
        </w:tc>
      </w:tr>
      <w:tr>
        <w:trPr/>
        <w:tc>
          <w:tcPr>
            <w:tcW w:w="1655" w:type="dxa"/>
            <w:tcBorders/>
          </w:tcPr>
          <w:p>
            <w:pPr>
              <w:pStyle w:val="TableContents"/>
              <w:bidi w:val="0"/>
              <w:spacing w:before="0" w:after="0"/>
              <w:jc w:val="left"/>
              <w:rPr>
                <w:rFonts w:ascii="Times New Roman" w:hAnsi="Times New Roman"/>
                <w:sz w:val="20"/>
              </w:rPr>
            </w:pPr>
            <w:r>
              <w:rPr>
                <w:rFonts w:ascii="Times New Roman" w:hAnsi="Times New Roman"/>
                <w:sz w:val="20"/>
              </w:rPr>
              <w:t>Collateralized Loan Obligations</w:t>
            </w:r>
          </w:p>
        </w:tc>
        <w:tc>
          <w:tcPr>
            <w:tcW w:w="121"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937" w:type="dxa"/>
            <w:tcBorders/>
            <w:vAlign w:val="bottom"/>
          </w:tcPr>
          <w:p>
            <w:pPr>
              <w:pStyle w:val="TableContents"/>
              <w:bidi w:val="0"/>
              <w:spacing w:before="0" w:after="283"/>
              <w:jc w:val="right"/>
              <w:rPr/>
            </w:pPr>
            <w:r>
              <w:rPr/>
              <w:t>3,800</w:t>
            </w:r>
          </w:p>
        </w:tc>
        <w:tc>
          <w:tcPr>
            <w:tcW w:w="60"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4,639</w:t>
            </w:r>
          </w:p>
        </w:tc>
        <w:tc>
          <w:tcPr>
            <w:tcW w:w="60"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360" w:type="dxa"/>
            <w:tcBorders/>
            <w:vAlign w:val="bottom"/>
          </w:tcPr>
          <w:p>
            <w:pPr>
              <w:pStyle w:val="TableContents"/>
              <w:bidi w:val="0"/>
              <w:spacing w:before="0" w:after="283"/>
              <w:jc w:val="right"/>
              <w:rPr/>
            </w:pPr>
            <w:r>
              <w:rPr/>
              <w:t>1.1</w:t>
            </w:r>
          </w:p>
        </w:tc>
        <w:tc>
          <w:tcPr>
            <w:tcW w:w="275"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937" w:type="dxa"/>
            <w:tcBorders/>
            <w:vAlign w:val="bottom"/>
          </w:tcPr>
          <w:p>
            <w:pPr>
              <w:pStyle w:val="TableContents"/>
              <w:bidi w:val="0"/>
              <w:spacing w:before="0" w:after="283"/>
              <w:jc w:val="right"/>
              <w:rPr/>
            </w:pPr>
            <w:r>
              <w:rPr/>
              <w:t>5,318</w:t>
            </w:r>
          </w:p>
        </w:tc>
        <w:tc>
          <w:tcPr>
            <w:tcW w:w="60"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99" w:type="dxa"/>
            <w:tcBorders/>
            <w:vAlign w:val="bottom"/>
          </w:tcPr>
          <w:p>
            <w:pPr>
              <w:pStyle w:val="TableContents"/>
              <w:bidi w:val="0"/>
              <w:spacing w:before="0" w:after="283"/>
              <w:jc w:val="right"/>
              <w:rPr/>
            </w:pPr>
            <w:r>
              <w:rPr/>
              <w:t>5,193</w:t>
            </w:r>
          </w:p>
        </w:tc>
        <w:tc>
          <w:tcPr>
            <w:tcW w:w="60"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360" w:type="dxa"/>
            <w:tcBorders/>
            <w:vAlign w:val="bottom"/>
          </w:tcPr>
          <w:p>
            <w:pPr>
              <w:pStyle w:val="TableContents"/>
              <w:bidi w:val="0"/>
              <w:spacing w:before="0" w:after="283"/>
              <w:jc w:val="right"/>
              <w:rPr/>
            </w:pPr>
            <w:r>
              <w:rPr/>
              <w:t>1.3</w:t>
            </w:r>
          </w:p>
        </w:tc>
        <w:tc>
          <w:tcPr>
            <w:tcW w:w="280" w:type="dxa"/>
            <w:tcBorders/>
            <w:vAlign w:val="bottom"/>
          </w:tcPr>
          <w:p>
            <w:pPr>
              <w:pStyle w:val="TableContents"/>
              <w:bidi w:val="0"/>
              <w:spacing w:before="0" w:after="283"/>
              <w:jc w:val="left"/>
              <w:rPr/>
            </w:pPr>
            <w:r>
              <w:rPr/>
              <w:t>% </w:t>
            </w:r>
          </w:p>
        </w:tc>
      </w:tr>
      <w:tr>
        <w:trPr/>
        <w:tc>
          <w:tcPr>
            <w:tcW w:w="16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Joint Ventures</w:t>
            </w:r>
          </w:p>
        </w:tc>
        <w:tc>
          <w:tcPr>
            <w:tcW w:w="121"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937" w:type="dxa"/>
            <w:tcBorders/>
            <w:shd w:fill="CCEEFF" w:val="clear"/>
            <w:vAlign w:val="bottom"/>
          </w:tcPr>
          <w:p>
            <w:pPr>
              <w:pStyle w:val="TableContents"/>
              <w:bidi w:val="0"/>
              <w:spacing w:before="0" w:after="283"/>
              <w:jc w:val="right"/>
              <w:rPr/>
            </w:pPr>
            <w:r>
              <w:rPr/>
              <w:t>65,883</w:t>
            </w:r>
          </w:p>
        </w:tc>
        <w:tc>
          <w:tcPr>
            <w:tcW w:w="60" w:type="dxa"/>
            <w:tcBorders/>
            <w:shd w:fill="CCEEFF" w:val="clear"/>
            <w:vAlign w:val="bottom"/>
          </w:tcPr>
          <w:p>
            <w:pPr>
              <w:pStyle w:val="TableContents"/>
              <w:bidi w:val="0"/>
              <w:spacing w:before="0" w:after="283"/>
              <w:jc w:val="left"/>
              <w:rPr/>
            </w:pPr>
            <w:r>
              <w:rPr/>
              <w:t> </w:t>
            </w:r>
          </w:p>
        </w:tc>
        <w:tc>
          <w:tcPr>
            <w:tcW w:w="12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50,491</w:t>
            </w:r>
          </w:p>
        </w:tc>
        <w:tc>
          <w:tcPr>
            <w:tcW w:w="60" w:type="dxa"/>
            <w:tcBorders/>
            <w:shd w:fill="CCEEFF" w:val="clear"/>
            <w:vAlign w:val="bottom"/>
          </w:tcPr>
          <w:p>
            <w:pPr>
              <w:pStyle w:val="TableContents"/>
              <w:bidi w:val="0"/>
              <w:spacing w:before="0" w:after="283"/>
              <w:jc w:val="left"/>
              <w:rPr/>
            </w:pPr>
            <w:r>
              <w:rPr/>
              <w:t> </w:t>
            </w:r>
          </w:p>
        </w:tc>
        <w:tc>
          <w:tcPr>
            <w:tcW w:w="121"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360" w:type="dxa"/>
            <w:tcBorders/>
            <w:shd w:fill="CCEEFF" w:val="clear"/>
            <w:vAlign w:val="bottom"/>
          </w:tcPr>
          <w:p>
            <w:pPr>
              <w:pStyle w:val="TableContents"/>
              <w:bidi w:val="0"/>
              <w:spacing w:before="0" w:after="283"/>
              <w:jc w:val="right"/>
              <w:rPr/>
            </w:pPr>
            <w:r>
              <w:rPr/>
              <w:t>12.4</w:t>
            </w:r>
          </w:p>
        </w:tc>
        <w:tc>
          <w:tcPr>
            <w:tcW w:w="275"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937" w:type="dxa"/>
            <w:tcBorders/>
            <w:shd w:fill="CCEEFF" w:val="clear"/>
            <w:vAlign w:val="bottom"/>
          </w:tcPr>
          <w:p>
            <w:pPr>
              <w:pStyle w:val="TableContents"/>
              <w:bidi w:val="0"/>
              <w:spacing w:before="0" w:after="283"/>
              <w:jc w:val="right"/>
              <w:rPr/>
            </w:pPr>
            <w:r>
              <w:rPr/>
              <w:t>66,747</w:t>
            </w:r>
          </w:p>
        </w:tc>
        <w:tc>
          <w:tcPr>
            <w:tcW w:w="60" w:type="dxa"/>
            <w:tcBorders/>
            <w:shd w:fill="CCEEFF" w:val="clear"/>
            <w:vAlign w:val="bottom"/>
          </w:tcPr>
          <w:p>
            <w:pPr>
              <w:pStyle w:val="TableContents"/>
              <w:bidi w:val="0"/>
              <w:spacing w:before="0" w:after="283"/>
              <w:jc w:val="left"/>
              <w:rPr/>
            </w:pPr>
            <w:r>
              <w:rPr/>
              <w:t> </w:t>
            </w:r>
          </w:p>
        </w:tc>
        <w:tc>
          <w:tcPr>
            <w:tcW w:w="12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99" w:type="dxa"/>
            <w:tcBorders/>
            <w:shd w:fill="CCEEFF" w:val="clear"/>
            <w:vAlign w:val="bottom"/>
          </w:tcPr>
          <w:p>
            <w:pPr>
              <w:pStyle w:val="TableContents"/>
              <w:bidi w:val="0"/>
              <w:spacing w:before="0" w:after="283"/>
              <w:jc w:val="right"/>
              <w:rPr/>
            </w:pPr>
            <w:r>
              <w:rPr/>
              <w:t>54,153</w:t>
            </w:r>
          </w:p>
        </w:tc>
        <w:tc>
          <w:tcPr>
            <w:tcW w:w="60" w:type="dxa"/>
            <w:tcBorders/>
            <w:shd w:fill="CCEEFF" w:val="clear"/>
            <w:vAlign w:val="bottom"/>
          </w:tcPr>
          <w:p>
            <w:pPr>
              <w:pStyle w:val="TableContents"/>
              <w:bidi w:val="0"/>
              <w:spacing w:before="0" w:after="283"/>
              <w:jc w:val="left"/>
              <w:rPr/>
            </w:pPr>
            <w:r>
              <w:rPr/>
              <w:t> </w:t>
            </w:r>
          </w:p>
        </w:tc>
        <w:tc>
          <w:tcPr>
            <w:tcW w:w="121"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360" w:type="dxa"/>
            <w:tcBorders/>
            <w:shd w:fill="CCEEFF" w:val="clear"/>
            <w:vAlign w:val="bottom"/>
          </w:tcPr>
          <w:p>
            <w:pPr>
              <w:pStyle w:val="TableContents"/>
              <w:bidi w:val="0"/>
              <w:spacing w:before="0" w:after="283"/>
              <w:jc w:val="right"/>
              <w:rPr/>
            </w:pPr>
            <w:r>
              <w:rPr/>
              <w:t>13.4</w:t>
            </w:r>
          </w:p>
        </w:tc>
        <w:tc>
          <w:tcPr>
            <w:tcW w:w="280" w:type="dxa"/>
            <w:tcBorders/>
            <w:shd w:fill="CCEEFF" w:val="clear"/>
            <w:vAlign w:val="bottom"/>
          </w:tcPr>
          <w:p>
            <w:pPr>
              <w:pStyle w:val="TableContents"/>
              <w:bidi w:val="0"/>
              <w:spacing w:before="0" w:after="283"/>
              <w:jc w:val="left"/>
              <w:rPr/>
            </w:pPr>
            <w:r>
              <w:rPr/>
              <w:t>% </w:t>
            </w:r>
          </w:p>
        </w:tc>
      </w:tr>
      <w:tr>
        <w:trPr/>
        <w:tc>
          <w:tcPr>
            <w:tcW w:w="1655" w:type="dxa"/>
            <w:tcBorders/>
          </w:tcPr>
          <w:p>
            <w:pPr>
              <w:pStyle w:val="TableContents"/>
              <w:bidi w:val="0"/>
              <w:spacing w:before="0" w:after="0"/>
              <w:jc w:val="left"/>
              <w:rPr>
                <w:rFonts w:ascii="Times New Roman" w:hAnsi="Times New Roman"/>
                <w:sz w:val="20"/>
              </w:rPr>
            </w:pPr>
            <w:r>
              <w:rPr>
                <w:rFonts w:ascii="Times New Roman" w:hAnsi="Times New Roman"/>
                <w:sz w:val="20"/>
              </w:rPr>
              <w:t>Equity</w:t>
            </w:r>
          </w:p>
        </w:tc>
        <w:tc>
          <w:tcPr>
            <w:tcW w:w="121"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937" w:type="dxa"/>
            <w:tcBorders/>
            <w:vAlign w:val="bottom"/>
          </w:tcPr>
          <w:p>
            <w:pPr>
              <w:pStyle w:val="TableContents"/>
              <w:bidi w:val="0"/>
              <w:spacing w:before="0" w:after="283"/>
              <w:jc w:val="right"/>
              <w:rPr/>
            </w:pPr>
            <w:r>
              <w:rPr/>
              <w:t>32,098</w:t>
            </w:r>
          </w:p>
        </w:tc>
        <w:tc>
          <w:tcPr>
            <w:tcW w:w="60"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26,218</w:t>
            </w:r>
          </w:p>
        </w:tc>
        <w:tc>
          <w:tcPr>
            <w:tcW w:w="60"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360" w:type="dxa"/>
            <w:tcBorders/>
            <w:vAlign w:val="bottom"/>
          </w:tcPr>
          <w:p>
            <w:pPr>
              <w:pStyle w:val="TableContents"/>
              <w:bidi w:val="0"/>
              <w:spacing w:before="0" w:after="283"/>
              <w:jc w:val="right"/>
              <w:rPr/>
            </w:pPr>
            <w:r>
              <w:rPr/>
              <w:t>6.5</w:t>
            </w:r>
          </w:p>
        </w:tc>
        <w:tc>
          <w:tcPr>
            <w:tcW w:w="275"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937" w:type="dxa"/>
            <w:tcBorders/>
            <w:vAlign w:val="bottom"/>
          </w:tcPr>
          <w:p>
            <w:pPr>
              <w:pStyle w:val="TableContents"/>
              <w:bidi w:val="0"/>
              <w:spacing w:before="0" w:after="283"/>
              <w:jc w:val="right"/>
              <w:rPr/>
            </w:pPr>
            <w:r>
              <w:rPr/>
              <w:t>31,921</w:t>
            </w:r>
          </w:p>
        </w:tc>
        <w:tc>
          <w:tcPr>
            <w:tcW w:w="60"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99" w:type="dxa"/>
            <w:tcBorders/>
            <w:vAlign w:val="bottom"/>
          </w:tcPr>
          <w:p>
            <w:pPr>
              <w:pStyle w:val="TableContents"/>
              <w:bidi w:val="0"/>
              <w:spacing w:before="0" w:after="283"/>
              <w:jc w:val="right"/>
              <w:rPr/>
            </w:pPr>
            <w:r>
              <w:rPr/>
              <w:t>24,762</w:t>
            </w:r>
          </w:p>
        </w:tc>
        <w:tc>
          <w:tcPr>
            <w:tcW w:w="60"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360" w:type="dxa"/>
            <w:tcBorders/>
            <w:vAlign w:val="bottom"/>
          </w:tcPr>
          <w:p>
            <w:pPr>
              <w:pStyle w:val="TableContents"/>
              <w:bidi w:val="0"/>
              <w:spacing w:before="0" w:after="283"/>
              <w:jc w:val="right"/>
              <w:rPr/>
            </w:pPr>
            <w:r>
              <w:rPr/>
              <w:t>6.1</w:t>
            </w:r>
          </w:p>
        </w:tc>
        <w:tc>
          <w:tcPr>
            <w:tcW w:w="280" w:type="dxa"/>
            <w:tcBorders/>
            <w:vAlign w:val="bottom"/>
          </w:tcPr>
          <w:p>
            <w:pPr>
              <w:pStyle w:val="TableContents"/>
              <w:bidi w:val="0"/>
              <w:spacing w:before="0" w:after="283"/>
              <w:jc w:val="left"/>
              <w:rPr/>
            </w:pPr>
            <w:r>
              <w:rPr/>
              <w:t>% </w:t>
            </w:r>
          </w:p>
        </w:tc>
      </w:tr>
      <w:tr>
        <w:trPr/>
        <w:tc>
          <w:tcPr>
            <w:tcW w:w="16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Asset Manager Affiliates(1)</w:t>
            </w:r>
          </w:p>
        </w:tc>
        <w:tc>
          <w:tcPr>
            <w:tcW w:w="121"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937" w:type="dxa"/>
            <w:tcBorders/>
            <w:shd w:fill="CCEEFF" w:val="clear"/>
            <w:vAlign w:val="bottom"/>
          </w:tcPr>
          <w:p>
            <w:pPr>
              <w:pStyle w:val="TableContents"/>
              <w:bidi w:val="0"/>
              <w:spacing w:before="0" w:after="283"/>
              <w:jc w:val="right"/>
              <w:rPr/>
            </w:pPr>
            <w:r>
              <w:rPr/>
              <w:t>17,791</w:t>
            </w:r>
          </w:p>
        </w:tc>
        <w:tc>
          <w:tcPr>
            <w:tcW w:w="60" w:type="dxa"/>
            <w:tcBorders/>
            <w:shd w:fill="CCEEFF" w:val="clear"/>
            <w:vAlign w:val="bottom"/>
          </w:tcPr>
          <w:p>
            <w:pPr>
              <w:pStyle w:val="TableContents"/>
              <w:bidi w:val="0"/>
              <w:spacing w:before="0" w:after="283"/>
              <w:jc w:val="left"/>
              <w:rPr/>
            </w:pPr>
            <w:r>
              <w:rPr/>
              <w:t> </w:t>
            </w:r>
          </w:p>
        </w:tc>
        <w:tc>
          <w:tcPr>
            <w:tcW w:w="12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1"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360" w:type="dxa"/>
            <w:tcBorders/>
            <w:shd w:fill="CCEEFF" w:val="clear"/>
            <w:vAlign w:val="bottom"/>
          </w:tcPr>
          <w:p>
            <w:pPr>
              <w:pStyle w:val="TableContents"/>
              <w:bidi w:val="0"/>
              <w:spacing w:before="0" w:after="283"/>
              <w:jc w:val="right"/>
              <w:rPr/>
            </w:pPr>
            <w:r>
              <w:rPr/>
              <w:t> </w:t>
            </w:r>
          </w:p>
        </w:tc>
        <w:tc>
          <w:tcPr>
            <w:tcW w:w="275"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937" w:type="dxa"/>
            <w:tcBorders/>
            <w:shd w:fill="CCEEFF" w:val="clear"/>
            <w:vAlign w:val="bottom"/>
          </w:tcPr>
          <w:p>
            <w:pPr>
              <w:pStyle w:val="TableContents"/>
              <w:bidi w:val="0"/>
              <w:spacing w:before="0" w:after="283"/>
              <w:jc w:val="right"/>
              <w:rPr/>
            </w:pPr>
            <w:r>
              <w:rPr/>
              <w:t>17,791</w:t>
            </w:r>
          </w:p>
        </w:tc>
        <w:tc>
          <w:tcPr>
            <w:tcW w:w="60" w:type="dxa"/>
            <w:tcBorders/>
            <w:shd w:fill="CCEEFF" w:val="clear"/>
            <w:vAlign w:val="bottom"/>
          </w:tcPr>
          <w:p>
            <w:pPr>
              <w:pStyle w:val="TableContents"/>
              <w:bidi w:val="0"/>
              <w:spacing w:before="0" w:after="283"/>
              <w:jc w:val="left"/>
              <w:rPr/>
            </w:pPr>
            <w:r>
              <w:rPr/>
              <w:t> </w:t>
            </w:r>
          </w:p>
        </w:tc>
        <w:tc>
          <w:tcPr>
            <w:tcW w:w="12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9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1"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360" w:type="dxa"/>
            <w:tcBorders/>
            <w:shd w:fill="CCEEFF" w:val="clear"/>
            <w:vAlign w:val="bottom"/>
          </w:tcPr>
          <w:p>
            <w:pPr>
              <w:pStyle w:val="TableContents"/>
              <w:bidi w:val="0"/>
              <w:spacing w:before="0" w:after="283"/>
              <w:jc w:val="right"/>
              <w:rPr/>
            </w:pPr>
            <w:r>
              <w:rPr/>
              <w:t> </w:t>
            </w:r>
          </w:p>
        </w:tc>
        <w:tc>
          <w:tcPr>
            <w:tcW w:w="280" w:type="dxa"/>
            <w:tcBorders/>
            <w:shd w:fill="CCEEFF" w:val="clear"/>
            <w:vAlign w:val="bottom"/>
          </w:tcPr>
          <w:p>
            <w:pPr>
              <w:pStyle w:val="TableContents"/>
              <w:bidi w:val="0"/>
              <w:spacing w:before="0" w:after="283"/>
              <w:jc w:val="left"/>
              <w:rPr/>
            </w:pPr>
            <w:r>
              <w:rPr/>
              <w:t> </w:t>
            </w:r>
          </w:p>
        </w:tc>
      </w:tr>
      <w:tr>
        <w:trPr/>
        <w:tc>
          <w:tcPr>
            <w:tcW w:w="1655" w:type="dxa"/>
            <w:tcBorders/>
          </w:tcPr>
          <w:p>
            <w:pPr>
              <w:pStyle w:val="TableContents"/>
              <w:bidi w:val="0"/>
              <w:spacing w:before="0" w:after="0"/>
              <w:jc w:val="left"/>
              <w:rPr>
                <w:rFonts w:ascii="Times New Roman" w:hAnsi="Times New Roman"/>
                <w:sz w:val="20"/>
              </w:rPr>
            </w:pPr>
            <w:r>
              <w:rPr>
                <w:rFonts w:ascii="Times New Roman" w:hAnsi="Times New Roman"/>
                <w:sz w:val="20"/>
              </w:rPr>
              <w:t>Derivatives</w:t>
            </w:r>
          </w:p>
        </w:tc>
        <w:tc>
          <w:tcPr>
            <w:tcW w:w="121"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937" w:type="dxa"/>
            <w:tcBorders/>
            <w:vAlign w:val="bottom"/>
          </w:tcPr>
          <w:p>
            <w:pPr>
              <w:pStyle w:val="TableContents"/>
              <w:bidi w:val="0"/>
              <w:spacing w:before="0" w:after="283"/>
              <w:jc w:val="right"/>
              <w:rPr/>
            </w:pPr>
            <w:r>
              <w:rPr/>
              <w:t>31</w:t>
            </w:r>
          </w:p>
        </w:tc>
        <w:tc>
          <w:tcPr>
            <w:tcW w:w="60"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232</w:t>
            </w:r>
          </w:p>
        </w:tc>
        <w:tc>
          <w:tcPr>
            <w:tcW w:w="60"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360" w:type="dxa"/>
            <w:tcBorders/>
            <w:vAlign w:val="bottom"/>
          </w:tcPr>
          <w:p>
            <w:pPr>
              <w:pStyle w:val="TableContents"/>
              <w:bidi w:val="0"/>
              <w:spacing w:before="0" w:after="283"/>
              <w:jc w:val="right"/>
              <w:rPr/>
            </w:pPr>
            <w:r>
              <w:rPr/>
              <w:t>0.1</w:t>
            </w:r>
          </w:p>
        </w:tc>
        <w:tc>
          <w:tcPr>
            <w:tcW w:w="275"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937" w:type="dxa"/>
            <w:tcBorders/>
            <w:vAlign w:val="bottom"/>
          </w:tcPr>
          <w:p>
            <w:pPr>
              <w:pStyle w:val="TableContents"/>
              <w:bidi w:val="0"/>
              <w:spacing w:before="0" w:after="283"/>
              <w:jc w:val="right"/>
              <w:rPr/>
            </w:pPr>
            <w:r>
              <w:rPr/>
              <w:t>31</w:t>
            </w:r>
          </w:p>
        </w:tc>
        <w:tc>
          <w:tcPr>
            <w:tcW w:w="60"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99" w:type="dxa"/>
            <w:tcBorders/>
            <w:vAlign w:val="bottom"/>
          </w:tcPr>
          <w:p>
            <w:pPr>
              <w:pStyle w:val="TableContents"/>
              <w:bidi w:val="0"/>
              <w:spacing w:before="0" w:after="283"/>
              <w:jc w:val="right"/>
              <w:rPr/>
            </w:pPr>
            <w:r>
              <w:rPr/>
              <w:t>220</w:t>
            </w:r>
          </w:p>
        </w:tc>
        <w:tc>
          <w:tcPr>
            <w:tcW w:w="60"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360" w:type="dxa"/>
            <w:tcBorders/>
            <w:vAlign w:val="bottom"/>
          </w:tcPr>
          <w:p>
            <w:pPr>
              <w:pStyle w:val="TableContents"/>
              <w:bidi w:val="0"/>
              <w:spacing w:before="0" w:after="283"/>
              <w:jc w:val="right"/>
              <w:rPr/>
            </w:pPr>
            <w:r>
              <w:rPr/>
              <w:t> </w:t>
            </w:r>
          </w:p>
        </w:tc>
        <w:tc>
          <w:tcPr>
            <w:tcW w:w="280" w:type="dxa"/>
            <w:tcBorders/>
            <w:vAlign w:val="bottom"/>
          </w:tcPr>
          <w:p>
            <w:pPr>
              <w:pStyle w:val="TableContents"/>
              <w:bidi w:val="0"/>
              <w:spacing w:before="0" w:after="283"/>
              <w:jc w:val="left"/>
              <w:rPr/>
            </w:pPr>
            <w:r>
              <w:rPr/>
              <w:t> </w:t>
            </w:r>
          </w:p>
        </w:tc>
      </w:tr>
      <w:tr>
        <w:trPr/>
        <w:tc>
          <w:tcPr>
            <w:tcW w:w="1655" w:type="dxa"/>
            <w:tcBorders/>
            <w:vAlign w:val="bottom"/>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163" w:type="dxa"/>
            <w:tcBorders/>
            <w:vAlign w:val="bottom"/>
          </w:tcPr>
          <w:p>
            <w:pPr>
              <w:pStyle w:val="TableContents"/>
              <w:pBdr>
                <w:top w:val="single" w:sz="2" w:space="1" w:color="000000"/>
              </w:pBdr>
              <w:bidi w:val="0"/>
              <w:spacing w:before="0" w:after="0"/>
              <w:jc w:val="left"/>
              <w:rPr/>
            </w:pPr>
            <w:r>
              <w:rPr/>
              <w:t> </w:t>
            </w:r>
          </w:p>
        </w:tc>
        <w:tc>
          <w:tcPr>
            <w:tcW w:w="93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1360"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163" w:type="dxa"/>
            <w:tcBorders/>
            <w:vAlign w:val="bottom"/>
          </w:tcPr>
          <w:p>
            <w:pPr>
              <w:pStyle w:val="TableContents"/>
              <w:pBdr>
                <w:top w:val="single" w:sz="2" w:space="1" w:color="000000"/>
              </w:pBdr>
              <w:bidi w:val="0"/>
              <w:spacing w:before="0" w:after="0"/>
              <w:jc w:val="left"/>
              <w:rPr/>
            </w:pPr>
            <w:r>
              <w:rPr/>
              <w:t> </w:t>
            </w:r>
          </w:p>
        </w:tc>
        <w:tc>
          <w:tcPr>
            <w:tcW w:w="93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9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1360" w:type="dxa"/>
            <w:tcBorders/>
            <w:vAlign w:val="bottom"/>
          </w:tcPr>
          <w:p>
            <w:pPr>
              <w:pStyle w:val="TableContents"/>
              <w:pBdr>
                <w:top w:val="single" w:sz="2" w:space="1" w:color="000000"/>
              </w:pBdr>
              <w:bidi w:val="0"/>
              <w:spacing w:before="0" w:after="0"/>
              <w:jc w:val="left"/>
              <w:rPr/>
            </w:pPr>
            <w:r>
              <w:rPr/>
              <w:t> </w:t>
            </w:r>
          </w:p>
        </w:tc>
        <w:tc>
          <w:tcPr>
            <w:tcW w:w="280" w:type="dxa"/>
            <w:tcBorders/>
            <w:vAlign w:val="center"/>
          </w:tcPr>
          <w:p>
            <w:pPr>
              <w:pStyle w:val="TableContents"/>
              <w:bidi w:val="0"/>
              <w:spacing w:before="0" w:after="283"/>
              <w:jc w:val="left"/>
              <w:rPr/>
            </w:pPr>
            <w:r>
              <w:rPr/>
              <w:t> </w:t>
            </w:r>
          </w:p>
        </w:tc>
      </w:tr>
      <w:tr>
        <w:trPr/>
        <w:tc>
          <w:tcPr>
            <w:tcW w:w="16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121"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w:t>
            </w:r>
          </w:p>
        </w:tc>
        <w:tc>
          <w:tcPr>
            <w:tcW w:w="937" w:type="dxa"/>
            <w:tcBorders/>
            <w:shd w:fill="CCEEFF" w:val="clear"/>
            <w:vAlign w:val="bottom"/>
          </w:tcPr>
          <w:p>
            <w:pPr>
              <w:pStyle w:val="TableContents"/>
              <w:bidi w:val="0"/>
              <w:spacing w:before="0" w:after="283"/>
              <w:jc w:val="right"/>
              <w:rPr/>
            </w:pPr>
            <w:r>
              <w:rPr/>
              <w:t>481,737</w:t>
            </w:r>
          </w:p>
        </w:tc>
        <w:tc>
          <w:tcPr>
            <w:tcW w:w="60" w:type="dxa"/>
            <w:tcBorders/>
            <w:shd w:fill="CCEEFF" w:val="clear"/>
            <w:vAlign w:val="bottom"/>
          </w:tcPr>
          <w:p>
            <w:pPr>
              <w:pStyle w:val="TableContents"/>
              <w:bidi w:val="0"/>
              <w:spacing w:before="0" w:after="283"/>
              <w:jc w:val="left"/>
              <w:rPr/>
            </w:pPr>
            <w:r>
              <w:rPr/>
              <w:t> </w:t>
            </w:r>
          </w:p>
        </w:tc>
        <w:tc>
          <w:tcPr>
            <w:tcW w:w="12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0" w:type="dxa"/>
            <w:tcBorders/>
            <w:shd w:fill="CCEEFF" w:val="clear"/>
            <w:vAlign w:val="bottom"/>
          </w:tcPr>
          <w:p>
            <w:pPr>
              <w:pStyle w:val="TableContents"/>
              <w:bidi w:val="0"/>
              <w:spacing w:before="0" w:after="283"/>
              <w:jc w:val="right"/>
              <w:rPr/>
            </w:pPr>
            <w:r>
              <w:rPr/>
              <w:t>406,423</w:t>
            </w:r>
          </w:p>
        </w:tc>
        <w:tc>
          <w:tcPr>
            <w:tcW w:w="60" w:type="dxa"/>
            <w:tcBorders/>
            <w:shd w:fill="CCEEFF" w:val="clear"/>
            <w:vAlign w:val="bottom"/>
          </w:tcPr>
          <w:p>
            <w:pPr>
              <w:pStyle w:val="TableContents"/>
              <w:bidi w:val="0"/>
              <w:spacing w:before="0" w:after="283"/>
              <w:jc w:val="left"/>
              <w:rPr/>
            </w:pPr>
            <w:r>
              <w:rPr/>
              <w:t> </w:t>
            </w:r>
          </w:p>
        </w:tc>
        <w:tc>
          <w:tcPr>
            <w:tcW w:w="121"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360" w:type="dxa"/>
            <w:tcBorders/>
            <w:shd w:fill="CCEEFF" w:val="clear"/>
            <w:vAlign w:val="bottom"/>
          </w:tcPr>
          <w:p>
            <w:pPr>
              <w:pStyle w:val="TableContents"/>
              <w:bidi w:val="0"/>
              <w:spacing w:before="0" w:after="283"/>
              <w:jc w:val="right"/>
              <w:rPr/>
            </w:pPr>
            <w:r>
              <w:rPr/>
              <w:t>100.0</w:t>
            </w:r>
          </w:p>
        </w:tc>
        <w:tc>
          <w:tcPr>
            <w:tcW w:w="275"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w:t>
            </w:r>
          </w:p>
        </w:tc>
        <w:tc>
          <w:tcPr>
            <w:tcW w:w="937" w:type="dxa"/>
            <w:tcBorders/>
            <w:shd w:fill="CCEEFF" w:val="clear"/>
            <w:vAlign w:val="bottom"/>
          </w:tcPr>
          <w:p>
            <w:pPr>
              <w:pStyle w:val="TableContents"/>
              <w:bidi w:val="0"/>
              <w:spacing w:before="0" w:after="283"/>
              <w:jc w:val="right"/>
              <w:rPr/>
            </w:pPr>
            <w:r>
              <w:rPr/>
              <w:t>476,432</w:t>
            </w:r>
          </w:p>
        </w:tc>
        <w:tc>
          <w:tcPr>
            <w:tcW w:w="60" w:type="dxa"/>
            <w:tcBorders/>
            <w:shd w:fill="CCEEFF" w:val="clear"/>
            <w:vAlign w:val="bottom"/>
          </w:tcPr>
          <w:p>
            <w:pPr>
              <w:pStyle w:val="TableContents"/>
              <w:bidi w:val="0"/>
              <w:spacing w:before="0" w:after="283"/>
              <w:jc w:val="left"/>
              <w:rPr/>
            </w:pPr>
            <w:r>
              <w:rPr/>
              <w:t> </w:t>
            </w:r>
          </w:p>
        </w:tc>
        <w:tc>
          <w:tcPr>
            <w:tcW w:w="12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99" w:type="dxa"/>
            <w:tcBorders/>
            <w:shd w:fill="CCEEFF" w:val="clear"/>
            <w:vAlign w:val="bottom"/>
          </w:tcPr>
          <w:p>
            <w:pPr>
              <w:pStyle w:val="TableContents"/>
              <w:bidi w:val="0"/>
              <w:spacing w:before="0" w:after="283"/>
              <w:jc w:val="right"/>
              <w:rPr/>
            </w:pPr>
            <w:r>
              <w:rPr/>
              <w:t>405,021</w:t>
            </w:r>
          </w:p>
        </w:tc>
        <w:tc>
          <w:tcPr>
            <w:tcW w:w="60" w:type="dxa"/>
            <w:tcBorders/>
            <w:shd w:fill="CCEEFF" w:val="clear"/>
            <w:vAlign w:val="bottom"/>
          </w:tcPr>
          <w:p>
            <w:pPr>
              <w:pStyle w:val="TableContents"/>
              <w:bidi w:val="0"/>
              <w:spacing w:before="0" w:after="283"/>
              <w:jc w:val="left"/>
              <w:rPr/>
            </w:pPr>
            <w:r>
              <w:rPr/>
              <w:t> </w:t>
            </w:r>
          </w:p>
        </w:tc>
        <w:tc>
          <w:tcPr>
            <w:tcW w:w="121"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360" w:type="dxa"/>
            <w:tcBorders/>
            <w:shd w:fill="CCEEFF" w:val="clear"/>
            <w:vAlign w:val="bottom"/>
          </w:tcPr>
          <w:p>
            <w:pPr>
              <w:pStyle w:val="TableContents"/>
              <w:bidi w:val="0"/>
              <w:spacing w:before="0" w:after="283"/>
              <w:jc w:val="right"/>
              <w:rPr/>
            </w:pPr>
            <w:r>
              <w:rPr/>
              <w:t>100.0</w:t>
            </w:r>
          </w:p>
        </w:tc>
        <w:tc>
          <w:tcPr>
            <w:tcW w:w="280" w:type="dxa"/>
            <w:tcBorders/>
            <w:shd w:fill="CCEEFF" w:val="clear"/>
            <w:vAlign w:val="bottom"/>
          </w:tcPr>
          <w:p>
            <w:pPr>
              <w:pStyle w:val="TableContents"/>
              <w:bidi w:val="0"/>
              <w:spacing w:before="0" w:after="283"/>
              <w:jc w:val="left"/>
              <w:rPr/>
            </w:pPr>
            <w:r>
              <w:rPr/>
              <w:t>% </w:t>
            </w:r>
          </w:p>
        </w:tc>
      </w:tr>
      <w:tr>
        <w:trPr/>
        <w:tc>
          <w:tcPr>
            <w:tcW w:w="1655" w:type="dxa"/>
            <w:tcBorders/>
            <w:vAlign w:val="bottom"/>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163" w:type="dxa"/>
            <w:tcBorders/>
            <w:vAlign w:val="bottom"/>
          </w:tcPr>
          <w:p>
            <w:pPr>
              <w:pStyle w:val="TableContents"/>
              <w:pBdr>
                <w:top w:val="double" w:sz="6" w:space="1" w:color="000000"/>
              </w:pBdr>
              <w:bidi w:val="0"/>
              <w:spacing w:before="0" w:after="0"/>
              <w:jc w:val="left"/>
              <w:rPr/>
            </w:pPr>
            <w:r>
              <w:rPr/>
              <w:t> </w:t>
            </w:r>
          </w:p>
        </w:tc>
        <w:tc>
          <w:tcPr>
            <w:tcW w:w="937"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double" w:sz="6" w:space="1" w:color="000000"/>
              </w:pBdr>
              <w:bidi w:val="0"/>
              <w:spacing w:before="0" w:after="0"/>
              <w:jc w:val="left"/>
              <w:rPr/>
            </w:pPr>
            <w:r>
              <w:rPr/>
              <w:t> </w:t>
            </w:r>
          </w:p>
        </w:tc>
        <w:tc>
          <w:tcPr>
            <w:tcW w:w="1360"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163" w:type="dxa"/>
            <w:tcBorders/>
            <w:vAlign w:val="bottom"/>
          </w:tcPr>
          <w:p>
            <w:pPr>
              <w:pStyle w:val="TableContents"/>
              <w:pBdr>
                <w:top w:val="double" w:sz="6" w:space="1" w:color="000000"/>
              </w:pBdr>
              <w:bidi w:val="0"/>
              <w:spacing w:before="0" w:after="0"/>
              <w:jc w:val="left"/>
              <w:rPr/>
            </w:pPr>
            <w:r>
              <w:rPr/>
              <w:t> </w:t>
            </w:r>
          </w:p>
        </w:tc>
        <w:tc>
          <w:tcPr>
            <w:tcW w:w="937"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99"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double" w:sz="6" w:space="1" w:color="000000"/>
              </w:pBdr>
              <w:bidi w:val="0"/>
              <w:spacing w:before="0" w:after="0"/>
              <w:jc w:val="left"/>
              <w:rPr/>
            </w:pPr>
            <w:r>
              <w:rPr/>
              <w:t> </w:t>
            </w:r>
          </w:p>
        </w:tc>
        <w:tc>
          <w:tcPr>
            <w:tcW w:w="1360" w:type="dxa"/>
            <w:tcBorders/>
            <w:vAlign w:val="bottom"/>
          </w:tcPr>
          <w:p>
            <w:pPr>
              <w:pStyle w:val="TableContents"/>
              <w:pBdr>
                <w:top w:val="double" w:sz="6" w:space="1" w:color="000000"/>
              </w:pBdr>
              <w:bidi w:val="0"/>
              <w:spacing w:before="0" w:after="0"/>
              <w:jc w:val="left"/>
              <w:rPr/>
            </w:pPr>
            <w:r>
              <w:rPr/>
              <w:t> </w:t>
            </w:r>
          </w:p>
        </w:tc>
        <w:tc>
          <w:tcPr>
            <w:tcW w:w="280"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the equity investment in the Asset Manager Affiliates. </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b/>
          <w:sz w:val="20"/>
        </w:rPr>
      </w:pPr>
      <w:r>
        <w:rPr>
          <w:rFonts w:ascii="Times New Roman" w:hAnsi="Times New Roman"/>
          <w:b/>
          <w:sz w:val="20"/>
        </w:rPr>
        <w:t xml:space="preserve">Liquidity and Capital Resources </w:t>
      </w:r>
    </w:p>
    <w:p>
      <w:pPr>
        <w:pStyle w:val="TextBody"/>
        <w:bidi w:val="0"/>
        <w:spacing w:before="120" w:after="0"/>
        <w:jc w:val="left"/>
        <w:rPr>
          <w:rFonts w:ascii="Times New Roman" w:hAnsi="Times New Roman"/>
          <w:sz w:val="20"/>
        </w:rPr>
      </w:pPr>
      <w:r>
        <w:rPr>
          <w:rFonts w:ascii="Times New Roman" w:hAnsi="Times New Roman"/>
          <w:sz w:val="20"/>
        </w:rPr>
        <w:t xml:space="preserve">As of March 31, 2025, the Company had $255.4 million (par value) of outstanding borrowings at a current weighted average interest rate of 5.9%, of which $108.0 million par value had a fixed rate of 4.875% (Notes due 2026), and $147.4 million par value had a floating rate under the JPM Credit Facility. </w:t>
      </w:r>
    </w:p>
    <w:p>
      <w:pPr>
        <w:pStyle w:val="TextBody"/>
        <w:bidi w:val="0"/>
        <w:spacing w:before="240" w:after="0"/>
        <w:jc w:val="left"/>
        <w:rPr>
          <w:rFonts w:ascii="Times New Roman" w:hAnsi="Times New Roman"/>
          <w:sz w:val="20"/>
        </w:rPr>
      </w:pPr>
      <w:r>
        <w:rPr>
          <w:rFonts w:ascii="Times New Roman" w:hAnsi="Times New Roman"/>
          <w:sz w:val="20"/>
        </w:rPr>
        <w:t xml:space="preserve">As of March 31, 2025, and December 31, 2024, the fair value of investments and cash were as follows: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3264"/>
        <w:gridCol w:w="367"/>
        <w:gridCol w:w="245"/>
        <w:gridCol w:w="1385"/>
        <w:gridCol w:w="60"/>
        <w:gridCol w:w="367"/>
        <w:gridCol w:w="291"/>
        <w:gridCol w:w="1711"/>
        <w:gridCol w:w="65"/>
      </w:tblGrid>
      <w:tr>
        <w:trPr/>
        <w:tc>
          <w:tcPr>
            <w:tcW w:w="3264" w:type="dxa"/>
            <w:tcBorders/>
            <w:vAlign w:val="center"/>
          </w:tcPr>
          <w:p>
            <w:pPr>
              <w:pStyle w:val="TableContents"/>
              <w:bidi w:val="0"/>
              <w:spacing w:before="0" w:after="283"/>
              <w:jc w:val="left"/>
              <w:rPr>
                <w:sz w:val="4"/>
                <w:szCs w:val="4"/>
              </w:rPr>
            </w:pPr>
            <w:r>
              <w:rPr>
                <w:sz w:val="4"/>
                <w:szCs w:val="4"/>
              </w:rPr>
            </w:r>
          </w:p>
        </w:tc>
        <w:tc>
          <w:tcPr>
            <w:tcW w:w="367" w:type="dxa"/>
            <w:tcBorders/>
            <w:vAlign w:val="bottom"/>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7" w:type="dxa"/>
            <w:tcBorders/>
            <w:vAlign w:val="bottom"/>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711"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3264" w:type="dxa"/>
            <w:tcBorders/>
            <w:vAlign w:val="bottom"/>
          </w:tcPr>
          <w:p>
            <w:pPr>
              <w:pStyle w:val="TableContents"/>
              <w:bidi w:val="0"/>
              <w:spacing w:before="0" w:after="283"/>
              <w:jc w:val="left"/>
              <w:rPr>
                <w:b/>
              </w:rPr>
            </w:pPr>
            <w:r>
              <w:rPr>
                <w:b/>
              </w:rPr>
              <w:t>($ in thousands)</w:t>
            </w:r>
          </w:p>
        </w:tc>
        <w:tc>
          <w:tcPr>
            <w:tcW w:w="367" w:type="dxa"/>
            <w:tcBorders/>
            <w:vAlign w:val="bottom"/>
          </w:tcPr>
          <w:p>
            <w:pPr>
              <w:pStyle w:val="TableContents"/>
              <w:bidi w:val="0"/>
              <w:spacing w:before="0" w:after="283"/>
              <w:jc w:val="left"/>
              <w:rPr/>
            </w:pPr>
            <w:r>
              <w:rPr/>
              <w:t>  </w:t>
            </w:r>
          </w:p>
        </w:tc>
        <w:tc>
          <w:tcPr>
            <w:tcW w:w="163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67" w:type="dxa"/>
            <w:tcBorders/>
            <w:vAlign w:val="bottom"/>
          </w:tcPr>
          <w:p>
            <w:pPr>
              <w:pStyle w:val="TableContents"/>
              <w:bidi w:val="0"/>
              <w:spacing w:before="0" w:after="283"/>
              <w:jc w:val="left"/>
              <w:rPr/>
            </w:pPr>
            <w:r>
              <w:rPr/>
              <w:t>  </w:t>
            </w:r>
          </w:p>
        </w:tc>
        <w:tc>
          <w:tcPr>
            <w:tcW w:w="2002" w:type="dxa"/>
            <w:gridSpan w:val="2"/>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r>
      <w:tr>
        <w:trPr/>
        <w:tc>
          <w:tcPr>
            <w:tcW w:w="3264"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Security Type</w:t>
            </w:r>
          </w:p>
        </w:tc>
        <w:tc>
          <w:tcPr>
            <w:tcW w:w="367" w:type="dxa"/>
            <w:tcBorders/>
            <w:vAlign w:val="bottom"/>
          </w:tcPr>
          <w:p>
            <w:pPr>
              <w:pStyle w:val="TableContents"/>
              <w:bidi w:val="0"/>
              <w:spacing w:before="0" w:after="283"/>
              <w:jc w:val="left"/>
              <w:rPr/>
            </w:pPr>
            <w:r>
              <w:rPr/>
              <w:t>  </w:t>
            </w:r>
          </w:p>
        </w:tc>
        <w:tc>
          <w:tcPr>
            <w:tcW w:w="163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March 31, 2025</w:t>
            </w:r>
          </w:p>
        </w:tc>
        <w:tc>
          <w:tcPr>
            <w:tcW w:w="60" w:type="dxa"/>
            <w:tcBorders/>
            <w:vAlign w:val="bottom"/>
          </w:tcPr>
          <w:p>
            <w:pPr>
              <w:pStyle w:val="TableContents"/>
              <w:bidi w:val="0"/>
              <w:spacing w:before="0" w:after="283"/>
              <w:jc w:val="left"/>
              <w:rPr/>
            </w:pPr>
            <w:r>
              <w:rPr/>
              <w:t> </w:t>
            </w:r>
          </w:p>
        </w:tc>
        <w:tc>
          <w:tcPr>
            <w:tcW w:w="367" w:type="dxa"/>
            <w:tcBorders/>
            <w:vAlign w:val="bottom"/>
          </w:tcPr>
          <w:p>
            <w:pPr>
              <w:pStyle w:val="TableContents"/>
              <w:bidi w:val="0"/>
              <w:spacing w:before="0" w:after="283"/>
              <w:jc w:val="left"/>
              <w:rPr/>
            </w:pPr>
            <w:r>
              <w:rPr/>
              <w:t>  </w:t>
            </w:r>
          </w:p>
        </w:tc>
        <w:tc>
          <w:tcPr>
            <w:tcW w:w="200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 2024</w:t>
            </w:r>
          </w:p>
        </w:tc>
        <w:tc>
          <w:tcPr>
            <w:tcW w:w="65" w:type="dxa"/>
            <w:tcBorders/>
            <w:vAlign w:val="bottom"/>
          </w:tcPr>
          <w:p>
            <w:pPr>
              <w:pStyle w:val="TableContents"/>
              <w:bidi w:val="0"/>
              <w:spacing w:before="0" w:after="283"/>
              <w:jc w:val="left"/>
              <w:rPr/>
            </w:pPr>
            <w:r>
              <w:rPr/>
              <w:t> </w:t>
            </w:r>
          </w:p>
        </w:tc>
      </w:tr>
      <w:tr>
        <w:trPr/>
        <w:tc>
          <w:tcPr>
            <w:tcW w:w="326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and Cash Equivalents</w:t>
            </w:r>
          </w:p>
        </w:tc>
        <w:tc>
          <w:tcPr>
            <w:tcW w:w="367"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283"/>
              <w:jc w:val="left"/>
              <w:rPr/>
            </w:pPr>
            <w:r>
              <w:rPr/>
              <w:t>$</w:t>
            </w:r>
          </w:p>
        </w:tc>
        <w:tc>
          <w:tcPr>
            <w:tcW w:w="1385" w:type="dxa"/>
            <w:tcBorders/>
            <w:shd w:fill="CCEEFF" w:val="clear"/>
            <w:vAlign w:val="bottom"/>
          </w:tcPr>
          <w:p>
            <w:pPr>
              <w:pStyle w:val="TableContents"/>
              <w:bidi w:val="0"/>
              <w:spacing w:before="0" w:after="283"/>
              <w:jc w:val="right"/>
              <w:rPr/>
            </w:pPr>
            <w:r>
              <w:rPr/>
              <w:t>9,233</w:t>
            </w:r>
          </w:p>
        </w:tc>
        <w:tc>
          <w:tcPr>
            <w:tcW w:w="60" w:type="dxa"/>
            <w:tcBorders/>
            <w:shd w:fill="CCEEFF" w:val="clear"/>
            <w:vAlign w:val="bottom"/>
          </w:tcPr>
          <w:p>
            <w:pPr>
              <w:pStyle w:val="TableContents"/>
              <w:bidi w:val="0"/>
              <w:spacing w:before="0" w:after="283"/>
              <w:jc w:val="left"/>
              <w:rPr/>
            </w:pPr>
            <w:r>
              <w:rPr/>
              <w:t> </w:t>
            </w:r>
          </w:p>
        </w:tc>
        <w:tc>
          <w:tcPr>
            <w:tcW w:w="367" w:type="dxa"/>
            <w:tcBorders/>
            <w:shd w:fill="CCEEFF" w:val="clear"/>
            <w:vAlign w:val="bottom"/>
          </w:tcPr>
          <w:p>
            <w:pPr>
              <w:pStyle w:val="TableContents"/>
              <w:bidi w:val="0"/>
              <w:spacing w:before="0" w:after="283"/>
              <w:jc w:val="left"/>
              <w:rPr/>
            </w:pPr>
            <w:r>
              <w:rPr/>
              <w:t>  </w:t>
            </w:r>
          </w:p>
        </w:tc>
        <w:tc>
          <w:tcPr>
            <w:tcW w:w="291" w:type="dxa"/>
            <w:tcBorders/>
            <w:shd w:fill="CCEEFF" w:val="clear"/>
            <w:vAlign w:val="bottom"/>
          </w:tcPr>
          <w:p>
            <w:pPr>
              <w:pStyle w:val="TableContents"/>
              <w:bidi w:val="0"/>
              <w:spacing w:before="0" w:after="283"/>
              <w:jc w:val="left"/>
              <w:rPr/>
            </w:pPr>
            <w:r>
              <w:rPr/>
              <w:t>$</w:t>
            </w:r>
          </w:p>
        </w:tc>
        <w:tc>
          <w:tcPr>
            <w:tcW w:w="1711" w:type="dxa"/>
            <w:tcBorders/>
            <w:shd w:fill="CCEEFF" w:val="clear"/>
            <w:vAlign w:val="bottom"/>
          </w:tcPr>
          <w:p>
            <w:pPr>
              <w:pStyle w:val="TableContents"/>
              <w:bidi w:val="0"/>
              <w:spacing w:before="0" w:after="283"/>
              <w:jc w:val="right"/>
              <w:rPr/>
            </w:pPr>
            <w:r>
              <w:rPr/>
              <w:t>17,532</w:t>
            </w:r>
          </w:p>
        </w:tc>
        <w:tc>
          <w:tcPr>
            <w:tcW w:w="65" w:type="dxa"/>
            <w:tcBorders/>
            <w:shd w:fill="CCEEFF" w:val="clear"/>
            <w:vAlign w:val="bottom"/>
          </w:tcPr>
          <w:p>
            <w:pPr>
              <w:pStyle w:val="TableContents"/>
              <w:bidi w:val="0"/>
              <w:spacing w:before="0" w:after="283"/>
              <w:jc w:val="left"/>
              <w:rPr/>
            </w:pPr>
            <w:r>
              <w:rPr/>
              <w:t> </w:t>
            </w:r>
          </w:p>
        </w:tc>
      </w:tr>
      <w:tr>
        <w:trPr/>
        <w:tc>
          <w:tcPr>
            <w:tcW w:w="3264" w:type="dxa"/>
            <w:tcBorders/>
          </w:tcPr>
          <w:p>
            <w:pPr>
              <w:pStyle w:val="TableContents"/>
              <w:bidi w:val="0"/>
              <w:spacing w:before="0" w:after="0"/>
              <w:jc w:val="left"/>
              <w:rPr>
                <w:rFonts w:ascii="Times New Roman" w:hAnsi="Times New Roman"/>
                <w:sz w:val="20"/>
              </w:rPr>
            </w:pPr>
            <w:r>
              <w:rPr>
                <w:rFonts w:ascii="Times New Roman" w:hAnsi="Times New Roman"/>
                <w:sz w:val="20"/>
              </w:rPr>
              <w:t>Restricted Cash</w:t>
            </w:r>
          </w:p>
        </w:tc>
        <w:tc>
          <w:tcPr>
            <w:tcW w:w="367"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1385" w:type="dxa"/>
            <w:tcBorders/>
            <w:vAlign w:val="bottom"/>
          </w:tcPr>
          <w:p>
            <w:pPr>
              <w:pStyle w:val="TableContents"/>
              <w:bidi w:val="0"/>
              <w:spacing w:before="0" w:after="283"/>
              <w:jc w:val="right"/>
              <w:rPr/>
            </w:pPr>
            <w:r>
              <w:rPr/>
              <w:t>14,278</w:t>
            </w:r>
          </w:p>
        </w:tc>
        <w:tc>
          <w:tcPr>
            <w:tcW w:w="60" w:type="dxa"/>
            <w:tcBorders/>
            <w:vAlign w:val="bottom"/>
          </w:tcPr>
          <w:p>
            <w:pPr>
              <w:pStyle w:val="TableContents"/>
              <w:bidi w:val="0"/>
              <w:spacing w:before="0" w:after="283"/>
              <w:jc w:val="left"/>
              <w:rPr/>
            </w:pPr>
            <w:r>
              <w:rPr/>
              <w:t> </w:t>
            </w:r>
          </w:p>
        </w:tc>
        <w:tc>
          <w:tcPr>
            <w:tcW w:w="367" w:type="dxa"/>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 </w:t>
            </w:r>
          </w:p>
        </w:tc>
        <w:tc>
          <w:tcPr>
            <w:tcW w:w="1711" w:type="dxa"/>
            <w:tcBorders/>
            <w:vAlign w:val="bottom"/>
          </w:tcPr>
          <w:p>
            <w:pPr>
              <w:pStyle w:val="TableContents"/>
              <w:bidi w:val="0"/>
              <w:spacing w:before="0" w:after="283"/>
              <w:jc w:val="right"/>
              <w:rPr/>
            </w:pPr>
            <w:r>
              <w:rPr/>
              <w:t>22,421</w:t>
            </w:r>
          </w:p>
        </w:tc>
        <w:tc>
          <w:tcPr>
            <w:tcW w:w="65" w:type="dxa"/>
            <w:tcBorders/>
            <w:vAlign w:val="bottom"/>
          </w:tcPr>
          <w:p>
            <w:pPr>
              <w:pStyle w:val="TableContents"/>
              <w:bidi w:val="0"/>
              <w:spacing w:before="0" w:after="283"/>
              <w:jc w:val="left"/>
              <w:rPr/>
            </w:pPr>
            <w:r>
              <w:rPr/>
              <w:t> </w:t>
            </w:r>
          </w:p>
        </w:tc>
      </w:tr>
      <w:tr>
        <w:trPr/>
        <w:tc>
          <w:tcPr>
            <w:tcW w:w="326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First Lien Debt</w:t>
            </w:r>
          </w:p>
        </w:tc>
        <w:tc>
          <w:tcPr>
            <w:tcW w:w="367"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283"/>
              <w:jc w:val="left"/>
              <w:rPr/>
            </w:pPr>
            <w:r>
              <w:rPr/>
              <w:t> </w:t>
            </w:r>
          </w:p>
        </w:tc>
        <w:tc>
          <w:tcPr>
            <w:tcW w:w="1385" w:type="dxa"/>
            <w:tcBorders/>
            <w:shd w:fill="CCEEFF" w:val="clear"/>
            <w:vAlign w:val="bottom"/>
          </w:tcPr>
          <w:p>
            <w:pPr>
              <w:pStyle w:val="TableContents"/>
              <w:bidi w:val="0"/>
              <w:spacing w:before="0" w:after="283"/>
              <w:jc w:val="right"/>
              <w:rPr/>
            </w:pPr>
            <w:r>
              <w:rPr/>
              <w:t>294,379</w:t>
            </w:r>
          </w:p>
        </w:tc>
        <w:tc>
          <w:tcPr>
            <w:tcW w:w="60" w:type="dxa"/>
            <w:tcBorders/>
            <w:shd w:fill="CCEEFF" w:val="clear"/>
            <w:vAlign w:val="bottom"/>
          </w:tcPr>
          <w:p>
            <w:pPr>
              <w:pStyle w:val="TableContents"/>
              <w:bidi w:val="0"/>
              <w:spacing w:before="0" w:after="283"/>
              <w:jc w:val="left"/>
              <w:rPr/>
            </w:pPr>
            <w:r>
              <w:rPr/>
              <w:t> </w:t>
            </w:r>
          </w:p>
        </w:tc>
        <w:tc>
          <w:tcPr>
            <w:tcW w:w="367" w:type="dxa"/>
            <w:tcBorders/>
            <w:shd w:fill="CCEEFF" w:val="clear"/>
            <w:vAlign w:val="bottom"/>
          </w:tcPr>
          <w:p>
            <w:pPr>
              <w:pStyle w:val="TableContents"/>
              <w:bidi w:val="0"/>
              <w:spacing w:before="0" w:after="283"/>
              <w:jc w:val="left"/>
              <w:rPr/>
            </w:pPr>
            <w:r>
              <w:rPr/>
              <w:t>  </w:t>
            </w:r>
          </w:p>
        </w:tc>
        <w:tc>
          <w:tcPr>
            <w:tcW w:w="291" w:type="dxa"/>
            <w:tcBorders/>
            <w:shd w:fill="CCEEFF" w:val="clear"/>
            <w:vAlign w:val="bottom"/>
          </w:tcPr>
          <w:p>
            <w:pPr>
              <w:pStyle w:val="TableContents"/>
              <w:bidi w:val="0"/>
              <w:spacing w:before="0" w:after="283"/>
              <w:jc w:val="left"/>
              <w:rPr/>
            </w:pPr>
            <w:r>
              <w:rPr/>
              <w:t> </w:t>
            </w:r>
          </w:p>
        </w:tc>
        <w:tc>
          <w:tcPr>
            <w:tcW w:w="1711" w:type="dxa"/>
            <w:tcBorders/>
            <w:shd w:fill="CCEEFF" w:val="clear"/>
            <w:vAlign w:val="bottom"/>
          </w:tcPr>
          <w:p>
            <w:pPr>
              <w:pStyle w:val="TableContents"/>
              <w:bidi w:val="0"/>
              <w:spacing w:before="0" w:after="283"/>
              <w:jc w:val="right"/>
              <w:rPr/>
            </w:pPr>
            <w:r>
              <w:rPr/>
              <w:t>289,957</w:t>
            </w:r>
          </w:p>
        </w:tc>
        <w:tc>
          <w:tcPr>
            <w:tcW w:w="65" w:type="dxa"/>
            <w:tcBorders/>
            <w:shd w:fill="CCEEFF" w:val="clear"/>
            <w:vAlign w:val="bottom"/>
          </w:tcPr>
          <w:p>
            <w:pPr>
              <w:pStyle w:val="TableContents"/>
              <w:bidi w:val="0"/>
              <w:spacing w:before="0" w:after="283"/>
              <w:jc w:val="left"/>
              <w:rPr/>
            </w:pPr>
            <w:r>
              <w:rPr/>
              <w:t> </w:t>
            </w:r>
          </w:p>
        </w:tc>
      </w:tr>
      <w:tr>
        <w:trPr/>
        <w:tc>
          <w:tcPr>
            <w:tcW w:w="3264" w:type="dxa"/>
            <w:tcBorders/>
          </w:tcPr>
          <w:p>
            <w:pPr>
              <w:pStyle w:val="TableContents"/>
              <w:bidi w:val="0"/>
              <w:spacing w:before="0" w:after="0"/>
              <w:jc w:val="left"/>
              <w:rPr>
                <w:rFonts w:ascii="Times New Roman" w:hAnsi="Times New Roman"/>
                <w:sz w:val="20"/>
              </w:rPr>
            </w:pPr>
            <w:r>
              <w:rPr>
                <w:rFonts w:ascii="Times New Roman" w:hAnsi="Times New Roman"/>
                <w:sz w:val="20"/>
              </w:rPr>
              <w:t>Second Lien Debt</w:t>
            </w:r>
          </w:p>
        </w:tc>
        <w:tc>
          <w:tcPr>
            <w:tcW w:w="367"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1385" w:type="dxa"/>
            <w:tcBorders/>
            <w:vAlign w:val="bottom"/>
          </w:tcPr>
          <w:p>
            <w:pPr>
              <w:pStyle w:val="TableContents"/>
              <w:bidi w:val="0"/>
              <w:spacing w:before="0" w:after="283"/>
              <w:jc w:val="right"/>
              <w:rPr/>
            </w:pPr>
            <w:r>
              <w:rPr/>
              <w:t>28,724</w:t>
            </w:r>
          </w:p>
        </w:tc>
        <w:tc>
          <w:tcPr>
            <w:tcW w:w="60" w:type="dxa"/>
            <w:tcBorders/>
            <w:vAlign w:val="bottom"/>
          </w:tcPr>
          <w:p>
            <w:pPr>
              <w:pStyle w:val="TableContents"/>
              <w:bidi w:val="0"/>
              <w:spacing w:before="0" w:after="283"/>
              <w:jc w:val="left"/>
              <w:rPr/>
            </w:pPr>
            <w:r>
              <w:rPr/>
              <w:t> </w:t>
            </w:r>
          </w:p>
        </w:tc>
        <w:tc>
          <w:tcPr>
            <w:tcW w:w="367" w:type="dxa"/>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 </w:t>
            </w:r>
          </w:p>
        </w:tc>
        <w:tc>
          <w:tcPr>
            <w:tcW w:w="1711" w:type="dxa"/>
            <w:tcBorders/>
            <w:vAlign w:val="bottom"/>
          </w:tcPr>
          <w:p>
            <w:pPr>
              <w:pStyle w:val="TableContents"/>
              <w:bidi w:val="0"/>
              <w:spacing w:before="0" w:after="283"/>
              <w:jc w:val="right"/>
              <w:rPr/>
            </w:pPr>
            <w:r>
              <w:rPr/>
              <w:t>28,996</w:t>
            </w:r>
          </w:p>
        </w:tc>
        <w:tc>
          <w:tcPr>
            <w:tcW w:w="65" w:type="dxa"/>
            <w:tcBorders/>
            <w:vAlign w:val="bottom"/>
          </w:tcPr>
          <w:p>
            <w:pPr>
              <w:pStyle w:val="TableContents"/>
              <w:bidi w:val="0"/>
              <w:spacing w:before="0" w:after="283"/>
              <w:jc w:val="left"/>
              <w:rPr/>
            </w:pPr>
            <w:r>
              <w:rPr/>
              <w:t> </w:t>
            </w:r>
          </w:p>
        </w:tc>
      </w:tr>
      <w:tr>
        <w:trPr/>
        <w:tc>
          <w:tcPr>
            <w:tcW w:w="326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Subordinated Debt</w:t>
            </w:r>
          </w:p>
        </w:tc>
        <w:tc>
          <w:tcPr>
            <w:tcW w:w="367"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283"/>
              <w:jc w:val="left"/>
              <w:rPr/>
            </w:pPr>
            <w:r>
              <w:rPr/>
              <w:t> </w:t>
            </w:r>
          </w:p>
        </w:tc>
        <w:tc>
          <w:tcPr>
            <w:tcW w:w="1385" w:type="dxa"/>
            <w:tcBorders/>
            <w:shd w:fill="CCEEFF" w:val="clear"/>
            <w:vAlign w:val="bottom"/>
          </w:tcPr>
          <w:p>
            <w:pPr>
              <w:pStyle w:val="TableContents"/>
              <w:bidi w:val="0"/>
              <w:spacing w:before="0" w:after="283"/>
              <w:jc w:val="right"/>
              <w:rPr/>
            </w:pPr>
            <w:r>
              <w:rPr/>
              <w:t>1,740</w:t>
            </w:r>
          </w:p>
        </w:tc>
        <w:tc>
          <w:tcPr>
            <w:tcW w:w="60" w:type="dxa"/>
            <w:tcBorders/>
            <w:shd w:fill="CCEEFF" w:val="clear"/>
            <w:vAlign w:val="bottom"/>
          </w:tcPr>
          <w:p>
            <w:pPr>
              <w:pStyle w:val="TableContents"/>
              <w:bidi w:val="0"/>
              <w:spacing w:before="0" w:after="283"/>
              <w:jc w:val="left"/>
              <w:rPr/>
            </w:pPr>
            <w:r>
              <w:rPr/>
              <w:t> </w:t>
            </w:r>
          </w:p>
        </w:tc>
        <w:tc>
          <w:tcPr>
            <w:tcW w:w="367" w:type="dxa"/>
            <w:tcBorders/>
            <w:shd w:fill="CCEEFF" w:val="clear"/>
            <w:vAlign w:val="bottom"/>
          </w:tcPr>
          <w:p>
            <w:pPr>
              <w:pStyle w:val="TableContents"/>
              <w:bidi w:val="0"/>
              <w:spacing w:before="0" w:after="283"/>
              <w:jc w:val="left"/>
              <w:rPr/>
            </w:pPr>
            <w:r>
              <w:rPr/>
              <w:t>  </w:t>
            </w:r>
          </w:p>
        </w:tc>
        <w:tc>
          <w:tcPr>
            <w:tcW w:w="291" w:type="dxa"/>
            <w:tcBorders/>
            <w:shd w:fill="CCEEFF" w:val="clear"/>
            <w:vAlign w:val="bottom"/>
          </w:tcPr>
          <w:p>
            <w:pPr>
              <w:pStyle w:val="TableContents"/>
              <w:bidi w:val="0"/>
              <w:spacing w:before="0" w:after="283"/>
              <w:jc w:val="left"/>
              <w:rPr/>
            </w:pPr>
            <w:r>
              <w:rPr/>
              <w:t> </w:t>
            </w:r>
          </w:p>
        </w:tc>
        <w:tc>
          <w:tcPr>
            <w:tcW w:w="1711" w:type="dxa"/>
            <w:tcBorders/>
            <w:shd w:fill="CCEEFF" w:val="clear"/>
            <w:vAlign w:val="bottom"/>
          </w:tcPr>
          <w:p>
            <w:pPr>
              <w:pStyle w:val="TableContents"/>
              <w:bidi w:val="0"/>
              <w:spacing w:before="0" w:after="283"/>
              <w:jc w:val="right"/>
              <w:rPr/>
            </w:pPr>
            <w:r>
              <w:rPr/>
              <w:t>1,740</w:t>
            </w:r>
          </w:p>
        </w:tc>
        <w:tc>
          <w:tcPr>
            <w:tcW w:w="65" w:type="dxa"/>
            <w:tcBorders/>
            <w:shd w:fill="CCEEFF" w:val="clear"/>
            <w:vAlign w:val="bottom"/>
          </w:tcPr>
          <w:p>
            <w:pPr>
              <w:pStyle w:val="TableContents"/>
              <w:bidi w:val="0"/>
              <w:spacing w:before="0" w:after="283"/>
              <w:jc w:val="left"/>
              <w:rPr/>
            </w:pPr>
            <w:r>
              <w:rPr/>
              <w:t> </w:t>
            </w:r>
          </w:p>
        </w:tc>
      </w:tr>
      <w:tr>
        <w:trPr/>
        <w:tc>
          <w:tcPr>
            <w:tcW w:w="3264" w:type="dxa"/>
            <w:tcBorders/>
          </w:tcPr>
          <w:p>
            <w:pPr>
              <w:pStyle w:val="TableContents"/>
              <w:bidi w:val="0"/>
              <w:spacing w:before="0" w:after="0"/>
              <w:jc w:val="left"/>
              <w:rPr>
                <w:rFonts w:ascii="Times New Roman" w:hAnsi="Times New Roman"/>
                <w:sz w:val="20"/>
              </w:rPr>
            </w:pPr>
            <w:r>
              <w:rPr>
                <w:rFonts w:ascii="Times New Roman" w:hAnsi="Times New Roman"/>
                <w:sz w:val="20"/>
              </w:rPr>
              <w:t>Equity</w:t>
            </w:r>
          </w:p>
        </w:tc>
        <w:tc>
          <w:tcPr>
            <w:tcW w:w="367"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1385" w:type="dxa"/>
            <w:tcBorders/>
            <w:vAlign w:val="bottom"/>
          </w:tcPr>
          <w:p>
            <w:pPr>
              <w:pStyle w:val="TableContents"/>
              <w:bidi w:val="0"/>
              <w:spacing w:before="0" w:after="283"/>
              <w:jc w:val="right"/>
              <w:rPr/>
            </w:pPr>
            <w:r>
              <w:rPr/>
              <w:t>26,218</w:t>
            </w:r>
          </w:p>
        </w:tc>
        <w:tc>
          <w:tcPr>
            <w:tcW w:w="60" w:type="dxa"/>
            <w:tcBorders/>
            <w:vAlign w:val="bottom"/>
          </w:tcPr>
          <w:p>
            <w:pPr>
              <w:pStyle w:val="TableContents"/>
              <w:bidi w:val="0"/>
              <w:spacing w:before="0" w:after="283"/>
              <w:jc w:val="left"/>
              <w:rPr/>
            </w:pPr>
            <w:r>
              <w:rPr/>
              <w:t> </w:t>
            </w:r>
          </w:p>
        </w:tc>
        <w:tc>
          <w:tcPr>
            <w:tcW w:w="367" w:type="dxa"/>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 </w:t>
            </w:r>
          </w:p>
        </w:tc>
        <w:tc>
          <w:tcPr>
            <w:tcW w:w="1711" w:type="dxa"/>
            <w:tcBorders/>
            <w:vAlign w:val="bottom"/>
          </w:tcPr>
          <w:p>
            <w:pPr>
              <w:pStyle w:val="TableContents"/>
              <w:bidi w:val="0"/>
              <w:spacing w:before="0" w:after="283"/>
              <w:jc w:val="right"/>
              <w:rPr/>
            </w:pPr>
            <w:r>
              <w:rPr/>
              <w:t>24,762</w:t>
            </w:r>
          </w:p>
        </w:tc>
        <w:tc>
          <w:tcPr>
            <w:tcW w:w="65" w:type="dxa"/>
            <w:tcBorders/>
            <w:vAlign w:val="bottom"/>
          </w:tcPr>
          <w:p>
            <w:pPr>
              <w:pStyle w:val="TableContents"/>
              <w:bidi w:val="0"/>
              <w:spacing w:before="0" w:after="283"/>
              <w:jc w:val="left"/>
              <w:rPr/>
            </w:pPr>
            <w:r>
              <w:rPr/>
              <w:t> </w:t>
            </w:r>
          </w:p>
        </w:tc>
      </w:tr>
      <w:tr>
        <w:trPr/>
        <w:tc>
          <w:tcPr>
            <w:tcW w:w="326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Collateralized Loan Obligations</w:t>
            </w:r>
          </w:p>
        </w:tc>
        <w:tc>
          <w:tcPr>
            <w:tcW w:w="367"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283"/>
              <w:jc w:val="left"/>
              <w:rPr/>
            </w:pPr>
            <w:r>
              <w:rPr/>
              <w:t> </w:t>
            </w:r>
          </w:p>
        </w:tc>
        <w:tc>
          <w:tcPr>
            <w:tcW w:w="1385" w:type="dxa"/>
            <w:tcBorders/>
            <w:shd w:fill="CCEEFF" w:val="clear"/>
            <w:vAlign w:val="bottom"/>
          </w:tcPr>
          <w:p>
            <w:pPr>
              <w:pStyle w:val="TableContents"/>
              <w:bidi w:val="0"/>
              <w:spacing w:before="0" w:after="283"/>
              <w:jc w:val="right"/>
              <w:rPr/>
            </w:pPr>
            <w:r>
              <w:rPr/>
              <w:t>4,639</w:t>
            </w:r>
          </w:p>
        </w:tc>
        <w:tc>
          <w:tcPr>
            <w:tcW w:w="60" w:type="dxa"/>
            <w:tcBorders/>
            <w:shd w:fill="CCEEFF" w:val="clear"/>
            <w:vAlign w:val="bottom"/>
          </w:tcPr>
          <w:p>
            <w:pPr>
              <w:pStyle w:val="TableContents"/>
              <w:bidi w:val="0"/>
              <w:spacing w:before="0" w:after="283"/>
              <w:jc w:val="left"/>
              <w:rPr/>
            </w:pPr>
            <w:r>
              <w:rPr/>
              <w:t> </w:t>
            </w:r>
          </w:p>
        </w:tc>
        <w:tc>
          <w:tcPr>
            <w:tcW w:w="367" w:type="dxa"/>
            <w:tcBorders/>
            <w:shd w:fill="CCEEFF" w:val="clear"/>
            <w:vAlign w:val="bottom"/>
          </w:tcPr>
          <w:p>
            <w:pPr>
              <w:pStyle w:val="TableContents"/>
              <w:bidi w:val="0"/>
              <w:spacing w:before="0" w:after="283"/>
              <w:jc w:val="left"/>
              <w:rPr/>
            </w:pPr>
            <w:r>
              <w:rPr/>
              <w:t>  </w:t>
            </w:r>
          </w:p>
        </w:tc>
        <w:tc>
          <w:tcPr>
            <w:tcW w:w="291" w:type="dxa"/>
            <w:tcBorders/>
            <w:shd w:fill="CCEEFF" w:val="clear"/>
            <w:vAlign w:val="bottom"/>
          </w:tcPr>
          <w:p>
            <w:pPr>
              <w:pStyle w:val="TableContents"/>
              <w:bidi w:val="0"/>
              <w:spacing w:before="0" w:after="283"/>
              <w:jc w:val="left"/>
              <w:rPr/>
            </w:pPr>
            <w:r>
              <w:rPr/>
              <w:t> </w:t>
            </w:r>
          </w:p>
        </w:tc>
        <w:tc>
          <w:tcPr>
            <w:tcW w:w="1711" w:type="dxa"/>
            <w:tcBorders/>
            <w:shd w:fill="CCEEFF" w:val="clear"/>
            <w:vAlign w:val="bottom"/>
          </w:tcPr>
          <w:p>
            <w:pPr>
              <w:pStyle w:val="TableContents"/>
              <w:bidi w:val="0"/>
              <w:spacing w:before="0" w:after="283"/>
              <w:jc w:val="right"/>
              <w:rPr/>
            </w:pPr>
            <w:r>
              <w:rPr/>
              <w:t>5,193</w:t>
            </w:r>
          </w:p>
        </w:tc>
        <w:tc>
          <w:tcPr>
            <w:tcW w:w="65" w:type="dxa"/>
            <w:tcBorders/>
            <w:shd w:fill="CCEEFF" w:val="clear"/>
            <w:vAlign w:val="bottom"/>
          </w:tcPr>
          <w:p>
            <w:pPr>
              <w:pStyle w:val="TableContents"/>
              <w:bidi w:val="0"/>
              <w:spacing w:before="0" w:after="283"/>
              <w:jc w:val="left"/>
              <w:rPr/>
            </w:pPr>
            <w:r>
              <w:rPr/>
              <w:t> </w:t>
            </w:r>
          </w:p>
        </w:tc>
      </w:tr>
      <w:tr>
        <w:trPr/>
        <w:tc>
          <w:tcPr>
            <w:tcW w:w="3264" w:type="dxa"/>
            <w:tcBorders/>
          </w:tcPr>
          <w:p>
            <w:pPr>
              <w:pStyle w:val="TableContents"/>
              <w:bidi w:val="0"/>
              <w:spacing w:before="0" w:after="0"/>
              <w:jc w:val="left"/>
              <w:rPr>
                <w:rFonts w:ascii="Times New Roman" w:hAnsi="Times New Roman"/>
                <w:sz w:val="20"/>
              </w:rPr>
            </w:pPr>
            <w:r>
              <w:rPr>
                <w:rFonts w:ascii="Times New Roman" w:hAnsi="Times New Roman"/>
                <w:sz w:val="20"/>
              </w:rPr>
              <w:t>Asset Manager Affiliates</w:t>
            </w:r>
          </w:p>
        </w:tc>
        <w:tc>
          <w:tcPr>
            <w:tcW w:w="367"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138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67" w:type="dxa"/>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 </w:t>
            </w:r>
          </w:p>
        </w:tc>
        <w:tc>
          <w:tcPr>
            <w:tcW w:w="1711" w:type="dxa"/>
            <w:tcBorders/>
            <w:vAlign w:val="bottom"/>
          </w:tcPr>
          <w:p>
            <w:pPr>
              <w:pStyle w:val="TableContents"/>
              <w:bidi w:val="0"/>
              <w:spacing w:before="0" w:after="283"/>
              <w:jc w:val="right"/>
              <w:rPr/>
            </w:pPr>
            <w:r>
              <w:rPr/>
              <w:t> </w:t>
            </w:r>
          </w:p>
        </w:tc>
        <w:tc>
          <w:tcPr>
            <w:tcW w:w="65" w:type="dxa"/>
            <w:tcBorders/>
            <w:vAlign w:val="bottom"/>
          </w:tcPr>
          <w:p>
            <w:pPr>
              <w:pStyle w:val="TableContents"/>
              <w:bidi w:val="0"/>
              <w:spacing w:before="0" w:after="283"/>
              <w:jc w:val="left"/>
              <w:rPr/>
            </w:pPr>
            <w:r>
              <w:rPr/>
              <w:t> </w:t>
            </w:r>
          </w:p>
        </w:tc>
      </w:tr>
      <w:tr>
        <w:trPr/>
        <w:tc>
          <w:tcPr>
            <w:tcW w:w="326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Joint Ventures</w:t>
            </w:r>
          </w:p>
        </w:tc>
        <w:tc>
          <w:tcPr>
            <w:tcW w:w="367"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283"/>
              <w:jc w:val="left"/>
              <w:rPr/>
            </w:pPr>
            <w:r>
              <w:rPr/>
              <w:t> </w:t>
            </w:r>
          </w:p>
        </w:tc>
        <w:tc>
          <w:tcPr>
            <w:tcW w:w="1385" w:type="dxa"/>
            <w:tcBorders/>
            <w:shd w:fill="CCEEFF" w:val="clear"/>
            <w:vAlign w:val="bottom"/>
          </w:tcPr>
          <w:p>
            <w:pPr>
              <w:pStyle w:val="TableContents"/>
              <w:bidi w:val="0"/>
              <w:spacing w:before="0" w:after="283"/>
              <w:jc w:val="right"/>
              <w:rPr/>
            </w:pPr>
            <w:r>
              <w:rPr/>
              <w:t>50,491</w:t>
            </w:r>
          </w:p>
        </w:tc>
        <w:tc>
          <w:tcPr>
            <w:tcW w:w="60" w:type="dxa"/>
            <w:tcBorders/>
            <w:shd w:fill="CCEEFF" w:val="clear"/>
            <w:vAlign w:val="bottom"/>
          </w:tcPr>
          <w:p>
            <w:pPr>
              <w:pStyle w:val="TableContents"/>
              <w:bidi w:val="0"/>
              <w:spacing w:before="0" w:after="283"/>
              <w:jc w:val="left"/>
              <w:rPr/>
            </w:pPr>
            <w:r>
              <w:rPr/>
              <w:t> </w:t>
            </w:r>
          </w:p>
        </w:tc>
        <w:tc>
          <w:tcPr>
            <w:tcW w:w="367" w:type="dxa"/>
            <w:tcBorders/>
            <w:shd w:fill="CCEEFF" w:val="clear"/>
            <w:vAlign w:val="bottom"/>
          </w:tcPr>
          <w:p>
            <w:pPr>
              <w:pStyle w:val="TableContents"/>
              <w:bidi w:val="0"/>
              <w:spacing w:before="0" w:after="283"/>
              <w:jc w:val="left"/>
              <w:rPr/>
            </w:pPr>
            <w:r>
              <w:rPr/>
              <w:t>  </w:t>
            </w:r>
          </w:p>
        </w:tc>
        <w:tc>
          <w:tcPr>
            <w:tcW w:w="291" w:type="dxa"/>
            <w:tcBorders/>
            <w:shd w:fill="CCEEFF" w:val="clear"/>
            <w:vAlign w:val="bottom"/>
          </w:tcPr>
          <w:p>
            <w:pPr>
              <w:pStyle w:val="TableContents"/>
              <w:bidi w:val="0"/>
              <w:spacing w:before="0" w:after="283"/>
              <w:jc w:val="left"/>
              <w:rPr/>
            </w:pPr>
            <w:r>
              <w:rPr/>
              <w:t> </w:t>
            </w:r>
          </w:p>
        </w:tc>
        <w:tc>
          <w:tcPr>
            <w:tcW w:w="1711" w:type="dxa"/>
            <w:tcBorders/>
            <w:shd w:fill="CCEEFF" w:val="clear"/>
            <w:vAlign w:val="bottom"/>
          </w:tcPr>
          <w:p>
            <w:pPr>
              <w:pStyle w:val="TableContents"/>
              <w:bidi w:val="0"/>
              <w:spacing w:before="0" w:after="283"/>
              <w:jc w:val="right"/>
              <w:rPr/>
            </w:pPr>
            <w:r>
              <w:rPr/>
              <w:t>54,153</w:t>
            </w:r>
          </w:p>
        </w:tc>
        <w:tc>
          <w:tcPr>
            <w:tcW w:w="65" w:type="dxa"/>
            <w:tcBorders/>
            <w:shd w:fill="CCEEFF" w:val="clear"/>
            <w:vAlign w:val="bottom"/>
          </w:tcPr>
          <w:p>
            <w:pPr>
              <w:pStyle w:val="TableContents"/>
              <w:bidi w:val="0"/>
              <w:spacing w:before="0" w:after="283"/>
              <w:jc w:val="left"/>
              <w:rPr/>
            </w:pPr>
            <w:r>
              <w:rPr/>
              <w:t> </w:t>
            </w:r>
          </w:p>
        </w:tc>
      </w:tr>
      <w:tr>
        <w:trPr/>
        <w:tc>
          <w:tcPr>
            <w:tcW w:w="3264" w:type="dxa"/>
            <w:tcBorders/>
          </w:tcPr>
          <w:p>
            <w:pPr>
              <w:pStyle w:val="TableContents"/>
              <w:bidi w:val="0"/>
              <w:spacing w:before="0" w:after="0"/>
              <w:jc w:val="left"/>
              <w:rPr>
                <w:rFonts w:ascii="Times New Roman" w:hAnsi="Times New Roman"/>
                <w:sz w:val="20"/>
              </w:rPr>
            </w:pPr>
            <w:r>
              <w:rPr>
                <w:rFonts w:ascii="Times New Roman" w:hAnsi="Times New Roman"/>
                <w:sz w:val="20"/>
              </w:rPr>
              <w:t>Derivatives</w:t>
            </w:r>
          </w:p>
        </w:tc>
        <w:tc>
          <w:tcPr>
            <w:tcW w:w="367"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1385" w:type="dxa"/>
            <w:tcBorders/>
            <w:vAlign w:val="bottom"/>
          </w:tcPr>
          <w:p>
            <w:pPr>
              <w:pStyle w:val="TableContents"/>
              <w:bidi w:val="0"/>
              <w:spacing w:before="0" w:after="283"/>
              <w:jc w:val="right"/>
              <w:rPr/>
            </w:pPr>
            <w:r>
              <w:rPr/>
              <w:t>232</w:t>
            </w:r>
          </w:p>
        </w:tc>
        <w:tc>
          <w:tcPr>
            <w:tcW w:w="60" w:type="dxa"/>
            <w:tcBorders/>
            <w:vAlign w:val="bottom"/>
          </w:tcPr>
          <w:p>
            <w:pPr>
              <w:pStyle w:val="TableContents"/>
              <w:bidi w:val="0"/>
              <w:spacing w:before="0" w:after="283"/>
              <w:jc w:val="left"/>
              <w:rPr/>
            </w:pPr>
            <w:r>
              <w:rPr/>
              <w:t> </w:t>
            </w:r>
          </w:p>
        </w:tc>
        <w:tc>
          <w:tcPr>
            <w:tcW w:w="367" w:type="dxa"/>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 </w:t>
            </w:r>
          </w:p>
        </w:tc>
        <w:tc>
          <w:tcPr>
            <w:tcW w:w="1711" w:type="dxa"/>
            <w:tcBorders/>
            <w:vAlign w:val="bottom"/>
          </w:tcPr>
          <w:p>
            <w:pPr>
              <w:pStyle w:val="TableContents"/>
              <w:bidi w:val="0"/>
              <w:spacing w:before="0" w:after="283"/>
              <w:jc w:val="right"/>
              <w:rPr/>
            </w:pPr>
            <w:r>
              <w:rPr/>
              <w:t>220</w:t>
            </w:r>
          </w:p>
        </w:tc>
        <w:tc>
          <w:tcPr>
            <w:tcW w:w="65" w:type="dxa"/>
            <w:tcBorders/>
            <w:vAlign w:val="bottom"/>
          </w:tcPr>
          <w:p>
            <w:pPr>
              <w:pStyle w:val="TableContents"/>
              <w:bidi w:val="0"/>
              <w:spacing w:before="0" w:after="283"/>
              <w:jc w:val="left"/>
              <w:rPr/>
            </w:pPr>
            <w:r>
              <w:rPr/>
              <w:t> </w:t>
            </w:r>
          </w:p>
        </w:tc>
      </w:tr>
      <w:tr>
        <w:trPr/>
        <w:tc>
          <w:tcPr>
            <w:tcW w:w="3264" w:type="dxa"/>
            <w:tcBorders/>
            <w:vAlign w:val="bottom"/>
          </w:tcPr>
          <w:p>
            <w:pPr>
              <w:pStyle w:val="TableContents"/>
              <w:bidi w:val="0"/>
              <w:spacing w:before="0" w:after="283"/>
              <w:jc w:val="left"/>
              <w:rPr>
                <w:sz w:val="4"/>
                <w:szCs w:val="4"/>
              </w:rPr>
            </w:pPr>
            <w:r>
              <w:rPr>
                <w:sz w:val="4"/>
                <w:szCs w:val="4"/>
              </w:rPr>
            </w:r>
          </w:p>
        </w:tc>
        <w:tc>
          <w:tcPr>
            <w:tcW w:w="367" w:type="dxa"/>
            <w:tcBorders/>
            <w:vAlign w:val="bottom"/>
          </w:tcPr>
          <w:p>
            <w:pPr>
              <w:pStyle w:val="TableContents"/>
              <w:bidi w:val="0"/>
              <w:spacing w:before="0" w:after="283"/>
              <w:jc w:val="left"/>
              <w:rPr/>
            </w:pPr>
            <w:r>
              <w:rPr/>
              <w:t>  </w:t>
            </w:r>
          </w:p>
        </w:tc>
        <w:tc>
          <w:tcPr>
            <w:tcW w:w="245" w:type="dxa"/>
            <w:tcBorders/>
            <w:vAlign w:val="bottom"/>
          </w:tcPr>
          <w:p>
            <w:pPr>
              <w:pStyle w:val="TableContents"/>
              <w:pBdr>
                <w:top w:val="single" w:sz="2" w:space="1" w:color="000000"/>
              </w:pBdr>
              <w:bidi w:val="0"/>
              <w:spacing w:before="0" w:after="0"/>
              <w:jc w:val="left"/>
              <w:rPr/>
            </w:pPr>
            <w:r>
              <w:rPr/>
              <w:t> </w:t>
            </w:r>
          </w:p>
        </w:tc>
        <w:tc>
          <w:tcPr>
            <w:tcW w:w="138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67" w:type="dxa"/>
            <w:tcBorders/>
            <w:vAlign w:val="bottom"/>
          </w:tcPr>
          <w:p>
            <w:pPr>
              <w:pStyle w:val="TableContents"/>
              <w:bidi w:val="0"/>
              <w:spacing w:before="0" w:after="283"/>
              <w:jc w:val="left"/>
              <w:rPr/>
            </w:pPr>
            <w:r>
              <w:rPr/>
              <w:t>  </w:t>
            </w:r>
          </w:p>
        </w:tc>
        <w:tc>
          <w:tcPr>
            <w:tcW w:w="291" w:type="dxa"/>
            <w:tcBorders/>
            <w:vAlign w:val="bottom"/>
          </w:tcPr>
          <w:p>
            <w:pPr>
              <w:pStyle w:val="TableContents"/>
              <w:pBdr>
                <w:top w:val="single" w:sz="2" w:space="1" w:color="000000"/>
              </w:pBdr>
              <w:bidi w:val="0"/>
              <w:spacing w:before="0" w:after="0"/>
              <w:jc w:val="left"/>
              <w:rPr/>
            </w:pPr>
            <w:r>
              <w:rPr/>
              <w:t> </w:t>
            </w:r>
          </w:p>
        </w:tc>
        <w:tc>
          <w:tcPr>
            <w:tcW w:w="1711"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326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367"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283"/>
              <w:jc w:val="left"/>
              <w:rPr/>
            </w:pPr>
            <w:r>
              <w:rPr/>
              <w:t>$</w:t>
            </w:r>
          </w:p>
        </w:tc>
        <w:tc>
          <w:tcPr>
            <w:tcW w:w="1385" w:type="dxa"/>
            <w:tcBorders/>
            <w:shd w:fill="CCEEFF" w:val="clear"/>
            <w:vAlign w:val="bottom"/>
          </w:tcPr>
          <w:p>
            <w:pPr>
              <w:pStyle w:val="TableContents"/>
              <w:bidi w:val="0"/>
              <w:spacing w:before="0" w:after="283"/>
              <w:jc w:val="right"/>
              <w:rPr/>
            </w:pPr>
            <w:r>
              <w:rPr/>
              <w:t>429,934</w:t>
            </w:r>
          </w:p>
        </w:tc>
        <w:tc>
          <w:tcPr>
            <w:tcW w:w="60" w:type="dxa"/>
            <w:tcBorders/>
            <w:shd w:fill="CCEEFF" w:val="clear"/>
            <w:vAlign w:val="bottom"/>
          </w:tcPr>
          <w:p>
            <w:pPr>
              <w:pStyle w:val="TableContents"/>
              <w:bidi w:val="0"/>
              <w:spacing w:before="0" w:after="283"/>
              <w:jc w:val="left"/>
              <w:rPr/>
            </w:pPr>
            <w:r>
              <w:rPr/>
              <w:t> </w:t>
            </w:r>
          </w:p>
        </w:tc>
        <w:tc>
          <w:tcPr>
            <w:tcW w:w="367" w:type="dxa"/>
            <w:tcBorders/>
            <w:shd w:fill="CCEEFF" w:val="clear"/>
            <w:vAlign w:val="bottom"/>
          </w:tcPr>
          <w:p>
            <w:pPr>
              <w:pStyle w:val="TableContents"/>
              <w:bidi w:val="0"/>
              <w:spacing w:before="0" w:after="283"/>
              <w:jc w:val="left"/>
              <w:rPr/>
            </w:pPr>
            <w:r>
              <w:rPr/>
              <w:t>  </w:t>
            </w:r>
          </w:p>
        </w:tc>
        <w:tc>
          <w:tcPr>
            <w:tcW w:w="291" w:type="dxa"/>
            <w:tcBorders/>
            <w:shd w:fill="CCEEFF" w:val="clear"/>
            <w:vAlign w:val="bottom"/>
          </w:tcPr>
          <w:p>
            <w:pPr>
              <w:pStyle w:val="TableContents"/>
              <w:bidi w:val="0"/>
              <w:spacing w:before="0" w:after="283"/>
              <w:jc w:val="left"/>
              <w:rPr/>
            </w:pPr>
            <w:r>
              <w:rPr/>
              <w:t>$</w:t>
            </w:r>
          </w:p>
        </w:tc>
        <w:tc>
          <w:tcPr>
            <w:tcW w:w="1711" w:type="dxa"/>
            <w:tcBorders/>
            <w:shd w:fill="CCEEFF" w:val="clear"/>
            <w:vAlign w:val="bottom"/>
          </w:tcPr>
          <w:p>
            <w:pPr>
              <w:pStyle w:val="TableContents"/>
              <w:bidi w:val="0"/>
              <w:spacing w:before="0" w:after="283"/>
              <w:jc w:val="right"/>
              <w:rPr/>
            </w:pPr>
            <w:r>
              <w:rPr/>
              <w:t>444,974</w:t>
            </w:r>
          </w:p>
        </w:tc>
        <w:tc>
          <w:tcPr>
            <w:tcW w:w="65" w:type="dxa"/>
            <w:tcBorders/>
            <w:shd w:fill="CCEEFF" w:val="clear"/>
            <w:vAlign w:val="bottom"/>
          </w:tcPr>
          <w:p>
            <w:pPr>
              <w:pStyle w:val="TableContents"/>
              <w:bidi w:val="0"/>
              <w:spacing w:before="0" w:after="283"/>
              <w:jc w:val="left"/>
              <w:rPr/>
            </w:pPr>
            <w:r>
              <w:rPr/>
              <w:t> </w:t>
            </w:r>
          </w:p>
        </w:tc>
      </w:tr>
      <w:tr>
        <w:trPr/>
        <w:tc>
          <w:tcPr>
            <w:tcW w:w="3264" w:type="dxa"/>
            <w:tcBorders/>
            <w:vAlign w:val="bottom"/>
          </w:tcPr>
          <w:p>
            <w:pPr>
              <w:pStyle w:val="TableContents"/>
              <w:bidi w:val="0"/>
              <w:spacing w:before="0" w:after="283"/>
              <w:jc w:val="left"/>
              <w:rPr>
                <w:sz w:val="4"/>
                <w:szCs w:val="4"/>
              </w:rPr>
            </w:pPr>
            <w:r>
              <w:rPr>
                <w:sz w:val="4"/>
                <w:szCs w:val="4"/>
              </w:rPr>
            </w:r>
          </w:p>
        </w:tc>
        <w:tc>
          <w:tcPr>
            <w:tcW w:w="367" w:type="dxa"/>
            <w:tcBorders/>
            <w:vAlign w:val="bottom"/>
          </w:tcPr>
          <w:p>
            <w:pPr>
              <w:pStyle w:val="TableContents"/>
              <w:bidi w:val="0"/>
              <w:spacing w:before="0" w:after="283"/>
              <w:jc w:val="left"/>
              <w:rPr/>
            </w:pPr>
            <w:r>
              <w:rPr/>
              <w:t>  </w:t>
            </w:r>
          </w:p>
        </w:tc>
        <w:tc>
          <w:tcPr>
            <w:tcW w:w="245" w:type="dxa"/>
            <w:tcBorders/>
            <w:vAlign w:val="bottom"/>
          </w:tcPr>
          <w:p>
            <w:pPr>
              <w:pStyle w:val="TableContents"/>
              <w:pBdr>
                <w:top w:val="double" w:sz="6" w:space="1" w:color="000000"/>
              </w:pBdr>
              <w:bidi w:val="0"/>
              <w:spacing w:before="0" w:after="0"/>
              <w:jc w:val="left"/>
              <w:rPr/>
            </w:pPr>
            <w:r>
              <w:rPr/>
              <w:t> </w:t>
            </w:r>
          </w:p>
        </w:tc>
        <w:tc>
          <w:tcPr>
            <w:tcW w:w="1385"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67" w:type="dxa"/>
            <w:tcBorders/>
            <w:vAlign w:val="bottom"/>
          </w:tcPr>
          <w:p>
            <w:pPr>
              <w:pStyle w:val="TableContents"/>
              <w:bidi w:val="0"/>
              <w:spacing w:before="0" w:after="283"/>
              <w:jc w:val="left"/>
              <w:rPr/>
            </w:pPr>
            <w:r>
              <w:rPr/>
              <w:t>  </w:t>
            </w:r>
          </w:p>
        </w:tc>
        <w:tc>
          <w:tcPr>
            <w:tcW w:w="291" w:type="dxa"/>
            <w:tcBorders/>
            <w:vAlign w:val="bottom"/>
          </w:tcPr>
          <w:p>
            <w:pPr>
              <w:pStyle w:val="TableContents"/>
              <w:pBdr>
                <w:top w:val="double" w:sz="6" w:space="1" w:color="000000"/>
              </w:pBdr>
              <w:bidi w:val="0"/>
              <w:spacing w:before="0" w:after="0"/>
              <w:jc w:val="left"/>
              <w:rPr/>
            </w:pPr>
            <w:r>
              <w:rPr/>
              <w:t> </w:t>
            </w:r>
          </w:p>
        </w:tc>
        <w:tc>
          <w:tcPr>
            <w:tcW w:w="1711" w:type="dxa"/>
            <w:tcBorders/>
            <w:vAlign w:val="bottom"/>
          </w:tcPr>
          <w:p>
            <w:pPr>
              <w:pStyle w:val="TableContents"/>
              <w:pBdr>
                <w:top w:val="double" w:sz="6"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As of March 31, 2025, the Company had unrestricted cash of $9.2 million and restricted cash of $14.3 million. This compares to unrestricted cash of $17.5 million and restricted cash of $22.4 million as of December 31, 2024. As of March 31, 2025, the Company had $52.6 million of available borrowing capacity under the JPM Credit Facility. </w:t>
      </w:r>
    </w:p>
    <w:p>
      <w:pPr>
        <w:pStyle w:val="TextBody"/>
        <w:bidi w:val="0"/>
        <w:spacing w:before="360" w:after="0"/>
        <w:jc w:val="left"/>
        <w:rPr>
          <w:rFonts w:ascii="Times New Roman" w:hAnsi="Times New Roman"/>
          <w:b/>
          <w:sz w:val="20"/>
        </w:rPr>
      </w:pPr>
      <w:r>
        <w:rPr>
          <w:rFonts w:ascii="Times New Roman" w:hAnsi="Times New Roman"/>
          <w:b/>
          <w:sz w:val="20"/>
        </w:rPr>
        <w:t xml:space="preserve">Interest Rate Risk </w:t>
      </w:r>
    </w:p>
    <w:p>
      <w:pPr>
        <w:pStyle w:val="TextBody"/>
        <w:bidi w:val="0"/>
        <w:spacing w:before="120" w:after="0"/>
        <w:jc w:val="left"/>
        <w:rPr>
          <w:rFonts w:ascii="Times New Roman" w:hAnsi="Times New Roman"/>
          <w:sz w:val="20"/>
        </w:rPr>
      </w:pPr>
      <w:r>
        <w:rPr>
          <w:rFonts w:ascii="Times New Roman" w:hAnsi="Times New Roman"/>
          <w:sz w:val="20"/>
        </w:rPr>
        <w:t xml:space="preserve">The Companys investment income is affected by fluctuations in various interest rates, including SOFR and prime rates. </w:t>
      </w:r>
    </w:p>
    <w:p>
      <w:pPr>
        <w:pStyle w:val="TextBody"/>
        <w:bidi w:val="0"/>
        <w:spacing w:before="240" w:after="0"/>
        <w:jc w:val="left"/>
        <w:rPr>
          <w:rFonts w:ascii="Times New Roman" w:hAnsi="Times New Roman"/>
          <w:sz w:val="20"/>
        </w:rPr>
      </w:pPr>
      <w:r>
        <w:rPr>
          <w:rFonts w:ascii="Times New Roman" w:hAnsi="Times New Roman"/>
          <w:sz w:val="20"/>
        </w:rPr>
        <w:t xml:space="preserve">As of March 31, 2025, approximately 88.5% of our Debt Securities Portfolio at par value were either floating rate with a spread to an interest rate index such as SOFR or the PRIME rate. 84.2% of these floating rate loans contain floors ranging between 0.50% and 5.25%. We generally expect that future portfolio investments will predominately be floating rate investments. </w:t>
      </w:r>
    </w:p>
    <w:p>
      <w:pPr>
        <w:pStyle w:val="TextBody"/>
        <w:bidi w:val="0"/>
        <w:spacing w:before="240" w:after="0"/>
        <w:jc w:val="left"/>
        <w:rPr>
          <w:rFonts w:ascii="Times New Roman" w:hAnsi="Times New Roman"/>
          <w:sz w:val="20"/>
        </w:rPr>
      </w:pPr>
      <w:r>
        <w:rPr>
          <w:rFonts w:ascii="Times New Roman" w:hAnsi="Times New Roman"/>
          <w:sz w:val="20"/>
        </w:rPr>
        <w:t xml:space="preserve">In periods of rising or lowering interest rates, the cost of the portion of debt associated with the 4.875% Notes Due 2026 would remain the same, given that this debt is at a fixed rate, while the interest rate on borrowings under the JPM Credit Facility would fluctuate with changes in interest rates. </w:t>
      </w:r>
    </w:p>
    <w:p>
      <w:pPr>
        <w:pStyle w:val="TextBody"/>
        <w:bidi w:val="0"/>
        <w:spacing w:before="240" w:after="0"/>
        <w:jc w:val="left"/>
        <w:rPr>
          <w:rFonts w:ascii="Times New Roman" w:hAnsi="Times New Roman"/>
          <w:sz w:val="20"/>
        </w:rPr>
      </w:pPr>
      <w:r>
        <w:rPr>
          <w:rFonts w:ascii="Times New Roman" w:hAnsi="Times New Roman"/>
          <w:sz w:val="20"/>
        </w:rPr>
        <w:t xml:space="preserve">Generally, the Company would expect that an increase in the base rate index for floating rate investment assets would increase gross investment income and a decrease in the base rate index for such assets would decrease gross investment income (in either case, such increase/decrease may be limited by interest rate floors/minimums for certain investment assets).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4169"/>
        <w:gridCol w:w="212"/>
        <w:gridCol w:w="190"/>
        <w:gridCol w:w="870"/>
        <w:gridCol w:w="213"/>
        <w:gridCol w:w="210"/>
        <w:gridCol w:w="190"/>
        <w:gridCol w:w="870"/>
        <w:gridCol w:w="213"/>
        <w:gridCol w:w="210"/>
        <w:gridCol w:w="190"/>
        <w:gridCol w:w="876"/>
        <w:gridCol w:w="159"/>
      </w:tblGrid>
      <w:tr>
        <w:trPr/>
        <w:tc>
          <w:tcPr>
            <w:tcW w:w="4169" w:type="dxa"/>
            <w:tcBorders/>
            <w:vAlign w:val="center"/>
          </w:tcPr>
          <w:p>
            <w:pPr>
              <w:pStyle w:val="TableContents"/>
              <w:bidi w:val="0"/>
              <w:spacing w:before="0" w:after="283"/>
              <w:jc w:val="left"/>
              <w:rPr>
                <w:sz w:val="4"/>
                <w:szCs w:val="4"/>
              </w:rPr>
            </w:pPr>
            <w:r>
              <w:rPr>
                <w:sz w:val="4"/>
                <w:szCs w:val="4"/>
              </w:rPr>
            </w:r>
          </w:p>
        </w:tc>
        <w:tc>
          <w:tcPr>
            <w:tcW w:w="212" w:type="dxa"/>
            <w:tcBorders/>
            <w:vAlign w:val="bottom"/>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0" w:type="dxa"/>
            <w:tcBorders/>
            <w:vAlign w:val="bottom"/>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0" w:type="dxa"/>
            <w:tcBorders/>
            <w:vAlign w:val="bottom"/>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169"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4032" w:type="dxa"/>
            <w:gridSpan w:val="10"/>
            <w:tcBorders>
              <w:bottom w:val="single" w:sz="8" w:space="0" w:color="000000"/>
            </w:tcBorders>
            <w:tcMar>
              <w:bottom w:w="28" w:type="dxa"/>
            </w:tcMar>
            <w:vAlign w:val="bottom"/>
          </w:tcPr>
          <w:p>
            <w:pPr>
              <w:pStyle w:val="TableContents"/>
              <w:bidi w:val="0"/>
              <w:spacing w:before="0" w:after="283"/>
              <w:jc w:val="center"/>
              <w:rPr/>
            </w:pPr>
            <w:r>
              <w:rPr>
                <w:b/>
              </w:rPr>
              <w:t>Impact on net investment income from</w:t>
            </w:r>
            <w:r>
              <w:rPr/>
              <w:br/>
            </w:r>
            <w:r>
              <w:rPr>
                <w:b/>
              </w:rPr>
              <w:t>a change in interest rates at:</w:t>
            </w:r>
          </w:p>
        </w:tc>
        <w:tc>
          <w:tcPr>
            <w:tcW w:w="159" w:type="dxa"/>
            <w:tcBorders/>
            <w:vAlign w:val="bottom"/>
          </w:tcPr>
          <w:p>
            <w:pPr>
              <w:pStyle w:val="TableContents"/>
              <w:bidi w:val="0"/>
              <w:spacing w:before="0" w:after="283"/>
              <w:jc w:val="left"/>
              <w:rPr/>
            </w:pPr>
            <w:r>
              <w:rPr/>
              <w:t> </w:t>
            </w:r>
          </w:p>
        </w:tc>
      </w:tr>
      <w:tr>
        <w:trPr/>
        <w:tc>
          <w:tcPr>
            <w:tcW w:w="4169" w:type="dxa"/>
            <w:tcBorders/>
            <w:vAlign w:val="bottom"/>
          </w:tcPr>
          <w:p>
            <w:pPr>
              <w:pStyle w:val="TableContents"/>
              <w:bidi w:val="0"/>
              <w:spacing w:before="0" w:after="283"/>
              <w:jc w:val="left"/>
              <w:rPr>
                <w:b/>
              </w:rPr>
            </w:pPr>
            <w:r>
              <w:rPr>
                <w:b/>
              </w:rPr>
              <w:t>($ in thousands)</w:t>
            </w:r>
          </w:p>
        </w:tc>
        <w:tc>
          <w:tcPr>
            <w:tcW w:w="212" w:type="dxa"/>
            <w:tcBorders/>
            <w:vAlign w:val="bottom"/>
          </w:tcPr>
          <w:p>
            <w:pPr>
              <w:pStyle w:val="TableContents"/>
              <w:bidi w:val="0"/>
              <w:spacing w:before="0" w:after="283"/>
              <w:jc w:val="left"/>
              <w:rPr/>
            </w:pPr>
            <w:r>
              <w:rPr/>
              <w:t>  </w:t>
            </w:r>
          </w:p>
        </w:tc>
        <w:tc>
          <w:tcPr>
            <w:tcW w:w="10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1%</w:t>
            </w:r>
          </w:p>
        </w:tc>
        <w:tc>
          <w:tcPr>
            <w:tcW w:w="213"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0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w:t>
            </w:r>
          </w:p>
        </w:tc>
        <w:tc>
          <w:tcPr>
            <w:tcW w:w="213"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06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3%</w:t>
            </w:r>
          </w:p>
        </w:tc>
        <w:tc>
          <w:tcPr>
            <w:tcW w:w="159" w:type="dxa"/>
            <w:tcBorders/>
            <w:vAlign w:val="bottom"/>
          </w:tcPr>
          <w:p>
            <w:pPr>
              <w:pStyle w:val="TableContents"/>
              <w:bidi w:val="0"/>
              <w:spacing w:before="0" w:after="283"/>
              <w:jc w:val="left"/>
              <w:rPr/>
            </w:pPr>
            <w:r>
              <w:rPr/>
              <w:t> </w:t>
            </w:r>
          </w:p>
        </w:tc>
      </w:tr>
      <w:tr>
        <w:trPr/>
        <w:tc>
          <w:tcPr>
            <w:tcW w:w="416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Increase in interest rate</w:t>
            </w:r>
          </w:p>
        </w:tc>
        <w:tc>
          <w:tcPr>
            <w:tcW w:w="212"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w:t>
            </w:r>
          </w:p>
        </w:tc>
        <w:tc>
          <w:tcPr>
            <w:tcW w:w="870" w:type="dxa"/>
            <w:tcBorders/>
            <w:shd w:fill="CCEEFF" w:val="clear"/>
            <w:vAlign w:val="bottom"/>
          </w:tcPr>
          <w:p>
            <w:pPr>
              <w:pStyle w:val="TableContents"/>
              <w:bidi w:val="0"/>
              <w:spacing w:before="0" w:after="283"/>
              <w:jc w:val="right"/>
              <w:rPr/>
            </w:pPr>
            <w:r>
              <w:rPr/>
              <w:t>1,619</w:t>
            </w:r>
          </w:p>
        </w:tc>
        <w:tc>
          <w:tcPr>
            <w:tcW w:w="213"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w:t>
            </w:r>
          </w:p>
        </w:tc>
        <w:tc>
          <w:tcPr>
            <w:tcW w:w="870" w:type="dxa"/>
            <w:tcBorders/>
            <w:shd w:fill="CCEEFF" w:val="clear"/>
            <w:vAlign w:val="bottom"/>
          </w:tcPr>
          <w:p>
            <w:pPr>
              <w:pStyle w:val="TableContents"/>
              <w:bidi w:val="0"/>
              <w:spacing w:before="0" w:after="283"/>
              <w:jc w:val="right"/>
              <w:rPr/>
            </w:pPr>
            <w:r>
              <w:rPr/>
              <w:t>3,289</w:t>
            </w:r>
          </w:p>
        </w:tc>
        <w:tc>
          <w:tcPr>
            <w:tcW w:w="213"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w:t>
            </w:r>
          </w:p>
        </w:tc>
        <w:tc>
          <w:tcPr>
            <w:tcW w:w="876" w:type="dxa"/>
            <w:tcBorders/>
            <w:shd w:fill="CCEEFF" w:val="clear"/>
            <w:vAlign w:val="bottom"/>
          </w:tcPr>
          <w:p>
            <w:pPr>
              <w:pStyle w:val="TableContents"/>
              <w:bidi w:val="0"/>
              <w:spacing w:before="0" w:after="283"/>
              <w:jc w:val="right"/>
              <w:rPr/>
            </w:pPr>
            <w:r>
              <w:rPr/>
              <w:t>4,959</w:t>
            </w:r>
          </w:p>
        </w:tc>
        <w:tc>
          <w:tcPr>
            <w:tcW w:w="159" w:type="dxa"/>
            <w:tcBorders/>
            <w:shd w:fill="CCEEFF" w:val="clear"/>
            <w:vAlign w:val="bottom"/>
          </w:tcPr>
          <w:p>
            <w:pPr>
              <w:pStyle w:val="TableContents"/>
              <w:bidi w:val="0"/>
              <w:spacing w:before="0" w:after="283"/>
              <w:jc w:val="left"/>
              <w:rPr/>
            </w:pPr>
            <w:r>
              <w:rPr/>
              <w:t> </w:t>
            </w:r>
          </w:p>
        </w:tc>
      </w:tr>
      <w:tr>
        <w:trPr/>
        <w:tc>
          <w:tcPr>
            <w:tcW w:w="4169" w:type="dxa"/>
            <w:tcBorders/>
          </w:tcPr>
          <w:p>
            <w:pPr>
              <w:pStyle w:val="TableContents"/>
              <w:bidi w:val="0"/>
              <w:spacing w:before="0" w:after="0"/>
              <w:jc w:val="left"/>
              <w:rPr>
                <w:rFonts w:ascii="Times New Roman" w:hAnsi="Times New Roman"/>
                <w:sz w:val="20"/>
              </w:rPr>
            </w:pPr>
            <w:r>
              <w:rPr>
                <w:rFonts w:ascii="Times New Roman" w:hAnsi="Times New Roman"/>
                <w:sz w:val="20"/>
              </w:rPr>
              <w:t>Decrease in interest rate</w:t>
            </w:r>
          </w:p>
        </w:tc>
        <w:tc>
          <w:tcPr>
            <w:tcW w:w="212"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w:t>
            </w:r>
          </w:p>
        </w:tc>
        <w:tc>
          <w:tcPr>
            <w:tcW w:w="870" w:type="dxa"/>
            <w:tcBorders/>
            <w:vAlign w:val="bottom"/>
          </w:tcPr>
          <w:p>
            <w:pPr>
              <w:pStyle w:val="TableContents"/>
              <w:bidi w:val="0"/>
              <w:spacing w:before="0" w:after="283"/>
              <w:jc w:val="right"/>
              <w:rPr/>
            </w:pPr>
            <w:r>
              <w:rPr/>
              <w:t>(1,613</w:t>
            </w:r>
          </w:p>
        </w:tc>
        <w:tc>
          <w:tcPr>
            <w:tcW w:w="213"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w:t>
            </w:r>
          </w:p>
        </w:tc>
        <w:tc>
          <w:tcPr>
            <w:tcW w:w="870" w:type="dxa"/>
            <w:tcBorders/>
            <w:vAlign w:val="bottom"/>
          </w:tcPr>
          <w:p>
            <w:pPr>
              <w:pStyle w:val="TableContents"/>
              <w:bidi w:val="0"/>
              <w:spacing w:before="0" w:after="283"/>
              <w:jc w:val="right"/>
              <w:rPr/>
            </w:pPr>
            <w:r>
              <w:rPr/>
              <w:t>(3,222</w:t>
            </w:r>
          </w:p>
        </w:tc>
        <w:tc>
          <w:tcPr>
            <w:tcW w:w="213"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w:t>
            </w:r>
          </w:p>
        </w:tc>
        <w:tc>
          <w:tcPr>
            <w:tcW w:w="876" w:type="dxa"/>
            <w:tcBorders/>
            <w:vAlign w:val="bottom"/>
          </w:tcPr>
          <w:p>
            <w:pPr>
              <w:pStyle w:val="TableContents"/>
              <w:bidi w:val="0"/>
              <w:spacing w:before="0" w:after="283"/>
              <w:jc w:val="right"/>
              <w:rPr/>
            </w:pPr>
            <w:r>
              <w:rPr/>
              <w:t>(4,655</w:t>
            </w:r>
          </w:p>
        </w:tc>
        <w:tc>
          <w:tcPr>
            <w:tcW w:w="159" w:type="dxa"/>
            <w:tcBorders/>
            <w:vAlign w:val="bottom"/>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Conference Call and Webcast </w:t>
      </w:r>
    </w:p>
    <w:p>
      <w:pPr>
        <w:pStyle w:val="TextBody"/>
        <w:bidi w:val="0"/>
        <w:spacing w:before="120" w:after="0"/>
        <w:jc w:val="left"/>
        <w:rPr>
          <w:rFonts w:ascii="Times New Roman" w:hAnsi="Times New Roman"/>
          <w:sz w:val="20"/>
        </w:rPr>
      </w:pPr>
      <w:r>
        <w:rPr>
          <w:rFonts w:ascii="Times New Roman" w:hAnsi="Times New Roman"/>
          <w:sz w:val="20"/>
        </w:rPr>
        <w:t xml:space="preserve">We will hold a conference call on Friday, May 9, 2025, at 10:00 am Eastern Time to discuss our first quarter 2025 financial results. To access the call, stockholders, prospective stockholders and analysts should dial (646) 307-1963 approximately 10 minutes prior to the start of the conference call and use the conference ID 9782758.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 replay of this conference call will be available shortly after the live call through May 16, 2025. </w:t>
      </w:r>
    </w:p>
    <w:p>
      <w:pPr>
        <w:pStyle w:val="TextBody"/>
        <w:bidi w:val="0"/>
        <w:spacing w:before="240" w:after="0"/>
        <w:jc w:val="left"/>
        <w:rPr>
          <w:rFonts w:ascii="Times New Roman" w:hAnsi="Times New Roman"/>
          <w:sz w:val="20"/>
        </w:rPr>
      </w:pPr>
      <w:r>
        <w:rPr>
          <w:rFonts w:ascii="Times New Roman" w:hAnsi="Times New Roman"/>
          <w:sz w:val="20"/>
        </w:rPr>
        <w:t xml:space="preserve">A live audio webcast of the conference call can be accessed via the Internet, on a listen-only basis on the Companys website </w:t>
      </w:r>
      <w:r>
        <w:rPr>
          <w:rFonts w:ascii="Times New Roman" w:hAnsi="Times New Roman"/>
          <w:sz w:val="20"/>
          <w:u w:val="single"/>
        </w:rPr>
        <w:t>www.portmanridge.com</w:t>
      </w:r>
      <w:r>
        <w:rPr>
          <w:rFonts w:ascii="Times New Roman" w:hAnsi="Times New Roman"/>
          <w:sz w:val="20"/>
        </w:rPr>
        <w:t xml:space="preserve"> in the Investor Relations section under Events and Presentations. The webcast can also be accessed by clicking the following link: </w:t>
      </w:r>
      <w:r>
        <w:rPr>
          <w:rFonts w:ascii="Times New Roman" w:hAnsi="Times New Roman"/>
          <w:sz w:val="20"/>
          <w:u w:val="single"/>
        </w:rPr>
        <w:t>https://edge.media-server.com/mmc/p/ovseyk3q</w:t>
      </w:r>
      <w:r>
        <w:rPr>
          <w:rFonts w:ascii="Times New Roman" w:hAnsi="Times New Roman"/>
          <w:sz w:val="20"/>
        </w:rPr>
        <w:t xml:space="preserve">. The online archive of the webcast will be available on the Companys website shortly after the call. </w:t>
      </w:r>
    </w:p>
    <w:p>
      <w:pPr>
        <w:pStyle w:val="TextBody"/>
        <w:bidi w:val="0"/>
        <w:spacing w:before="360" w:after="0"/>
        <w:jc w:val="left"/>
        <w:rPr>
          <w:rFonts w:ascii="Times New Roman" w:hAnsi="Times New Roman"/>
          <w:b/>
          <w:sz w:val="20"/>
        </w:rPr>
      </w:pPr>
      <w:r>
        <w:rPr>
          <w:rFonts w:ascii="Times New Roman" w:hAnsi="Times New Roman"/>
          <w:b/>
          <w:sz w:val="20"/>
        </w:rPr>
        <w:t xml:space="preserve">About Portman Ridge Finance Corporation </w:t>
      </w:r>
    </w:p>
    <w:p>
      <w:pPr>
        <w:pStyle w:val="TextBody"/>
        <w:bidi w:val="0"/>
        <w:spacing w:before="120" w:after="0"/>
        <w:jc w:val="left"/>
        <w:rPr>
          <w:rFonts w:ascii="Times New Roman" w:hAnsi="Times New Roman"/>
          <w:sz w:val="20"/>
        </w:rPr>
      </w:pPr>
      <w:r>
        <w:rPr>
          <w:rFonts w:ascii="Times New Roman" w:hAnsi="Times New Roman"/>
          <w:sz w:val="20"/>
        </w:rPr>
        <w:t xml:space="preserve">Portman Ridge Finance Corporation (Nasdaq: PTMN) is a publicly traded, externally managed investment company that has elected to be regulated as a business development company under the Investment Company Act of 1940. Portman Ridges middle market investment business originates, structures, finances and manages a portfolio of term loans, mezzanine investments and selected equity securities in middle market companies. Portman Ridges investment activities are managed by its investment adviser, Sierra Crest Investment Management LLC, an affiliate of BC Partners Advisors L.P. </w:t>
      </w:r>
    </w:p>
    <w:p>
      <w:pPr>
        <w:pStyle w:val="TextBody"/>
        <w:bidi w:val="0"/>
        <w:spacing w:before="240" w:after="0"/>
        <w:jc w:val="left"/>
        <w:rPr>
          <w:rFonts w:ascii="Times New Roman" w:hAnsi="Times New Roman"/>
          <w:sz w:val="20"/>
        </w:rPr>
      </w:pPr>
      <w:r>
        <w:rPr>
          <w:rFonts w:ascii="Times New Roman" w:hAnsi="Times New Roman"/>
          <w:sz w:val="20"/>
        </w:rPr>
        <w:t>Portman Ridges filings with the Securities and Exchange Commission (the SEC), earnings releases, press releases and other financial, operational and governance information are available on the Companys website at</w:t>
      </w:r>
      <w:r>
        <w:rPr>
          <w:rFonts w:ascii="Times New Roman" w:hAnsi="Times New Roman"/>
          <w:sz w:val="20"/>
          <w:u w:val="single"/>
        </w:rPr>
        <w:t xml:space="preserve"> www.portmanridge.com</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About BC Partners Advisors L.P. and BC Partners Credit </w:t>
      </w:r>
    </w:p>
    <w:p>
      <w:pPr>
        <w:pStyle w:val="TextBody"/>
        <w:bidi w:val="0"/>
        <w:spacing w:before="120" w:after="0"/>
        <w:jc w:val="left"/>
        <w:rPr>
          <w:rFonts w:ascii="Times New Roman" w:hAnsi="Times New Roman"/>
          <w:sz w:val="20"/>
        </w:rPr>
      </w:pPr>
      <w:r>
        <w:rPr>
          <w:rFonts w:ascii="Times New Roman" w:hAnsi="Times New Roman"/>
          <w:sz w:val="20"/>
        </w:rPr>
        <w:t xml:space="preserve">BC Partners is a leading international investment firm in private equity, private credit and real estate strategies. Established in 1986, BC Partners has played an active role in developing the European buyout market for three decades. </w:t>
      </w:r>
    </w:p>
    <w:p>
      <w:pPr>
        <w:pStyle w:val="TextBody"/>
        <w:bidi w:val="0"/>
        <w:spacing w:before="240" w:after="0"/>
        <w:jc w:val="left"/>
        <w:rPr>
          <w:rFonts w:ascii="Times New Roman" w:hAnsi="Times New Roman"/>
          <w:sz w:val="20"/>
        </w:rPr>
      </w:pPr>
      <w:r>
        <w:rPr>
          <w:rFonts w:ascii="Times New Roman" w:hAnsi="Times New Roman"/>
          <w:sz w:val="20"/>
        </w:rPr>
        <w:t xml:space="preserve">Today, BC Partners executives operate across markets as an integrated team through the firms offices in North America and Europe. For more information, please visit </w:t>
      </w:r>
      <w:r>
        <w:rPr>
          <w:rFonts w:ascii="Times New Roman" w:hAnsi="Times New Roman"/>
          <w:sz w:val="20"/>
          <w:u w:val="single"/>
        </w:rPr>
        <w:t>https://www.bcpartners.com/</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BC Partners Credit was launched in February 2017 and has pursued a strategy focused on identifying attractive credit opportunities in any market environment and across sectors, leveraging the deal sourcing and infrastructure made available from BC Partners. </w:t>
      </w:r>
    </w:p>
    <w:p>
      <w:pPr>
        <w:pStyle w:val="TextBody"/>
        <w:bidi w:val="0"/>
        <w:spacing w:before="360" w:after="0"/>
        <w:jc w:val="left"/>
        <w:rPr>
          <w:rFonts w:ascii="Times New Roman" w:hAnsi="Times New Roman"/>
          <w:b/>
          <w:sz w:val="20"/>
        </w:rPr>
      </w:pPr>
      <w:r>
        <w:rPr>
          <w:rFonts w:ascii="Times New Roman" w:hAnsi="Times New Roman"/>
          <w:b/>
          <w:sz w:val="20"/>
        </w:rPr>
        <w:t xml:space="preserve">Cautionary Statement Regarding Forward-Looking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This press release contains forward-looking statements. The matters discussed in this press release, as well as in future oral and written statements by management of Portman Ridge Finance Corporation, that are forward-looking statements are based on current management expectations that involve substantial risks and uncertainties which could cause actual results to differ materially from the results expressed in, or implied by, these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Forward-looking statements relate to future events or our future financial performance and include, but are not limited to, projected financial performance, expected development of the business, plans and expectations about future investments and the future liquidity of the Company. We generally identify forward-looking statements by terminology such as may, will, should, expects, plans, anticipates, could, intends, target, projects, outlook, contemplates, believes, estimates, predicts, potential or continue or the negative of these terms or other similar words. Forward-looking statements are based upon current plans, estimates and expectations that are subject to risks, uncertainties, and assumptions. Should one or more of these risks or uncertainties materialize, or should underlying assumptions prove to be incorrect, actual results may vary materially from those indicated or anticipated by such forward-looking statements.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Important assumptions include our ability to originate new investments, and achieve certain margins and levels of profitability, the availability of additional capital, and the ability to maintain certain debt to asset ratios. In light of these and other uncertainties, the inclusion of a projection or forward-looking statement in this press release should not be regarded as a representation that such plans, estimates, expectations or objectives will be achieved. Important factors that could cause actual results to differ materially from such plans, estimates or expectations include, among others, (1) uncertainty of the expected financial performance of the Company; (2) expected synergies and savings associated with merger transactions effectuated by the Company; (3) the ability of the Company and/or its adviser to implement its business strategy; (4) evolving legal, regulatory and tax regimes; (5) changes in general economic and/or industry specific conditions, including but not limited to the impact of inflation; (6) the impact of increased competition; (7) business prospects and the prospects of the Companys portfolio companies; (8) contractual arrangements with third parties; (9) any future financings by the Company; (10) the ability of Sierra Crest Investment Management LLC to attract and retain highly talented professionals; (11) the Companys ability to fund any unfunded commitments; (12) any future distributions by the Company; (13) changes in regional or national economic conditions and their impact on the industries in which we invest; (14) other changes in the conditions of the industries in which we invest and other factors enumerated in our filings with the SEC; (15) the successful completion of the proposed merger with Logan Ridge Finance Corporation (LRFC) and receipt of stockholder approval from the Companys and LRFCs stockholders; and (16) expectations concerning the proposed merger with LRFC, including the financial results of the combined company. The forward-looking statements should be read in conjunction with the risks and uncertainties discussed in the Companys filings with the SEC, including the Companys most recent Form 10-K and other SEC filings. We do not undertake to publicly update or revise any forward-looking statements, whether as a result of new information, future events or otherwise, except as required to be reported under the rules and regulations of the SEC. Although the Company and LRFC undertake no obligation to revise or update any forward-looking statements, whether as a result of new information, future events or otherwise, you are advised to consult any additional disclosures that they may make directly to you or through reports that the Company and LRFC in the future may file with the SEC, including the Registration Statement and Joint Proxy Statement (in each case, as defined below), annual reports on Form 10-K, quarterly reports on Form 10-Q and current reports on Form 8-K. </w:t>
      </w:r>
    </w:p>
    <w:p>
      <w:pPr>
        <w:pStyle w:val="TextBody"/>
        <w:bidi w:val="0"/>
        <w:spacing w:before="360" w:after="0"/>
        <w:jc w:val="left"/>
        <w:rPr>
          <w:rFonts w:ascii="Times New Roman" w:hAnsi="Times New Roman"/>
          <w:b/>
          <w:sz w:val="20"/>
        </w:rPr>
      </w:pPr>
      <w:r>
        <w:rPr>
          <w:rFonts w:ascii="Times New Roman" w:hAnsi="Times New Roman"/>
          <w:b/>
          <w:sz w:val="20"/>
        </w:rPr>
        <w:t xml:space="preserve">Additional Information and Where to Find It </w:t>
      </w:r>
    </w:p>
    <w:p>
      <w:pPr>
        <w:pStyle w:val="TextBody"/>
        <w:bidi w:val="0"/>
        <w:spacing w:before="120" w:after="0"/>
        <w:jc w:val="left"/>
        <w:rPr>
          <w:rFonts w:ascii="Times New Roman" w:hAnsi="Times New Roman"/>
          <w:sz w:val="20"/>
        </w:rPr>
      </w:pPr>
      <w:r>
        <w:rPr>
          <w:rFonts w:ascii="Times New Roman" w:hAnsi="Times New Roman"/>
          <w:sz w:val="20"/>
        </w:rPr>
        <w:t xml:space="preserve">This document relates to the proposed merger of the Company and LRFC and certain related matters (the Proposals). In connection with the Proposals, the Company has filed a registration statement (Registration No. 333-285230) with the SEC (the Registration Statement) that contains a combined joint proxy statement for the Company and LRFC and a prospectus of the Company (the Joint Proxy Statement) and will mail the Joint Proxy Statement to its and LRFCs respective shareholders. The Registration Statement and Joint Proxy Statement will contain important information about the Company, LRFC and the Proposals. This communication does not constitute an offer to sell or the solicitation of an offer to buy any securities or a solicitation of any vote or approval. No offer of securities shall be made except by means of a prospectus meeting the requirements of Section 10 of the Securities Act of 1933, as amended. </w:t>
      </w:r>
      <w:r>
        <w:rPr>
          <w:rFonts w:ascii="Times New Roman" w:hAnsi="Times New Roman"/>
          <w:b/>
          <w:sz w:val="20"/>
        </w:rPr>
        <w:t>SHAREHOLDERS OF THE COMPANY AND LRFC ARE URGED TO READ THE REGISTRATION STATEMENT, JOINT PROXY STATEMENT AND OTHER DOCUMENTS THAT ARE FILED OR WILL BE FILED WITH THE SEC, AS WELL AS ANY AMENDMENTS OR SUPPLEMENTS TO THESE DOCUMENTS, CAREFULLY AND IN THEIR ENTIRETY WHEN THEY BECOME AVAILABLE BECAUSE THEY WILL CONTAIN IMPORTANT INFORMATION ABOUT THE COMPANY, LRFC AND THE PROPOSALS.</w:t>
      </w:r>
      <w:r>
        <w:rPr>
          <w:rFonts w:ascii="Times New Roman" w:hAnsi="Times New Roman"/>
          <w:sz w:val="20"/>
        </w:rPr>
        <w:t xml:space="preserve"> Investors and security holders will be able to obtain the documents filed with the SEC free of charge at the SECs website, </w:t>
      </w:r>
      <w:r>
        <w:rPr>
          <w:rFonts w:ascii="Times New Roman" w:hAnsi="Times New Roman"/>
          <w:sz w:val="20"/>
          <w:u w:val="single"/>
        </w:rPr>
        <w:t>http://www.sec.gov</w:t>
      </w:r>
      <w:r>
        <w:rPr>
          <w:rFonts w:ascii="Times New Roman" w:hAnsi="Times New Roman"/>
          <w:sz w:val="20"/>
        </w:rPr>
        <w:t xml:space="preserve"> or, for documents filed by the Company, from the Companys website at https://www.portmanridge.com, and, for documents filed by LRFC, from LRFCs website at </w:t>
      </w:r>
      <w:r>
        <w:rPr>
          <w:rFonts w:ascii="Times New Roman" w:hAnsi="Times New Roman"/>
          <w:sz w:val="20"/>
          <w:u w:val="single"/>
        </w:rPr>
        <w:t>https://www.loganridgefinance.com</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Participants in the Solicitation </w:t>
      </w:r>
    </w:p>
    <w:p>
      <w:pPr>
        <w:pStyle w:val="TextBody"/>
        <w:bidi w:val="0"/>
        <w:spacing w:before="120" w:after="0"/>
        <w:jc w:val="left"/>
        <w:rPr>
          <w:rFonts w:ascii="Times New Roman" w:hAnsi="Times New Roman"/>
          <w:sz w:val="20"/>
        </w:rPr>
      </w:pPr>
      <w:r>
        <w:rPr>
          <w:rFonts w:ascii="Times New Roman" w:hAnsi="Times New Roman"/>
          <w:sz w:val="20"/>
        </w:rPr>
        <w:t xml:space="preserve">the Company, its directors, certain of its executive officers and certain employees and officers of Sierra Crest Investment Management LLC and its affiliates may be deemed to be participants in the solicitation of proxies in connection with the Proposals. Information about the directors and executive officers of the Company is set forth in its proxy statement for its 2025 Annual Meeting of Stockholders, which was filed with the SEC on April 29, 2025. LRFC, its directors, certain of its executive officers and certain employees and officers of Mount Logan Management LLC, and its affiliates may be deemed to be participants in the solicitation of proxies in connection with the Proposals. Information about the directors and executive officers of LRFC is set forth in the Annual Report on Form 10-K/A, which was filed with the SEC on April 29, 2025. Information regarding the persons who may, under the rules of the SEC, be considered participants in the solicitation of the Company and LRFC shareholders in connection with the Proposals will be contained in the Registration Statement, including the Joint Proxy Statement included therein, and other relevant materials when such documents become available. These documents may be obtained free of charge from the sources indicated above. </w:t>
      </w:r>
    </w:p>
    <w:p>
      <w:pPr>
        <w:pStyle w:val="TextBody"/>
        <w:bidi w:val="0"/>
        <w:spacing w:before="360" w:after="0"/>
        <w:jc w:val="left"/>
        <w:rPr>
          <w:rFonts w:ascii="Times New Roman" w:hAnsi="Times New Roman"/>
          <w:b/>
          <w:sz w:val="20"/>
        </w:rPr>
      </w:pPr>
      <w:r>
        <w:rPr>
          <w:rFonts w:ascii="Times New Roman" w:hAnsi="Times New Roman"/>
          <w:b/>
          <w:sz w:val="20"/>
        </w:rPr>
        <w:t xml:space="preserve">No Offer or Solicitation </w:t>
      </w:r>
    </w:p>
    <w:p>
      <w:pPr>
        <w:pStyle w:val="TextBody"/>
        <w:bidi w:val="0"/>
        <w:spacing w:before="120" w:after="0"/>
        <w:jc w:val="left"/>
        <w:rPr>
          <w:rFonts w:ascii="Times New Roman" w:hAnsi="Times New Roman"/>
          <w:sz w:val="20"/>
        </w:rPr>
      </w:pPr>
      <w:r>
        <w:rPr>
          <w:rFonts w:ascii="Times New Roman" w:hAnsi="Times New Roman"/>
          <w:sz w:val="20"/>
        </w:rPr>
        <w:t xml:space="preserve">This document is not, and under no circumstances is it to be construed as, a prospectus or an advertisement and the communication of this document is not, and under no circumstances is it to be construed as, an offer to sell or a solicitation of an offer to purchase any securities in the Company, LRFC or in any fund or other investment vehicle managed by BC Partners or any of its affiliates. </w:t>
      </w:r>
    </w:p>
    <w:p>
      <w:pPr>
        <w:pStyle w:val="TextBody"/>
        <w:bidi w:val="0"/>
        <w:spacing w:before="240" w:after="0"/>
        <w:jc w:val="left"/>
        <w:rPr>
          <w:rFonts w:ascii="Times New Roman" w:hAnsi="Times New Roman"/>
          <w:b/>
          <w:sz w:val="20"/>
          <w:u w:val="single"/>
        </w:rPr>
      </w:pPr>
      <w:r>
        <w:rPr>
          <w:rFonts w:ascii="Times New Roman" w:hAnsi="Times New Roman"/>
          <w:b/>
          <w:sz w:val="20"/>
          <w:u w:val="single"/>
        </w:rPr>
        <w:t xml:space="preserve">Contacts: </w:t>
      </w:r>
    </w:p>
    <w:p>
      <w:pPr>
        <w:pStyle w:val="TextBody"/>
        <w:bidi w:val="0"/>
        <w:spacing w:before="0" w:after="0"/>
        <w:jc w:val="left"/>
        <w:rPr>
          <w:rFonts w:ascii="Times New Roman" w:hAnsi="Times New Roman"/>
          <w:b/>
          <w:sz w:val="20"/>
        </w:rPr>
      </w:pPr>
      <w:r>
        <w:rPr>
          <w:rFonts w:ascii="Times New Roman" w:hAnsi="Times New Roman"/>
          <w:b/>
          <w:sz w:val="20"/>
        </w:rPr>
        <w:t xml:space="preserve">Portman Ridge Finance Corporation </w:t>
      </w:r>
    </w:p>
    <w:p>
      <w:pPr>
        <w:pStyle w:val="TextBody"/>
        <w:bidi w:val="0"/>
        <w:spacing w:before="0" w:after="0"/>
        <w:jc w:val="left"/>
        <w:rPr>
          <w:rFonts w:ascii="Times New Roman" w:hAnsi="Times New Roman"/>
          <w:sz w:val="20"/>
        </w:rPr>
      </w:pPr>
      <w:r>
        <w:rPr>
          <w:rFonts w:ascii="Times New Roman" w:hAnsi="Times New Roman"/>
          <w:sz w:val="20"/>
        </w:rPr>
        <w:t xml:space="preserve">650 Madison Avenue, 3rd floor </w:t>
      </w:r>
    </w:p>
    <w:p>
      <w:pPr>
        <w:pStyle w:val="TextBody"/>
        <w:bidi w:val="0"/>
        <w:spacing w:before="0" w:after="0"/>
        <w:jc w:val="left"/>
        <w:rPr>
          <w:rFonts w:ascii="Times New Roman" w:hAnsi="Times New Roman"/>
          <w:sz w:val="20"/>
        </w:rPr>
      </w:pPr>
      <w:r>
        <w:rPr>
          <w:rFonts w:ascii="Times New Roman" w:hAnsi="Times New Roman"/>
          <w:sz w:val="20"/>
        </w:rPr>
        <w:t xml:space="preserve">New York, NY 10022 </w:t>
      </w:r>
    </w:p>
    <w:p>
      <w:pPr>
        <w:pStyle w:val="TextBody"/>
        <w:bidi w:val="0"/>
        <w:spacing w:before="0" w:after="0"/>
        <w:jc w:val="left"/>
        <w:rPr>
          <w:rFonts w:ascii="Times New Roman" w:hAnsi="Times New Roman"/>
          <w:sz w:val="20"/>
          <w:u w:val="single"/>
        </w:rPr>
      </w:pPr>
      <w:r>
        <w:rPr>
          <w:rFonts w:ascii="Times New Roman" w:hAnsi="Times New Roman"/>
          <w:sz w:val="20"/>
          <w:u w:val="single"/>
        </w:rPr>
        <w:t xml:space="preserve">info@portmanridge.com </w:t>
      </w:r>
    </w:p>
    <w:p>
      <w:pPr>
        <w:pStyle w:val="TextBody"/>
        <w:bidi w:val="0"/>
        <w:spacing w:before="240" w:after="0"/>
        <w:jc w:val="left"/>
        <w:rPr>
          <w:rFonts w:ascii="Times New Roman" w:hAnsi="Times New Roman"/>
          <w:sz w:val="20"/>
        </w:rPr>
      </w:pPr>
      <w:r>
        <w:rPr>
          <w:rFonts w:ascii="Times New Roman" w:hAnsi="Times New Roman"/>
          <w:sz w:val="20"/>
        </w:rPr>
        <w:t xml:space="preserve">Brandon Satoren </w:t>
      </w:r>
    </w:p>
    <w:p>
      <w:pPr>
        <w:pStyle w:val="TextBody"/>
        <w:bidi w:val="0"/>
        <w:spacing w:before="0" w:after="0"/>
        <w:jc w:val="left"/>
        <w:rPr>
          <w:rFonts w:ascii="Times New Roman" w:hAnsi="Times New Roman"/>
          <w:sz w:val="20"/>
        </w:rPr>
      </w:pPr>
      <w:r>
        <w:rPr>
          <w:rFonts w:ascii="Times New Roman" w:hAnsi="Times New Roman"/>
          <w:sz w:val="20"/>
        </w:rPr>
        <w:t xml:space="preserve">Chief Financial Officer </w:t>
      </w:r>
    </w:p>
    <w:p>
      <w:pPr>
        <w:pStyle w:val="TextBody"/>
        <w:bidi w:val="0"/>
        <w:spacing w:before="0" w:after="0"/>
        <w:jc w:val="left"/>
        <w:rPr>
          <w:rFonts w:ascii="Times New Roman" w:hAnsi="Times New Roman"/>
          <w:sz w:val="20"/>
          <w:u w:val="single"/>
        </w:rPr>
      </w:pPr>
      <w:r>
        <w:rPr>
          <w:rFonts w:ascii="Times New Roman" w:hAnsi="Times New Roman"/>
          <w:sz w:val="20"/>
          <w:u w:val="single"/>
        </w:rPr>
        <w:t xml:space="preserve">Brandon.Satoren@bcpartners.com </w:t>
      </w:r>
    </w:p>
    <w:p>
      <w:pPr>
        <w:pStyle w:val="TextBody"/>
        <w:bidi w:val="0"/>
        <w:spacing w:before="0" w:after="0"/>
        <w:jc w:val="left"/>
        <w:rPr>
          <w:rFonts w:ascii="Times New Roman" w:hAnsi="Times New Roman"/>
          <w:sz w:val="20"/>
        </w:rPr>
      </w:pPr>
      <w:r>
        <w:rPr>
          <w:rFonts w:ascii="Times New Roman" w:hAnsi="Times New Roman"/>
          <w:sz w:val="20"/>
        </w:rPr>
        <w:t xml:space="preserve">(212) 891-2880 </w:t>
      </w:r>
    </w:p>
    <w:p>
      <w:pPr>
        <w:pStyle w:val="TextBody"/>
        <w:bidi w:val="0"/>
        <w:spacing w:before="240" w:after="0"/>
        <w:jc w:val="left"/>
        <w:rPr>
          <w:rFonts w:ascii="Times New Roman" w:hAnsi="Times New Roman"/>
          <w:b/>
          <w:sz w:val="20"/>
        </w:rPr>
      </w:pPr>
      <w:r>
        <w:rPr>
          <w:rFonts w:ascii="Times New Roman" w:hAnsi="Times New Roman"/>
          <w:b/>
          <w:sz w:val="20"/>
        </w:rPr>
        <w:t xml:space="preserve">The Equity Group Inc. </w:t>
      </w:r>
    </w:p>
    <w:p>
      <w:pPr>
        <w:pStyle w:val="TextBody"/>
        <w:bidi w:val="0"/>
        <w:spacing w:before="0" w:after="0"/>
        <w:jc w:val="left"/>
        <w:rPr>
          <w:rFonts w:ascii="Times New Roman" w:hAnsi="Times New Roman"/>
          <w:sz w:val="20"/>
        </w:rPr>
      </w:pPr>
      <w:r>
        <w:rPr>
          <w:rFonts w:ascii="Times New Roman" w:hAnsi="Times New Roman"/>
          <w:sz w:val="20"/>
        </w:rPr>
        <w:t xml:space="preserve">Lena Cati </w:t>
      </w:r>
    </w:p>
    <w:p>
      <w:pPr>
        <w:pStyle w:val="TextBody"/>
        <w:bidi w:val="0"/>
        <w:spacing w:before="0" w:after="0"/>
        <w:jc w:val="left"/>
        <w:rPr>
          <w:rFonts w:ascii="Times New Roman" w:hAnsi="Times New Roman"/>
          <w:sz w:val="20"/>
          <w:u w:val="single"/>
        </w:rPr>
      </w:pPr>
      <w:r>
        <w:rPr>
          <w:rFonts w:ascii="Times New Roman" w:hAnsi="Times New Roman"/>
          <w:sz w:val="20"/>
          <w:u w:val="single"/>
        </w:rPr>
        <w:t xml:space="preserve">lcati@equityny.com </w:t>
      </w:r>
    </w:p>
    <w:p>
      <w:pPr>
        <w:pStyle w:val="TextBody"/>
        <w:bidi w:val="0"/>
        <w:spacing w:before="0" w:after="0"/>
        <w:jc w:val="left"/>
        <w:rPr>
          <w:rFonts w:ascii="Times New Roman" w:hAnsi="Times New Roman"/>
          <w:sz w:val="20"/>
        </w:rPr>
      </w:pPr>
      <w:r>
        <w:rPr>
          <w:rFonts w:ascii="Times New Roman" w:hAnsi="Times New Roman"/>
          <w:sz w:val="20"/>
        </w:rPr>
        <w:t xml:space="preserve">(212) 836-9611 </w:t>
      </w:r>
    </w:p>
    <w:p>
      <w:pPr>
        <w:pStyle w:val="TextBody"/>
        <w:bidi w:val="0"/>
        <w:spacing w:before="240" w:after="0"/>
        <w:jc w:val="left"/>
        <w:rPr>
          <w:rFonts w:ascii="Times New Roman" w:hAnsi="Times New Roman"/>
          <w:sz w:val="20"/>
        </w:rPr>
      </w:pPr>
      <w:r>
        <w:rPr>
          <w:rFonts w:ascii="Times New Roman" w:hAnsi="Times New Roman"/>
          <w:sz w:val="20"/>
        </w:rPr>
        <w:t xml:space="preserve">Val Ferraro </w:t>
      </w:r>
    </w:p>
    <w:p>
      <w:pPr>
        <w:pStyle w:val="TextBody"/>
        <w:bidi w:val="0"/>
        <w:spacing w:before="0" w:after="0"/>
        <w:jc w:val="left"/>
        <w:rPr>
          <w:rFonts w:ascii="Times New Roman" w:hAnsi="Times New Roman"/>
          <w:sz w:val="20"/>
          <w:u w:val="single"/>
        </w:rPr>
      </w:pPr>
      <w:r>
        <w:rPr>
          <w:rFonts w:ascii="Times New Roman" w:hAnsi="Times New Roman"/>
          <w:sz w:val="20"/>
          <w:u w:val="single"/>
        </w:rPr>
        <w:t xml:space="preserve">vferraro@equityny.com </w:t>
      </w:r>
    </w:p>
    <w:p>
      <w:pPr>
        <w:pStyle w:val="TextBody"/>
        <w:bidi w:val="0"/>
        <w:spacing w:before="0" w:after="0"/>
        <w:jc w:val="left"/>
        <w:rPr>
          <w:rFonts w:ascii="Times New Roman" w:hAnsi="Times New Roman"/>
          <w:sz w:val="20"/>
        </w:rPr>
      </w:pPr>
      <w:r>
        <w:rPr>
          <w:rFonts w:ascii="Times New Roman" w:hAnsi="Times New Roman"/>
          <w:sz w:val="20"/>
        </w:rPr>
        <w:t xml:space="preserve">(212) 836-9633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PORTMAN RIDGE FINANCE CORPORATION </w:t>
      </w:r>
    </w:p>
    <w:p>
      <w:pPr>
        <w:pStyle w:val="TextBody"/>
        <w:bidi w:val="0"/>
        <w:spacing w:before="0" w:after="0"/>
        <w:jc w:val="center"/>
        <w:rPr>
          <w:rFonts w:ascii="Times New Roman" w:hAnsi="Times New Roman"/>
          <w:b/>
          <w:sz w:val="20"/>
        </w:rPr>
      </w:pPr>
      <w:r>
        <w:rPr>
          <w:rFonts w:ascii="Times New Roman" w:hAnsi="Times New Roman"/>
          <w:b/>
          <w:sz w:val="20"/>
        </w:rPr>
        <w:t xml:space="preserve">CONSOLIDATED STATEMENTS OF ASSETS AND LIABILITIES </w:t>
      </w:r>
    </w:p>
    <w:p>
      <w:pPr>
        <w:pStyle w:val="TextBody"/>
        <w:bidi w:val="0"/>
        <w:spacing w:before="0" w:after="0"/>
        <w:jc w:val="center"/>
        <w:rPr>
          <w:rFonts w:ascii="Times New Roman" w:hAnsi="Times New Roman"/>
          <w:b/>
          <w:sz w:val="20"/>
        </w:rPr>
      </w:pPr>
      <w:r>
        <w:rPr>
          <w:rFonts w:ascii="Times New Roman" w:hAnsi="Times New Roman"/>
          <w:b/>
          <w:sz w:val="20"/>
        </w:rPr>
        <w:t xml:space="preserve">(in thousands, except share and per share amounts)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507"/>
        <w:gridCol w:w="425"/>
        <w:gridCol w:w="222"/>
        <w:gridCol w:w="1393"/>
        <w:gridCol w:w="155"/>
        <w:gridCol w:w="374"/>
        <w:gridCol w:w="269"/>
        <w:gridCol w:w="1700"/>
        <w:gridCol w:w="160"/>
      </w:tblGrid>
      <w:tr>
        <w:trPr/>
        <w:tc>
          <w:tcPr>
            <w:tcW w:w="5507" w:type="dxa"/>
            <w:tcBorders/>
            <w:vAlign w:val="center"/>
          </w:tcPr>
          <w:p>
            <w:pPr>
              <w:pStyle w:val="TableContents"/>
              <w:bidi w:val="0"/>
              <w:spacing w:before="0" w:after="283"/>
              <w:jc w:val="left"/>
              <w:rPr>
                <w:sz w:val="4"/>
                <w:szCs w:val="4"/>
              </w:rPr>
            </w:pPr>
            <w:r>
              <w:rPr>
                <w:sz w:val="4"/>
                <w:szCs w:val="4"/>
              </w:rPr>
            </w:r>
          </w:p>
        </w:tc>
        <w:tc>
          <w:tcPr>
            <w:tcW w:w="425" w:type="dxa"/>
            <w:tcBorders/>
            <w:vAlign w:val="bottom"/>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39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74" w:type="dxa"/>
            <w:tcBorders/>
            <w:vAlign w:val="bottom"/>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70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507"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left"/>
              <w:rPr/>
            </w:pPr>
            <w:r>
              <w:rPr/>
              <w:t>  </w:t>
            </w:r>
          </w:p>
        </w:tc>
        <w:tc>
          <w:tcPr>
            <w:tcW w:w="1615" w:type="dxa"/>
            <w:gridSpan w:val="2"/>
            <w:tcBorders/>
            <w:vAlign w:val="bottom"/>
          </w:tcPr>
          <w:p>
            <w:pPr>
              <w:pStyle w:val="TableContents"/>
              <w:bidi w:val="0"/>
              <w:spacing w:before="0" w:after="283"/>
              <w:jc w:val="center"/>
              <w:rPr>
                <w:b/>
              </w:rPr>
            </w:pPr>
            <w:r>
              <w:rPr>
                <w:b/>
              </w:rPr>
              <w:t>March 31, 2025</w:t>
            </w:r>
          </w:p>
        </w:tc>
        <w:tc>
          <w:tcPr>
            <w:tcW w:w="155" w:type="dxa"/>
            <w:tcBorders/>
            <w:vAlign w:val="bottom"/>
          </w:tcPr>
          <w:p>
            <w:pPr>
              <w:pStyle w:val="TableContents"/>
              <w:bidi w:val="0"/>
              <w:spacing w:before="0" w:after="283"/>
              <w:jc w:val="left"/>
              <w:rPr/>
            </w:pPr>
            <w:r>
              <w:rPr/>
              <w:t> </w:t>
            </w:r>
          </w:p>
        </w:tc>
        <w:tc>
          <w:tcPr>
            <w:tcW w:w="374" w:type="dxa"/>
            <w:tcBorders/>
            <w:vAlign w:val="bottom"/>
          </w:tcPr>
          <w:p>
            <w:pPr>
              <w:pStyle w:val="TableContents"/>
              <w:bidi w:val="0"/>
              <w:spacing w:before="0" w:after="283"/>
              <w:jc w:val="left"/>
              <w:rPr/>
            </w:pPr>
            <w:r>
              <w:rPr/>
              <w:t> </w:t>
            </w:r>
          </w:p>
        </w:tc>
        <w:tc>
          <w:tcPr>
            <w:tcW w:w="1969" w:type="dxa"/>
            <w:gridSpan w:val="2"/>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r>
      <w:tr>
        <w:trPr/>
        <w:tc>
          <w:tcPr>
            <w:tcW w:w="5507"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left"/>
              <w:rPr/>
            </w:pPr>
            <w:r>
              <w:rPr/>
              <w:t>  </w:t>
            </w:r>
          </w:p>
        </w:tc>
        <w:tc>
          <w:tcPr>
            <w:tcW w:w="161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(Unaudited)</w:t>
            </w:r>
          </w:p>
        </w:tc>
        <w:tc>
          <w:tcPr>
            <w:tcW w:w="155" w:type="dxa"/>
            <w:tcBorders/>
            <w:vAlign w:val="bottom"/>
          </w:tcPr>
          <w:p>
            <w:pPr>
              <w:pStyle w:val="TableContents"/>
              <w:bidi w:val="0"/>
              <w:spacing w:before="0" w:after="283"/>
              <w:jc w:val="left"/>
              <w:rPr/>
            </w:pPr>
            <w:r>
              <w:rPr/>
              <w:t> </w:t>
            </w:r>
          </w:p>
        </w:tc>
        <w:tc>
          <w:tcPr>
            <w:tcW w:w="374" w:type="dxa"/>
            <w:tcBorders/>
            <w:vAlign w:val="bottom"/>
          </w:tcPr>
          <w:p>
            <w:pPr>
              <w:pStyle w:val="TableContents"/>
              <w:bidi w:val="0"/>
              <w:spacing w:before="0" w:after="283"/>
              <w:jc w:val="left"/>
              <w:rPr/>
            </w:pPr>
            <w:r>
              <w:rPr/>
              <w:t> </w:t>
            </w:r>
          </w:p>
        </w:tc>
        <w:tc>
          <w:tcPr>
            <w:tcW w:w="196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 2024</w:t>
            </w:r>
          </w:p>
        </w:tc>
        <w:tc>
          <w:tcPr>
            <w:tcW w:w="160" w:type="dxa"/>
            <w:tcBorders/>
            <w:vAlign w:val="bottom"/>
          </w:tcPr>
          <w:p>
            <w:pPr>
              <w:pStyle w:val="TableContents"/>
              <w:bidi w:val="0"/>
              <w:spacing w:before="0" w:after="283"/>
              <w:jc w:val="left"/>
              <w:rPr/>
            </w:pPr>
            <w:r>
              <w:rPr/>
              <w:t> </w:t>
            </w:r>
          </w:p>
        </w:tc>
      </w:tr>
      <w:tr>
        <w:trPr/>
        <w:tc>
          <w:tcPr>
            <w:tcW w:w="5507"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ASSETS</w:t>
            </w:r>
          </w:p>
        </w:tc>
        <w:tc>
          <w:tcPr>
            <w:tcW w:w="425" w:type="dxa"/>
            <w:tcBorders/>
            <w:shd w:fill="CCEEFF" w:val="clear"/>
            <w:vAlign w:val="bottom"/>
          </w:tcPr>
          <w:p>
            <w:pPr>
              <w:pStyle w:val="TableContents"/>
              <w:bidi w:val="0"/>
              <w:spacing w:before="0" w:after="283"/>
              <w:jc w:val="left"/>
              <w:rPr/>
            </w:pPr>
            <w:r>
              <w:rPr/>
              <w:t>  </w:t>
            </w:r>
          </w:p>
        </w:tc>
        <w:tc>
          <w:tcPr>
            <w:tcW w:w="222" w:type="dxa"/>
            <w:tcBorders/>
            <w:shd w:fill="CCEEFF" w:val="clear"/>
            <w:vAlign w:val="bottom"/>
          </w:tcPr>
          <w:p>
            <w:pPr>
              <w:pStyle w:val="TableContents"/>
              <w:bidi w:val="0"/>
              <w:spacing w:before="0" w:after="283"/>
              <w:jc w:val="left"/>
              <w:rPr>
                <w:sz w:val="4"/>
                <w:szCs w:val="4"/>
              </w:rPr>
            </w:pPr>
            <w:r>
              <w:rPr>
                <w:sz w:val="4"/>
                <w:szCs w:val="4"/>
              </w:rPr>
            </w:r>
          </w:p>
        </w:tc>
        <w:tc>
          <w:tcPr>
            <w:tcW w:w="1393"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374" w:type="dxa"/>
            <w:tcBorders/>
            <w:shd w:fill="CCEEFF" w:val="clear"/>
            <w:vAlign w:val="bottom"/>
          </w:tcPr>
          <w:p>
            <w:pPr>
              <w:pStyle w:val="TableContents"/>
              <w:bidi w:val="0"/>
              <w:spacing w:before="0" w:after="283"/>
              <w:jc w:val="left"/>
              <w:rPr/>
            </w:pPr>
            <w:r>
              <w:rPr/>
              <w:t> </w:t>
            </w:r>
          </w:p>
        </w:tc>
        <w:tc>
          <w:tcPr>
            <w:tcW w:w="269" w:type="dxa"/>
            <w:tcBorders/>
            <w:shd w:fill="CCEEFF" w:val="clear"/>
            <w:vAlign w:val="bottom"/>
          </w:tcPr>
          <w:p>
            <w:pPr>
              <w:pStyle w:val="TableContents"/>
              <w:bidi w:val="0"/>
              <w:spacing w:before="0" w:after="283"/>
              <w:jc w:val="left"/>
              <w:rPr>
                <w:sz w:val="4"/>
                <w:szCs w:val="4"/>
              </w:rPr>
            </w:pPr>
            <w:r>
              <w:rPr>
                <w:sz w:val="4"/>
                <w:szCs w:val="4"/>
              </w:rPr>
            </w:r>
          </w:p>
        </w:tc>
        <w:tc>
          <w:tcPr>
            <w:tcW w:w="1700" w:type="dxa"/>
            <w:tcBorders/>
            <w:shd w:fill="CCEEFF" w:val="clear"/>
            <w:vAlign w:val="bottom"/>
          </w:tcPr>
          <w:p>
            <w:pPr>
              <w:pStyle w:val="TableContents"/>
              <w:bidi w:val="0"/>
              <w:spacing w:before="0" w:after="283"/>
              <w:jc w:val="left"/>
              <w:rPr>
                <w:sz w:val="4"/>
                <w:szCs w:val="4"/>
              </w:rPr>
            </w:pPr>
            <w:r>
              <w:rPr>
                <w:sz w:val="4"/>
                <w:szCs w:val="4"/>
              </w:rPr>
            </w:r>
          </w:p>
        </w:tc>
        <w:tc>
          <w:tcPr>
            <w:tcW w:w="160" w:type="dxa"/>
            <w:tcBorders/>
            <w:shd w:fill="CCEEFF" w:val="clear"/>
            <w:vAlign w:val="bottom"/>
          </w:tcPr>
          <w:p>
            <w:pPr>
              <w:pStyle w:val="TableContents"/>
              <w:bidi w:val="0"/>
              <w:spacing w:before="0" w:after="283"/>
              <w:jc w:val="left"/>
              <w:rPr>
                <w:sz w:val="4"/>
                <w:szCs w:val="4"/>
              </w:rPr>
            </w:pPr>
            <w:r>
              <w:rPr>
                <w:sz w:val="4"/>
                <w:szCs w:val="4"/>
              </w:rPr>
            </w:r>
          </w:p>
        </w:tc>
      </w:tr>
      <w:tr>
        <w:trPr/>
        <w:tc>
          <w:tcPr>
            <w:tcW w:w="5507" w:type="dxa"/>
            <w:tcBorders/>
          </w:tcPr>
          <w:p>
            <w:pPr>
              <w:pStyle w:val="TableContents"/>
              <w:bidi w:val="0"/>
              <w:spacing w:before="0" w:after="0"/>
              <w:jc w:val="left"/>
              <w:rPr>
                <w:rFonts w:ascii="Times New Roman" w:hAnsi="Times New Roman"/>
                <w:sz w:val="20"/>
              </w:rPr>
            </w:pPr>
            <w:r>
              <w:rPr>
                <w:rFonts w:ascii="Times New Roman" w:hAnsi="Times New Roman"/>
                <w:sz w:val="20"/>
              </w:rPr>
              <w:t>Investments at fair value:</w:t>
            </w:r>
          </w:p>
        </w:tc>
        <w:tc>
          <w:tcPr>
            <w:tcW w:w="425"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sz w:val="4"/>
                <w:szCs w:val="4"/>
              </w:rPr>
            </w:pPr>
            <w:r>
              <w:rPr>
                <w:sz w:val="4"/>
                <w:szCs w:val="4"/>
              </w:rPr>
            </w:r>
          </w:p>
        </w:tc>
        <w:tc>
          <w:tcPr>
            <w:tcW w:w="1393"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374"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sz w:val="4"/>
                <w:szCs w:val="4"/>
              </w:rPr>
            </w:pPr>
            <w:r>
              <w:rPr>
                <w:sz w:val="4"/>
                <w:szCs w:val="4"/>
              </w:rPr>
            </w:r>
          </w:p>
        </w:tc>
        <w:tc>
          <w:tcPr>
            <w:tcW w:w="1700" w:type="dxa"/>
            <w:tcBorders/>
            <w:vAlign w:val="bottom"/>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sz w:val="4"/>
                <w:szCs w:val="4"/>
              </w:rPr>
            </w:pPr>
            <w:r>
              <w:rPr>
                <w:sz w:val="4"/>
                <w:szCs w:val="4"/>
              </w:rPr>
            </w:r>
          </w:p>
        </w:tc>
      </w:tr>
      <w:tr>
        <w:trPr/>
        <w:tc>
          <w:tcPr>
            <w:tcW w:w="550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Non-controlled/non-affiliated investments (amortized cost of $365,539 and $358,153, respectively)</w:t>
            </w:r>
          </w:p>
        </w:tc>
        <w:tc>
          <w:tcPr>
            <w:tcW w:w="425" w:type="dxa"/>
            <w:tcBorders/>
            <w:shd w:fill="CCEEFF" w:val="clear"/>
            <w:vAlign w:val="bottom"/>
          </w:tcPr>
          <w:p>
            <w:pPr>
              <w:pStyle w:val="TableContents"/>
              <w:bidi w:val="0"/>
              <w:spacing w:before="0" w:after="283"/>
              <w:jc w:val="left"/>
              <w:rPr/>
            </w:pPr>
            <w:r>
              <w:rPr/>
              <w:t>  </w:t>
            </w:r>
          </w:p>
        </w:tc>
        <w:tc>
          <w:tcPr>
            <w:tcW w:w="222" w:type="dxa"/>
            <w:tcBorders/>
            <w:shd w:fill="CCEEFF" w:val="clear"/>
            <w:vAlign w:val="bottom"/>
          </w:tcPr>
          <w:p>
            <w:pPr>
              <w:pStyle w:val="TableContents"/>
              <w:bidi w:val="0"/>
              <w:spacing w:before="0" w:after="283"/>
              <w:jc w:val="left"/>
              <w:rPr/>
            </w:pPr>
            <w:r>
              <w:rPr/>
              <w:t>$</w:t>
            </w:r>
          </w:p>
        </w:tc>
        <w:tc>
          <w:tcPr>
            <w:tcW w:w="1393" w:type="dxa"/>
            <w:tcBorders/>
            <w:shd w:fill="CCEEFF" w:val="clear"/>
            <w:vAlign w:val="bottom"/>
          </w:tcPr>
          <w:p>
            <w:pPr>
              <w:pStyle w:val="TableContents"/>
              <w:bidi w:val="0"/>
              <w:spacing w:before="0" w:after="283"/>
              <w:jc w:val="right"/>
              <w:rPr/>
            </w:pPr>
            <w:r>
              <w:rPr/>
              <w:t>333,519</w:t>
            </w:r>
          </w:p>
        </w:tc>
        <w:tc>
          <w:tcPr>
            <w:tcW w:w="155" w:type="dxa"/>
            <w:tcBorders/>
            <w:shd w:fill="CCEEFF" w:val="clear"/>
            <w:vAlign w:val="bottom"/>
          </w:tcPr>
          <w:p>
            <w:pPr>
              <w:pStyle w:val="TableContents"/>
              <w:bidi w:val="0"/>
              <w:spacing w:before="0" w:after="283"/>
              <w:jc w:val="left"/>
              <w:rPr/>
            </w:pPr>
            <w:r>
              <w:rPr/>
              <w:t> </w:t>
            </w:r>
          </w:p>
        </w:tc>
        <w:tc>
          <w:tcPr>
            <w:tcW w:w="374" w:type="dxa"/>
            <w:tcBorders/>
            <w:shd w:fill="CCEEFF" w:val="clear"/>
            <w:vAlign w:val="bottom"/>
          </w:tcPr>
          <w:p>
            <w:pPr>
              <w:pStyle w:val="TableContents"/>
              <w:bidi w:val="0"/>
              <w:spacing w:before="0" w:after="283"/>
              <w:jc w:val="left"/>
              <w:rPr/>
            </w:pPr>
            <w:r>
              <w:rPr/>
              <w:t> </w:t>
            </w:r>
          </w:p>
        </w:tc>
        <w:tc>
          <w:tcPr>
            <w:tcW w:w="269" w:type="dxa"/>
            <w:tcBorders/>
            <w:shd w:fill="CCEEFF" w:val="clear"/>
            <w:vAlign w:val="bottom"/>
          </w:tcPr>
          <w:p>
            <w:pPr>
              <w:pStyle w:val="TableContents"/>
              <w:bidi w:val="0"/>
              <w:spacing w:before="0" w:after="283"/>
              <w:jc w:val="left"/>
              <w:rPr/>
            </w:pPr>
            <w:r>
              <w:rPr/>
              <w:t>$</w:t>
            </w:r>
          </w:p>
        </w:tc>
        <w:tc>
          <w:tcPr>
            <w:tcW w:w="1700" w:type="dxa"/>
            <w:tcBorders/>
            <w:shd w:fill="CCEEFF" w:val="clear"/>
            <w:vAlign w:val="bottom"/>
          </w:tcPr>
          <w:p>
            <w:pPr>
              <w:pStyle w:val="TableContents"/>
              <w:bidi w:val="0"/>
              <w:spacing w:before="0" w:after="283"/>
              <w:jc w:val="right"/>
              <w:rPr/>
            </w:pPr>
            <w:r>
              <w:rPr/>
              <w:t>327,622</w:t>
            </w:r>
          </w:p>
        </w:tc>
        <w:tc>
          <w:tcPr>
            <w:tcW w:w="160" w:type="dxa"/>
            <w:tcBorders/>
            <w:shd w:fill="CCEEFF" w:val="clear"/>
            <w:vAlign w:val="bottom"/>
          </w:tcPr>
          <w:p>
            <w:pPr>
              <w:pStyle w:val="TableContents"/>
              <w:bidi w:val="0"/>
              <w:spacing w:before="0" w:after="283"/>
              <w:jc w:val="left"/>
              <w:rPr/>
            </w:pPr>
            <w:r>
              <w:rPr/>
              <w:t> </w:t>
            </w:r>
          </w:p>
        </w:tc>
      </w:tr>
      <w:tr>
        <w:trPr/>
        <w:tc>
          <w:tcPr>
            <w:tcW w:w="5507" w:type="dxa"/>
            <w:tcBorders/>
          </w:tcPr>
          <w:p>
            <w:pPr>
              <w:pStyle w:val="TableContents"/>
              <w:bidi w:val="0"/>
              <w:spacing w:before="0" w:after="0"/>
              <w:jc w:val="left"/>
              <w:rPr>
                <w:rFonts w:ascii="Times New Roman" w:hAnsi="Times New Roman"/>
                <w:sz w:val="20"/>
              </w:rPr>
            </w:pPr>
            <w:r>
              <w:rPr>
                <w:rFonts w:ascii="Times New Roman" w:hAnsi="Times New Roman"/>
                <w:sz w:val="20"/>
              </w:rPr>
              <w:t>Non-controlled affiliated investments (amortized cost of $67,137 and $68,858, respectively)</w:t>
            </w:r>
          </w:p>
        </w:tc>
        <w:tc>
          <w:tcPr>
            <w:tcW w:w="425"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 </w:t>
            </w:r>
          </w:p>
        </w:tc>
        <w:tc>
          <w:tcPr>
            <w:tcW w:w="1393" w:type="dxa"/>
            <w:tcBorders/>
            <w:vAlign w:val="bottom"/>
          </w:tcPr>
          <w:p>
            <w:pPr>
              <w:pStyle w:val="TableContents"/>
              <w:bidi w:val="0"/>
              <w:spacing w:before="0" w:after="283"/>
              <w:jc w:val="right"/>
              <w:rPr/>
            </w:pPr>
            <w:r>
              <w:rPr/>
              <w:t>61,523</w:t>
            </w:r>
          </w:p>
        </w:tc>
        <w:tc>
          <w:tcPr>
            <w:tcW w:w="155" w:type="dxa"/>
            <w:tcBorders/>
            <w:vAlign w:val="bottom"/>
          </w:tcPr>
          <w:p>
            <w:pPr>
              <w:pStyle w:val="TableContents"/>
              <w:bidi w:val="0"/>
              <w:spacing w:before="0" w:after="283"/>
              <w:jc w:val="left"/>
              <w:rPr/>
            </w:pPr>
            <w:r>
              <w:rPr/>
              <w:t> </w:t>
            </w:r>
          </w:p>
        </w:tc>
        <w:tc>
          <w:tcPr>
            <w:tcW w:w="374"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1700" w:type="dxa"/>
            <w:tcBorders/>
            <w:vAlign w:val="bottom"/>
          </w:tcPr>
          <w:p>
            <w:pPr>
              <w:pStyle w:val="TableContents"/>
              <w:bidi w:val="0"/>
              <w:spacing w:before="0" w:after="283"/>
              <w:jc w:val="right"/>
              <w:rPr/>
            </w:pPr>
            <w:r>
              <w:rPr/>
              <w:t>64,384</w:t>
            </w:r>
          </w:p>
        </w:tc>
        <w:tc>
          <w:tcPr>
            <w:tcW w:w="160" w:type="dxa"/>
            <w:tcBorders/>
            <w:vAlign w:val="bottom"/>
          </w:tcPr>
          <w:p>
            <w:pPr>
              <w:pStyle w:val="TableContents"/>
              <w:bidi w:val="0"/>
              <w:spacing w:before="0" w:after="283"/>
              <w:jc w:val="left"/>
              <w:rPr/>
            </w:pPr>
            <w:r>
              <w:rPr/>
              <w:t> </w:t>
            </w:r>
          </w:p>
        </w:tc>
      </w:tr>
      <w:tr>
        <w:trPr/>
        <w:tc>
          <w:tcPr>
            <w:tcW w:w="550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Controlled affiliated investments (amortized cost of $49,061 and $49,421, respectively)</w:t>
            </w:r>
          </w:p>
        </w:tc>
        <w:tc>
          <w:tcPr>
            <w:tcW w:w="425" w:type="dxa"/>
            <w:tcBorders/>
            <w:shd w:fill="CCEEFF" w:val="clear"/>
            <w:vAlign w:val="bottom"/>
          </w:tcPr>
          <w:p>
            <w:pPr>
              <w:pStyle w:val="TableContents"/>
              <w:bidi w:val="0"/>
              <w:spacing w:before="0" w:after="283"/>
              <w:jc w:val="left"/>
              <w:rPr/>
            </w:pPr>
            <w:r>
              <w:rPr/>
              <w:t>  </w:t>
            </w:r>
          </w:p>
        </w:tc>
        <w:tc>
          <w:tcPr>
            <w:tcW w:w="222" w:type="dxa"/>
            <w:tcBorders/>
            <w:shd w:fill="CCEEFF" w:val="clear"/>
            <w:vAlign w:val="bottom"/>
          </w:tcPr>
          <w:p>
            <w:pPr>
              <w:pStyle w:val="TableContents"/>
              <w:bidi w:val="0"/>
              <w:spacing w:before="0" w:after="283"/>
              <w:jc w:val="left"/>
              <w:rPr/>
            </w:pPr>
            <w:r>
              <w:rPr/>
              <w:t> </w:t>
            </w:r>
          </w:p>
        </w:tc>
        <w:tc>
          <w:tcPr>
            <w:tcW w:w="1393" w:type="dxa"/>
            <w:tcBorders/>
            <w:shd w:fill="CCEEFF" w:val="clear"/>
            <w:vAlign w:val="bottom"/>
          </w:tcPr>
          <w:p>
            <w:pPr>
              <w:pStyle w:val="TableContents"/>
              <w:bidi w:val="0"/>
              <w:spacing w:before="0" w:after="283"/>
              <w:jc w:val="right"/>
              <w:rPr/>
            </w:pPr>
            <w:r>
              <w:rPr/>
              <w:t>11,381</w:t>
            </w:r>
          </w:p>
        </w:tc>
        <w:tc>
          <w:tcPr>
            <w:tcW w:w="155" w:type="dxa"/>
            <w:tcBorders/>
            <w:shd w:fill="CCEEFF" w:val="clear"/>
            <w:vAlign w:val="bottom"/>
          </w:tcPr>
          <w:p>
            <w:pPr>
              <w:pStyle w:val="TableContents"/>
              <w:bidi w:val="0"/>
              <w:spacing w:before="0" w:after="283"/>
              <w:jc w:val="left"/>
              <w:rPr/>
            </w:pPr>
            <w:r>
              <w:rPr/>
              <w:t> </w:t>
            </w:r>
          </w:p>
        </w:tc>
        <w:tc>
          <w:tcPr>
            <w:tcW w:w="374" w:type="dxa"/>
            <w:tcBorders/>
            <w:shd w:fill="CCEEFF" w:val="clear"/>
            <w:vAlign w:val="bottom"/>
          </w:tcPr>
          <w:p>
            <w:pPr>
              <w:pStyle w:val="TableContents"/>
              <w:bidi w:val="0"/>
              <w:spacing w:before="0" w:after="283"/>
              <w:jc w:val="left"/>
              <w:rPr/>
            </w:pPr>
            <w:r>
              <w:rPr/>
              <w:t> </w:t>
            </w:r>
          </w:p>
        </w:tc>
        <w:tc>
          <w:tcPr>
            <w:tcW w:w="269" w:type="dxa"/>
            <w:tcBorders/>
            <w:shd w:fill="CCEEFF" w:val="clear"/>
            <w:vAlign w:val="bottom"/>
          </w:tcPr>
          <w:p>
            <w:pPr>
              <w:pStyle w:val="TableContents"/>
              <w:bidi w:val="0"/>
              <w:spacing w:before="0" w:after="283"/>
              <w:jc w:val="left"/>
              <w:rPr/>
            </w:pPr>
            <w:r>
              <w:rPr/>
              <w:t> </w:t>
            </w:r>
          </w:p>
        </w:tc>
        <w:tc>
          <w:tcPr>
            <w:tcW w:w="1700" w:type="dxa"/>
            <w:tcBorders/>
            <w:shd w:fill="CCEEFF" w:val="clear"/>
            <w:vAlign w:val="bottom"/>
          </w:tcPr>
          <w:p>
            <w:pPr>
              <w:pStyle w:val="TableContents"/>
              <w:bidi w:val="0"/>
              <w:spacing w:before="0" w:after="283"/>
              <w:jc w:val="right"/>
              <w:rPr/>
            </w:pPr>
            <w:r>
              <w:rPr/>
              <w:t>13,015</w:t>
            </w:r>
          </w:p>
        </w:tc>
        <w:tc>
          <w:tcPr>
            <w:tcW w:w="160" w:type="dxa"/>
            <w:tcBorders/>
            <w:shd w:fill="CCEEFF" w:val="clear"/>
            <w:vAlign w:val="bottom"/>
          </w:tcPr>
          <w:p>
            <w:pPr>
              <w:pStyle w:val="TableContents"/>
              <w:bidi w:val="0"/>
              <w:spacing w:before="0" w:after="283"/>
              <w:jc w:val="left"/>
              <w:rPr/>
            </w:pPr>
            <w:r>
              <w:rPr/>
              <w:t> </w:t>
            </w:r>
          </w:p>
        </w:tc>
      </w:tr>
      <w:tr>
        <w:trPr/>
        <w:tc>
          <w:tcPr>
            <w:tcW w:w="5507" w:type="dxa"/>
            <w:tcBorders/>
            <w:vAlign w:val="bottom"/>
          </w:tcPr>
          <w:p>
            <w:pPr>
              <w:pStyle w:val="TableContents"/>
              <w:bidi w:val="0"/>
              <w:spacing w:before="0" w:after="283"/>
              <w:jc w:val="left"/>
              <w:rPr>
                <w:sz w:val="4"/>
                <w:szCs w:val="4"/>
              </w:rPr>
            </w:pPr>
            <w:r>
              <w:rPr>
                <w:sz w:val="4"/>
                <w:szCs w:val="4"/>
              </w:rPr>
            </w:r>
          </w:p>
        </w:tc>
        <w:tc>
          <w:tcPr>
            <w:tcW w:w="425" w:type="dxa"/>
            <w:tcBorders/>
            <w:vAlign w:val="bottom"/>
          </w:tcPr>
          <w:p>
            <w:pPr>
              <w:pStyle w:val="TableContents"/>
              <w:bidi w:val="0"/>
              <w:spacing w:before="0" w:after="283"/>
              <w:jc w:val="left"/>
              <w:rPr/>
            </w:pPr>
            <w:r>
              <w:rPr/>
              <w:t>  </w:t>
            </w:r>
          </w:p>
        </w:tc>
        <w:tc>
          <w:tcPr>
            <w:tcW w:w="222" w:type="dxa"/>
            <w:tcBorders/>
            <w:vAlign w:val="bottom"/>
          </w:tcPr>
          <w:p>
            <w:pPr>
              <w:pStyle w:val="TableContents"/>
              <w:pBdr>
                <w:top w:val="single" w:sz="2" w:space="1" w:color="000000"/>
              </w:pBdr>
              <w:bidi w:val="0"/>
              <w:spacing w:before="0" w:after="0"/>
              <w:jc w:val="left"/>
              <w:rPr/>
            </w:pPr>
            <w:r>
              <w:rPr/>
              <w:t> </w:t>
            </w:r>
          </w:p>
        </w:tc>
        <w:tc>
          <w:tcPr>
            <w:tcW w:w="139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74" w:type="dxa"/>
            <w:tcBorders/>
            <w:vAlign w:val="bottom"/>
          </w:tcPr>
          <w:p>
            <w:pPr>
              <w:pStyle w:val="TableContents"/>
              <w:bidi w:val="0"/>
              <w:spacing w:before="0" w:after="283"/>
              <w:jc w:val="left"/>
              <w:rPr/>
            </w:pPr>
            <w:r>
              <w:rPr/>
              <w:t> </w:t>
            </w:r>
          </w:p>
        </w:tc>
        <w:tc>
          <w:tcPr>
            <w:tcW w:w="269" w:type="dxa"/>
            <w:tcBorders/>
            <w:vAlign w:val="bottom"/>
          </w:tcPr>
          <w:p>
            <w:pPr>
              <w:pStyle w:val="TableContents"/>
              <w:pBdr>
                <w:top w:val="single" w:sz="2" w:space="1" w:color="000000"/>
              </w:pBdr>
              <w:bidi w:val="0"/>
              <w:spacing w:before="0" w:after="0"/>
              <w:jc w:val="left"/>
              <w:rPr/>
            </w:pPr>
            <w:r>
              <w:rPr/>
              <w:t> </w:t>
            </w:r>
          </w:p>
        </w:tc>
        <w:tc>
          <w:tcPr>
            <w:tcW w:w="1700"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5507" w:type="dxa"/>
            <w:tcBorders/>
          </w:tcPr>
          <w:p>
            <w:pPr>
              <w:pStyle w:val="TableContents"/>
              <w:bidi w:val="0"/>
              <w:spacing w:before="0" w:after="0"/>
              <w:jc w:val="left"/>
              <w:rPr>
                <w:rFonts w:ascii="Times New Roman" w:hAnsi="Times New Roman"/>
                <w:sz w:val="20"/>
              </w:rPr>
            </w:pPr>
            <w:r>
              <w:rPr>
                <w:rFonts w:ascii="Times New Roman" w:hAnsi="Times New Roman"/>
                <w:sz w:val="20"/>
              </w:rPr>
              <w:t>Total Investments at fair value (amortized cost of $481,737 and $476,432, respectively)</w:t>
            </w:r>
          </w:p>
        </w:tc>
        <w:tc>
          <w:tcPr>
            <w:tcW w:w="425"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w:t>
            </w:r>
          </w:p>
        </w:tc>
        <w:tc>
          <w:tcPr>
            <w:tcW w:w="1393" w:type="dxa"/>
            <w:tcBorders/>
            <w:vAlign w:val="bottom"/>
          </w:tcPr>
          <w:p>
            <w:pPr>
              <w:pStyle w:val="TableContents"/>
              <w:bidi w:val="0"/>
              <w:spacing w:before="0" w:after="283"/>
              <w:jc w:val="right"/>
              <w:rPr/>
            </w:pPr>
            <w:r>
              <w:rPr/>
              <w:t>406,423</w:t>
            </w:r>
          </w:p>
        </w:tc>
        <w:tc>
          <w:tcPr>
            <w:tcW w:w="155" w:type="dxa"/>
            <w:tcBorders/>
            <w:vAlign w:val="bottom"/>
          </w:tcPr>
          <w:p>
            <w:pPr>
              <w:pStyle w:val="TableContents"/>
              <w:bidi w:val="0"/>
              <w:spacing w:before="0" w:after="283"/>
              <w:jc w:val="left"/>
              <w:rPr/>
            </w:pPr>
            <w:r>
              <w:rPr/>
              <w:t> </w:t>
            </w:r>
          </w:p>
        </w:tc>
        <w:tc>
          <w:tcPr>
            <w:tcW w:w="374"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w:t>
            </w:r>
          </w:p>
        </w:tc>
        <w:tc>
          <w:tcPr>
            <w:tcW w:w="1700" w:type="dxa"/>
            <w:tcBorders/>
            <w:vAlign w:val="bottom"/>
          </w:tcPr>
          <w:p>
            <w:pPr>
              <w:pStyle w:val="TableContents"/>
              <w:bidi w:val="0"/>
              <w:spacing w:before="0" w:after="283"/>
              <w:jc w:val="right"/>
              <w:rPr/>
            </w:pPr>
            <w:r>
              <w:rPr/>
              <w:t>405,021</w:t>
            </w:r>
          </w:p>
        </w:tc>
        <w:tc>
          <w:tcPr>
            <w:tcW w:w="160" w:type="dxa"/>
            <w:tcBorders/>
            <w:vAlign w:val="bottom"/>
          </w:tcPr>
          <w:p>
            <w:pPr>
              <w:pStyle w:val="TableContents"/>
              <w:bidi w:val="0"/>
              <w:spacing w:before="0" w:after="283"/>
              <w:jc w:val="left"/>
              <w:rPr/>
            </w:pPr>
            <w:r>
              <w:rPr/>
              <w:t> </w:t>
            </w:r>
          </w:p>
        </w:tc>
      </w:tr>
      <w:tr>
        <w:trPr/>
        <w:tc>
          <w:tcPr>
            <w:tcW w:w="550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and cash equivalents</w:t>
            </w:r>
          </w:p>
        </w:tc>
        <w:tc>
          <w:tcPr>
            <w:tcW w:w="425" w:type="dxa"/>
            <w:tcBorders/>
            <w:shd w:fill="CCEEFF" w:val="clear"/>
            <w:vAlign w:val="bottom"/>
          </w:tcPr>
          <w:p>
            <w:pPr>
              <w:pStyle w:val="TableContents"/>
              <w:bidi w:val="0"/>
              <w:spacing w:before="0" w:after="283"/>
              <w:jc w:val="left"/>
              <w:rPr/>
            </w:pPr>
            <w:r>
              <w:rPr/>
              <w:t>  </w:t>
            </w:r>
          </w:p>
        </w:tc>
        <w:tc>
          <w:tcPr>
            <w:tcW w:w="222" w:type="dxa"/>
            <w:tcBorders/>
            <w:shd w:fill="CCEEFF" w:val="clear"/>
            <w:vAlign w:val="bottom"/>
          </w:tcPr>
          <w:p>
            <w:pPr>
              <w:pStyle w:val="TableContents"/>
              <w:bidi w:val="0"/>
              <w:spacing w:before="0" w:after="283"/>
              <w:jc w:val="left"/>
              <w:rPr/>
            </w:pPr>
            <w:r>
              <w:rPr/>
              <w:t> </w:t>
            </w:r>
          </w:p>
        </w:tc>
        <w:tc>
          <w:tcPr>
            <w:tcW w:w="1393" w:type="dxa"/>
            <w:tcBorders/>
            <w:shd w:fill="CCEEFF" w:val="clear"/>
            <w:vAlign w:val="bottom"/>
          </w:tcPr>
          <w:p>
            <w:pPr>
              <w:pStyle w:val="TableContents"/>
              <w:bidi w:val="0"/>
              <w:spacing w:before="0" w:after="283"/>
              <w:jc w:val="right"/>
              <w:rPr/>
            </w:pPr>
            <w:r>
              <w:rPr/>
              <w:t>9,233</w:t>
            </w:r>
          </w:p>
        </w:tc>
        <w:tc>
          <w:tcPr>
            <w:tcW w:w="155" w:type="dxa"/>
            <w:tcBorders/>
            <w:shd w:fill="CCEEFF" w:val="clear"/>
            <w:vAlign w:val="bottom"/>
          </w:tcPr>
          <w:p>
            <w:pPr>
              <w:pStyle w:val="TableContents"/>
              <w:bidi w:val="0"/>
              <w:spacing w:before="0" w:after="283"/>
              <w:jc w:val="left"/>
              <w:rPr/>
            </w:pPr>
            <w:r>
              <w:rPr/>
              <w:t> </w:t>
            </w:r>
          </w:p>
        </w:tc>
        <w:tc>
          <w:tcPr>
            <w:tcW w:w="374" w:type="dxa"/>
            <w:tcBorders/>
            <w:shd w:fill="CCEEFF" w:val="clear"/>
            <w:vAlign w:val="bottom"/>
          </w:tcPr>
          <w:p>
            <w:pPr>
              <w:pStyle w:val="TableContents"/>
              <w:bidi w:val="0"/>
              <w:spacing w:before="0" w:after="283"/>
              <w:jc w:val="left"/>
              <w:rPr/>
            </w:pPr>
            <w:r>
              <w:rPr/>
              <w:t> </w:t>
            </w:r>
          </w:p>
        </w:tc>
        <w:tc>
          <w:tcPr>
            <w:tcW w:w="269" w:type="dxa"/>
            <w:tcBorders/>
            <w:shd w:fill="CCEEFF" w:val="clear"/>
            <w:vAlign w:val="bottom"/>
          </w:tcPr>
          <w:p>
            <w:pPr>
              <w:pStyle w:val="TableContents"/>
              <w:bidi w:val="0"/>
              <w:spacing w:before="0" w:after="283"/>
              <w:jc w:val="left"/>
              <w:rPr/>
            </w:pPr>
            <w:r>
              <w:rPr/>
              <w:t> </w:t>
            </w:r>
          </w:p>
        </w:tc>
        <w:tc>
          <w:tcPr>
            <w:tcW w:w="1700" w:type="dxa"/>
            <w:tcBorders/>
            <w:shd w:fill="CCEEFF" w:val="clear"/>
            <w:vAlign w:val="bottom"/>
          </w:tcPr>
          <w:p>
            <w:pPr>
              <w:pStyle w:val="TableContents"/>
              <w:bidi w:val="0"/>
              <w:spacing w:before="0" w:after="283"/>
              <w:jc w:val="right"/>
              <w:rPr/>
            </w:pPr>
            <w:r>
              <w:rPr/>
              <w:t>17,532</w:t>
            </w:r>
          </w:p>
        </w:tc>
        <w:tc>
          <w:tcPr>
            <w:tcW w:w="160" w:type="dxa"/>
            <w:tcBorders/>
            <w:shd w:fill="CCEEFF" w:val="clear"/>
            <w:vAlign w:val="bottom"/>
          </w:tcPr>
          <w:p>
            <w:pPr>
              <w:pStyle w:val="TableContents"/>
              <w:bidi w:val="0"/>
              <w:spacing w:before="0" w:after="283"/>
              <w:jc w:val="left"/>
              <w:rPr/>
            </w:pPr>
            <w:r>
              <w:rPr/>
              <w:t> </w:t>
            </w:r>
          </w:p>
        </w:tc>
      </w:tr>
      <w:tr>
        <w:trPr/>
        <w:tc>
          <w:tcPr>
            <w:tcW w:w="5507" w:type="dxa"/>
            <w:tcBorders/>
          </w:tcPr>
          <w:p>
            <w:pPr>
              <w:pStyle w:val="TableContents"/>
              <w:bidi w:val="0"/>
              <w:spacing w:before="0" w:after="0"/>
              <w:jc w:val="left"/>
              <w:rPr>
                <w:rFonts w:ascii="Times New Roman" w:hAnsi="Times New Roman"/>
                <w:sz w:val="20"/>
              </w:rPr>
            </w:pPr>
            <w:r>
              <w:rPr>
                <w:rFonts w:ascii="Times New Roman" w:hAnsi="Times New Roman"/>
                <w:sz w:val="20"/>
              </w:rPr>
              <w:t>Restricted cash</w:t>
            </w:r>
          </w:p>
        </w:tc>
        <w:tc>
          <w:tcPr>
            <w:tcW w:w="425"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 </w:t>
            </w:r>
          </w:p>
        </w:tc>
        <w:tc>
          <w:tcPr>
            <w:tcW w:w="1393" w:type="dxa"/>
            <w:tcBorders/>
            <w:vAlign w:val="bottom"/>
          </w:tcPr>
          <w:p>
            <w:pPr>
              <w:pStyle w:val="TableContents"/>
              <w:bidi w:val="0"/>
              <w:spacing w:before="0" w:after="283"/>
              <w:jc w:val="right"/>
              <w:rPr/>
            </w:pPr>
            <w:r>
              <w:rPr/>
              <w:t>14,278</w:t>
            </w:r>
          </w:p>
        </w:tc>
        <w:tc>
          <w:tcPr>
            <w:tcW w:w="155" w:type="dxa"/>
            <w:tcBorders/>
            <w:vAlign w:val="bottom"/>
          </w:tcPr>
          <w:p>
            <w:pPr>
              <w:pStyle w:val="TableContents"/>
              <w:bidi w:val="0"/>
              <w:spacing w:before="0" w:after="283"/>
              <w:jc w:val="left"/>
              <w:rPr/>
            </w:pPr>
            <w:r>
              <w:rPr/>
              <w:t> </w:t>
            </w:r>
          </w:p>
        </w:tc>
        <w:tc>
          <w:tcPr>
            <w:tcW w:w="374"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1700" w:type="dxa"/>
            <w:tcBorders/>
            <w:vAlign w:val="bottom"/>
          </w:tcPr>
          <w:p>
            <w:pPr>
              <w:pStyle w:val="TableContents"/>
              <w:bidi w:val="0"/>
              <w:spacing w:before="0" w:after="283"/>
              <w:jc w:val="right"/>
              <w:rPr/>
            </w:pPr>
            <w:r>
              <w:rPr/>
              <w:t>22,421</w:t>
            </w:r>
          </w:p>
        </w:tc>
        <w:tc>
          <w:tcPr>
            <w:tcW w:w="160" w:type="dxa"/>
            <w:tcBorders/>
            <w:vAlign w:val="bottom"/>
          </w:tcPr>
          <w:p>
            <w:pPr>
              <w:pStyle w:val="TableContents"/>
              <w:bidi w:val="0"/>
              <w:spacing w:before="0" w:after="283"/>
              <w:jc w:val="left"/>
              <w:rPr/>
            </w:pPr>
            <w:r>
              <w:rPr/>
              <w:t> </w:t>
            </w:r>
          </w:p>
        </w:tc>
      </w:tr>
      <w:tr>
        <w:trPr/>
        <w:tc>
          <w:tcPr>
            <w:tcW w:w="550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receivable</w:t>
            </w:r>
          </w:p>
        </w:tc>
        <w:tc>
          <w:tcPr>
            <w:tcW w:w="425" w:type="dxa"/>
            <w:tcBorders/>
            <w:shd w:fill="CCEEFF" w:val="clear"/>
            <w:vAlign w:val="bottom"/>
          </w:tcPr>
          <w:p>
            <w:pPr>
              <w:pStyle w:val="TableContents"/>
              <w:bidi w:val="0"/>
              <w:spacing w:before="0" w:after="283"/>
              <w:jc w:val="left"/>
              <w:rPr/>
            </w:pPr>
            <w:r>
              <w:rPr/>
              <w:t>  </w:t>
            </w:r>
          </w:p>
        </w:tc>
        <w:tc>
          <w:tcPr>
            <w:tcW w:w="222" w:type="dxa"/>
            <w:tcBorders/>
            <w:shd w:fill="CCEEFF" w:val="clear"/>
            <w:vAlign w:val="bottom"/>
          </w:tcPr>
          <w:p>
            <w:pPr>
              <w:pStyle w:val="TableContents"/>
              <w:bidi w:val="0"/>
              <w:spacing w:before="0" w:after="283"/>
              <w:jc w:val="left"/>
              <w:rPr/>
            </w:pPr>
            <w:r>
              <w:rPr/>
              <w:t> </w:t>
            </w:r>
          </w:p>
        </w:tc>
        <w:tc>
          <w:tcPr>
            <w:tcW w:w="1393" w:type="dxa"/>
            <w:tcBorders/>
            <w:shd w:fill="CCEEFF" w:val="clear"/>
            <w:vAlign w:val="bottom"/>
          </w:tcPr>
          <w:p>
            <w:pPr>
              <w:pStyle w:val="TableContents"/>
              <w:bidi w:val="0"/>
              <w:spacing w:before="0" w:after="283"/>
              <w:jc w:val="right"/>
              <w:rPr/>
            </w:pPr>
            <w:r>
              <w:rPr/>
              <w:t>4,787</w:t>
            </w:r>
          </w:p>
        </w:tc>
        <w:tc>
          <w:tcPr>
            <w:tcW w:w="155" w:type="dxa"/>
            <w:tcBorders/>
            <w:shd w:fill="CCEEFF" w:val="clear"/>
            <w:vAlign w:val="bottom"/>
          </w:tcPr>
          <w:p>
            <w:pPr>
              <w:pStyle w:val="TableContents"/>
              <w:bidi w:val="0"/>
              <w:spacing w:before="0" w:after="283"/>
              <w:jc w:val="left"/>
              <w:rPr/>
            </w:pPr>
            <w:r>
              <w:rPr/>
              <w:t> </w:t>
            </w:r>
          </w:p>
        </w:tc>
        <w:tc>
          <w:tcPr>
            <w:tcW w:w="374" w:type="dxa"/>
            <w:tcBorders/>
            <w:shd w:fill="CCEEFF" w:val="clear"/>
            <w:vAlign w:val="bottom"/>
          </w:tcPr>
          <w:p>
            <w:pPr>
              <w:pStyle w:val="TableContents"/>
              <w:bidi w:val="0"/>
              <w:spacing w:before="0" w:after="283"/>
              <w:jc w:val="left"/>
              <w:rPr/>
            </w:pPr>
            <w:r>
              <w:rPr/>
              <w:t> </w:t>
            </w:r>
          </w:p>
        </w:tc>
        <w:tc>
          <w:tcPr>
            <w:tcW w:w="269" w:type="dxa"/>
            <w:tcBorders/>
            <w:shd w:fill="CCEEFF" w:val="clear"/>
            <w:vAlign w:val="bottom"/>
          </w:tcPr>
          <w:p>
            <w:pPr>
              <w:pStyle w:val="TableContents"/>
              <w:bidi w:val="0"/>
              <w:spacing w:before="0" w:after="283"/>
              <w:jc w:val="left"/>
              <w:rPr/>
            </w:pPr>
            <w:r>
              <w:rPr/>
              <w:t> </w:t>
            </w:r>
          </w:p>
        </w:tc>
        <w:tc>
          <w:tcPr>
            <w:tcW w:w="1700" w:type="dxa"/>
            <w:tcBorders/>
            <w:shd w:fill="CCEEFF" w:val="clear"/>
            <w:vAlign w:val="bottom"/>
          </w:tcPr>
          <w:p>
            <w:pPr>
              <w:pStyle w:val="TableContents"/>
              <w:bidi w:val="0"/>
              <w:spacing w:before="0" w:after="283"/>
              <w:jc w:val="right"/>
              <w:rPr/>
            </w:pPr>
            <w:r>
              <w:rPr/>
              <w:t>6,088</w:t>
            </w:r>
          </w:p>
        </w:tc>
        <w:tc>
          <w:tcPr>
            <w:tcW w:w="160" w:type="dxa"/>
            <w:tcBorders/>
            <w:shd w:fill="CCEEFF" w:val="clear"/>
            <w:vAlign w:val="bottom"/>
          </w:tcPr>
          <w:p>
            <w:pPr>
              <w:pStyle w:val="TableContents"/>
              <w:bidi w:val="0"/>
              <w:spacing w:before="0" w:after="283"/>
              <w:jc w:val="left"/>
              <w:rPr/>
            </w:pPr>
            <w:r>
              <w:rPr/>
              <w:t> </w:t>
            </w:r>
          </w:p>
        </w:tc>
      </w:tr>
      <w:tr>
        <w:trPr/>
        <w:tc>
          <w:tcPr>
            <w:tcW w:w="5507" w:type="dxa"/>
            <w:tcBorders/>
          </w:tcPr>
          <w:p>
            <w:pPr>
              <w:pStyle w:val="TableContents"/>
              <w:bidi w:val="0"/>
              <w:spacing w:before="0" w:after="0"/>
              <w:jc w:val="left"/>
              <w:rPr>
                <w:rFonts w:ascii="Times New Roman" w:hAnsi="Times New Roman"/>
                <w:sz w:val="20"/>
              </w:rPr>
            </w:pPr>
            <w:r>
              <w:rPr>
                <w:rFonts w:ascii="Times New Roman" w:hAnsi="Times New Roman"/>
                <w:sz w:val="20"/>
              </w:rPr>
              <w:t>Dividend receivable</w:t>
            </w:r>
          </w:p>
        </w:tc>
        <w:tc>
          <w:tcPr>
            <w:tcW w:w="425"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 </w:t>
            </w:r>
          </w:p>
        </w:tc>
        <w:tc>
          <w:tcPr>
            <w:tcW w:w="1393" w:type="dxa"/>
            <w:tcBorders/>
            <w:vAlign w:val="bottom"/>
          </w:tcPr>
          <w:p>
            <w:pPr>
              <w:pStyle w:val="TableContents"/>
              <w:bidi w:val="0"/>
              <w:spacing w:before="0" w:after="283"/>
              <w:jc w:val="right"/>
              <w:rPr/>
            </w:pPr>
            <w:r>
              <w:rPr/>
              <w:t>1,247</w:t>
            </w:r>
          </w:p>
        </w:tc>
        <w:tc>
          <w:tcPr>
            <w:tcW w:w="155" w:type="dxa"/>
            <w:tcBorders/>
            <w:vAlign w:val="bottom"/>
          </w:tcPr>
          <w:p>
            <w:pPr>
              <w:pStyle w:val="TableContents"/>
              <w:bidi w:val="0"/>
              <w:spacing w:before="0" w:after="283"/>
              <w:jc w:val="left"/>
              <w:rPr/>
            </w:pPr>
            <w:r>
              <w:rPr/>
              <w:t> </w:t>
            </w:r>
          </w:p>
        </w:tc>
        <w:tc>
          <w:tcPr>
            <w:tcW w:w="374"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1700" w:type="dxa"/>
            <w:tcBorders/>
            <w:vAlign w:val="bottom"/>
          </w:tcPr>
          <w:p>
            <w:pPr>
              <w:pStyle w:val="TableContents"/>
              <w:bidi w:val="0"/>
              <w:spacing w:before="0" w:after="283"/>
              <w:jc w:val="right"/>
              <w:rPr/>
            </w:pPr>
            <w:r>
              <w:rPr/>
              <w:t>1,367</w:t>
            </w:r>
          </w:p>
        </w:tc>
        <w:tc>
          <w:tcPr>
            <w:tcW w:w="160" w:type="dxa"/>
            <w:tcBorders/>
            <w:vAlign w:val="bottom"/>
          </w:tcPr>
          <w:p>
            <w:pPr>
              <w:pStyle w:val="TableContents"/>
              <w:bidi w:val="0"/>
              <w:spacing w:before="0" w:after="283"/>
              <w:jc w:val="left"/>
              <w:rPr/>
            </w:pPr>
            <w:r>
              <w:rPr/>
              <w:t> </w:t>
            </w:r>
          </w:p>
        </w:tc>
      </w:tr>
      <w:tr>
        <w:trPr/>
        <w:tc>
          <w:tcPr>
            <w:tcW w:w="550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assets</w:t>
            </w:r>
          </w:p>
        </w:tc>
        <w:tc>
          <w:tcPr>
            <w:tcW w:w="425" w:type="dxa"/>
            <w:tcBorders/>
            <w:shd w:fill="CCEEFF" w:val="clear"/>
            <w:vAlign w:val="bottom"/>
          </w:tcPr>
          <w:p>
            <w:pPr>
              <w:pStyle w:val="TableContents"/>
              <w:bidi w:val="0"/>
              <w:spacing w:before="0" w:after="283"/>
              <w:jc w:val="left"/>
              <w:rPr/>
            </w:pPr>
            <w:r>
              <w:rPr/>
              <w:t>  </w:t>
            </w:r>
          </w:p>
        </w:tc>
        <w:tc>
          <w:tcPr>
            <w:tcW w:w="222" w:type="dxa"/>
            <w:tcBorders/>
            <w:shd w:fill="CCEEFF" w:val="clear"/>
            <w:vAlign w:val="bottom"/>
          </w:tcPr>
          <w:p>
            <w:pPr>
              <w:pStyle w:val="TableContents"/>
              <w:bidi w:val="0"/>
              <w:spacing w:before="0" w:after="283"/>
              <w:jc w:val="left"/>
              <w:rPr/>
            </w:pPr>
            <w:r>
              <w:rPr/>
              <w:t> </w:t>
            </w:r>
          </w:p>
        </w:tc>
        <w:tc>
          <w:tcPr>
            <w:tcW w:w="1393" w:type="dxa"/>
            <w:tcBorders/>
            <w:shd w:fill="CCEEFF" w:val="clear"/>
            <w:vAlign w:val="bottom"/>
          </w:tcPr>
          <w:p>
            <w:pPr>
              <w:pStyle w:val="TableContents"/>
              <w:bidi w:val="0"/>
              <w:spacing w:before="0" w:after="283"/>
              <w:jc w:val="right"/>
              <w:rPr/>
            </w:pPr>
            <w:r>
              <w:rPr/>
              <w:t>2,812</w:t>
            </w:r>
          </w:p>
        </w:tc>
        <w:tc>
          <w:tcPr>
            <w:tcW w:w="155" w:type="dxa"/>
            <w:tcBorders/>
            <w:shd w:fill="CCEEFF" w:val="clear"/>
            <w:vAlign w:val="bottom"/>
          </w:tcPr>
          <w:p>
            <w:pPr>
              <w:pStyle w:val="TableContents"/>
              <w:bidi w:val="0"/>
              <w:spacing w:before="0" w:after="283"/>
              <w:jc w:val="left"/>
              <w:rPr/>
            </w:pPr>
            <w:r>
              <w:rPr/>
              <w:t> </w:t>
            </w:r>
          </w:p>
        </w:tc>
        <w:tc>
          <w:tcPr>
            <w:tcW w:w="374" w:type="dxa"/>
            <w:tcBorders/>
            <w:shd w:fill="CCEEFF" w:val="clear"/>
            <w:vAlign w:val="bottom"/>
          </w:tcPr>
          <w:p>
            <w:pPr>
              <w:pStyle w:val="TableContents"/>
              <w:bidi w:val="0"/>
              <w:spacing w:before="0" w:after="283"/>
              <w:jc w:val="left"/>
              <w:rPr/>
            </w:pPr>
            <w:r>
              <w:rPr/>
              <w:t> </w:t>
            </w:r>
          </w:p>
        </w:tc>
        <w:tc>
          <w:tcPr>
            <w:tcW w:w="269" w:type="dxa"/>
            <w:tcBorders/>
            <w:shd w:fill="CCEEFF" w:val="clear"/>
            <w:vAlign w:val="bottom"/>
          </w:tcPr>
          <w:p>
            <w:pPr>
              <w:pStyle w:val="TableContents"/>
              <w:bidi w:val="0"/>
              <w:spacing w:before="0" w:after="283"/>
              <w:jc w:val="left"/>
              <w:rPr/>
            </w:pPr>
            <w:r>
              <w:rPr/>
              <w:t> </w:t>
            </w:r>
          </w:p>
        </w:tc>
        <w:tc>
          <w:tcPr>
            <w:tcW w:w="1700" w:type="dxa"/>
            <w:tcBorders/>
            <w:shd w:fill="CCEEFF" w:val="clear"/>
            <w:vAlign w:val="bottom"/>
          </w:tcPr>
          <w:p>
            <w:pPr>
              <w:pStyle w:val="TableContents"/>
              <w:bidi w:val="0"/>
              <w:spacing w:before="0" w:after="283"/>
              <w:jc w:val="right"/>
              <w:rPr/>
            </w:pPr>
            <w:r>
              <w:rPr/>
              <w:t>1,205</w:t>
            </w:r>
          </w:p>
        </w:tc>
        <w:tc>
          <w:tcPr>
            <w:tcW w:w="160" w:type="dxa"/>
            <w:tcBorders/>
            <w:shd w:fill="CCEEFF" w:val="clear"/>
            <w:vAlign w:val="bottom"/>
          </w:tcPr>
          <w:p>
            <w:pPr>
              <w:pStyle w:val="TableContents"/>
              <w:bidi w:val="0"/>
              <w:spacing w:before="0" w:after="283"/>
              <w:jc w:val="left"/>
              <w:rPr/>
            </w:pPr>
            <w:r>
              <w:rPr/>
              <w:t> </w:t>
            </w:r>
          </w:p>
        </w:tc>
      </w:tr>
      <w:tr>
        <w:trPr/>
        <w:tc>
          <w:tcPr>
            <w:tcW w:w="5507" w:type="dxa"/>
            <w:tcBorders/>
            <w:vAlign w:val="bottom"/>
          </w:tcPr>
          <w:p>
            <w:pPr>
              <w:pStyle w:val="TableContents"/>
              <w:bidi w:val="0"/>
              <w:spacing w:before="0" w:after="283"/>
              <w:jc w:val="left"/>
              <w:rPr>
                <w:sz w:val="4"/>
                <w:szCs w:val="4"/>
              </w:rPr>
            </w:pPr>
            <w:r>
              <w:rPr>
                <w:sz w:val="4"/>
                <w:szCs w:val="4"/>
              </w:rPr>
            </w:r>
          </w:p>
        </w:tc>
        <w:tc>
          <w:tcPr>
            <w:tcW w:w="425" w:type="dxa"/>
            <w:tcBorders/>
            <w:vAlign w:val="bottom"/>
          </w:tcPr>
          <w:p>
            <w:pPr>
              <w:pStyle w:val="TableContents"/>
              <w:bidi w:val="0"/>
              <w:spacing w:before="0" w:after="283"/>
              <w:jc w:val="left"/>
              <w:rPr/>
            </w:pPr>
            <w:r>
              <w:rPr/>
              <w:t>  </w:t>
            </w:r>
          </w:p>
        </w:tc>
        <w:tc>
          <w:tcPr>
            <w:tcW w:w="222" w:type="dxa"/>
            <w:tcBorders/>
            <w:vAlign w:val="bottom"/>
          </w:tcPr>
          <w:p>
            <w:pPr>
              <w:pStyle w:val="TableContents"/>
              <w:pBdr>
                <w:top w:val="single" w:sz="2" w:space="1" w:color="000000"/>
              </w:pBdr>
              <w:bidi w:val="0"/>
              <w:spacing w:before="0" w:after="0"/>
              <w:jc w:val="left"/>
              <w:rPr/>
            </w:pPr>
            <w:r>
              <w:rPr/>
              <w:t> </w:t>
            </w:r>
          </w:p>
        </w:tc>
        <w:tc>
          <w:tcPr>
            <w:tcW w:w="139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74" w:type="dxa"/>
            <w:tcBorders/>
            <w:vAlign w:val="bottom"/>
          </w:tcPr>
          <w:p>
            <w:pPr>
              <w:pStyle w:val="TableContents"/>
              <w:bidi w:val="0"/>
              <w:spacing w:before="0" w:after="283"/>
              <w:jc w:val="left"/>
              <w:rPr/>
            </w:pPr>
            <w:r>
              <w:rPr/>
              <w:t> </w:t>
            </w:r>
          </w:p>
        </w:tc>
        <w:tc>
          <w:tcPr>
            <w:tcW w:w="269" w:type="dxa"/>
            <w:tcBorders/>
            <w:vAlign w:val="bottom"/>
          </w:tcPr>
          <w:p>
            <w:pPr>
              <w:pStyle w:val="TableContents"/>
              <w:pBdr>
                <w:top w:val="single" w:sz="2" w:space="1" w:color="000000"/>
              </w:pBdr>
              <w:bidi w:val="0"/>
              <w:spacing w:before="0" w:after="0"/>
              <w:jc w:val="left"/>
              <w:rPr/>
            </w:pPr>
            <w:r>
              <w:rPr/>
              <w:t> </w:t>
            </w:r>
          </w:p>
        </w:tc>
        <w:tc>
          <w:tcPr>
            <w:tcW w:w="1700"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5507" w:type="dxa"/>
            <w:tcBorders/>
          </w:tcPr>
          <w:p>
            <w:pPr>
              <w:pStyle w:val="TableContents"/>
              <w:bidi w:val="0"/>
              <w:spacing w:before="0" w:after="0"/>
              <w:jc w:val="left"/>
              <w:rPr>
                <w:rFonts w:ascii="Times New Roman" w:hAnsi="Times New Roman"/>
                <w:b/>
                <w:sz w:val="20"/>
              </w:rPr>
            </w:pPr>
            <w:r>
              <w:rPr>
                <w:rFonts w:ascii="Times New Roman" w:hAnsi="Times New Roman"/>
                <w:b/>
                <w:sz w:val="20"/>
              </w:rPr>
              <w:t>Total Assets</w:t>
            </w:r>
          </w:p>
        </w:tc>
        <w:tc>
          <w:tcPr>
            <w:tcW w:w="425"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w:t>
            </w:r>
          </w:p>
        </w:tc>
        <w:tc>
          <w:tcPr>
            <w:tcW w:w="1393" w:type="dxa"/>
            <w:tcBorders/>
            <w:vAlign w:val="bottom"/>
          </w:tcPr>
          <w:p>
            <w:pPr>
              <w:pStyle w:val="TableContents"/>
              <w:bidi w:val="0"/>
              <w:spacing w:before="0" w:after="283"/>
              <w:jc w:val="right"/>
              <w:rPr/>
            </w:pPr>
            <w:r>
              <w:rPr/>
              <w:t>438,780</w:t>
            </w:r>
          </w:p>
        </w:tc>
        <w:tc>
          <w:tcPr>
            <w:tcW w:w="155" w:type="dxa"/>
            <w:tcBorders/>
            <w:vAlign w:val="bottom"/>
          </w:tcPr>
          <w:p>
            <w:pPr>
              <w:pStyle w:val="TableContents"/>
              <w:bidi w:val="0"/>
              <w:spacing w:before="0" w:after="283"/>
              <w:jc w:val="left"/>
              <w:rPr/>
            </w:pPr>
            <w:r>
              <w:rPr/>
              <w:t> </w:t>
            </w:r>
          </w:p>
        </w:tc>
        <w:tc>
          <w:tcPr>
            <w:tcW w:w="374"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w:t>
            </w:r>
          </w:p>
        </w:tc>
        <w:tc>
          <w:tcPr>
            <w:tcW w:w="1700" w:type="dxa"/>
            <w:tcBorders/>
            <w:vAlign w:val="bottom"/>
          </w:tcPr>
          <w:p>
            <w:pPr>
              <w:pStyle w:val="TableContents"/>
              <w:bidi w:val="0"/>
              <w:spacing w:before="0" w:after="283"/>
              <w:jc w:val="right"/>
              <w:rPr/>
            </w:pPr>
            <w:r>
              <w:rPr/>
              <w:t>453,634</w:t>
            </w:r>
          </w:p>
        </w:tc>
        <w:tc>
          <w:tcPr>
            <w:tcW w:w="160" w:type="dxa"/>
            <w:tcBorders/>
            <w:vAlign w:val="bottom"/>
          </w:tcPr>
          <w:p>
            <w:pPr>
              <w:pStyle w:val="TableContents"/>
              <w:bidi w:val="0"/>
              <w:spacing w:before="0" w:after="283"/>
              <w:jc w:val="left"/>
              <w:rPr/>
            </w:pPr>
            <w:r>
              <w:rPr/>
              <w:t> </w:t>
            </w:r>
          </w:p>
        </w:tc>
      </w:tr>
      <w:tr>
        <w:trPr/>
        <w:tc>
          <w:tcPr>
            <w:tcW w:w="5507" w:type="dxa"/>
            <w:tcBorders/>
            <w:vAlign w:val="bottom"/>
          </w:tcPr>
          <w:p>
            <w:pPr>
              <w:pStyle w:val="TableContents"/>
              <w:bidi w:val="0"/>
              <w:spacing w:before="0" w:after="283"/>
              <w:jc w:val="left"/>
              <w:rPr>
                <w:sz w:val="4"/>
                <w:szCs w:val="4"/>
              </w:rPr>
            </w:pPr>
            <w:r>
              <w:rPr>
                <w:sz w:val="4"/>
                <w:szCs w:val="4"/>
              </w:rPr>
            </w:r>
          </w:p>
        </w:tc>
        <w:tc>
          <w:tcPr>
            <w:tcW w:w="425" w:type="dxa"/>
            <w:tcBorders/>
            <w:vAlign w:val="bottom"/>
          </w:tcPr>
          <w:p>
            <w:pPr>
              <w:pStyle w:val="TableContents"/>
              <w:bidi w:val="0"/>
              <w:spacing w:before="0" w:after="283"/>
              <w:jc w:val="left"/>
              <w:rPr/>
            </w:pPr>
            <w:r>
              <w:rPr/>
              <w:t>  </w:t>
            </w:r>
          </w:p>
        </w:tc>
        <w:tc>
          <w:tcPr>
            <w:tcW w:w="222" w:type="dxa"/>
            <w:tcBorders/>
            <w:vAlign w:val="bottom"/>
          </w:tcPr>
          <w:p>
            <w:pPr>
              <w:pStyle w:val="TableContents"/>
              <w:pBdr>
                <w:top w:val="double" w:sz="6" w:space="1" w:color="000000"/>
              </w:pBdr>
              <w:bidi w:val="0"/>
              <w:spacing w:before="0" w:after="0"/>
              <w:jc w:val="left"/>
              <w:rPr/>
            </w:pPr>
            <w:r>
              <w:rPr/>
              <w:t> </w:t>
            </w:r>
          </w:p>
        </w:tc>
        <w:tc>
          <w:tcPr>
            <w:tcW w:w="139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74" w:type="dxa"/>
            <w:tcBorders/>
            <w:vAlign w:val="bottom"/>
          </w:tcPr>
          <w:p>
            <w:pPr>
              <w:pStyle w:val="TableContents"/>
              <w:bidi w:val="0"/>
              <w:spacing w:before="0" w:after="283"/>
              <w:jc w:val="left"/>
              <w:rPr/>
            </w:pPr>
            <w:r>
              <w:rPr/>
              <w:t> </w:t>
            </w:r>
          </w:p>
        </w:tc>
        <w:tc>
          <w:tcPr>
            <w:tcW w:w="269" w:type="dxa"/>
            <w:tcBorders/>
            <w:vAlign w:val="bottom"/>
          </w:tcPr>
          <w:p>
            <w:pPr>
              <w:pStyle w:val="TableContents"/>
              <w:pBdr>
                <w:top w:val="double" w:sz="6" w:space="1" w:color="000000"/>
              </w:pBdr>
              <w:bidi w:val="0"/>
              <w:spacing w:before="0" w:after="0"/>
              <w:jc w:val="left"/>
              <w:rPr/>
            </w:pPr>
            <w:r>
              <w:rPr/>
              <w:t> </w:t>
            </w:r>
          </w:p>
        </w:tc>
        <w:tc>
          <w:tcPr>
            <w:tcW w:w="1700" w:type="dxa"/>
            <w:tcBorders/>
            <w:vAlign w:val="bottom"/>
          </w:tcPr>
          <w:p>
            <w:pPr>
              <w:pStyle w:val="TableContents"/>
              <w:pBdr>
                <w:top w:val="double" w:sz="6"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5507"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LIABILITIES</w:t>
            </w:r>
          </w:p>
        </w:tc>
        <w:tc>
          <w:tcPr>
            <w:tcW w:w="425" w:type="dxa"/>
            <w:tcBorders/>
            <w:shd w:fill="CCEEFF" w:val="clear"/>
            <w:vAlign w:val="bottom"/>
          </w:tcPr>
          <w:p>
            <w:pPr>
              <w:pStyle w:val="TableContents"/>
              <w:bidi w:val="0"/>
              <w:spacing w:before="0" w:after="283"/>
              <w:jc w:val="left"/>
              <w:rPr/>
            </w:pPr>
            <w:r>
              <w:rPr/>
              <w:t>  </w:t>
            </w:r>
          </w:p>
        </w:tc>
        <w:tc>
          <w:tcPr>
            <w:tcW w:w="222" w:type="dxa"/>
            <w:tcBorders/>
            <w:shd w:fill="CCEEFF" w:val="clear"/>
            <w:vAlign w:val="bottom"/>
          </w:tcPr>
          <w:p>
            <w:pPr>
              <w:pStyle w:val="TableContents"/>
              <w:bidi w:val="0"/>
              <w:spacing w:before="0" w:after="283"/>
              <w:jc w:val="left"/>
              <w:rPr>
                <w:sz w:val="4"/>
                <w:szCs w:val="4"/>
              </w:rPr>
            </w:pPr>
            <w:r>
              <w:rPr>
                <w:sz w:val="4"/>
                <w:szCs w:val="4"/>
              </w:rPr>
            </w:r>
          </w:p>
        </w:tc>
        <w:tc>
          <w:tcPr>
            <w:tcW w:w="1393"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374" w:type="dxa"/>
            <w:tcBorders/>
            <w:shd w:fill="CCEEFF" w:val="clear"/>
            <w:vAlign w:val="bottom"/>
          </w:tcPr>
          <w:p>
            <w:pPr>
              <w:pStyle w:val="TableContents"/>
              <w:bidi w:val="0"/>
              <w:spacing w:before="0" w:after="283"/>
              <w:jc w:val="left"/>
              <w:rPr/>
            </w:pPr>
            <w:r>
              <w:rPr/>
              <w:t> </w:t>
            </w:r>
          </w:p>
        </w:tc>
        <w:tc>
          <w:tcPr>
            <w:tcW w:w="269" w:type="dxa"/>
            <w:tcBorders/>
            <w:shd w:fill="CCEEFF" w:val="clear"/>
            <w:vAlign w:val="bottom"/>
          </w:tcPr>
          <w:p>
            <w:pPr>
              <w:pStyle w:val="TableContents"/>
              <w:bidi w:val="0"/>
              <w:spacing w:before="0" w:after="283"/>
              <w:jc w:val="left"/>
              <w:rPr>
                <w:sz w:val="4"/>
                <w:szCs w:val="4"/>
              </w:rPr>
            </w:pPr>
            <w:r>
              <w:rPr>
                <w:sz w:val="4"/>
                <w:szCs w:val="4"/>
              </w:rPr>
            </w:r>
          </w:p>
        </w:tc>
        <w:tc>
          <w:tcPr>
            <w:tcW w:w="1700" w:type="dxa"/>
            <w:tcBorders/>
            <w:shd w:fill="CCEEFF" w:val="clear"/>
            <w:vAlign w:val="bottom"/>
          </w:tcPr>
          <w:p>
            <w:pPr>
              <w:pStyle w:val="TableContents"/>
              <w:bidi w:val="0"/>
              <w:spacing w:before="0" w:after="283"/>
              <w:jc w:val="left"/>
              <w:rPr>
                <w:sz w:val="4"/>
                <w:szCs w:val="4"/>
              </w:rPr>
            </w:pPr>
            <w:r>
              <w:rPr>
                <w:sz w:val="4"/>
                <w:szCs w:val="4"/>
              </w:rPr>
            </w:r>
          </w:p>
        </w:tc>
        <w:tc>
          <w:tcPr>
            <w:tcW w:w="160" w:type="dxa"/>
            <w:tcBorders/>
            <w:shd w:fill="CCEEFF" w:val="clear"/>
            <w:vAlign w:val="bottom"/>
          </w:tcPr>
          <w:p>
            <w:pPr>
              <w:pStyle w:val="TableContents"/>
              <w:bidi w:val="0"/>
              <w:spacing w:before="0" w:after="283"/>
              <w:jc w:val="left"/>
              <w:rPr>
                <w:sz w:val="4"/>
                <w:szCs w:val="4"/>
              </w:rPr>
            </w:pPr>
            <w:r>
              <w:rPr>
                <w:sz w:val="4"/>
                <w:szCs w:val="4"/>
              </w:rPr>
            </w:r>
          </w:p>
        </w:tc>
      </w:tr>
      <w:tr>
        <w:trPr/>
        <w:tc>
          <w:tcPr>
            <w:tcW w:w="5507" w:type="dxa"/>
            <w:tcBorders/>
          </w:tcPr>
          <w:p>
            <w:pPr>
              <w:pStyle w:val="TableContents"/>
              <w:bidi w:val="0"/>
              <w:spacing w:before="0" w:after="0"/>
              <w:jc w:val="left"/>
              <w:rPr>
                <w:rFonts w:ascii="Times New Roman" w:hAnsi="Times New Roman"/>
                <w:sz w:val="20"/>
              </w:rPr>
            </w:pPr>
            <w:r>
              <w:rPr>
                <w:rFonts w:ascii="Times New Roman" w:hAnsi="Times New Roman"/>
                <w:sz w:val="20"/>
              </w:rPr>
              <w:t>4.875% Notes Due 2026 (net of deferred financing costs and original issue discount of $832 and $1,017, respectively)</w:t>
            </w:r>
          </w:p>
        </w:tc>
        <w:tc>
          <w:tcPr>
            <w:tcW w:w="425"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w:t>
            </w:r>
          </w:p>
        </w:tc>
        <w:tc>
          <w:tcPr>
            <w:tcW w:w="1393" w:type="dxa"/>
            <w:tcBorders/>
            <w:vAlign w:val="bottom"/>
          </w:tcPr>
          <w:p>
            <w:pPr>
              <w:pStyle w:val="TableContents"/>
              <w:bidi w:val="0"/>
              <w:spacing w:before="0" w:after="283"/>
              <w:jc w:val="right"/>
              <w:rPr/>
            </w:pPr>
            <w:r>
              <w:rPr/>
              <w:t>107,168</w:t>
            </w:r>
          </w:p>
        </w:tc>
        <w:tc>
          <w:tcPr>
            <w:tcW w:w="155" w:type="dxa"/>
            <w:tcBorders/>
            <w:vAlign w:val="bottom"/>
          </w:tcPr>
          <w:p>
            <w:pPr>
              <w:pStyle w:val="TableContents"/>
              <w:bidi w:val="0"/>
              <w:spacing w:before="0" w:after="283"/>
              <w:jc w:val="left"/>
              <w:rPr/>
            </w:pPr>
            <w:r>
              <w:rPr/>
              <w:t> </w:t>
            </w:r>
          </w:p>
        </w:tc>
        <w:tc>
          <w:tcPr>
            <w:tcW w:w="374"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w:t>
            </w:r>
          </w:p>
        </w:tc>
        <w:tc>
          <w:tcPr>
            <w:tcW w:w="1700" w:type="dxa"/>
            <w:tcBorders/>
            <w:vAlign w:val="bottom"/>
          </w:tcPr>
          <w:p>
            <w:pPr>
              <w:pStyle w:val="TableContents"/>
              <w:bidi w:val="0"/>
              <w:spacing w:before="0" w:after="283"/>
              <w:jc w:val="right"/>
              <w:rPr/>
            </w:pPr>
            <w:r>
              <w:rPr/>
              <w:t>106,983</w:t>
            </w:r>
          </w:p>
        </w:tc>
        <w:tc>
          <w:tcPr>
            <w:tcW w:w="160" w:type="dxa"/>
            <w:tcBorders/>
            <w:vAlign w:val="bottom"/>
          </w:tcPr>
          <w:p>
            <w:pPr>
              <w:pStyle w:val="TableContents"/>
              <w:bidi w:val="0"/>
              <w:spacing w:before="0" w:after="283"/>
              <w:jc w:val="left"/>
              <w:rPr/>
            </w:pPr>
            <w:r>
              <w:rPr/>
              <w:t> </w:t>
            </w:r>
          </w:p>
        </w:tc>
      </w:tr>
      <w:tr>
        <w:trPr/>
        <w:tc>
          <w:tcPr>
            <w:tcW w:w="550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Great Lakes Portman Ridge Funding LLC Revolving Credit Facility (net of deferred financing costs of $1,198 and $1,322, respectively)</w:t>
            </w:r>
          </w:p>
        </w:tc>
        <w:tc>
          <w:tcPr>
            <w:tcW w:w="425" w:type="dxa"/>
            <w:tcBorders/>
            <w:shd w:fill="CCEEFF" w:val="clear"/>
            <w:vAlign w:val="bottom"/>
          </w:tcPr>
          <w:p>
            <w:pPr>
              <w:pStyle w:val="TableContents"/>
              <w:bidi w:val="0"/>
              <w:spacing w:before="0" w:after="283"/>
              <w:jc w:val="left"/>
              <w:rPr/>
            </w:pPr>
            <w:r>
              <w:rPr/>
              <w:t>  </w:t>
            </w:r>
          </w:p>
        </w:tc>
        <w:tc>
          <w:tcPr>
            <w:tcW w:w="222" w:type="dxa"/>
            <w:tcBorders/>
            <w:shd w:fill="CCEEFF" w:val="clear"/>
            <w:vAlign w:val="bottom"/>
          </w:tcPr>
          <w:p>
            <w:pPr>
              <w:pStyle w:val="TableContents"/>
              <w:bidi w:val="0"/>
              <w:spacing w:before="0" w:after="283"/>
              <w:jc w:val="left"/>
              <w:rPr/>
            </w:pPr>
            <w:r>
              <w:rPr/>
              <w:t> </w:t>
            </w:r>
          </w:p>
        </w:tc>
        <w:tc>
          <w:tcPr>
            <w:tcW w:w="1393" w:type="dxa"/>
            <w:tcBorders/>
            <w:shd w:fill="CCEEFF" w:val="clear"/>
            <w:vAlign w:val="bottom"/>
          </w:tcPr>
          <w:p>
            <w:pPr>
              <w:pStyle w:val="TableContents"/>
              <w:bidi w:val="0"/>
              <w:spacing w:before="0" w:after="283"/>
              <w:jc w:val="right"/>
              <w:rPr/>
            </w:pPr>
            <w:r>
              <w:rPr/>
              <w:t>146,181</w:t>
            </w:r>
          </w:p>
        </w:tc>
        <w:tc>
          <w:tcPr>
            <w:tcW w:w="155" w:type="dxa"/>
            <w:tcBorders/>
            <w:shd w:fill="CCEEFF" w:val="clear"/>
            <w:vAlign w:val="bottom"/>
          </w:tcPr>
          <w:p>
            <w:pPr>
              <w:pStyle w:val="TableContents"/>
              <w:bidi w:val="0"/>
              <w:spacing w:before="0" w:after="283"/>
              <w:jc w:val="left"/>
              <w:rPr/>
            </w:pPr>
            <w:r>
              <w:rPr/>
              <w:t> </w:t>
            </w:r>
          </w:p>
        </w:tc>
        <w:tc>
          <w:tcPr>
            <w:tcW w:w="374" w:type="dxa"/>
            <w:tcBorders/>
            <w:shd w:fill="CCEEFF" w:val="clear"/>
            <w:vAlign w:val="bottom"/>
          </w:tcPr>
          <w:p>
            <w:pPr>
              <w:pStyle w:val="TableContents"/>
              <w:bidi w:val="0"/>
              <w:spacing w:before="0" w:after="283"/>
              <w:jc w:val="left"/>
              <w:rPr/>
            </w:pPr>
            <w:r>
              <w:rPr/>
              <w:t> </w:t>
            </w:r>
          </w:p>
        </w:tc>
        <w:tc>
          <w:tcPr>
            <w:tcW w:w="269" w:type="dxa"/>
            <w:tcBorders/>
            <w:shd w:fill="CCEEFF" w:val="clear"/>
            <w:vAlign w:val="bottom"/>
          </w:tcPr>
          <w:p>
            <w:pPr>
              <w:pStyle w:val="TableContents"/>
              <w:bidi w:val="0"/>
              <w:spacing w:before="0" w:after="283"/>
              <w:jc w:val="left"/>
              <w:rPr/>
            </w:pPr>
            <w:r>
              <w:rPr/>
              <w:t> </w:t>
            </w:r>
          </w:p>
        </w:tc>
        <w:tc>
          <w:tcPr>
            <w:tcW w:w="1700" w:type="dxa"/>
            <w:tcBorders/>
            <w:shd w:fill="CCEEFF" w:val="clear"/>
            <w:vAlign w:val="bottom"/>
          </w:tcPr>
          <w:p>
            <w:pPr>
              <w:pStyle w:val="TableContents"/>
              <w:bidi w:val="0"/>
              <w:spacing w:before="0" w:after="283"/>
              <w:jc w:val="right"/>
              <w:rPr/>
            </w:pPr>
            <w:r>
              <w:rPr/>
              <w:t>158,157</w:t>
            </w:r>
          </w:p>
        </w:tc>
        <w:tc>
          <w:tcPr>
            <w:tcW w:w="160" w:type="dxa"/>
            <w:tcBorders/>
            <w:shd w:fill="CCEEFF" w:val="clear"/>
            <w:vAlign w:val="bottom"/>
          </w:tcPr>
          <w:p>
            <w:pPr>
              <w:pStyle w:val="TableContents"/>
              <w:bidi w:val="0"/>
              <w:spacing w:before="0" w:after="283"/>
              <w:jc w:val="left"/>
              <w:rPr/>
            </w:pPr>
            <w:r>
              <w:rPr/>
              <w:t> </w:t>
            </w:r>
          </w:p>
        </w:tc>
      </w:tr>
      <w:tr>
        <w:trPr/>
        <w:tc>
          <w:tcPr>
            <w:tcW w:w="5507" w:type="dxa"/>
            <w:tcBorders/>
          </w:tcPr>
          <w:p>
            <w:pPr>
              <w:pStyle w:val="TableContents"/>
              <w:bidi w:val="0"/>
              <w:spacing w:before="0" w:after="0"/>
              <w:jc w:val="left"/>
              <w:rPr>
                <w:rFonts w:ascii="Times New Roman" w:hAnsi="Times New Roman"/>
                <w:sz w:val="20"/>
              </w:rPr>
            </w:pPr>
            <w:r>
              <w:rPr>
                <w:rFonts w:ascii="Times New Roman" w:hAnsi="Times New Roman"/>
                <w:sz w:val="20"/>
              </w:rPr>
              <w:t>Accounts payable, accrued expenses and other liabilities</w:t>
            </w:r>
          </w:p>
        </w:tc>
        <w:tc>
          <w:tcPr>
            <w:tcW w:w="425"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 </w:t>
            </w:r>
          </w:p>
        </w:tc>
        <w:tc>
          <w:tcPr>
            <w:tcW w:w="1393" w:type="dxa"/>
            <w:tcBorders/>
            <w:vAlign w:val="bottom"/>
          </w:tcPr>
          <w:p>
            <w:pPr>
              <w:pStyle w:val="TableContents"/>
              <w:bidi w:val="0"/>
              <w:spacing w:before="0" w:after="283"/>
              <w:jc w:val="right"/>
              <w:rPr/>
            </w:pPr>
            <w:r>
              <w:rPr/>
              <w:t>4,900</w:t>
            </w:r>
          </w:p>
        </w:tc>
        <w:tc>
          <w:tcPr>
            <w:tcW w:w="155" w:type="dxa"/>
            <w:tcBorders/>
            <w:vAlign w:val="bottom"/>
          </w:tcPr>
          <w:p>
            <w:pPr>
              <w:pStyle w:val="TableContents"/>
              <w:bidi w:val="0"/>
              <w:spacing w:before="0" w:after="283"/>
              <w:jc w:val="left"/>
              <w:rPr/>
            </w:pPr>
            <w:r>
              <w:rPr/>
              <w:t> </w:t>
            </w:r>
          </w:p>
        </w:tc>
        <w:tc>
          <w:tcPr>
            <w:tcW w:w="374"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1700" w:type="dxa"/>
            <w:tcBorders/>
            <w:vAlign w:val="bottom"/>
          </w:tcPr>
          <w:p>
            <w:pPr>
              <w:pStyle w:val="TableContents"/>
              <w:bidi w:val="0"/>
              <w:spacing w:before="0" w:after="283"/>
              <w:jc w:val="right"/>
              <w:rPr/>
            </w:pPr>
            <w:r>
              <w:rPr/>
              <w:t>3,007</w:t>
            </w:r>
          </w:p>
        </w:tc>
        <w:tc>
          <w:tcPr>
            <w:tcW w:w="160" w:type="dxa"/>
            <w:tcBorders/>
            <w:vAlign w:val="bottom"/>
          </w:tcPr>
          <w:p>
            <w:pPr>
              <w:pStyle w:val="TableContents"/>
              <w:bidi w:val="0"/>
              <w:spacing w:before="0" w:after="283"/>
              <w:jc w:val="left"/>
              <w:rPr/>
            </w:pPr>
            <w:r>
              <w:rPr/>
              <w:t> </w:t>
            </w:r>
          </w:p>
        </w:tc>
      </w:tr>
      <w:tr>
        <w:trPr/>
        <w:tc>
          <w:tcPr>
            <w:tcW w:w="550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Accrued interest payable</w:t>
            </w:r>
          </w:p>
        </w:tc>
        <w:tc>
          <w:tcPr>
            <w:tcW w:w="425" w:type="dxa"/>
            <w:tcBorders/>
            <w:shd w:fill="CCEEFF" w:val="clear"/>
            <w:vAlign w:val="bottom"/>
          </w:tcPr>
          <w:p>
            <w:pPr>
              <w:pStyle w:val="TableContents"/>
              <w:bidi w:val="0"/>
              <w:spacing w:before="0" w:after="283"/>
              <w:jc w:val="left"/>
              <w:rPr/>
            </w:pPr>
            <w:r>
              <w:rPr/>
              <w:t>  </w:t>
            </w:r>
          </w:p>
        </w:tc>
        <w:tc>
          <w:tcPr>
            <w:tcW w:w="222" w:type="dxa"/>
            <w:tcBorders/>
            <w:shd w:fill="CCEEFF" w:val="clear"/>
            <w:vAlign w:val="bottom"/>
          </w:tcPr>
          <w:p>
            <w:pPr>
              <w:pStyle w:val="TableContents"/>
              <w:bidi w:val="0"/>
              <w:spacing w:before="0" w:after="283"/>
              <w:jc w:val="left"/>
              <w:rPr/>
            </w:pPr>
            <w:r>
              <w:rPr/>
              <w:t> </w:t>
            </w:r>
          </w:p>
        </w:tc>
        <w:tc>
          <w:tcPr>
            <w:tcW w:w="1393" w:type="dxa"/>
            <w:tcBorders/>
            <w:shd w:fill="CCEEFF" w:val="clear"/>
            <w:vAlign w:val="bottom"/>
          </w:tcPr>
          <w:p>
            <w:pPr>
              <w:pStyle w:val="TableContents"/>
              <w:bidi w:val="0"/>
              <w:spacing w:before="0" w:after="283"/>
              <w:jc w:val="right"/>
              <w:rPr/>
            </w:pPr>
            <w:r>
              <w:rPr/>
              <w:t>4,634</w:t>
            </w:r>
          </w:p>
        </w:tc>
        <w:tc>
          <w:tcPr>
            <w:tcW w:w="155" w:type="dxa"/>
            <w:tcBorders/>
            <w:shd w:fill="CCEEFF" w:val="clear"/>
            <w:vAlign w:val="bottom"/>
          </w:tcPr>
          <w:p>
            <w:pPr>
              <w:pStyle w:val="TableContents"/>
              <w:bidi w:val="0"/>
              <w:spacing w:before="0" w:after="283"/>
              <w:jc w:val="left"/>
              <w:rPr/>
            </w:pPr>
            <w:r>
              <w:rPr/>
              <w:t> </w:t>
            </w:r>
          </w:p>
        </w:tc>
        <w:tc>
          <w:tcPr>
            <w:tcW w:w="374" w:type="dxa"/>
            <w:tcBorders/>
            <w:shd w:fill="CCEEFF" w:val="clear"/>
            <w:vAlign w:val="bottom"/>
          </w:tcPr>
          <w:p>
            <w:pPr>
              <w:pStyle w:val="TableContents"/>
              <w:bidi w:val="0"/>
              <w:spacing w:before="0" w:after="283"/>
              <w:jc w:val="left"/>
              <w:rPr/>
            </w:pPr>
            <w:r>
              <w:rPr/>
              <w:t> </w:t>
            </w:r>
          </w:p>
        </w:tc>
        <w:tc>
          <w:tcPr>
            <w:tcW w:w="269" w:type="dxa"/>
            <w:tcBorders/>
            <w:shd w:fill="CCEEFF" w:val="clear"/>
            <w:vAlign w:val="bottom"/>
          </w:tcPr>
          <w:p>
            <w:pPr>
              <w:pStyle w:val="TableContents"/>
              <w:bidi w:val="0"/>
              <w:spacing w:before="0" w:after="283"/>
              <w:jc w:val="left"/>
              <w:rPr/>
            </w:pPr>
            <w:r>
              <w:rPr/>
              <w:t> </w:t>
            </w:r>
          </w:p>
        </w:tc>
        <w:tc>
          <w:tcPr>
            <w:tcW w:w="1700" w:type="dxa"/>
            <w:tcBorders/>
            <w:shd w:fill="CCEEFF" w:val="clear"/>
            <w:vAlign w:val="bottom"/>
          </w:tcPr>
          <w:p>
            <w:pPr>
              <w:pStyle w:val="TableContents"/>
              <w:bidi w:val="0"/>
              <w:spacing w:before="0" w:after="283"/>
              <w:jc w:val="right"/>
              <w:rPr/>
            </w:pPr>
            <w:r>
              <w:rPr/>
              <w:t>3,646</w:t>
            </w:r>
          </w:p>
        </w:tc>
        <w:tc>
          <w:tcPr>
            <w:tcW w:w="160" w:type="dxa"/>
            <w:tcBorders/>
            <w:shd w:fill="CCEEFF" w:val="clear"/>
            <w:vAlign w:val="bottom"/>
          </w:tcPr>
          <w:p>
            <w:pPr>
              <w:pStyle w:val="TableContents"/>
              <w:bidi w:val="0"/>
              <w:spacing w:before="0" w:after="283"/>
              <w:jc w:val="left"/>
              <w:rPr/>
            </w:pPr>
            <w:r>
              <w:rPr/>
              <w:t> </w:t>
            </w:r>
          </w:p>
        </w:tc>
      </w:tr>
      <w:tr>
        <w:trPr/>
        <w:tc>
          <w:tcPr>
            <w:tcW w:w="5507" w:type="dxa"/>
            <w:tcBorders/>
          </w:tcPr>
          <w:p>
            <w:pPr>
              <w:pStyle w:val="TableContents"/>
              <w:bidi w:val="0"/>
              <w:spacing w:before="0" w:after="0"/>
              <w:jc w:val="left"/>
              <w:rPr>
                <w:rFonts w:ascii="Times New Roman" w:hAnsi="Times New Roman"/>
                <w:sz w:val="20"/>
              </w:rPr>
            </w:pPr>
            <w:r>
              <w:rPr>
                <w:rFonts w:ascii="Times New Roman" w:hAnsi="Times New Roman"/>
                <w:sz w:val="20"/>
              </w:rPr>
              <w:t>Due to affiliates</w:t>
            </w:r>
          </w:p>
        </w:tc>
        <w:tc>
          <w:tcPr>
            <w:tcW w:w="425"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 </w:t>
            </w:r>
          </w:p>
        </w:tc>
        <w:tc>
          <w:tcPr>
            <w:tcW w:w="1393"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374"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1700" w:type="dxa"/>
            <w:tcBorders/>
            <w:vAlign w:val="bottom"/>
          </w:tcPr>
          <w:p>
            <w:pPr>
              <w:pStyle w:val="TableContents"/>
              <w:bidi w:val="0"/>
              <w:spacing w:before="0" w:after="283"/>
              <w:jc w:val="right"/>
              <w:rPr/>
            </w:pPr>
            <w:r>
              <w:rPr/>
              <w:t>635</w:t>
            </w:r>
          </w:p>
        </w:tc>
        <w:tc>
          <w:tcPr>
            <w:tcW w:w="160" w:type="dxa"/>
            <w:tcBorders/>
            <w:vAlign w:val="bottom"/>
          </w:tcPr>
          <w:p>
            <w:pPr>
              <w:pStyle w:val="TableContents"/>
              <w:bidi w:val="0"/>
              <w:spacing w:before="0" w:after="283"/>
              <w:jc w:val="left"/>
              <w:rPr/>
            </w:pPr>
            <w:r>
              <w:rPr/>
              <w:t> </w:t>
            </w:r>
          </w:p>
        </w:tc>
      </w:tr>
      <w:tr>
        <w:trPr/>
        <w:tc>
          <w:tcPr>
            <w:tcW w:w="550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Management and incentive fees payable</w:t>
            </w:r>
          </w:p>
        </w:tc>
        <w:tc>
          <w:tcPr>
            <w:tcW w:w="425" w:type="dxa"/>
            <w:tcBorders/>
            <w:shd w:fill="CCEEFF" w:val="clear"/>
            <w:vAlign w:val="bottom"/>
          </w:tcPr>
          <w:p>
            <w:pPr>
              <w:pStyle w:val="TableContents"/>
              <w:bidi w:val="0"/>
              <w:spacing w:before="0" w:after="283"/>
              <w:jc w:val="left"/>
              <w:rPr/>
            </w:pPr>
            <w:r>
              <w:rPr/>
              <w:t>  </w:t>
            </w:r>
          </w:p>
        </w:tc>
        <w:tc>
          <w:tcPr>
            <w:tcW w:w="222" w:type="dxa"/>
            <w:tcBorders/>
            <w:shd w:fill="CCEEFF" w:val="clear"/>
            <w:vAlign w:val="bottom"/>
          </w:tcPr>
          <w:p>
            <w:pPr>
              <w:pStyle w:val="TableContents"/>
              <w:bidi w:val="0"/>
              <w:spacing w:before="0" w:after="283"/>
              <w:jc w:val="left"/>
              <w:rPr/>
            </w:pPr>
            <w:r>
              <w:rPr/>
              <w:t> </w:t>
            </w:r>
          </w:p>
        </w:tc>
        <w:tc>
          <w:tcPr>
            <w:tcW w:w="1393" w:type="dxa"/>
            <w:tcBorders/>
            <w:shd w:fill="CCEEFF" w:val="clear"/>
            <w:vAlign w:val="bottom"/>
          </w:tcPr>
          <w:p>
            <w:pPr>
              <w:pStyle w:val="TableContents"/>
              <w:bidi w:val="0"/>
              <w:spacing w:before="0" w:after="283"/>
              <w:jc w:val="right"/>
              <w:rPr/>
            </w:pPr>
            <w:r>
              <w:rPr/>
              <w:t>2,386</w:t>
            </w:r>
          </w:p>
        </w:tc>
        <w:tc>
          <w:tcPr>
            <w:tcW w:w="155" w:type="dxa"/>
            <w:tcBorders/>
            <w:shd w:fill="CCEEFF" w:val="clear"/>
            <w:vAlign w:val="bottom"/>
          </w:tcPr>
          <w:p>
            <w:pPr>
              <w:pStyle w:val="TableContents"/>
              <w:bidi w:val="0"/>
              <w:spacing w:before="0" w:after="283"/>
              <w:jc w:val="left"/>
              <w:rPr/>
            </w:pPr>
            <w:r>
              <w:rPr/>
              <w:t> </w:t>
            </w:r>
          </w:p>
        </w:tc>
        <w:tc>
          <w:tcPr>
            <w:tcW w:w="374" w:type="dxa"/>
            <w:tcBorders/>
            <w:shd w:fill="CCEEFF" w:val="clear"/>
            <w:vAlign w:val="bottom"/>
          </w:tcPr>
          <w:p>
            <w:pPr>
              <w:pStyle w:val="TableContents"/>
              <w:bidi w:val="0"/>
              <w:spacing w:before="0" w:after="283"/>
              <w:jc w:val="left"/>
              <w:rPr/>
            </w:pPr>
            <w:r>
              <w:rPr/>
              <w:t> </w:t>
            </w:r>
          </w:p>
        </w:tc>
        <w:tc>
          <w:tcPr>
            <w:tcW w:w="269" w:type="dxa"/>
            <w:tcBorders/>
            <w:shd w:fill="CCEEFF" w:val="clear"/>
            <w:vAlign w:val="bottom"/>
          </w:tcPr>
          <w:p>
            <w:pPr>
              <w:pStyle w:val="TableContents"/>
              <w:bidi w:val="0"/>
              <w:spacing w:before="0" w:after="283"/>
              <w:jc w:val="left"/>
              <w:rPr/>
            </w:pPr>
            <w:r>
              <w:rPr/>
              <w:t> </w:t>
            </w:r>
          </w:p>
        </w:tc>
        <w:tc>
          <w:tcPr>
            <w:tcW w:w="1700" w:type="dxa"/>
            <w:tcBorders/>
            <w:shd w:fill="CCEEFF" w:val="clear"/>
            <w:vAlign w:val="bottom"/>
          </w:tcPr>
          <w:p>
            <w:pPr>
              <w:pStyle w:val="TableContents"/>
              <w:bidi w:val="0"/>
              <w:spacing w:before="0" w:after="283"/>
              <w:jc w:val="right"/>
              <w:rPr/>
            </w:pPr>
            <w:r>
              <w:rPr/>
              <w:t>2,713</w:t>
            </w:r>
          </w:p>
        </w:tc>
        <w:tc>
          <w:tcPr>
            <w:tcW w:w="160" w:type="dxa"/>
            <w:tcBorders/>
            <w:shd w:fill="CCEEFF" w:val="clear"/>
            <w:vAlign w:val="bottom"/>
          </w:tcPr>
          <w:p>
            <w:pPr>
              <w:pStyle w:val="TableContents"/>
              <w:bidi w:val="0"/>
              <w:spacing w:before="0" w:after="283"/>
              <w:jc w:val="left"/>
              <w:rPr/>
            </w:pPr>
            <w:r>
              <w:rPr/>
              <w:t> </w:t>
            </w:r>
          </w:p>
        </w:tc>
      </w:tr>
      <w:tr>
        <w:trPr/>
        <w:tc>
          <w:tcPr>
            <w:tcW w:w="5507" w:type="dxa"/>
            <w:tcBorders/>
            <w:vAlign w:val="bottom"/>
          </w:tcPr>
          <w:p>
            <w:pPr>
              <w:pStyle w:val="TableContents"/>
              <w:bidi w:val="0"/>
              <w:spacing w:before="0" w:after="283"/>
              <w:jc w:val="left"/>
              <w:rPr>
                <w:sz w:val="4"/>
                <w:szCs w:val="4"/>
              </w:rPr>
            </w:pPr>
            <w:r>
              <w:rPr>
                <w:sz w:val="4"/>
                <w:szCs w:val="4"/>
              </w:rPr>
            </w:r>
          </w:p>
        </w:tc>
        <w:tc>
          <w:tcPr>
            <w:tcW w:w="425" w:type="dxa"/>
            <w:tcBorders/>
            <w:vAlign w:val="bottom"/>
          </w:tcPr>
          <w:p>
            <w:pPr>
              <w:pStyle w:val="TableContents"/>
              <w:bidi w:val="0"/>
              <w:spacing w:before="0" w:after="283"/>
              <w:jc w:val="left"/>
              <w:rPr/>
            </w:pPr>
            <w:r>
              <w:rPr/>
              <w:t>  </w:t>
            </w:r>
          </w:p>
        </w:tc>
        <w:tc>
          <w:tcPr>
            <w:tcW w:w="222" w:type="dxa"/>
            <w:tcBorders/>
            <w:vAlign w:val="bottom"/>
          </w:tcPr>
          <w:p>
            <w:pPr>
              <w:pStyle w:val="TableContents"/>
              <w:pBdr>
                <w:top w:val="single" w:sz="2" w:space="1" w:color="000000"/>
              </w:pBdr>
              <w:bidi w:val="0"/>
              <w:spacing w:before="0" w:after="0"/>
              <w:jc w:val="left"/>
              <w:rPr/>
            </w:pPr>
            <w:r>
              <w:rPr/>
              <w:t> </w:t>
            </w:r>
          </w:p>
        </w:tc>
        <w:tc>
          <w:tcPr>
            <w:tcW w:w="139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74" w:type="dxa"/>
            <w:tcBorders/>
            <w:vAlign w:val="bottom"/>
          </w:tcPr>
          <w:p>
            <w:pPr>
              <w:pStyle w:val="TableContents"/>
              <w:bidi w:val="0"/>
              <w:spacing w:before="0" w:after="283"/>
              <w:jc w:val="left"/>
              <w:rPr/>
            </w:pPr>
            <w:r>
              <w:rPr/>
              <w:t> </w:t>
            </w:r>
          </w:p>
        </w:tc>
        <w:tc>
          <w:tcPr>
            <w:tcW w:w="269" w:type="dxa"/>
            <w:tcBorders/>
            <w:vAlign w:val="bottom"/>
          </w:tcPr>
          <w:p>
            <w:pPr>
              <w:pStyle w:val="TableContents"/>
              <w:pBdr>
                <w:top w:val="single" w:sz="2" w:space="1" w:color="000000"/>
              </w:pBdr>
              <w:bidi w:val="0"/>
              <w:spacing w:before="0" w:after="0"/>
              <w:jc w:val="left"/>
              <w:rPr/>
            </w:pPr>
            <w:r>
              <w:rPr/>
              <w:t> </w:t>
            </w:r>
          </w:p>
        </w:tc>
        <w:tc>
          <w:tcPr>
            <w:tcW w:w="1700"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5507" w:type="dxa"/>
            <w:tcBorders/>
          </w:tcPr>
          <w:p>
            <w:pPr>
              <w:pStyle w:val="TableContents"/>
              <w:bidi w:val="0"/>
              <w:spacing w:before="0" w:after="0"/>
              <w:jc w:val="left"/>
              <w:rPr>
                <w:rFonts w:ascii="Times New Roman" w:hAnsi="Times New Roman"/>
                <w:b/>
                <w:sz w:val="20"/>
              </w:rPr>
            </w:pPr>
            <w:r>
              <w:rPr>
                <w:rFonts w:ascii="Times New Roman" w:hAnsi="Times New Roman"/>
                <w:b/>
                <w:sz w:val="20"/>
              </w:rPr>
              <w:t>Total Liabilities</w:t>
            </w:r>
          </w:p>
        </w:tc>
        <w:tc>
          <w:tcPr>
            <w:tcW w:w="425"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w:t>
            </w:r>
          </w:p>
        </w:tc>
        <w:tc>
          <w:tcPr>
            <w:tcW w:w="1393" w:type="dxa"/>
            <w:tcBorders/>
            <w:vAlign w:val="bottom"/>
          </w:tcPr>
          <w:p>
            <w:pPr>
              <w:pStyle w:val="TableContents"/>
              <w:bidi w:val="0"/>
              <w:spacing w:before="0" w:after="283"/>
              <w:jc w:val="right"/>
              <w:rPr/>
            </w:pPr>
            <w:r>
              <w:rPr/>
              <w:t>265,269</w:t>
            </w:r>
          </w:p>
        </w:tc>
        <w:tc>
          <w:tcPr>
            <w:tcW w:w="155" w:type="dxa"/>
            <w:tcBorders/>
            <w:vAlign w:val="bottom"/>
          </w:tcPr>
          <w:p>
            <w:pPr>
              <w:pStyle w:val="TableContents"/>
              <w:bidi w:val="0"/>
              <w:spacing w:before="0" w:after="283"/>
              <w:jc w:val="left"/>
              <w:rPr/>
            </w:pPr>
            <w:r>
              <w:rPr/>
              <w:t> </w:t>
            </w:r>
          </w:p>
        </w:tc>
        <w:tc>
          <w:tcPr>
            <w:tcW w:w="374"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w:t>
            </w:r>
          </w:p>
        </w:tc>
        <w:tc>
          <w:tcPr>
            <w:tcW w:w="1700" w:type="dxa"/>
            <w:tcBorders/>
            <w:vAlign w:val="bottom"/>
          </w:tcPr>
          <w:p>
            <w:pPr>
              <w:pStyle w:val="TableContents"/>
              <w:bidi w:val="0"/>
              <w:spacing w:before="0" w:after="283"/>
              <w:jc w:val="right"/>
              <w:rPr/>
            </w:pPr>
            <w:r>
              <w:rPr/>
              <w:t>275,141</w:t>
            </w:r>
          </w:p>
        </w:tc>
        <w:tc>
          <w:tcPr>
            <w:tcW w:w="160" w:type="dxa"/>
            <w:tcBorders/>
            <w:vAlign w:val="bottom"/>
          </w:tcPr>
          <w:p>
            <w:pPr>
              <w:pStyle w:val="TableContents"/>
              <w:bidi w:val="0"/>
              <w:spacing w:before="0" w:after="283"/>
              <w:jc w:val="left"/>
              <w:rPr/>
            </w:pPr>
            <w:r>
              <w:rPr/>
              <w:t> </w:t>
            </w:r>
          </w:p>
        </w:tc>
      </w:tr>
      <w:tr>
        <w:trPr/>
        <w:tc>
          <w:tcPr>
            <w:tcW w:w="5507"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COMMITMENTS AND CONTINGENCIES</w:t>
            </w:r>
          </w:p>
        </w:tc>
        <w:tc>
          <w:tcPr>
            <w:tcW w:w="425" w:type="dxa"/>
            <w:tcBorders/>
            <w:shd w:fill="CCEEFF" w:val="clear"/>
            <w:vAlign w:val="bottom"/>
          </w:tcPr>
          <w:p>
            <w:pPr>
              <w:pStyle w:val="TableContents"/>
              <w:bidi w:val="0"/>
              <w:spacing w:before="0" w:after="283"/>
              <w:jc w:val="left"/>
              <w:rPr/>
            </w:pPr>
            <w:r>
              <w:rPr/>
              <w:t>  </w:t>
            </w:r>
          </w:p>
        </w:tc>
        <w:tc>
          <w:tcPr>
            <w:tcW w:w="222" w:type="dxa"/>
            <w:tcBorders/>
            <w:shd w:fill="CCEEFF" w:val="clear"/>
            <w:vAlign w:val="bottom"/>
          </w:tcPr>
          <w:p>
            <w:pPr>
              <w:pStyle w:val="TableContents"/>
              <w:bidi w:val="0"/>
              <w:spacing w:before="0" w:after="283"/>
              <w:jc w:val="left"/>
              <w:rPr>
                <w:sz w:val="4"/>
                <w:szCs w:val="4"/>
              </w:rPr>
            </w:pPr>
            <w:r>
              <w:rPr>
                <w:sz w:val="4"/>
                <w:szCs w:val="4"/>
              </w:rPr>
            </w:r>
          </w:p>
        </w:tc>
        <w:tc>
          <w:tcPr>
            <w:tcW w:w="1393"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374" w:type="dxa"/>
            <w:tcBorders/>
            <w:shd w:fill="CCEEFF" w:val="clear"/>
            <w:vAlign w:val="bottom"/>
          </w:tcPr>
          <w:p>
            <w:pPr>
              <w:pStyle w:val="TableContents"/>
              <w:bidi w:val="0"/>
              <w:spacing w:before="0" w:after="283"/>
              <w:jc w:val="left"/>
              <w:rPr/>
            </w:pPr>
            <w:r>
              <w:rPr/>
              <w:t> </w:t>
            </w:r>
          </w:p>
        </w:tc>
        <w:tc>
          <w:tcPr>
            <w:tcW w:w="269" w:type="dxa"/>
            <w:tcBorders/>
            <w:shd w:fill="CCEEFF" w:val="clear"/>
            <w:vAlign w:val="bottom"/>
          </w:tcPr>
          <w:p>
            <w:pPr>
              <w:pStyle w:val="TableContents"/>
              <w:bidi w:val="0"/>
              <w:spacing w:before="0" w:after="283"/>
              <w:jc w:val="left"/>
              <w:rPr>
                <w:sz w:val="4"/>
                <w:szCs w:val="4"/>
              </w:rPr>
            </w:pPr>
            <w:r>
              <w:rPr>
                <w:sz w:val="4"/>
                <w:szCs w:val="4"/>
              </w:rPr>
            </w:r>
          </w:p>
        </w:tc>
        <w:tc>
          <w:tcPr>
            <w:tcW w:w="1700" w:type="dxa"/>
            <w:tcBorders/>
            <w:shd w:fill="CCEEFF" w:val="clear"/>
            <w:vAlign w:val="bottom"/>
          </w:tcPr>
          <w:p>
            <w:pPr>
              <w:pStyle w:val="TableContents"/>
              <w:bidi w:val="0"/>
              <w:spacing w:before="0" w:after="283"/>
              <w:jc w:val="left"/>
              <w:rPr>
                <w:sz w:val="4"/>
                <w:szCs w:val="4"/>
              </w:rPr>
            </w:pPr>
            <w:r>
              <w:rPr>
                <w:sz w:val="4"/>
                <w:szCs w:val="4"/>
              </w:rPr>
            </w:r>
          </w:p>
        </w:tc>
        <w:tc>
          <w:tcPr>
            <w:tcW w:w="160" w:type="dxa"/>
            <w:tcBorders/>
            <w:shd w:fill="CCEEFF" w:val="clear"/>
            <w:vAlign w:val="bottom"/>
          </w:tcPr>
          <w:p>
            <w:pPr>
              <w:pStyle w:val="TableContents"/>
              <w:bidi w:val="0"/>
              <w:spacing w:before="0" w:after="283"/>
              <w:jc w:val="left"/>
              <w:rPr>
                <w:sz w:val="4"/>
                <w:szCs w:val="4"/>
              </w:rPr>
            </w:pPr>
            <w:r>
              <w:rPr>
                <w:sz w:val="4"/>
                <w:szCs w:val="4"/>
              </w:rPr>
            </w:r>
          </w:p>
        </w:tc>
      </w:tr>
      <w:tr>
        <w:trPr/>
        <w:tc>
          <w:tcPr>
            <w:tcW w:w="5507"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NET ASSETS</w:t>
            </w:r>
          </w:p>
        </w:tc>
        <w:tc>
          <w:tcPr>
            <w:tcW w:w="425"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sz w:val="4"/>
                <w:szCs w:val="4"/>
              </w:rPr>
            </w:pPr>
            <w:r>
              <w:rPr>
                <w:sz w:val="4"/>
                <w:szCs w:val="4"/>
              </w:rPr>
            </w:r>
          </w:p>
        </w:tc>
        <w:tc>
          <w:tcPr>
            <w:tcW w:w="1393"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374"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sz w:val="4"/>
                <w:szCs w:val="4"/>
              </w:rPr>
            </w:pPr>
            <w:r>
              <w:rPr>
                <w:sz w:val="4"/>
                <w:szCs w:val="4"/>
              </w:rPr>
            </w:r>
          </w:p>
        </w:tc>
        <w:tc>
          <w:tcPr>
            <w:tcW w:w="1700" w:type="dxa"/>
            <w:tcBorders/>
            <w:vAlign w:val="bottom"/>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sz w:val="4"/>
                <w:szCs w:val="4"/>
              </w:rPr>
            </w:pPr>
            <w:r>
              <w:rPr>
                <w:sz w:val="4"/>
                <w:szCs w:val="4"/>
              </w:rPr>
            </w:r>
          </w:p>
        </w:tc>
      </w:tr>
      <w:tr>
        <w:trPr/>
        <w:tc>
          <w:tcPr>
            <w:tcW w:w="550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Common stock, par value $0.01 per share, 20,000,000 common shares authorized; 9,965,480 issued, and 9,202,870 outstanding at March 31, 2025, and 9,960,785 issued, and 9,198,175 outstanding at December 31, 2024</w:t>
            </w:r>
          </w:p>
        </w:tc>
        <w:tc>
          <w:tcPr>
            <w:tcW w:w="425" w:type="dxa"/>
            <w:tcBorders/>
            <w:shd w:fill="CCEEFF" w:val="clear"/>
            <w:vAlign w:val="bottom"/>
          </w:tcPr>
          <w:p>
            <w:pPr>
              <w:pStyle w:val="TableContents"/>
              <w:bidi w:val="0"/>
              <w:spacing w:before="0" w:after="283"/>
              <w:jc w:val="left"/>
              <w:rPr/>
            </w:pPr>
            <w:r>
              <w:rPr/>
              <w:t>  </w:t>
            </w:r>
          </w:p>
        </w:tc>
        <w:tc>
          <w:tcPr>
            <w:tcW w:w="222" w:type="dxa"/>
            <w:tcBorders/>
            <w:shd w:fill="CCEEFF" w:val="clear"/>
            <w:vAlign w:val="bottom"/>
          </w:tcPr>
          <w:p>
            <w:pPr>
              <w:pStyle w:val="TableContents"/>
              <w:bidi w:val="0"/>
              <w:spacing w:before="0" w:after="283"/>
              <w:jc w:val="left"/>
              <w:rPr/>
            </w:pPr>
            <w:r>
              <w:rPr/>
              <w:t>$</w:t>
            </w:r>
          </w:p>
        </w:tc>
        <w:tc>
          <w:tcPr>
            <w:tcW w:w="1393" w:type="dxa"/>
            <w:tcBorders/>
            <w:shd w:fill="CCEEFF" w:val="clear"/>
            <w:vAlign w:val="bottom"/>
          </w:tcPr>
          <w:p>
            <w:pPr>
              <w:pStyle w:val="TableContents"/>
              <w:bidi w:val="0"/>
              <w:spacing w:before="0" w:after="283"/>
              <w:jc w:val="right"/>
              <w:rPr/>
            </w:pPr>
            <w:r>
              <w:rPr/>
              <w:t>92</w:t>
            </w:r>
          </w:p>
        </w:tc>
        <w:tc>
          <w:tcPr>
            <w:tcW w:w="155" w:type="dxa"/>
            <w:tcBorders/>
            <w:shd w:fill="CCEEFF" w:val="clear"/>
            <w:vAlign w:val="bottom"/>
          </w:tcPr>
          <w:p>
            <w:pPr>
              <w:pStyle w:val="TableContents"/>
              <w:bidi w:val="0"/>
              <w:spacing w:before="0" w:after="283"/>
              <w:jc w:val="left"/>
              <w:rPr/>
            </w:pPr>
            <w:r>
              <w:rPr/>
              <w:t> </w:t>
            </w:r>
          </w:p>
        </w:tc>
        <w:tc>
          <w:tcPr>
            <w:tcW w:w="374" w:type="dxa"/>
            <w:tcBorders/>
            <w:shd w:fill="CCEEFF" w:val="clear"/>
            <w:vAlign w:val="bottom"/>
          </w:tcPr>
          <w:p>
            <w:pPr>
              <w:pStyle w:val="TableContents"/>
              <w:bidi w:val="0"/>
              <w:spacing w:before="0" w:after="283"/>
              <w:jc w:val="left"/>
              <w:rPr/>
            </w:pPr>
            <w:r>
              <w:rPr/>
              <w:t> </w:t>
            </w:r>
          </w:p>
        </w:tc>
        <w:tc>
          <w:tcPr>
            <w:tcW w:w="269" w:type="dxa"/>
            <w:tcBorders/>
            <w:shd w:fill="CCEEFF" w:val="clear"/>
            <w:vAlign w:val="bottom"/>
          </w:tcPr>
          <w:p>
            <w:pPr>
              <w:pStyle w:val="TableContents"/>
              <w:bidi w:val="0"/>
              <w:spacing w:before="0" w:after="283"/>
              <w:jc w:val="left"/>
              <w:rPr/>
            </w:pPr>
            <w:r>
              <w:rPr/>
              <w:t>$</w:t>
            </w:r>
          </w:p>
        </w:tc>
        <w:tc>
          <w:tcPr>
            <w:tcW w:w="1700" w:type="dxa"/>
            <w:tcBorders/>
            <w:shd w:fill="CCEEFF" w:val="clear"/>
            <w:vAlign w:val="bottom"/>
          </w:tcPr>
          <w:p>
            <w:pPr>
              <w:pStyle w:val="TableContents"/>
              <w:bidi w:val="0"/>
              <w:spacing w:before="0" w:after="283"/>
              <w:jc w:val="right"/>
              <w:rPr/>
            </w:pPr>
            <w:r>
              <w:rPr/>
              <w:t>92</w:t>
            </w:r>
          </w:p>
        </w:tc>
        <w:tc>
          <w:tcPr>
            <w:tcW w:w="160" w:type="dxa"/>
            <w:tcBorders/>
            <w:shd w:fill="CCEEFF" w:val="clear"/>
            <w:vAlign w:val="bottom"/>
          </w:tcPr>
          <w:p>
            <w:pPr>
              <w:pStyle w:val="TableContents"/>
              <w:bidi w:val="0"/>
              <w:spacing w:before="0" w:after="283"/>
              <w:jc w:val="left"/>
              <w:rPr/>
            </w:pPr>
            <w:r>
              <w:rPr/>
              <w:t> </w:t>
            </w:r>
          </w:p>
        </w:tc>
      </w:tr>
      <w:tr>
        <w:trPr/>
        <w:tc>
          <w:tcPr>
            <w:tcW w:w="5507" w:type="dxa"/>
            <w:tcBorders/>
          </w:tcPr>
          <w:p>
            <w:pPr>
              <w:pStyle w:val="TableContents"/>
              <w:bidi w:val="0"/>
              <w:spacing w:before="0" w:after="0"/>
              <w:jc w:val="left"/>
              <w:rPr>
                <w:rFonts w:ascii="Times New Roman" w:hAnsi="Times New Roman"/>
                <w:sz w:val="20"/>
              </w:rPr>
            </w:pPr>
            <w:r>
              <w:rPr>
                <w:rFonts w:ascii="Times New Roman" w:hAnsi="Times New Roman"/>
                <w:sz w:val="20"/>
              </w:rPr>
              <w:t>Capital in excess of par value</w:t>
            </w:r>
          </w:p>
        </w:tc>
        <w:tc>
          <w:tcPr>
            <w:tcW w:w="425"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 </w:t>
            </w:r>
          </w:p>
        </w:tc>
        <w:tc>
          <w:tcPr>
            <w:tcW w:w="1393" w:type="dxa"/>
            <w:tcBorders/>
            <w:vAlign w:val="bottom"/>
          </w:tcPr>
          <w:p>
            <w:pPr>
              <w:pStyle w:val="TableContents"/>
              <w:bidi w:val="0"/>
              <w:spacing w:before="0" w:after="283"/>
              <w:jc w:val="right"/>
              <w:rPr/>
            </w:pPr>
            <w:r>
              <w:rPr/>
              <w:t>714,398</w:t>
            </w:r>
          </w:p>
        </w:tc>
        <w:tc>
          <w:tcPr>
            <w:tcW w:w="155" w:type="dxa"/>
            <w:tcBorders/>
            <w:vAlign w:val="bottom"/>
          </w:tcPr>
          <w:p>
            <w:pPr>
              <w:pStyle w:val="TableContents"/>
              <w:bidi w:val="0"/>
              <w:spacing w:before="0" w:after="283"/>
              <w:jc w:val="left"/>
              <w:rPr/>
            </w:pPr>
            <w:r>
              <w:rPr/>
              <w:t> </w:t>
            </w:r>
          </w:p>
        </w:tc>
        <w:tc>
          <w:tcPr>
            <w:tcW w:w="374"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1700" w:type="dxa"/>
            <w:tcBorders/>
            <w:vAlign w:val="bottom"/>
          </w:tcPr>
          <w:p>
            <w:pPr>
              <w:pStyle w:val="TableContents"/>
              <w:bidi w:val="0"/>
              <w:spacing w:before="0" w:after="283"/>
              <w:jc w:val="right"/>
              <w:rPr/>
            </w:pPr>
            <w:r>
              <w:rPr/>
              <w:t>714,331</w:t>
            </w:r>
          </w:p>
        </w:tc>
        <w:tc>
          <w:tcPr>
            <w:tcW w:w="160" w:type="dxa"/>
            <w:tcBorders/>
            <w:vAlign w:val="bottom"/>
          </w:tcPr>
          <w:p>
            <w:pPr>
              <w:pStyle w:val="TableContents"/>
              <w:bidi w:val="0"/>
              <w:spacing w:before="0" w:after="283"/>
              <w:jc w:val="left"/>
              <w:rPr/>
            </w:pPr>
            <w:r>
              <w:rPr/>
              <w:t> </w:t>
            </w:r>
          </w:p>
        </w:tc>
      </w:tr>
      <w:tr>
        <w:trPr/>
        <w:tc>
          <w:tcPr>
            <w:tcW w:w="550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distributable (loss) earnings</w:t>
            </w:r>
          </w:p>
        </w:tc>
        <w:tc>
          <w:tcPr>
            <w:tcW w:w="425" w:type="dxa"/>
            <w:tcBorders/>
            <w:shd w:fill="CCEEFF" w:val="clear"/>
            <w:vAlign w:val="bottom"/>
          </w:tcPr>
          <w:p>
            <w:pPr>
              <w:pStyle w:val="TableContents"/>
              <w:bidi w:val="0"/>
              <w:spacing w:before="0" w:after="283"/>
              <w:jc w:val="left"/>
              <w:rPr/>
            </w:pPr>
            <w:r>
              <w:rPr/>
              <w:t>  </w:t>
            </w:r>
          </w:p>
        </w:tc>
        <w:tc>
          <w:tcPr>
            <w:tcW w:w="222" w:type="dxa"/>
            <w:tcBorders/>
            <w:shd w:fill="CCEEFF" w:val="clear"/>
            <w:vAlign w:val="bottom"/>
          </w:tcPr>
          <w:p>
            <w:pPr>
              <w:pStyle w:val="TableContents"/>
              <w:bidi w:val="0"/>
              <w:spacing w:before="0" w:after="283"/>
              <w:jc w:val="left"/>
              <w:rPr/>
            </w:pPr>
            <w:r>
              <w:rPr/>
              <w:t> </w:t>
            </w:r>
          </w:p>
        </w:tc>
        <w:tc>
          <w:tcPr>
            <w:tcW w:w="1393" w:type="dxa"/>
            <w:tcBorders/>
            <w:shd w:fill="CCEEFF" w:val="clear"/>
            <w:vAlign w:val="bottom"/>
          </w:tcPr>
          <w:p>
            <w:pPr>
              <w:pStyle w:val="TableContents"/>
              <w:bidi w:val="0"/>
              <w:spacing w:before="0" w:after="283"/>
              <w:jc w:val="right"/>
              <w:rPr/>
            </w:pPr>
            <w:r>
              <w:rPr/>
              <w:t>(540,979</w:t>
            </w:r>
          </w:p>
        </w:tc>
        <w:tc>
          <w:tcPr>
            <w:tcW w:w="155" w:type="dxa"/>
            <w:tcBorders/>
            <w:shd w:fill="CCEEFF" w:val="clear"/>
            <w:vAlign w:val="bottom"/>
          </w:tcPr>
          <w:p>
            <w:pPr>
              <w:pStyle w:val="TableContents"/>
              <w:bidi w:val="0"/>
              <w:spacing w:before="0" w:after="283"/>
              <w:jc w:val="left"/>
              <w:rPr/>
            </w:pPr>
            <w:r>
              <w:rPr/>
              <w:t>) </w:t>
            </w:r>
          </w:p>
        </w:tc>
        <w:tc>
          <w:tcPr>
            <w:tcW w:w="374" w:type="dxa"/>
            <w:tcBorders/>
            <w:shd w:fill="CCEEFF" w:val="clear"/>
            <w:vAlign w:val="bottom"/>
          </w:tcPr>
          <w:p>
            <w:pPr>
              <w:pStyle w:val="TableContents"/>
              <w:bidi w:val="0"/>
              <w:spacing w:before="0" w:after="283"/>
              <w:jc w:val="left"/>
              <w:rPr/>
            </w:pPr>
            <w:r>
              <w:rPr/>
              <w:t> </w:t>
            </w:r>
          </w:p>
        </w:tc>
        <w:tc>
          <w:tcPr>
            <w:tcW w:w="269" w:type="dxa"/>
            <w:tcBorders/>
            <w:shd w:fill="CCEEFF" w:val="clear"/>
            <w:vAlign w:val="bottom"/>
          </w:tcPr>
          <w:p>
            <w:pPr>
              <w:pStyle w:val="TableContents"/>
              <w:bidi w:val="0"/>
              <w:spacing w:before="0" w:after="283"/>
              <w:jc w:val="left"/>
              <w:rPr/>
            </w:pPr>
            <w:r>
              <w:rPr/>
              <w:t> </w:t>
            </w:r>
          </w:p>
        </w:tc>
        <w:tc>
          <w:tcPr>
            <w:tcW w:w="1700" w:type="dxa"/>
            <w:tcBorders/>
            <w:shd w:fill="CCEEFF" w:val="clear"/>
            <w:vAlign w:val="bottom"/>
          </w:tcPr>
          <w:p>
            <w:pPr>
              <w:pStyle w:val="TableContents"/>
              <w:bidi w:val="0"/>
              <w:spacing w:before="0" w:after="283"/>
              <w:jc w:val="right"/>
              <w:rPr/>
            </w:pPr>
            <w:r>
              <w:rPr/>
              <w:t>(535,930</w:t>
            </w:r>
          </w:p>
        </w:tc>
        <w:tc>
          <w:tcPr>
            <w:tcW w:w="160" w:type="dxa"/>
            <w:tcBorders/>
            <w:shd w:fill="CCEEFF" w:val="clear"/>
            <w:vAlign w:val="bottom"/>
          </w:tcPr>
          <w:p>
            <w:pPr>
              <w:pStyle w:val="TableContents"/>
              <w:bidi w:val="0"/>
              <w:spacing w:before="0" w:after="283"/>
              <w:jc w:val="left"/>
              <w:rPr/>
            </w:pPr>
            <w:r>
              <w:rPr/>
              <w:t>) </w:t>
            </w:r>
          </w:p>
        </w:tc>
      </w:tr>
      <w:tr>
        <w:trPr/>
        <w:tc>
          <w:tcPr>
            <w:tcW w:w="5507" w:type="dxa"/>
            <w:tcBorders/>
            <w:vAlign w:val="bottom"/>
          </w:tcPr>
          <w:p>
            <w:pPr>
              <w:pStyle w:val="TableContents"/>
              <w:bidi w:val="0"/>
              <w:spacing w:before="0" w:after="283"/>
              <w:jc w:val="left"/>
              <w:rPr>
                <w:sz w:val="4"/>
                <w:szCs w:val="4"/>
              </w:rPr>
            </w:pPr>
            <w:r>
              <w:rPr>
                <w:sz w:val="4"/>
                <w:szCs w:val="4"/>
              </w:rPr>
            </w:r>
          </w:p>
        </w:tc>
        <w:tc>
          <w:tcPr>
            <w:tcW w:w="425" w:type="dxa"/>
            <w:tcBorders/>
            <w:vAlign w:val="bottom"/>
          </w:tcPr>
          <w:p>
            <w:pPr>
              <w:pStyle w:val="TableContents"/>
              <w:bidi w:val="0"/>
              <w:spacing w:before="0" w:after="283"/>
              <w:jc w:val="left"/>
              <w:rPr/>
            </w:pPr>
            <w:r>
              <w:rPr/>
              <w:t>  </w:t>
            </w:r>
          </w:p>
        </w:tc>
        <w:tc>
          <w:tcPr>
            <w:tcW w:w="222" w:type="dxa"/>
            <w:tcBorders/>
            <w:vAlign w:val="bottom"/>
          </w:tcPr>
          <w:p>
            <w:pPr>
              <w:pStyle w:val="TableContents"/>
              <w:pBdr>
                <w:top w:val="single" w:sz="2" w:space="1" w:color="000000"/>
              </w:pBdr>
              <w:bidi w:val="0"/>
              <w:spacing w:before="0" w:after="0"/>
              <w:jc w:val="left"/>
              <w:rPr/>
            </w:pPr>
            <w:r>
              <w:rPr/>
              <w:t> </w:t>
            </w:r>
          </w:p>
        </w:tc>
        <w:tc>
          <w:tcPr>
            <w:tcW w:w="139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74" w:type="dxa"/>
            <w:tcBorders/>
            <w:vAlign w:val="bottom"/>
          </w:tcPr>
          <w:p>
            <w:pPr>
              <w:pStyle w:val="TableContents"/>
              <w:bidi w:val="0"/>
              <w:spacing w:before="0" w:after="283"/>
              <w:jc w:val="left"/>
              <w:rPr/>
            </w:pPr>
            <w:r>
              <w:rPr/>
              <w:t> </w:t>
            </w:r>
          </w:p>
        </w:tc>
        <w:tc>
          <w:tcPr>
            <w:tcW w:w="269" w:type="dxa"/>
            <w:tcBorders/>
            <w:vAlign w:val="bottom"/>
          </w:tcPr>
          <w:p>
            <w:pPr>
              <w:pStyle w:val="TableContents"/>
              <w:pBdr>
                <w:top w:val="single" w:sz="2" w:space="1" w:color="000000"/>
              </w:pBdr>
              <w:bidi w:val="0"/>
              <w:spacing w:before="0" w:after="0"/>
              <w:jc w:val="left"/>
              <w:rPr/>
            </w:pPr>
            <w:r>
              <w:rPr/>
              <w:t> </w:t>
            </w:r>
          </w:p>
        </w:tc>
        <w:tc>
          <w:tcPr>
            <w:tcW w:w="1700"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5507" w:type="dxa"/>
            <w:tcBorders/>
          </w:tcPr>
          <w:p>
            <w:pPr>
              <w:pStyle w:val="TableContents"/>
              <w:bidi w:val="0"/>
              <w:spacing w:before="0" w:after="0"/>
              <w:jc w:val="left"/>
              <w:rPr>
                <w:rFonts w:ascii="Times New Roman" w:hAnsi="Times New Roman"/>
                <w:b/>
                <w:sz w:val="20"/>
              </w:rPr>
            </w:pPr>
            <w:r>
              <w:rPr>
                <w:rFonts w:ascii="Times New Roman" w:hAnsi="Times New Roman"/>
                <w:b/>
                <w:sz w:val="20"/>
              </w:rPr>
              <w:t>Total Net Assets</w:t>
            </w:r>
          </w:p>
        </w:tc>
        <w:tc>
          <w:tcPr>
            <w:tcW w:w="425"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w:t>
            </w:r>
          </w:p>
        </w:tc>
        <w:tc>
          <w:tcPr>
            <w:tcW w:w="1393" w:type="dxa"/>
            <w:tcBorders/>
            <w:vAlign w:val="bottom"/>
          </w:tcPr>
          <w:p>
            <w:pPr>
              <w:pStyle w:val="TableContents"/>
              <w:bidi w:val="0"/>
              <w:spacing w:before="0" w:after="283"/>
              <w:jc w:val="right"/>
              <w:rPr/>
            </w:pPr>
            <w:r>
              <w:rPr/>
              <w:t>173,511</w:t>
            </w:r>
          </w:p>
        </w:tc>
        <w:tc>
          <w:tcPr>
            <w:tcW w:w="155" w:type="dxa"/>
            <w:tcBorders/>
            <w:vAlign w:val="bottom"/>
          </w:tcPr>
          <w:p>
            <w:pPr>
              <w:pStyle w:val="TableContents"/>
              <w:bidi w:val="0"/>
              <w:spacing w:before="0" w:after="283"/>
              <w:jc w:val="left"/>
              <w:rPr/>
            </w:pPr>
            <w:r>
              <w:rPr/>
              <w:t> </w:t>
            </w:r>
          </w:p>
        </w:tc>
        <w:tc>
          <w:tcPr>
            <w:tcW w:w="374"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w:t>
            </w:r>
          </w:p>
        </w:tc>
        <w:tc>
          <w:tcPr>
            <w:tcW w:w="1700" w:type="dxa"/>
            <w:tcBorders/>
            <w:vAlign w:val="bottom"/>
          </w:tcPr>
          <w:p>
            <w:pPr>
              <w:pStyle w:val="TableContents"/>
              <w:bidi w:val="0"/>
              <w:spacing w:before="0" w:after="283"/>
              <w:jc w:val="right"/>
              <w:rPr/>
            </w:pPr>
            <w:r>
              <w:rPr/>
              <w:t>178,493</w:t>
            </w:r>
          </w:p>
        </w:tc>
        <w:tc>
          <w:tcPr>
            <w:tcW w:w="160" w:type="dxa"/>
            <w:tcBorders/>
            <w:vAlign w:val="bottom"/>
          </w:tcPr>
          <w:p>
            <w:pPr>
              <w:pStyle w:val="TableContents"/>
              <w:bidi w:val="0"/>
              <w:spacing w:before="0" w:after="283"/>
              <w:jc w:val="left"/>
              <w:rPr/>
            </w:pPr>
            <w:r>
              <w:rPr/>
              <w:t> </w:t>
            </w:r>
          </w:p>
        </w:tc>
      </w:tr>
      <w:tr>
        <w:trPr/>
        <w:tc>
          <w:tcPr>
            <w:tcW w:w="5507" w:type="dxa"/>
            <w:tcBorders/>
            <w:vAlign w:val="bottom"/>
          </w:tcPr>
          <w:p>
            <w:pPr>
              <w:pStyle w:val="TableContents"/>
              <w:bidi w:val="0"/>
              <w:spacing w:before="0" w:after="283"/>
              <w:jc w:val="left"/>
              <w:rPr>
                <w:sz w:val="4"/>
                <w:szCs w:val="4"/>
              </w:rPr>
            </w:pPr>
            <w:r>
              <w:rPr>
                <w:sz w:val="4"/>
                <w:szCs w:val="4"/>
              </w:rPr>
            </w:r>
          </w:p>
        </w:tc>
        <w:tc>
          <w:tcPr>
            <w:tcW w:w="425" w:type="dxa"/>
            <w:tcBorders/>
            <w:vAlign w:val="bottom"/>
          </w:tcPr>
          <w:p>
            <w:pPr>
              <w:pStyle w:val="TableContents"/>
              <w:bidi w:val="0"/>
              <w:spacing w:before="0" w:after="283"/>
              <w:jc w:val="left"/>
              <w:rPr/>
            </w:pPr>
            <w:r>
              <w:rPr/>
              <w:t>  </w:t>
            </w:r>
          </w:p>
        </w:tc>
        <w:tc>
          <w:tcPr>
            <w:tcW w:w="222" w:type="dxa"/>
            <w:tcBorders/>
            <w:vAlign w:val="bottom"/>
          </w:tcPr>
          <w:p>
            <w:pPr>
              <w:pStyle w:val="TableContents"/>
              <w:pBdr>
                <w:top w:val="single" w:sz="2" w:space="1" w:color="000000"/>
              </w:pBdr>
              <w:bidi w:val="0"/>
              <w:spacing w:before="0" w:after="0"/>
              <w:jc w:val="left"/>
              <w:rPr/>
            </w:pPr>
            <w:r>
              <w:rPr/>
              <w:t> </w:t>
            </w:r>
          </w:p>
        </w:tc>
        <w:tc>
          <w:tcPr>
            <w:tcW w:w="139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74" w:type="dxa"/>
            <w:tcBorders/>
            <w:vAlign w:val="bottom"/>
          </w:tcPr>
          <w:p>
            <w:pPr>
              <w:pStyle w:val="TableContents"/>
              <w:bidi w:val="0"/>
              <w:spacing w:before="0" w:after="283"/>
              <w:jc w:val="left"/>
              <w:rPr/>
            </w:pPr>
            <w:r>
              <w:rPr/>
              <w:t> </w:t>
            </w:r>
          </w:p>
        </w:tc>
        <w:tc>
          <w:tcPr>
            <w:tcW w:w="269" w:type="dxa"/>
            <w:tcBorders/>
            <w:vAlign w:val="bottom"/>
          </w:tcPr>
          <w:p>
            <w:pPr>
              <w:pStyle w:val="TableContents"/>
              <w:pBdr>
                <w:top w:val="single" w:sz="2" w:space="1" w:color="000000"/>
              </w:pBdr>
              <w:bidi w:val="0"/>
              <w:spacing w:before="0" w:after="0"/>
              <w:jc w:val="left"/>
              <w:rPr/>
            </w:pPr>
            <w:r>
              <w:rPr/>
              <w:t> </w:t>
            </w:r>
          </w:p>
        </w:tc>
        <w:tc>
          <w:tcPr>
            <w:tcW w:w="1700"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5507"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 Liabilities and Net Assets</w:t>
            </w:r>
          </w:p>
        </w:tc>
        <w:tc>
          <w:tcPr>
            <w:tcW w:w="425" w:type="dxa"/>
            <w:tcBorders/>
            <w:shd w:fill="CCEEFF" w:val="clear"/>
            <w:vAlign w:val="bottom"/>
          </w:tcPr>
          <w:p>
            <w:pPr>
              <w:pStyle w:val="TableContents"/>
              <w:bidi w:val="0"/>
              <w:spacing w:before="0" w:after="283"/>
              <w:jc w:val="left"/>
              <w:rPr/>
            </w:pPr>
            <w:r>
              <w:rPr/>
              <w:t>  </w:t>
            </w:r>
          </w:p>
        </w:tc>
        <w:tc>
          <w:tcPr>
            <w:tcW w:w="222" w:type="dxa"/>
            <w:tcBorders/>
            <w:shd w:fill="CCEEFF" w:val="clear"/>
            <w:vAlign w:val="bottom"/>
          </w:tcPr>
          <w:p>
            <w:pPr>
              <w:pStyle w:val="TableContents"/>
              <w:bidi w:val="0"/>
              <w:spacing w:before="0" w:after="283"/>
              <w:jc w:val="left"/>
              <w:rPr/>
            </w:pPr>
            <w:r>
              <w:rPr/>
              <w:t>$</w:t>
            </w:r>
          </w:p>
        </w:tc>
        <w:tc>
          <w:tcPr>
            <w:tcW w:w="1393" w:type="dxa"/>
            <w:tcBorders/>
            <w:shd w:fill="CCEEFF" w:val="clear"/>
            <w:vAlign w:val="bottom"/>
          </w:tcPr>
          <w:p>
            <w:pPr>
              <w:pStyle w:val="TableContents"/>
              <w:bidi w:val="0"/>
              <w:spacing w:before="0" w:after="283"/>
              <w:jc w:val="right"/>
              <w:rPr/>
            </w:pPr>
            <w:r>
              <w:rPr/>
              <w:t>438,780</w:t>
            </w:r>
          </w:p>
        </w:tc>
        <w:tc>
          <w:tcPr>
            <w:tcW w:w="155" w:type="dxa"/>
            <w:tcBorders/>
            <w:shd w:fill="CCEEFF" w:val="clear"/>
            <w:vAlign w:val="bottom"/>
          </w:tcPr>
          <w:p>
            <w:pPr>
              <w:pStyle w:val="TableContents"/>
              <w:bidi w:val="0"/>
              <w:spacing w:before="0" w:after="283"/>
              <w:jc w:val="left"/>
              <w:rPr/>
            </w:pPr>
            <w:r>
              <w:rPr/>
              <w:t> </w:t>
            </w:r>
          </w:p>
        </w:tc>
        <w:tc>
          <w:tcPr>
            <w:tcW w:w="374" w:type="dxa"/>
            <w:tcBorders/>
            <w:shd w:fill="CCEEFF" w:val="clear"/>
            <w:vAlign w:val="bottom"/>
          </w:tcPr>
          <w:p>
            <w:pPr>
              <w:pStyle w:val="TableContents"/>
              <w:bidi w:val="0"/>
              <w:spacing w:before="0" w:after="283"/>
              <w:jc w:val="left"/>
              <w:rPr/>
            </w:pPr>
            <w:r>
              <w:rPr/>
              <w:t> </w:t>
            </w:r>
          </w:p>
        </w:tc>
        <w:tc>
          <w:tcPr>
            <w:tcW w:w="269" w:type="dxa"/>
            <w:tcBorders/>
            <w:shd w:fill="CCEEFF" w:val="clear"/>
            <w:vAlign w:val="bottom"/>
          </w:tcPr>
          <w:p>
            <w:pPr>
              <w:pStyle w:val="TableContents"/>
              <w:bidi w:val="0"/>
              <w:spacing w:before="0" w:after="283"/>
              <w:jc w:val="left"/>
              <w:rPr/>
            </w:pPr>
            <w:r>
              <w:rPr/>
              <w:t>$</w:t>
            </w:r>
          </w:p>
        </w:tc>
        <w:tc>
          <w:tcPr>
            <w:tcW w:w="1700" w:type="dxa"/>
            <w:tcBorders/>
            <w:shd w:fill="CCEEFF" w:val="clear"/>
            <w:vAlign w:val="bottom"/>
          </w:tcPr>
          <w:p>
            <w:pPr>
              <w:pStyle w:val="TableContents"/>
              <w:bidi w:val="0"/>
              <w:spacing w:before="0" w:after="283"/>
              <w:jc w:val="right"/>
              <w:rPr/>
            </w:pPr>
            <w:r>
              <w:rPr/>
              <w:t>453,634</w:t>
            </w:r>
          </w:p>
        </w:tc>
        <w:tc>
          <w:tcPr>
            <w:tcW w:w="160" w:type="dxa"/>
            <w:tcBorders/>
            <w:shd w:fill="CCEEFF" w:val="clear"/>
            <w:vAlign w:val="bottom"/>
          </w:tcPr>
          <w:p>
            <w:pPr>
              <w:pStyle w:val="TableContents"/>
              <w:bidi w:val="0"/>
              <w:spacing w:before="0" w:after="283"/>
              <w:jc w:val="left"/>
              <w:rPr/>
            </w:pPr>
            <w:r>
              <w:rPr/>
              <w:t> </w:t>
            </w:r>
          </w:p>
        </w:tc>
      </w:tr>
      <w:tr>
        <w:trPr/>
        <w:tc>
          <w:tcPr>
            <w:tcW w:w="5507" w:type="dxa"/>
            <w:tcBorders/>
            <w:vAlign w:val="bottom"/>
          </w:tcPr>
          <w:p>
            <w:pPr>
              <w:pStyle w:val="TableContents"/>
              <w:bidi w:val="0"/>
              <w:spacing w:before="0" w:after="283"/>
              <w:jc w:val="left"/>
              <w:rPr>
                <w:sz w:val="4"/>
                <w:szCs w:val="4"/>
              </w:rPr>
            </w:pPr>
            <w:r>
              <w:rPr>
                <w:sz w:val="4"/>
                <w:szCs w:val="4"/>
              </w:rPr>
            </w:r>
          </w:p>
        </w:tc>
        <w:tc>
          <w:tcPr>
            <w:tcW w:w="425" w:type="dxa"/>
            <w:tcBorders/>
            <w:vAlign w:val="bottom"/>
          </w:tcPr>
          <w:p>
            <w:pPr>
              <w:pStyle w:val="TableContents"/>
              <w:bidi w:val="0"/>
              <w:spacing w:before="0" w:after="283"/>
              <w:jc w:val="left"/>
              <w:rPr/>
            </w:pPr>
            <w:r>
              <w:rPr/>
              <w:t>  </w:t>
            </w:r>
          </w:p>
        </w:tc>
        <w:tc>
          <w:tcPr>
            <w:tcW w:w="222" w:type="dxa"/>
            <w:tcBorders/>
            <w:vAlign w:val="bottom"/>
          </w:tcPr>
          <w:p>
            <w:pPr>
              <w:pStyle w:val="TableContents"/>
              <w:pBdr>
                <w:top w:val="double" w:sz="6" w:space="1" w:color="000000"/>
              </w:pBdr>
              <w:bidi w:val="0"/>
              <w:spacing w:before="0" w:after="0"/>
              <w:jc w:val="left"/>
              <w:rPr/>
            </w:pPr>
            <w:r>
              <w:rPr/>
              <w:t> </w:t>
            </w:r>
          </w:p>
        </w:tc>
        <w:tc>
          <w:tcPr>
            <w:tcW w:w="139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74" w:type="dxa"/>
            <w:tcBorders/>
            <w:vAlign w:val="bottom"/>
          </w:tcPr>
          <w:p>
            <w:pPr>
              <w:pStyle w:val="TableContents"/>
              <w:bidi w:val="0"/>
              <w:spacing w:before="0" w:after="283"/>
              <w:jc w:val="left"/>
              <w:rPr/>
            </w:pPr>
            <w:r>
              <w:rPr/>
              <w:t> </w:t>
            </w:r>
          </w:p>
        </w:tc>
        <w:tc>
          <w:tcPr>
            <w:tcW w:w="269" w:type="dxa"/>
            <w:tcBorders/>
            <w:vAlign w:val="bottom"/>
          </w:tcPr>
          <w:p>
            <w:pPr>
              <w:pStyle w:val="TableContents"/>
              <w:pBdr>
                <w:top w:val="double" w:sz="6" w:space="1" w:color="000000"/>
              </w:pBdr>
              <w:bidi w:val="0"/>
              <w:spacing w:before="0" w:after="0"/>
              <w:jc w:val="left"/>
              <w:rPr/>
            </w:pPr>
            <w:r>
              <w:rPr/>
              <w:t> </w:t>
            </w:r>
          </w:p>
        </w:tc>
        <w:tc>
          <w:tcPr>
            <w:tcW w:w="1700" w:type="dxa"/>
            <w:tcBorders/>
            <w:vAlign w:val="bottom"/>
          </w:tcPr>
          <w:p>
            <w:pPr>
              <w:pStyle w:val="TableContents"/>
              <w:pBdr>
                <w:top w:val="double" w:sz="6"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5507" w:type="dxa"/>
            <w:tcBorders/>
          </w:tcPr>
          <w:p>
            <w:pPr>
              <w:pStyle w:val="TableContents"/>
              <w:bidi w:val="0"/>
              <w:spacing w:before="0" w:after="0"/>
              <w:jc w:val="left"/>
              <w:rPr>
                <w:rFonts w:ascii="Times New Roman" w:hAnsi="Times New Roman"/>
                <w:sz w:val="20"/>
              </w:rPr>
            </w:pPr>
            <w:r>
              <w:rPr>
                <w:rFonts w:ascii="Times New Roman" w:hAnsi="Times New Roman"/>
                <w:sz w:val="20"/>
              </w:rPr>
              <w:t>Net Asset Value Per Common Share</w:t>
            </w:r>
          </w:p>
        </w:tc>
        <w:tc>
          <w:tcPr>
            <w:tcW w:w="425"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w:t>
            </w:r>
          </w:p>
        </w:tc>
        <w:tc>
          <w:tcPr>
            <w:tcW w:w="1393" w:type="dxa"/>
            <w:tcBorders/>
            <w:vAlign w:val="bottom"/>
          </w:tcPr>
          <w:p>
            <w:pPr>
              <w:pStyle w:val="TableContents"/>
              <w:bidi w:val="0"/>
              <w:spacing w:before="0" w:after="283"/>
              <w:jc w:val="right"/>
              <w:rPr/>
            </w:pPr>
            <w:r>
              <w:rPr/>
              <w:t>18.85</w:t>
            </w:r>
          </w:p>
        </w:tc>
        <w:tc>
          <w:tcPr>
            <w:tcW w:w="155" w:type="dxa"/>
            <w:tcBorders/>
            <w:vAlign w:val="bottom"/>
          </w:tcPr>
          <w:p>
            <w:pPr>
              <w:pStyle w:val="TableContents"/>
              <w:bidi w:val="0"/>
              <w:spacing w:before="0" w:after="283"/>
              <w:jc w:val="left"/>
              <w:rPr/>
            </w:pPr>
            <w:r>
              <w:rPr/>
              <w:t> </w:t>
            </w:r>
          </w:p>
        </w:tc>
        <w:tc>
          <w:tcPr>
            <w:tcW w:w="374"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w:t>
            </w:r>
          </w:p>
        </w:tc>
        <w:tc>
          <w:tcPr>
            <w:tcW w:w="1700" w:type="dxa"/>
            <w:tcBorders/>
            <w:vAlign w:val="bottom"/>
          </w:tcPr>
          <w:p>
            <w:pPr>
              <w:pStyle w:val="TableContents"/>
              <w:bidi w:val="0"/>
              <w:spacing w:before="0" w:after="283"/>
              <w:jc w:val="right"/>
              <w:rPr/>
            </w:pPr>
            <w:r>
              <w:rPr/>
              <w:t>19.41</w:t>
            </w:r>
          </w:p>
        </w:tc>
        <w:tc>
          <w:tcPr>
            <w:tcW w:w="160" w:type="dxa"/>
            <w:tcBorders/>
            <w:vAlign w:val="bottom"/>
          </w:tcPr>
          <w:p>
            <w:pPr>
              <w:pStyle w:val="TableContents"/>
              <w:bidi w:val="0"/>
              <w:spacing w:before="0" w:after="283"/>
              <w:jc w:val="left"/>
              <w:rPr/>
            </w:pPr>
            <w:r>
              <w:rPr/>
              <w:t> </w:t>
            </w:r>
          </w:p>
        </w:tc>
      </w:tr>
      <w:tr>
        <w:trPr/>
        <w:tc>
          <w:tcPr>
            <w:tcW w:w="5507" w:type="dxa"/>
            <w:tcBorders/>
            <w:vAlign w:val="bottom"/>
          </w:tcPr>
          <w:p>
            <w:pPr>
              <w:pStyle w:val="TableContents"/>
              <w:bidi w:val="0"/>
              <w:spacing w:before="0" w:after="283"/>
              <w:jc w:val="left"/>
              <w:rPr>
                <w:sz w:val="4"/>
                <w:szCs w:val="4"/>
              </w:rPr>
            </w:pPr>
            <w:r>
              <w:rPr>
                <w:sz w:val="4"/>
                <w:szCs w:val="4"/>
              </w:rPr>
            </w:r>
          </w:p>
        </w:tc>
        <w:tc>
          <w:tcPr>
            <w:tcW w:w="425" w:type="dxa"/>
            <w:tcBorders/>
            <w:vAlign w:val="bottom"/>
          </w:tcPr>
          <w:p>
            <w:pPr>
              <w:pStyle w:val="TableContents"/>
              <w:bidi w:val="0"/>
              <w:spacing w:before="0" w:after="283"/>
              <w:jc w:val="left"/>
              <w:rPr/>
            </w:pPr>
            <w:r>
              <w:rPr/>
              <w:t>  </w:t>
            </w:r>
          </w:p>
        </w:tc>
        <w:tc>
          <w:tcPr>
            <w:tcW w:w="222" w:type="dxa"/>
            <w:tcBorders/>
            <w:vAlign w:val="bottom"/>
          </w:tcPr>
          <w:p>
            <w:pPr>
              <w:pStyle w:val="TableContents"/>
              <w:pBdr>
                <w:top w:val="double" w:sz="6" w:space="1" w:color="000000"/>
              </w:pBdr>
              <w:bidi w:val="0"/>
              <w:spacing w:before="0" w:after="0"/>
              <w:jc w:val="left"/>
              <w:rPr/>
            </w:pPr>
            <w:r>
              <w:rPr/>
              <w:t> </w:t>
            </w:r>
          </w:p>
        </w:tc>
        <w:tc>
          <w:tcPr>
            <w:tcW w:w="139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74" w:type="dxa"/>
            <w:tcBorders/>
            <w:vAlign w:val="bottom"/>
          </w:tcPr>
          <w:p>
            <w:pPr>
              <w:pStyle w:val="TableContents"/>
              <w:bidi w:val="0"/>
              <w:spacing w:before="0" w:after="283"/>
              <w:jc w:val="left"/>
              <w:rPr/>
            </w:pPr>
            <w:r>
              <w:rPr/>
              <w:t> </w:t>
            </w:r>
          </w:p>
        </w:tc>
        <w:tc>
          <w:tcPr>
            <w:tcW w:w="269" w:type="dxa"/>
            <w:tcBorders/>
            <w:vAlign w:val="bottom"/>
          </w:tcPr>
          <w:p>
            <w:pPr>
              <w:pStyle w:val="TableContents"/>
              <w:pBdr>
                <w:top w:val="double" w:sz="6" w:space="1" w:color="000000"/>
              </w:pBdr>
              <w:bidi w:val="0"/>
              <w:spacing w:before="0" w:after="0"/>
              <w:jc w:val="left"/>
              <w:rPr/>
            </w:pPr>
            <w:r>
              <w:rPr/>
              <w:t> </w:t>
            </w:r>
          </w:p>
        </w:tc>
        <w:tc>
          <w:tcPr>
            <w:tcW w:w="1700" w:type="dxa"/>
            <w:tcBorders/>
            <w:vAlign w:val="bottom"/>
          </w:tcPr>
          <w:p>
            <w:pPr>
              <w:pStyle w:val="TableContents"/>
              <w:pBdr>
                <w:top w:val="double" w:sz="6"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PORTMAN RIDGE FINANCE CORPORATION </w:t>
      </w:r>
    </w:p>
    <w:p>
      <w:pPr>
        <w:pStyle w:val="TextBody"/>
        <w:bidi w:val="0"/>
        <w:spacing w:before="0" w:after="0"/>
        <w:jc w:val="center"/>
        <w:rPr>
          <w:rFonts w:ascii="Times New Roman" w:hAnsi="Times New Roman"/>
          <w:b/>
          <w:sz w:val="20"/>
        </w:rPr>
      </w:pPr>
      <w:r>
        <w:rPr>
          <w:rFonts w:ascii="Times New Roman" w:hAnsi="Times New Roman"/>
          <w:b/>
          <w:sz w:val="20"/>
        </w:rPr>
        <w:t xml:space="preserve">CONSOLIDATED STATEMENTS OF OPERATIONS </w:t>
      </w:r>
    </w:p>
    <w:p>
      <w:pPr>
        <w:pStyle w:val="TextBody"/>
        <w:bidi w:val="0"/>
        <w:spacing w:before="0" w:after="0"/>
        <w:jc w:val="center"/>
        <w:rPr>
          <w:rFonts w:ascii="Times New Roman" w:hAnsi="Times New Roman"/>
          <w:b/>
          <w:sz w:val="20"/>
        </w:rPr>
      </w:pPr>
      <w:r>
        <w:rPr>
          <w:rFonts w:ascii="Times New Roman" w:hAnsi="Times New Roman"/>
          <w:b/>
          <w:sz w:val="20"/>
        </w:rPr>
        <w:t xml:space="preserve">(in thousands, except share and per share amounts)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078"/>
        <w:gridCol w:w="301"/>
        <w:gridCol w:w="140"/>
        <w:gridCol w:w="987"/>
        <w:gridCol w:w="155"/>
        <w:gridCol w:w="258"/>
        <w:gridCol w:w="140"/>
        <w:gridCol w:w="987"/>
        <w:gridCol w:w="159"/>
      </w:tblGrid>
      <w:tr>
        <w:trPr/>
        <w:tc>
          <w:tcPr>
            <w:tcW w:w="7078" w:type="dxa"/>
            <w:tcBorders/>
            <w:vAlign w:val="center"/>
          </w:tcPr>
          <w:p>
            <w:pPr>
              <w:pStyle w:val="TableContents"/>
              <w:bidi w:val="0"/>
              <w:spacing w:before="0" w:after="283"/>
              <w:jc w:val="left"/>
              <w:rPr>
                <w:sz w:val="4"/>
                <w:szCs w:val="4"/>
              </w:rPr>
            </w:pPr>
            <w:r>
              <w:rPr>
                <w:sz w:val="4"/>
                <w:szCs w:val="4"/>
              </w:rPr>
            </w:r>
          </w:p>
        </w:tc>
        <w:tc>
          <w:tcPr>
            <w:tcW w:w="301"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5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078" w:type="dxa"/>
            <w:tcBorders/>
            <w:vAlign w:val="bottom"/>
          </w:tcPr>
          <w:p>
            <w:pPr>
              <w:pStyle w:val="TableContents"/>
              <w:bidi w:val="0"/>
              <w:spacing w:before="0" w:after="283"/>
              <w:jc w:val="left"/>
              <w:rPr/>
            </w:pPr>
            <w:r>
              <w:rPr/>
              <w:t> </w:t>
            </w:r>
          </w:p>
        </w:tc>
        <w:tc>
          <w:tcPr>
            <w:tcW w:w="301" w:type="dxa"/>
            <w:tcBorders/>
            <w:vAlign w:val="bottom"/>
          </w:tcPr>
          <w:p>
            <w:pPr>
              <w:pStyle w:val="TableContents"/>
              <w:bidi w:val="0"/>
              <w:spacing w:before="0" w:after="283"/>
              <w:jc w:val="left"/>
              <w:rPr/>
            </w:pPr>
            <w:r>
              <w:rPr/>
              <w:t>  </w:t>
            </w:r>
          </w:p>
        </w:tc>
        <w:tc>
          <w:tcPr>
            <w:tcW w:w="2667" w:type="dxa"/>
            <w:gridSpan w:val="6"/>
            <w:tcBorders>
              <w:bottom w:val="single" w:sz="8" w:space="0" w:color="000000"/>
            </w:tcBorders>
            <w:tcMar>
              <w:bottom w:w="28" w:type="dxa"/>
            </w:tcMar>
            <w:vAlign w:val="bottom"/>
          </w:tcPr>
          <w:p>
            <w:pPr>
              <w:pStyle w:val="TableContents"/>
              <w:bidi w:val="0"/>
              <w:spacing w:before="0" w:after="283"/>
              <w:jc w:val="center"/>
              <w:rPr>
                <w:b/>
              </w:rPr>
            </w:pPr>
            <w:r>
              <w:rPr>
                <w:b/>
              </w:rPr>
              <w:t>For the Three Months Ended</w:t>
              <w:br/>
              <w:t>March 31,</w:t>
            </w:r>
          </w:p>
        </w:tc>
        <w:tc>
          <w:tcPr>
            <w:tcW w:w="159" w:type="dxa"/>
            <w:tcBorders/>
            <w:vAlign w:val="bottom"/>
          </w:tcPr>
          <w:p>
            <w:pPr>
              <w:pStyle w:val="TableContents"/>
              <w:bidi w:val="0"/>
              <w:spacing w:before="0" w:after="283"/>
              <w:jc w:val="left"/>
              <w:rPr/>
            </w:pPr>
            <w:r>
              <w:rPr/>
              <w:t> </w:t>
            </w:r>
          </w:p>
        </w:tc>
      </w:tr>
      <w:tr>
        <w:trPr/>
        <w:tc>
          <w:tcPr>
            <w:tcW w:w="7078" w:type="dxa"/>
            <w:tcBorders/>
            <w:vAlign w:val="bottom"/>
          </w:tcPr>
          <w:p>
            <w:pPr>
              <w:pStyle w:val="TableContents"/>
              <w:bidi w:val="0"/>
              <w:spacing w:before="0" w:after="283"/>
              <w:jc w:val="left"/>
              <w:rPr/>
            </w:pPr>
            <w:r>
              <w:rPr/>
              <w:t> </w:t>
            </w:r>
          </w:p>
        </w:tc>
        <w:tc>
          <w:tcPr>
            <w:tcW w:w="301" w:type="dxa"/>
            <w:tcBorders/>
            <w:vAlign w:val="bottom"/>
          </w:tcPr>
          <w:p>
            <w:pPr>
              <w:pStyle w:val="TableContents"/>
              <w:bidi w:val="0"/>
              <w:spacing w:before="0" w:after="283"/>
              <w:jc w:val="left"/>
              <w:rPr/>
            </w:pPr>
            <w:r>
              <w:rPr/>
              <w:t>  </w:t>
            </w:r>
          </w:p>
        </w:tc>
        <w:tc>
          <w:tcPr>
            <w:tcW w:w="112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55" w:type="dxa"/>
            <w:tcBorders/>
            <w:vAlign w:val="bottom"/>
          </w:tcPr>
          <w:p>
            <w:pPr>
              <w:pStyle w:val="TableContents"/>
              <w:bidi w:val="0"/>
              <w:spacing w:before="0" w:after="283"/>
              <w:jc w:val="left"/>
              <w:rPr/>
            </w:pPr>
            <w:r>
              <w:rPr/>
              <w:t> </w:t>
            </w:r>
          </w:p>
        </w:tc>
        <w:tc>
          <w:tcPr>
            <w:tcW w:w="258" w:type="dxa"/>
            <w:tcBorders/>
            <w:vAlign w:val="bottom"/>
          </w:tcPr>
          <w:p>
            <w:pPr>
              <w:pStyle w:val="TableContents"/>
              <w:bidi w:val="0"/>
              <w:spacing w:before="0" w:after="283"/>
              <w:jc w:val="left"/>
              <w:rPr/>
            </w:pPr>
            <w:r>
              <w:rPr/>
              <w:t> </w:t>
            </w:r>
          </w:p>
        </w:tc>
        <w:tc>
          <w:tcPr>
            <w:tcW w:w="112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159" w:type="dxa"/>
            <w:tcBorders/>
            <w:vAlign w:val="bottom"/>
          </w:tcPr>
          <w:p>
            <w:pPr>
              <w:pStyle w:val="TableContents"/>
              <w:bidi w:val="0"/>
              <w:spacing w:before="0" w:after="283"/>
              <w:jc w:val="left"/>
              <w:rPr/>
            </w:pPr>
            <w:r>
              <w:rPr/>
              <w:t> </w:t>
            </w:r>
          </w:p>
        </w:tc>
      </w:tr>
      <w:tr>
        <w:trPr/>
        <w:tc>
          <w:tcPr>
            <w:tcW w:w="7078"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INVESTMENT INCOME</w:t>
            </w:r>
          </w:p>
        </w:tc>
        <w:tc>
          <w:tcPr>
            <w:tcW w:w="30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8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5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87"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7078" w:type="dxa"/>
            <w:tcBorders/>
          </w:tcPr>
          <w:p>
            <w:pPr>
              <w:pStyle w:val="TableContents"/>
              <w:bidi w:val="0"/>
              <w:spacing w:before="0" w:after="0"/>
              <w:jc w:val="left"/>
              <w:rPr>
                <w:rFonts w:ascii="Times New Roman" w:hAnsi="Times New Roman"/>
                <w:sz w:val="20"/>
              </w:rPr>
            </w:pPr>
            <w:r>
              <w:rPr>
                <w:rFonts w:ascii="Times New Roman" w:hAnsi="Times New Roman"/>
                <w:sz w:val="20"/>
              </w:rPr>
              <w:t>Interest income:</w:t>
            </w:r>
          </w:p>
        </w:tc>
        <w:tc>
          <w:tcPr>
            <w:tcW w:w="30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87"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5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87"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707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Non-controlled/non-affiliated investments</w:t>
            </w:r>
          </w:p>
        </w:tc>
        <w:tc>
          <w:tcPr>
            <w:tcW w:w="30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87" w:type="dxa"/>
            <w:tcBorders/>
            <w:shd w:fill="CCEEFF" w:val="clear"/>
            <w:vAlign w:val="bottom"/>
          </w:tcPr>
          <w:p>
            <w:pPr>
              <w:pStyle w:val="TableContents"/>
              <w:bidi w:val="0"/>
              <w:spacing w:before="0" w:after="283"/>
              <w:jc w:val="right"/>
              <w:rPr/>
            </w:pPr>
            <w:r>
              <w:rPr/>
              <w:t>7,300</w:t>
            </w:r>
          </w:p>
        </w:tc>
        <w:tc>
          <w:tcPr>
            <w:tcW w:w="155" w:type="dxa"/>
            <w:tcBorders/>
            <w:shd w:fill="CCEEFF" w:val="clear"/>
            <w:vAlign w:val="bottom"/>
          </w:tcPr>
          <w:p>
            <w:pPr>
              <w:pStyle w:val="TableContents"/>
              <w:bidi w:val="0"/>
              <w:spacing w:before="0" w:after="283"/>
              <w:jc w:val="left"/>
              <w:rPr/>
            </w:pPr>
            <w:r>
              <w:rPr/>
              <w:t> </w:t>
            </w:r>
          </w:p>
        </w:tc>
        <w:tc>
          <w:tcPr>
            <w:tcW w:w="25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87" w:type="dxa"/>
            <w:tcBorders/>
            <w:shd w:fill="CCEEFF" w:val="clear"/>
            <w:vAlign w:val="bottom"/>
          </w:tcPr>
          <w:p>
            <w:pPr>
              <w:pStyle w:val="TableContents"/>
              <w:bidi w:val="0"/>
              <w:spacing w:before="0" w:after="283"/>
              <w:jc w:val="right"/>
              <w:rPr/>
            </w:pPr>
            <w:r>
              <w:rPr/>
              <w:t>12,621</w:t>
            </w:r>
          </w:p>
        </w:tc>
        <w:tc>
          <w:tcPr>
            <w:tcW w:w="159" w:type="dxa"/>
            <w:tcBorders/>
            <w:shd w:fill="CCEEFF" w:val="clear"/>
            <w:vAlign w:val="bottom"/>
          </w:tcPr>
          <w:p>
            <w:pPr>
              <w:pStyle w:val="TableContents"/>
              <w:bidi w:val="0"/>
              <w:spacing w:before="0" w:after="283"/>
              <w:jc w:val="left"/>
              <w:rPr/>
            </w:pPr>
            <w:r>
              <w:rPr/>
              <w:t> </w:t>
            </w:r>
          </w:p>
        </w:tc>
      </w:tr>
      <w:tr>
        <w:trPr/>
        <w:tc>
          <w:tcPr>
            <w:tcW w:w="7078" w:type="dxa"/>
            <w:tcBorders/>
          </w:tcPr>
          <w:p>
            <w:pPr>
              <w:pStyle w:val="TableContents"/>
              <w:bidi w:val="0"/>
              <w:spacing w:before="0" w:after="0"/>
              <w:jc w:val="left"/>
              <w:rPr>
                <w:rFonts w:ascii="Times New Roman" w:hAnsi="Times New Roman"/>
                <w:sz w:val="20"/>
              </w:rPr>
            </w:pPr>
            <w:r>
              <w:rPr>
                <w:rFonts w:ascii="Times New Roman" w:hAnsi="Times New Roman"/>
                <w:sz w:val="20"/>
              </w:rPr>
              <w:t>Non-controlled affiliated investments</w:t>
            </w:r>
          </w:p>
        </w:tc>
        <w:tc>
          <w:tcPr>
            <w:tcW w:w="30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7" w:type="dxa"/>
            <w:tcBorders/>
            <w:vAlign w:val="bottom"/>
          </w:tcPr>
          <w:p>
            <w:pPr>
              <w:pStyle w:val="TableContents"/>
              <w:bidi w:val="0"/>
              <w:spacing w:before="0" w:after="283"/>
              <w:jc w:val="right"/>
              <w:rPr/>
            </w:pPr>
            <w:r>
              <w:rPr/>
              <w:t>316</w:t>
            </w:r>
          </w:p>
        </w:tc>
        <w:tc>
          <w:tcPr>
            <w:tcW w:w="155" w:type="dxa"/>
            <w:tcBorders/>
            <w:vAlign w:val="bottom"/>
          </w:tcPr>
          <w:p>
            <w:pPr>
              <w:pStyle w:val="TableContents"/>
              <w:bidi w:val="0"/>
              <w:spacing w:before="0" w:after="283"/>
              <w:jc w:val="left"/>
              <w:rPr/>
            </w:pPr>
            <w:r>
              <w:rPr/>
              <w:t> </w:t>
            </w:r>
          </w:p>
        </w:tc>
        <w:tc>
          <w:tcPr>
            <w:tcW w:w="25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7" w:type="dxa"/>
            <w:tcBorders/>
            <w:vAlign w:val="bottom"/>
          </w:tcPr>
          <w:p>
            <w:pPr>
              <w:pStyle w:val="TableContents"/>
              <w:bidi w:val="0"/>
              <w:spacing w:before="0" w:after="283"/>
              <w:jc w:val="right"/>
              <w:rPr/>
            </w:pPr>
            <w:r>
              <w:rPr/>
              <w:t>95</w:t>
            </w:r>
          </w:p>
        </w:tc>
        <w:tc>
          <w:tcPr>
            <w:tcW w:w="159" w:type="dxa"/>
            <w:tcBorders/>
            <w:vAlign w:val="bottom"/>
          </w:tcPr>
          <w:p>
            <w:pPr>
              <w:pStyle w:val="TableContents"/>
              <w:bidi w:val="0"/>
              <w:spacing w:before="0" w:after="283"/>
              <w:jc w:val="left"/>
              <w:rPr/>
            </w:pPr>
            <w:r>
              <w:rPr/>
              <w:t> </w:t>
            </w:r>
          </w:p>
        </w:tc>
      </w:tr>
      <w:tr>
        <w:trPr/>
        <w:tc>
          <w:tcPr>
            <w:tcW w:w="7078" w:type="dxa"/>
            <w:tcBorders/>
            <w:vAlign w:val="bottom"/>
          </w:tcPr>
          <w:p>
            <w:pPr>
              <w:pStyle w:val="TableContents"/>
              <w:bidi w:val="0"/>
              <w:spacing w:before="0" w:after="283"/>
              <w:jc w:val="left"/>
              <w:rPr>
                <w:sz w:val="4"/>
                <w:szCs w:val="4"/>
              </w:rPr>
            </w:pPr>
            <w:r>
              <w:rPr>
                <w:sz w:val="4"/>
                <w:szCs w:val="4"/>
              </w:rPr>
            </w:r>
          </w:p>
        </w:tc>
        <w:tc>
          <w:tcPr>
            <w:tcW w:w="30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5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7"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07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interest income</w:t>
            </w:r>
          </w:p>
        </w:tc>
        <w:tc>
          <w:tcPr>
            <w:tcW w:w="30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7" w:type="dxa"/>
            <w:tcBorders/>
            <w:shd w:fill="CCEEFF" w:val="clear"/>
            <w:vAlign w:val="bottom"/>
          </w:tcPr>
          <w:p>
            <w:pPr>
              <w:pStyle w:val="TableContents"/>
              <w:bidi w:val="0"/>
              <w:spacing w:before="0" w:after="283"/>
              <w:jc w:val="right"/>
              <w:rPr/>
            </w:pPr>
            <w:r>
              <w:rPr/>
              <w:t>7,616</w:t>
            </w:r>
          </w:p>
        </w:tc>
        <w:tc>
          <w:tcPr>
            <w:tcW w:w="155" w:type="dxa"/>
            <w:tcBorders/>
            <w:shd w:fill="CCEEFF" w:val="clear"/>
            <w:vAlign w:val="bottom"/>
          </w:tcPr>
          <w:p>
            <w:pPr>
              <w:pStyle w:val="TableContents"/>
              <w:bidi w:val="0"/>
              <w:spacing w:before="0" w:after="283"/>
              <w:jc w:val="left"/>
              <w:rPr/>
            </w:pPr>
            <w:r>
              <w:rPr/>
              <w:t> </w:t>
            </w:r>
          </w:p>
        </w:tc>
        <w:tc>
          <w:tcPr>
            <w:tcW w:w="25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7" w:type="dxa"/>
            <w:tcBorders/>
            <w:shd w:fill="CCEEFF" w:val="clear"/>
            <w:vAlign w:val="bottom"/>
          </w:tcPr>
          <w:p>
            <w:pPr>
              <w:pStyle w:val="TableContents"/>
              <w:bidi w:val="0"/>
              <w:spacing w:before="0" w:after="283"/>
              <w:jc w:val="right"/>
              <w:rPr/>
            </w:pPr>
            <w:r>
              <w:rPr/>
              <w:t>12,716</w:t>
            </w:r>
          </w:p>
        </w:tc>
        <w:tc>
          <w:tcPr>
            <w:tcW w:w="159" w:type="dxa"/>
            <w:tcBorders/>
            <w:shd w:fill="CCEEFF" w:val="clear"/>
            <w:vAlign w:val="bottom"/>
          </w:tcPr>
          <w:p>
            <w:pPr>
              <w:pStyle w:val="TableContents"/>
              <w:bidi w:val="0"/>
              <w:spacing w:before="0" w:after="283"/>
              <w:jc w:val="left"/>
              <w:rPr/>
            </w:pPr>
            <w:r>
              <w:rPr/>
              <w:t> </w:t>
            </w:r>
          </w:p>
        </w:tc>
      </w:tr>
      <w:tr>
        <w:trPr/>
        <w:tc>
          <w:tcPr>
            <w:tcW w:w="7078" w:type="dxa"/>
            <w:tcBorders/>
          </w:tcPr>
          <w:p>
            <w:pPr>
              <w:pStyle w:val="TableContents"/>
              <w:bidi w:val="0"/>
              <w:spacing w:before="0" w:after="0"/>
              <w:jc w:val="left"/>
              <w:rPr>
                <w:rFonts w:ascii="Times New Roman" w:hAnsi="Times New Roman"/>
                <w:sz w:val="20"/>
              </w:rPr>
            </w:pPr>
            <w:r>
              <w:rPr>
                <w:rFonts w:ascii="Times New Roman" w:hAnsi="Times New Roman"/>
                <w:sz w:val="20"/>
              </w:rPr>
              <w:t>Payment-in-kind income:</w:t>
            </w:r>
          </w:p>
        </w:tc>
        <w:tc>
          <w:tcPr>
            <w:tcW w:w="30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87"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5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87"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707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Non-controlled/non-affiliated investments(1)</w:t>
            </w:r>
          </w:p>
        </w:tc>
        <w:tc>
          <w:tcPr>
            <w:tcW w:w="30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7" w:type="dxa"/>
            <w:tcBorders/>
            <w:shd w:fill="CCEEFF" w:val="clear"/>
            <w:vAlign w:val="bottom"/>
          </w:tcPr>
          <w:p>
            <w:pPr>
              <w:pStyle w:val="TableContents"/>
              <w:bidi w:val="0"/>
              <w:spacing w:before="0" w:after="283"/>
              <w:jc w:val="right"/>
              <w:rPr/>
            </w:pPr>
            <w:r>
              <w:rPr/>
              <w:t>2,853</w:t>
            </w:r>
          </w:p>
        </w:tc>
        <w:tc>
          <w:tcPr>
            <w:tcW w:w="155" w:type="dxa"/>
            <w:tcBorders/>
            <w:shd w:fill="CCEEFF" w:val="clear"/>
            <w:vAlign w:val="bottom"/>
          </w:tcPr>
          <w:p>
            <w:pPr>
              <w:pStyle w:val="TableContents"/>
              <w:bidi w:val="0"/>
              <w:spacing w:before="0" w:after="283"/>
              <w:jc w:val="left"/>
              <w:rPr/>
            </w:pPr>
            <w:r>
              <w:rPr/>
              <w:t> </w:t>
            </w:r>
          </w:p>
        </w:tc>
        <w:tc>
          <w:tcPr>
            <w:tcW w:w="25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7" w:type="dxa"/>
            <w:tcBorders/>
            <w:shd w:fill="CCEEFF" w:val="clear"/>
            <w:vAlign w:val="bottom"/>
          </w:tcPr>
          <w:p>
            <w:pPr>
              <w:pStyle w:val="TableContents"/>
              <w:bidi w:val="0"/>
              <w:spacing w:before="0" w:after="283"/>
              <w:jc w:val="right"/>
              <w:rPr/>
            </w:pPr>
            <w:r>
              <w:rPr/>
              <w:t>1,894</w:t>
            </w:r>
          </w:p>
        </w:tc>
        <w:tc>
          <w:tcPr>
            <w:tcW w:w="159" w:type="dxa"/>
            <w:tcBorders/>
            <w:shd w:fill="CCEEFF" w:val="clear"/>
            <w:vAlign w:val="bottom"/>
          </w:tcPr>
          <w:p>
            <w:pPr>
              <w:pStyle w:val="TableContents"/>
              <w:bidi w:val="0"/>
              <w:spacing w:before="0" w:after="283"/>
              <w:jc w:val="left"/>
              <w:rPr/>
            </w:pPr>
            <w:r>
              <w:rPr/>
              <w:t> </w:t>
            </w:r>
          </w:p>
        </w:tc>
      </w:tr>
      <w:tr>
        <w:trPr/>
        <w:tc>
          <w:tcPr>
            <w:tcW w:w="7078" w:type="dxa"/>
            <w:tcBorders/>
          </w:tcPr>
          <w:p>
            <w:pPr>
              <w:pStyle w:val="TableContents"/>
              <w:bidi w:val="0"/>
              <w:spacing w:before="0" w:after="0"/>
              <w:jc w:val="left"/>
              <w:rPr>
                <w:rFonts w:ascii="Times New Roman" w:hAnsi="Times New Roman"/>
                <w:sz w:val="20"/>
              </w:rPr>
            </w:pPr>
            <w:r>
              <w:rPr>
                <w:rFonts w:ascii="Times New Roman" w:hAnsi="Times New Roman"/>
                <w:sz w:val="20"/>
              </w:rPr>
              <w:t>Non-controlled affiliated investments</w:t>
            </w:r>
          </w:p>
        </w:tc>
        <w:tc>
          <w:tcPr>
            <w:tcW w:w="30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7" w:type="dxa"/>
            <w:tcBorders/>
            <w:vAlign w:val="bottom"/>
          </w:tcPr>
          <w:p>
            <w:pPr>
              <w:pStyle w:val="TableContents"/>
              <w:bidi w:val="0"/>
              <w:spacing w:before="0" w:after="283"/>
              <w:jc w:val="right"/>
              <w:rPr/>
            </w:pPr>
            <w:r>
              <w:rPr/>
              <w:t>208</w:t>
            </w:r>
          </w:p>
        </w:tc>
        <w:tc>
          <w:tcPr>
            <w:tcW w:w="155" w:type="dxa"/>
            <w:tcBorders/>
            <w:vAlign w:val="bottom"/>
          </w:tcPr>
          <w:p>
            <w:pPr>
              <w:pStyle w:val="TableContents"/>
              <w:bidi w:val="0"/>
              <w:spacing w:before="0" w:after="283"/>
              <w:jc w:val="left"/>
              <w:rPr/>
            </w:pPr>
            <w:r>
              <w:rPr/>
              <w:t> </w:t>
            </w:r>
          </w:p>
        </w:tc>
        <w:tc>
          <w:tcPr>
            <w:tcW w:w="25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7" w:type="dxa"/>
            <w:tcBorders/>
            <w:vAlign w:val="bottom"/>
          </w:tcPr>
          <w:p>
            <w:pPr>
              <w:pStyle w:val="TableContents"/>
              <w:bidi w:val="0"/>
              <w:spacing w:before="0" w:after="283"/>
              <w:jc w:val="right"/>
              <w:rPr/>
            </w:pPr>
            <w:r>
              <w:rPr/>
              <w:t>112</w:t>
            </w:r>
          </w:p>
        </w:tc>
        <w:tc>
          <w:tcPr>
            <w:tcW w:w="159" w:type="dxa"/>
            <w:tcBorders/>
            <w:vAlign w:val="bottom"/>
          </w:tcPr>
          <w:p>
            <w:pPr>
              <w:pStyle w:val="TableContents"/>
              <w:bidi w:val="0"/>
              <w:spacing w:before="0" w:after="283"/>
              <w:jc w:val="left"/>
              <w:rPr/>
            </w:pPr>
            <w:r>
              <w:rPr/>
              <w:t> </w:t>
            </w:r>
          </w:p>
        </w:tc>
      </w:tr>
      <w:tr>
        <w:trPr/>
        <w:tc>
          <w:tcPr>
            <w:tcW w:w="7078" w:type="dxa"/>
            <w:tcBorders/>
            <w:vAlign w:val="bottom"/>
          </w:tcPr>
          <w:p>
            <w:pPr>
              <w:pStyle w:val="TableContents"/>
              <w:bidi w:val="0"/>
              <w:spacing w:before="0" w:after="283"/>
              <w:jc w:val="left"/>
              <w:rPr>
                <w:sz w:val="4"/>
                <w:szCs w:val="4"/>
              </w:rPr>
            </w:pPr>
            <w:r>
              <w:rPr>
                <w:sz w:val="4"/>
                <w:szCs w:val="4"/>
              </w:rPr>
            </w:r>
          </w:p>
        </w:tc>
        <w:tc>
          <w:tcPr>
            <w:tcW w:w="30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5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7"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07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payment-in-kind income</w:t>
            </w:r>
          </w:p>
        </w:tc>
        <w:tc>
          <w:tcPr>
            <w:tcW w:w="30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7" w:type="dxa"/>
            <w:tcBorders/>
            <w:shd w:fill="CCEEFF" w:val="clear"/>
            <w:vAlign w:val="bottom"/>
          </w:tcPr>
          <w:p>
            <w:pPr>
              <w:pStyle w:val="TableContents"/>
              <w:bidi w:val="0"/>
              <w:spacing w:before="0" w:after="283"/>
              <w:jc w:val="right"/>
              <w:rPr/>
            </w:pPr>
            <w:r>
              <w:rPr/>
              <w:t>3,061</w:t>
            </w:r>
          </w:p>
        </w:tc>
        <w:tc>
          <w:tcPr>
            <w:tcW w:w="155" w:type="dxa"/>
            <w:tcBorders/>
            <w:shd w:fill="CCEEFF" w:val="clear"/>
            <w:vAlign w:val="bottom"/>
          </w:tcPr>
          <w:p>
            <w:pPr>
              <w:pStyle w:val="TableContents"/>
              <w:bidi w:val="0"/>
              <w:spacing w:before="0" w:after="283"/>
              <w:jc w:val="left"/>
              <w:rPr/>
            </w:pPr>
            <w:r>
              <w:rPr/>
              <w:t> </w:t>
            </w:r>
          </w:p>
        </w:tc>
        <w:tc>
          <w:tcPr>
            <w:tcW w:w="25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7" w:type="dxa"/>
            <w:tcBorders/>
            <w:shd w:fill="CCEEFF" w:val="clear"/>
            <w:vAlign w:val="bottom"/>
          </w:tcPr>
          <w:p>
            <w:pPr>
              <w:pStyle w:val="TableContents"/>
              <w:bidi w:val="0"/>
              <w:spacing w:before="0" w:after="283"/>
              <w:jc w:val="right"/>
              <w:rPr/>
            </w:pPr>
            <w:r>
              <w:rPr/>
              <w:t>2,006</w:t>
            </w:r>
          </w:p>
        </w:tc>
        <w:tc>
          <w:tcPr>
            <w:tcW w:w="159" w:type="dxa"/>
            <w:tcBorders/>
            <w:shd w:fill="CCEEFF" w:val="clear"/>
            <w:vAlign w:val="bottom"/>
          </w:tcPr>
          <w:p>
            <w:pPr>
              <w:pStyle w:val="TableContents"/>
              <w:bidi w:val="0"/>
              <w:spacing w:before="0" w:after="283"/>
              <w:jc w:val="left"/>
              <w:rPr/>
            </w:pPr>
            <w:r>
              <w:rPr/>
              <w:t> </w:t>
            </w:r>
          </w:p>
        </w:tc>
      </w:tr>
      <w:tr>
        <w:trPr/>
        <w:tc>
          <w:tcPr>
            <w:tcW w:w="7078" w:type="dxa"/>
            <w:tcBorders/>
          </w:tcPr>
          <w:p>
            <w:pPr>
              <w:pStyle w:val="TableContents"/>
              <w:bidi w:val="0"/>
              <w:spacing w:before="0" w:after="0"/>
              <w:jc w:val="left"/>
              <w:rPr>
                <w:rFonts w:ascii="Times New Roman" w:hAnsi="Times New Roman"/>
                <w:sz w:val="20"/>
              </w:rPr>
            </w:pPr>
            <w:r>
              <w:rPr>
                <w:rFonts w:ascii="Times New Roman" w:hAnsi="Times New Roman"/>
                <w:sz w:val="20"/>
              </w:rPr>
              <w:t>Dividend income:</w:t>
            </w:r>
          </w:p>
        </w:tc>
        <w:tc>
          <w:tcPr>
            <w:tcW w:w="30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87"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5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87"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707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Non-controlled affiliated investments</w:t>
            </w:r>
          </w:p>
        </w:tc>
        <w:tc>
          <w:tcPr>
            <w:tcW w:w="30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7" w:type="dxa"/>
            <w:tcBorders/>
            <w:shd w:fill="CCEEFF" w:val="clear"/>
            <w:vAlign w:val="bottom"/>
          </w:tcPr>
          <w:p>
            <w:pPr>
              <w:pStyle w:val="TableContents"/>
              <w:bidi w:val="0"/>
              <w:spacing w:before="0" w:after="283"/>
              <w:jc w:val="right"/>
              <w:rPr/>
            </w:pPr>
            <w:r>
              <w:rPr/>
              <w:t>1,417</w:t>
            </w:r>
          </w:p>
        </w:tc>
        <w:tc>
          <w:tcPr>
            <w:tcW w:w="155" w:type="dxa"/>
            <w:tcBorders/>
            <w:shd w:fill="CCEEFF" w:val="clear"/>
            <w:vAlign w:val="bottom"/>
          </w:tcPr>
          <w:p>
            <w:pPr>
              <w:pStyle w:val="TableContents"/>
              <w:bidi w:val="0"/>
              <w:spacing w:before="0" w:after="283"/>
              <w:jc w:val="left"/>
              <w:rPr/>
            </w:pPr>
            <w:r>
              <w:rPr/>
              <w:t> </w:t>
            </w:r>
          </w:p>
        </w:tc>
        <w:tc>
          <w:tcPr>
            <w:tcW w:w="25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7" w:type="dxa"/>
            <w:tcBorders/>
            <w:shd w:fill="CCEEFF" w:val="clear"/>
            <w:vAlign w:val="bottom"/>
          </w:tcPr>
          <w:p>
            <w:pPr>
              <w:pStyle w:val="TableContents"/>
              <w:bidi w:val="0"/>
              <w:spacing w:before="0" w:after="283"/>
              <w:jc w:val="right"/>
              <w:rPr/>
            </w:pPr>
            <w:r>
              <w:rPr/>
              <w:t>1,653</w:t>
            </w:r>
          </w:p>
        </w:tc>
        <w:tc>
          <w:tcPr>
            <w:tcW w:w="159" w:type="dxa"/>
            <w:tcBorders/>
            <w:shd w:fill="CCEEFF" w:val="clear"/>
            <w:vAlign w:val="bottom"/>
          </w:tcPr>
          <w:p>
            <w:pPr>
              <w:pStyle w:val="TableContents"/>
              <w:bidi w:val="0"/>
              <w:spacing w:before="0" w:after="283"/>
              <w:jc w:val="left"/>
              <w:rPr/>
            </w:pPr>
            <w:r>
              <w:rPr/>
              <w:t> </w:t>
            </w:r>
          </w:p>
        </w:tc>
      </w:tr>
      <w:tr>
        <w:trPr/>
        <w:tc>
          <w:tcPr>
            <w:tcW w:w="7078" w:type="dxa"/>
            <w:tcBorders/>
            <w:vAlign w:val="bottom"/>
          </w:tcPr>
          <w:p>
            <w:pPr>
              <w:pStyle w:val="TableContents"/>
              <w:bidi w:val="0"/>
              <w:spacing w:before="0" w:after="283"/>
              <w:jc w:val="left"/>
              <w:rPr>
                <w:sz w:val="4"/>
                <w:szCs w:val="4"/>
              </w:rPr>
            </w:pPr>
            <w:r>
              <w:rPr>
                <w:sz w:val="4"/>
                <w:szCs w:val="4"/>
              </w:rPr>
            </w:r>
          </w:p>
        </w:tc>
        <w:tc>
          <w:tcPr>
            <w:tcW w:w="30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5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7"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078" w:type="dxa"/>
            <w:tcBorders/>
          </w:tcPr>
          <w:p>
            <w:pPr>
              <w:pStyle w:val="TableContents"/>
              <w:bidi w:val="0"/>
              <w:spacing w:before="0" w:after="0"/>
              <w:jc w:val="left"/>
              <w:rPr>
                <w:rFonts w:ascii="Times New Roman" w:hAnsi="Times New Roman"/>
                <w:sz w:val="20"/>
              </w:rPr>
            </w:pPr>
            <w:r>
              <w:rPr>
                <w:rFonts w:ascii="Times New Roman" w:hAnsi="Times New Roman"/>
                <w:sz w:val="20"/>
              </w:rPr>
              <w:t>Total dividend income</w:t>
            </w:r>
          </w:p>
        </w:tc>
        <w:tc>
          <w:tcPr>
            <w:tcW w:w="30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7" w:type="dxa"/>
            <w:tcBorders/>
            <w:vAlign w:val="bottom"/>
          </w:tcPr>
          <w:p>
            <w:pPr>
              <w:pStyle w:val="TableContents"/>
              <w:bidi w:val="0"/>
              <w:spacing w:before="0" w:after="283"/>
              <w:jc w:val="right"/>
              <w:rPr/>
            </w:pPr>
            <w:r>
              <w:rPr/>
              <w:t>1,417</w:t>
            </w:r>
          </w:p>
        </w:tc>
        <w:tc>
          <w:tcPr>
            <w:tcW w:w="155" w:type="dxa"/>
            <w:tcBorders/>
            <w:vAlign w:val="bottom"/>
          </w:tcPr>
          <w:p>
            <w:pPr>
              <w:pStyle w:val="TableContents"/>
              <w:bidi w:val="0"/>
              <w:spacing w:before="0" w:after="283"/>
              <w:jc w:val="left"/>
              <w:rPr/>
            </w:pPr>
            <w:r>
              <w:rPr/>
              <w:t> </w:t>
            </w:r>
          </w:p>
        </w:tc>
        <w:tc>
          <w:tcPr>
            <w:tcW w:w="25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7" w:type="dxa"/>
            <w:tcBorders/>
            <w:vAlign w:val="bottom"/>
          </w:tcPr>
          <w:p>
            <w:pPr>
              <w:pStyle w:val="TableContents"/>
              <w:bidi w:val="0"/>
              <w:spacing w:before="0" w:after="283"/>
              <w:jc w:val="right"/>
              <w:rPr/>
            </w:pPr>
            <w:r>
              <w:rPr/>
              <w:t>1,653</w:t>
            </w:r>
          </w:p>
        </w:tc>
        <w:tc>
          <w:tcPr>
            <w:tcW w:w="159" w:type="dxa"/>
            <w:tcBorders/>
            <w:vAlign w:val="bottom"/>
          </w:tcPr>
          <w:p>
            <w:pPr>
              <w:pStyle w:val="TableContents"/>
              <w:bidi w:val="0"/>
              <w:spacing w:before="0" w:after="283"/>
              <w:jc w:val="left"/>
              <w:rPr/>
            </w:pPr>
            <w:r>
              <w:rPr/>
              <w:t> </w:t>
            </w:r>
          </w:p>
        </w:tc>
      </w:tr>
      <w:tr>
        <w:trPr/>
        <w:tc>
          <w:tcPr>
            <w:tcW w:w="707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Fees and other income:</w:t>
            </w:r>
          </w:p>
        </w:tc>
        <w:tc>
          <w:tcPr>
            <w:tcW w:w="30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8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5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87"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7078" w:type="dxa"/>
            <w:tcBorders/>
          </w:tcPr>
          <w:p>
            <w:pPr>
              <w:pStyle w:val="TableContents"/>
              <w:bidi w:val="0"/>
              <w:spacing w:before="0" w:after="0"/>
              <w:jc w:val="left"/>
              <w:rPr>
                <w:rFonts w:ascii="Times New Roman" w:hAnsi="Times New Roman"/>
                <w:sz w:val="20"/>
              </w:rPr>
            </w:pPr>
            <w:r>
              <w:rPr>
                <w:rFonts w:ascii="Times New Roman" w:hAnsi="Times New Roman"/>
                <w:sz w:val="20"/>
              </w:rPr>
              <w:t>Non-controlled/non-affiliated investments</w:t>
            </w:r>
          </w:p>
        </w:tc>
        <w:tc>
          <w:tcPr>
            <w:tcW w:w="30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7" w:type="dxa"/>
            <w:tcBorders/>
            <w:vAlign w:val="bottom"/>
          </w:tcPr>
          <w:p>
            <w:pPr>
              <w:pStyle w:val="TableContents"/>
              <w:bidi w:val="0"/>
              <w:spacing w:before="0" w:after="283"/>
              <w:jc w:val="right"/>
              <w:rPr/>
            </w:pPr>
            <w:r>
              <w:rPr/>
              <w:t>24</w:t>
            </w:r>
          </w:p>
        </w:tc>
        <w:tc>
          <w:tcPr>
            <w:tcW w:w="155" w:type="dxa"/>
            <w:tcBorders/>
            <w:vAlign w:val="bottom"/>
          </w:tcPr>
          <w:p>
            <w:pPr>
              <w:pStyle w:val="TableContents"/>
              <w:bidi w:val="0"/>
              <w:spacing w:before="0" w:after="283"/>
              <w:jc w:val="left"/>
              <w:rPr/>
            </w:pPr>
            <w:r>
              <w:rPr/>
              <w:t> </w:t>
            </w:r>
          </w:p>
        </w:tc>
        <w:tc>
          <w:tcPr>
            <w:tcW w:w="25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7" w:type="dxa"/>
            <w:tcBorders/>
            <w:vAlign w:val="bottom"/>
          </w:tcPr>
          <w:p>
            <w:pPr>
              <w:pStyle w:val="TableContents"/>
              <w:bidi w:val="0"/>
              <w:spacing w:before="0" w:after="283"/>
              <w:jc w:val="right"/>
              <w:rPr/>
            </w:pPr>
            <w:r>
              <w:rPr/>
              <w:t>151</w:t>
            </w:r>
          </w:p>
        </w:tc>
        <w:tc>
          <w:tcPr>
            <w:tcW w:w="159" w:type="dxa"/>
            <w:tcBorders/>
            <w:vAlign w:val="bottom"/>
          </w:tcPr>
          <w:p>
            <w:pPr>
              <w:pStyle w:val="TableContents"/>
              <w:bidi w:val="0"/>
              <w:spacing w:before="0" w:after="283"/>
              <w:jc w:val="left"/>
              <w:rPr/>
            </w:pPr>
            <w:r>
              <w:rPr/>
              <w:t> </w:t>
            </w:r>
          </w:p>
        </w:tc>
      </w:tr>
      <w:tr>
        <w:trPr/>
        <w:tc>
          <w:tcPr>
            <w:tcW w:w="7078" w:type="dxa"/>
            <w:tcBorders/>
            <w:vAlign w:val="bottom"/>
          </w:tcPr>
          <w:p>
            <w:pPr>
              <w:pStyle w:val="TableContents"/>
              <w:bidi w:val="0"/>
              <w:spacing w:before="0" w:after="283"/>
              <w:jc w:val="left"/>
              <w:rPr>
                <w:sz w:val="4"/>
                <w:szCs w:val="4"/>
              </w:rPr>
            </w:pPr>
            <w:r>
              <w:rPr>
                <w:sz w:val="4"/>
                <w:szCs w:val="4"/>
              </w:rPr>
            </w:r>
          </w:p>
        </w:tc>
        <w:tc>
          <w:tcPr>
            <w:tcW w:w="30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5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7"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07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fees and other income</w:t>
            </w:r>
          </w:p>
        </w:tc>
        <w:tc>
          <w:tcPr>
            <w:tcW w:w="30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7" w:type="dxa"/>
            <w:tcBorders/>
            <w:shd w:fill="CCEEFF" w:val="clear"/>
            <w:vAlign w:val="bottom"/>
          </w:tcPr>
          <w:p>
            <w:pPr>
              <w:pStyle w:val="TableContents"/>
              <w:bidi w:val="0"/>
              <w:spacing w:before="0" w:after="283"/>
              <w:jc w:val="right"/>
              <w:rPr/>
            </w:pPr>
            <w:r>
              <w:rPr/>
              <w:t>24</w:t>
            </w:r>
          </w:p>
        </w:tc>
        <w:tc>
          <w:tcPr>
            <w:tcW w:w="155" w:type="dxa"/>
            <w:tcBorders/>
            <w:shd w:fill="CCEEFF" w:val="clear"/>
            <w:vAlign w:val="bottom"/>
          </w:tcPr>
          <w:p>
            <w:pPr>
              <w:pStyle w:val="TableContents"/>
              <w:bidi w:val="0"/>
              <w:spacing w:before="0" w:after="283"/>
              <w:jc w:val="left"/>
              <w:rPr/>
            </w:pPr>
            <w:r>
              <w:rPr/>
              <w:t> </w:t>
            </w:r>
          </w:p>
        </w:tc>
        <w:tc>
          <w:tcPr>
            <w:tcW w:w="25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7" w:type="dxa"/>
            <w:tcBorders/>
            <w:shd w:fill="CCEEFF" w:val="clear"/>
            <w:vAlign w:val="bottom"/>
          </w:tcPr>
          <w:p>
            <w:pPr>
              <w:pStyle w:val="TableContents"/>
              <w:bidi w:val="0"/>
              <w:spacing w:before="0" w:after="283"/>
              <w:jc w:val="right"/>
              <w:rPr/>
            </w:pPr>
            <w:r>
              <w:rPr/>
              <w:t>151</w:t>
            </w:r>
          </w:p>
        </w:tc>
        <w:tc>
          <w:tcPr>
            <w:tcW w:w="159" w:type="dxa"/>
            <w:tcBorders/>
            <w:shd w:fill="CCEEFF" w:val="clear"/>
            <w:vAlign w:val="bottom"/>
          </w:tcPr>
          <w:p>
            <w:pPr>
              <w:pStyle w:val="TableContents"/>
              <w:bidi w:val="0"/>
              <w:spacing w:before="0" w:after="283"/>
              <w:jc w:val="left"/>
              <w:rPr/>
            </w:pPr>
            <w:r>
              <w:rPr/>
              <w:t> </w:t>
            </w:r>
          </w:p>
        </w:tc>
      </w:tr>
      <w:tr>
        <w:trPr/>
        <w:tc>
          <w:tcPr>
            <w:tcW w:w="7078" w:type="dxa"/>
            <w:tcBorders/>
            <w:vAlign w:val="bottom"/>
          </w:tcPr>
          <w:p>
            <w:pPr>
              <w:pStyle w:val="TableContents"/>
              <w:bidi w:val="0"/>
              <w:spacing w:before="0" w:after="283"/>
              <w:jc w:val="left"/>
              <w:rPr>
                <w:sz w:val="4"/>
                <w:szCs w:val="4"/>
              </w:rPr>
            </w:pPr>
            <w:r>
              <w:rPr>
                <w:sz w:val="4"/>
                <w:szCs w:val="4"/>
              </w:rPr>
            </w:r>
          </w:p>
        </w:tc>
        <w:tc>
          <w:tcPr>
            <w:tcW w:w="30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5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7"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078" w:type="dxa"/>
            <w:tcBorders/>
          </w:tcPr>
          <w:p>
            <w:pPr>
              <w:pStyle w:val="TableContents"/>
              <w:bidi w:val="0"/>
              <w:spacing w:before="0" w:after="0"/>
              <w:jc w:val="left"/>
              <w:rPr>
                <w:rFonts w:ascii="Times New Roman" w:hAnsi="Times New Roman"/>
                <w:sz w:val="20"/>
              </w:rPr>
            </w:pPr>
            <w:r>
              <w:rPr>
                <w:rFonts w:ascii="Times New Roman" w:hAnsi="Times New Roman"/>
                <w:sz w:val="20"/>
              </w:rPr>
              <w:t>Total investment income</w:t>
            </w:r>
          </w:p>
        </w:tc>
        <w:tc>
          <w:tcPr>
            <w:tcW w:w="30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7" w:type="dxa"/>
            <w:tcBorders/>
            <w:vAlign w:val="bottom"/>
          </w:tcPr>
          <w:p>
            <w:pPr>
              <w:pStyle w:val="TableContents"/>
              <w:bidi w:val="0"/>
              <w:spacing w:before="0" w:after="283"/>
              <w:jc w:val="right"/>
              <w:rPr/>
            </w:pPr>
            <w:r>
              <w:rPr/>
              <w:t>12,118</w:t>
            </w:r>
          </w:p>
        </w:tc>
        <w:tc>
          <w:tcPr>
            <w:tcW w:w="155" w:type="dxa"/>
            <w:tcBorders/>
            <w:vAlign w:val="bottom"/>
          </w:tcPr>
          <w:p>
            <w:pPr>
              <w:pStyle w:val="TableContents"/>
              <w:bidi w:val="0"/>
              <w:spacing w:before="0" w:after="283"/>
              <w:jc w:val="left"/>
              <w:rPr/>
            </w:pPr>
            <w:r>
              <w:rPr/>
              <w:t> </w:t>
            </w:r>
          </w:p>
        </w:tc>
        <w:tc>
          <w:tcPr>
            <w:tcW w:w="25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7" w:type="dxa"/>
            <w:tcBorders/>
            <w:vAlign w:val="bottom"/>
          </w:tcPr>
          <w:p>
            <w:pPr>
              <w:pStyle w:val="TableContents"/>
              <w:bidi w:val="0"/>
              <w:spacing w:before="0" w:after="283"/>
              <w:jc w:val="right"/>
              <w:rPr/>
            </w:pPr>
            <w:r>
              <w:rPr/>
              <w:t>16,526</w:t>
            </w:r>
          </w:p>
        </w:tc>
        <w:tc>
          <w:tcPr>
            <w:tcW w:w="159" w:type="dxa"/>
            <w:tcBorders/>
            <w:vAlign w:val="bottom"/>
          </w:tcPr>
          <w:p>
            <w:pPr>
              <w:pStyle w:val="TableContents"/>
              <w:bidi w:val="0"/>
              <w:spacing w:before="0" w:after="283"/>
              <w:jc w:val="left"/>
              <w:rPr/>
            </w:pPr>
            <w:r>
              <w:rPr/>
              <w:t> </w:t>
            </w:r>
          </w:p>
        </w:tc>
      </w:tr>
      <w:tr>
        <w:trPr/>
        <w:tc>
          <w:tcPr>
            <w:tcW w:w="7078" w:type="dxa"/>
            <w:tcBorders/>
            <w:vAlign w:val="bottom"/>
          </w:tcPr>
          <w:p>
            <w:pPr>
              <w:pStyle w:val="TableContents"/>
              <w:bidi w:val="0"/>
              <w:spacing w:before="0" w:after="283"/>
              <w:jc w:val="left"/>
              <w:rPr>
                <w:sz w:val="4"/>
                <w:szCs w:val="4"/>
              </w:rPr>
            </w:pPr>
            <w:r>
              <w:rPr>
                <w:sz w:val="4"/>
                <w:szCs w:val="4"/>
              </w:rPr>
            </w:r>
          </w:p>
        </w:tc>
        <w:tc>
          <w:tcPr>
            <w:tcW w:w="30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5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7"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078"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EXPENSES</w:t>
            </w:r>
          </w:p>
        </w:tc>
        <w:tc>
          <w:tcPr>
            <w:tcW w:w="30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8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5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87"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7078" w:type="dxa"/>
            <w:tcBorders/>
          </w:tcPr>
          <w:p>
            <w:pPr>
              <w:pStyle w:val="TableContents"/>
              <w:bidi w:val="0"/>
              <w:spacing w:before="0" w:after="0"/>
              <w:jc w:val="left"/>
              <w:rPr>
                <w:rFonts w:ascii="Times New Roman" w:hAnsi="Times New Roman"/>
                <w:sz w:val="20"/>
              </w:rPr>
            </w:pPr>
            <w:r>
              <w:rPr>
                <w:rFonts w:ascii="Times New Roman" w:hAnsi="Times New Roman"/>
                <w:sz w:val="20"/>
              </w:rPr>
              <w:t>Management fees</w:t>
            </w:r>
          </w:p>
        </w:tc>
        <w:tc>
          <w:tcPr>
            <w:tcW w:w="30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7" w:type="dxa"/>
            <w:tcBorders/>
            <w:vAlign w:val="bottom"/>
          </w:tcPr>
          <w:p>
            <w:pPr>
              <w:pStyle w:val="TableContents"/>
              <w:bidi w:val="0"/>
              <w:spacing w:before="0" w:after="283"/>
              <w:jc w:val="right"/>
              <w:rPr/>
            </w:pPr>
            <w:r>
              <w:rPr/>
              <w:t>1,466</w:t>
            </w:r>
          </w:p>
        </w:tc>
        <w:tc>
          <w:tcPr>
            <w:tcW w:w="155" w:type="dxa"/>
            <w:tcBorders/>
            <w:vAlign w:val="bottom"/>
          </w:tcPr>
          <w:p>
            <w:pPr>
              <w:pStyle w:val="TableContents"/>
              <w:bidi w:val="0"/>
              <w:spacing w:before="0" w:after="283"/>
              <w:jc w:val="left"/>
              <w:rPr/>
            </w:pPr>
            <w:r>
              <w:rPr/>
              <w:t> </w:t>
            </w:r>
          </w:p>
        </w:tc>
        <w:tc>
          <w:tcPr>
            <w:tcW w:w="25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7" w:type="dxa"/>
            <w:tcBorders/>
            <w:vAlign w:val="bottom"/>
          </w:tcPr>
          <w:p>
            <w:pPr>
              <w:pStyle w:val="TableContents"/>
              <w:bidi w:val="0"/>
              <w:spacing w:before="0" w:after="283"/>
              <w:jc w:val="right"/>
              <w:rPr/>
            </w:pPr>
            <w:r>
              <w:rPr/>
              <w:t>1,729</w:t>
            </w:r>
          </w:p>
        </w:tc>
        <w:tc>
          <w:tcPr>
            <w:tcW w:w="159" w:type="dxa"/>
            <w:tcBorders/>
            <w:vAlign w:val="bottom"/>
          </w:tcPr>
          <w:p>
            <w:pPr>
              <w:pStyle w:val="TableContents"/>
              <w:bidi w:val="0"/>
              <w:spacing w:before="0" w:after="283"/>
              <w:jc w:val="left"/>
              <w:rPr/>
            </w:pPr>
            <w:r>
              <w:rPr/>
              <w:t> </w:t>
            </w:r>
          </w:p>
        </w:tc>
      </w:tr>
      <w:tr>
        <w:trPr/>
        <w:tc>
          <w:tcPr>
            <w:tcW w:w="707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Performance-based incentive fees</w:t>
            </w:r>
          </w:p>
        </w:tc>
        <w:tc>
          <w:tcPr>
            <w:tcW w:w="30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7" w:type="dxa"/>
            <w:tcBorders/>
            <w:shd w:fill="CCEEFF" w:val="clear"/>
            <w:vAlign w:val="bottom"/>
          </w:tcPr>
          <w:p>
            <w:pPr>
              <w:pStyle w:val="TableContents"/>
              <w:bidi w:val="0"/>
              <w:spacing w:before="0" w:after="283"/>
              <w:jc w:val="right"/>
              <w:rPr/>
            </w:pPr>
            <w:r>
              <w:rPr/>
              <w:t>920</w:t>
            </w:r>
          </w:p>
        </w:tc>
        <w:tc>
          <w:tcPr>
            <w:tcW w:w="155" w:type="dxa"/>
            <w:tcBorders/>
            <w:shd w:fill="CCEEFF" w:val="clear"/>
            <w:vAlign w:val="bottom"/>
          </w:tcPr>
          <w:p>
            <w:pPr>
              <w:pStyle w:val="TableContents"/>
              <w:bidi w:val="0"/>
              <w:spacing w:before="0" w:after="283"/>
              <w:jc w:val="left"/>
              <w:rPr/>
            </w:pPr>
            <w:r>
              <w:rPr/>
              <w:t> </w:t>
            </w:r>
          </w:p>
        </w:tc>
        <w:tc>
          <w:tcPr>
            <w:tcW w:w="25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7" w:type="dxa"/>
            <w:tcBorders/>
            <w:shd w:fill="CCEEFF" w:val="clear"/>
            <w:vAlign w:val="bottom"/>
          </w:tcPr>
          <w:p>
            <w:pPr>
              <w:pStyle w:val="TableContents"/>
              <w:bidi w:val="0"/>
              <w:spacing w:before="0" w:after="283"/>
              <w:jc w:val="right"/>
              <w:rPr/>
            </w:pPr>
            <w:r>
              <w:rPr/>
              <w:t>1,234</w:t>
            </w:r>
          </w:p>
        </w:tc>
        <w:tc>
          <w:tcPr>
            <w:tcW w:w="159" w:type="dxa"/>
            <w:tcBorders/>
            <w:shd w:fill="CCEEFF" w:val="clear"/>
            <w:vAlign w:val="bottom"/>
          </w:tcPr>
          <w:p>
            <w:pPr>
              <w:pStyle w:val="TableContents"/>
              <w:bidi w:val="0"/>
              <w:spacing w:before="0" w:after="283"/>
              <w:jc w:val="left"/>
              <w:rPr/>
            </w:pPr>
            <w:r>
              <w:rPr/>
              <w:t> </w:t>
            </w:r>
          </w:p>
        </w:tc>
      </w:tr>
      <w:tr>
        <w:trPr/>
        <w:tc>
          <w:tcPr>
            <w:tcW w:w="7078" w:type="dxa"/>
            <w:tcBorders/>
          </w:tcPr>
          <w:p>
            <w:pPr>
              <w:pStyle w:val="TableContents"/>
              <w:bidi w:val="0"/>
              <w:spacing w:before="0" w:after="0"/>
              <w:jc w:val="left"/>
              <w:rPr>
                <w:rFonts w:ascii="Times New Roman" w:hAnsi="Times New Roman"/>
                <w:sz w:val="20"/>
              </w:rPr>
            </w:pPr>
            <w:r>
              <w:rPr>
                <w:rFonts w:ascii="Times New Roman" w:hAnsi="Times New Roman"/>
                <w:sz w:val="20"/>
              </w:rPr>
              <w:t>Interest and amortization of debt issuance costs</w:t>
            </w:r>
          </w:p>
        </w:tc>
        <w:tc>
          <w:tcPr>
            <w:tcW w:w="30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7" w:type="dxa"/>
            <w:tcBorders/>
            <w:vAlign w:val="bottom"/>
          </w:tcPr>
          <w:p>
            <w:pPr>
              <w:pStyle w:val="TableContents"/>
              <w:bidi w:val="0"/>
              <w:spacing w:before="0" w:after="283"/>
              <w:jc w:val="right"/>
              <w:rPr/>
            </w:pPr>
            <w:r>
              <w:rPr/>
              <w:t>4,298</w:t>
            </w:r>
          </w:p>
        </w:tc>
        <w:tc>
          <w:tcPr>
            <w:tcW w:w="155" w:type="dxa"/>
            <w:tcBorders/>
            <w:vAlign w:val="bottom"/>
          </w:tcPr>
          <w:p>
            <w:pPr>
              <w:pStyle w:val="TableContents"/>
              <w:bidi w:val="0"/>
              <w:spacing w:before="0" w:after="283"/>
              <w:jc w:val="left"/>
              <w:rPr/>
            </w:pPr>
            <w:r>
              <w:rPr/>
              <w:t> </w:t>
            </w:r>
          </w:p>
        </w:tc>
        <w:tc>
          <w:tcPr>
            <w:tcW w:w="25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7" w:type="dxa"/>
            <w:tcBorders/>
            <w:vAlign w:val="bottom"/>
          </w:tcPr>
          <w:p>
            <w:pPr>
              <w:pStyle w:val="TableContents"/>
              <w:bidi w:val="0"/>
              <w:spacing w:before="0" w:after="283"/>
              <w:jc w:val="right"/>
              <w:rPr/>
            </w:pPr>
            <w:r>
              <w:rPr/>
              <w:t>5,725</w:t>
            </w:r>
          </w:p>
        </w:tc>
        <w:tc>
          <w:tcPr>
            <w:tcW w:w="159" w:type="dxa"/>
            <w:tcBorders/>
            <w:vAlign w:val="bottom"/>
          </w:tcPr>
          <w:p>
            <w:pPr>
              <w:pStyle w:val="TableContents"/>
              <w:bidi w:val="0"/>
              <w:spacing w:before="0" w:after="283"/>
              <w:jc w:val="left"/>
              <w:rPr/>
            </w:pPr>
            <w:r>
              <w:rPr/>
              <w:t> </w:t>
            </w:r>
          </w:p>
        </w:tc>
      </w:tr>
      <w:tr>
        <w:trPr/>
        <w:tc>
          <w:tcPr>
            <w:tcW w:w="707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Professional fees</w:t>
            </w:r>
          </w:p>
        </w:tc>
        <w:tc>
          <w:tcPr>
            <w:tcW w:w="30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7" w:type="dxa"/>
            <w:tcBorders/>
            <w:shd w:fill="CCEEFF" w:val="clear"/>
            <w:vAlign w:val="bottom"/>
          </w:tcPr>
          <w:p>
            <w:pPr>
              <w:pStyle w:val="TableContents"/>
              <w:bidi w:val="0"/>
              <w:spacing w:before="0" w:after="283"/>
              <w:jc w:val="right"/>
              <w:rPr/>
            </w:pPr>
            <w:r>
              <w:rPr/>
              <w:t>452</w:t>
            </w:r>
          </w:p>
        </w:tc>
        <w:tc>
          <w:tcPr>
            <w:tcW w:w="155" w:type="dxa"/>
            <w:tcBorders/>
            <w:shd w:fill="CCEEFF" w:val="clear"/>
            <w:vAlign w:val="bottom"/>
          </w:tcPr>
          <w:p>
            <w:pPr>
              <w:pStyle w:val="TableContents"/>
              <w:bidi w:val="0"/>
              <w:spacing w:before="0" w:after="283"/>
              <w:jc w:val="left"/>
              <w:rPr/>
            </w:pPr>
            <w:r>
              <w:rPr/>
              <w:t> </w:t>
            </w:r>
          </w:p>
        </w:tc>
        <w:tc>
          <w:tcPr>
            <w:tcW w:w="25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7" w:type="dxa"/>
            <w:tcBorders/>
            <w:shd w:fill="CCEEFF" w:val="clear"/>
            <w:vAlign w:val="bottom"/>
          </w:tcPr>
          <w:p>
            <w:pPr>
              <w:pStyle w:val="TableContents"/>
              <w:bidi w:val="0"/>
              <w:spacing w:before="0" w:after="283"/>
              <w:jc w:val="right"/>
              <w:rPr/>
            </w:pPr>
            <w:r>
              <w:rPr/>
              <w:t>604</w:t>
            </w:r>
          </w:p>
        </w:tc>
        <w:tc>
          <w:tcPr>
            <w:tcW w:w="159" w:type="dxa"/>
            <w:tcBorders/>
            <w:shd w:fill="CCEEFF" w:val="clear"/>
            <w:vAlign w:val="bottom"/>
          </w:tcPr>
          <w:p>
            <w:pPr>
              <w:pStyle w:val="TableContents"/>
              <w:bidi w:val="0"/>
              <w:spacing w:before="0" w:after="283"/>
              <w:jc w:val="left"/>
              <w:rPr/>
            </w:pPr>
            <w:r>
              <w:rPr/>
              <w:t> </w:t>
            </w:r>
          </w:p>
        </w:tc>
      </w:tr>
      <w:tr>
        <w:trPr/>
        <w:tc>
          <w:tcPr>
            <w:tcW w:w="7078" w:type="dxa"/>
            <w:tcBorders/>
          </w:tcPr>
          <w:p>
            <w:pPr>
              <w:pStyle w:val="TableContents"/>
              <w:bidi w:val="0"/>
              <w:spacing w:before="0" w:after="0"/>
              <w:jc w:val="left"/>
              <w:rPr>
                <w:rFonts w:ascii="Times New Roman" w:hAnsi="Times New Roman"/>
                <w:sz w:val="20"/>
              </w:rPr>
            </w:pPr>
            <w:r>
              <w:rPr>
                <w:rFonts w:ascii="Times New Roman" w:hAnsi="Times New Roman"/>
                <w:sz w:val="20"/>
              </w:rPr>
              <w:t>Administrative services expense</w:t>
            </w:r>
          </w:p>
        </w:tc>
        <w:tc>
          <w:tcPr>
            <w:tcW w:w="30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7" w:type="dxa"/>
            <w:tcBorders/>
            <w:vAlign w:val="bottom"/>
          </w:tcPr>
          <w:p>
            <w:pPr>
              <w:pStyle w:val="TableContents"/>
              <w:bidi w:val="0"/>
              <w:spacing w:before="0" w:after="283"/>
              <w:jc w:val="right"/>
              <w:rPr/>
            </w:pPr>
            <w:r>
              <w:rPr/>
              <w:t>411</w:t>
            </w:r>
          </w:p>
        </w:tc>
        <w:tc>
          <w:tcPr>
            <w:tcW w:w="155" w:type="dxa"/>
            <w:tcBorders/>
            <w:vAlign w:val="bottom"/>
          </w:tcPr>
          <w:p>
            <w:pPr>
              <w:pStyle w:val="TableContents"/>
              <w:bidi w:val="0"/>
              <w:spacing w:before="0" w:after="283"/>
              <w:jc w:val="left"/>
              <w:rPr/>
            </w:pPr>
            <w:r>
              <w:rPr/>
              <w:t> </w:t>
            </w:r>
          </w:p>
        </w:tc>
        <w:tc>
          <w:tcPr>
            <w:tcW w:w="25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7" w:type="dxa"/>
            <w:tcBorders/>
            <w:vAlign w:val="bottom"/>
          </w:tcPr>
          <w:p>
            <w:pPr>
              <w:pStyle w:val="TableContents"/>
              <w:bidi w:val="0"/>
              <w:spacing w:before="0" w:after="283"/>
              <w:jc w:val="right"/>
              <w:rPr/>
            </w:pPr>
            <w:r>
              <w:rPr/>
              <w:t>356</w:t>
            </w:r>
          </w:p>
        </w:tc>
        <w:tc>
          <w:tcPr>
            <w:tcW w:w="159" w:type="dxa"/>
            <w:tcBorders/>
            <w:vAlign w:val="bottom"/>
          </w:tcPr>
          <w:p>
            <w:pPr>
              <w:pStyle w:val="TableContents"/>
              <w:bidi w:val="0"/>
              <w:spacing w:before="0" w:after="283"/>
              <w:jc w:val="left"/>
              <w:rPr/>
            </w:pPr>
            <w:r>
              <w:rPr/>
              <w:t> </w:t>
            </w:r>
          </w:p>
        </w:tc>
      </w:tr>
      <w:tr>
        <w:trPr/>
        <w:tc>
          <w:tcPr>
            <w:tcW w:w="707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Directors expense</w:t>
            </w:r>
          </w:p>
        </w:tc>
        <w:tc>
          <w:tcPr>
            <w:tcW w:w="30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7" w:type="dxa"/>
            <w:tcBorders/>
            <w:shd w:fill="CCEEFF" w:val="clear"/>
            <w:vAlign w:val="bottom"/>
          </w:tcPr>
          <w:p>
            <w:pPr>
              <w:pStyle w:val="TableContents"/>
              <w:bidi w:val="0"/>
              <w:spacing w:before="0" w:after="283"/>
              <w:jc w:val="right"/>
              <w:rPr/>
            </w:pPr>
            <w:r>
              <w:rPr/>
              <w:t>144</w:t>
            </w:r>
          </w:p>
        </w:tc>
        <w:tc>
          <w:tcPr>
            <w:tcW w:w="155" w:type="dxa"/>
            <w:tcBorders/>
            <w:shd w:fill="CCEEFF" w:val="clear"/>
            <w:vAlign w:val="bottom"/>
          </w:tcPr>
          <w:p>
            <w:pPr>
              <w:pStyle w:val="TableContents"/>
              <w:bidi w:val="0"/>
              <w:spacing w:before="0" w:after="283"/>
              <w:jc w:val="left"/>
              <w:rPr/>
            </w:pPr>
            <w:r>
              <w:rPr/>
              <w:t> </w:t>
            </w:r>
          </w:p>
        </w:tc>
        <w:tc>
          <w:tcPr>
            <w:tcW w:w="25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7" w:type="dxa"/>
            <w:tcBorders/>
            <w:shd w:fill="CCEEFF" w:val="clear"/>
            <w:vAlign w:val="bottom"/>
          </w:tcPr>
          <w:p>
            <w:pPr>
              <w:pStyle w:val="TableContents"/>
              <w:bidi w:val="0"/>
              <w:spacing w:before="0" w:after="283"/>
              <w:jc w:val="right"/>
              <w:rPr/>
            </w:pPr>
            <w:r>
              <w:rPr/>
              <w:t>162</w:t>
            </w:r>
          </w:p>
        </w:tc>
        <w:tc>
          <w:tcPr>
            <w:tcW w:w="159" w:type="dxa"/>
            <w:tcBorders/>
            <w:shd w:fill="CCEEFF" w:val="clear"/>
            <w:vAlign w:val="bottom"/>
          </w:tcPr>
          <w:p>
            <w:pPr>
              <w:pStyle w:val="TableContents"/>
              <w:bidi w:val="0"/>
              <w:spacing w:before="0" w:after="283"/>
              <w:jc w:val="left"/>
              <w:rPr/>
            </w:pPr>
            <w:r>
              <w:rPr/>
              <w:t> </w:t>
            </w:r>
          </w:p>
        </w:tc>
      </w:tr>
      <w:tr>
        <w:trPr/>
        <w:tc>
          <w:tcPr>
            <w:tcW w:w="7078" w:type="dxa"/>
            <w:tcBorders/>
          </w:tcPr>
          <w:p>
            <w:pPr>
              <w:pStyle w:val="TableContents"/>
              <w:bidi w:val="0"/>
              <w:spacing w:before="0" w:after="0"/>
              <w:jc w:val="left"/>
              <w:rPr>
                <w:rFonts w:ascii="Times New Roman" w:hAnsi="Times New Roman"/>
                <w:sz w:val="20"/>
              </w:rPr>
            </w:pPr>
            <w:r>
              <w:rPr>
                <w:rFonts w:ascii="Times New Roman" w:hAnsi="Times New Roman"/>
                <w:sz w:val="20"/>
              </w:rPr>
              <w:t>Other general and administrative expenses</w:t>
            </w:r>
          </w:p>
        </w:tc>
        <w:tc>
          <w:tcPr>
            <w:tcW w:w="30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7" w:type="dxa"/>
            <w:tcBorders/>
            <w:vAlign w:val="bottom"/>
          </w:tcPr>
          <w:p>
            <w:pPr>
              <w:pStyle w:val="TableContents"/>
              <w:bidi w:val="0"/>
              <w:spacing w:before="0" w:after="283"/>
              <w:jc w:val="right"/>
              <w:rPr/>
            </w:pPr>
            <w:r>
              <w:rPr/>
              <w:t>87</w:t>
            </w:r>
          </w:p>
        </w:tc>
        <w:tc>
          <w:tcPr>
            <w:tcW w:w="155" w:type="dxa"/>
            <w:tcBorders/>
            <w:vAlign w:val="bottom"/>
          </w:tcPr>
          <w:p>
            <w:pPr>
              <w:pStyle w:val="TableContents"/>
              <w:bidi w:val="0"/>
              <w:spacing w:before="0" w:after="283"/>
              <w:jc w:val="left"/>
              <w:rPr/>
            </w:pPr>
            <w:r>
              <w:rPr/>
              <w:t> </w:t>
            </w:r>
          </w:p>
        </w:tc>
        <w:tc>
          <w:tcPr>
            <w:tcW w:w="25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7" w:type="dxa"/>
            <w:tcBorders/>
            <w:vAlign w:val="bottom"/>
          </w:tcPr>
          <w:p>
            <w:pPr>
              <w:pStyle w:val="TableContents"/>
              <w:bidi w:val="0"/>
              <w:spacing w:before="0" w:after="283"/>
              <w:jc w:val="right"/>
              <w:rPr/>
            </w:pPr>
            <w:r>
              <w:rPr/>
              <w:t>490</w:t>
            </w:r>
          </w:p>
        </w:tc>
        <w:tc>
          <w:tcPr>
            <w:tcW w:w="159" w:type="dxa"/>
            <w:tcBorders/>
            <w:vAlign w:val="bottom"/>
          </w:tcPr>
          <w:p>
            <w:pPr>
              <w:pStyle w:val="TableContents"/>
              <w:bidi w:val="0"/>
              <w:spacing w:before="0" w:after="283"/>
              <w:jc w:val="left"/>
              <w:rPr/>
            </w:pPr>
            <w:r>
              <w:rPr/>
              <w:t> </w:t>
            </w:r>
          </w:p>
        </w:tc>
      </w:tr>
      <w:tr>
        <w:trPr/>
        <w:tc>
          <w:tcPr>
            <w:tcW w:w="7078" w:type="dxa"/>
            <w:tcBorders/>
            <w:vAlign w:val="bottom"/>
          </w:tcPr>
          <w:p>
            <w:pPr>
              <w:pStyle w:val="TableContents"/>
              <w:bidi w:val="0"/>
              <w:spacing w:before="0" w:after="283"/>
              <w:jc w:val="left"/>
              <w:rPr>
                <w:sz w:val="4"/>
                <w:szCs w:val="4"/>
              </w:rPr>
            </w:pPr>
            <w:r>
              <w:rPr>
                <w:sz w:val="4"/>
                <w:szCs w:val="4"/>
              </w:rPr>
            </w:r>
          </w:p>
        </w:tc>
        <w:tc>
          <w:tcPr>
            <w:tcW w:w="30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5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7"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07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expenses</w:t>
            </w:r>
          </w:p>
        </w:tc>
        <w:tc>
          <w:tcPr>
            <w:tcW w:w="30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7" w:type="dxa"/>
            <w:tcBorders/>
            <w:shd w:fill="CCEEFF" w:val="clear"/>
            <w:vAlign w:val="bottom"/>
          </w:tcPr>
          <w:p>
            <w:pPr>
              <w:pStyle w:val="TableContents"/>
              <w:bidi w:val="0"/>
              <w:spacing w:before="0" w:after="283"/>
              <w:jc w:val="right"/>
              <w:rPr/>
            </w:pPr>
            <w:r>
              <w:rPr/>
              <w:t>7,778</w:t>
            </w:r>
          </w:p>
        </w:tc>
        <w:tc>
          <w:tcPr>
            <w:tcW w:w="155" w:type="dxa"/>
            <w:tcBorders/>
            <w:shd w:fill="CCEEFF" w:val="clear"/>
            <w:vAlign w:val="bottom"/>
          </w:tcPr>
          <w:p>
            <w:pPr>
              <w:pStyle w:val="TableContents"/>
              <w:bidi w:val="0"/>
              <w:spacing w:before="0" w:after="283"/>
              <w:jc w:val="left"/>
              <w:rPr/>
            </w:pPr>
            <w:r>
              <w:rPr/>
              <w:t> </w:t>
            </w:r>
          </w:p>
        </w:tc>
        <w:tc>
          <w:tcPr>
            <w:tcW w:w="25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7" w:type="dxa"/>
            <w:tcBorders/>
            <w:shd w:fill="CCEEFF" w:val="clear"/>
            <w:vAlign w:val="bottom"/>
          </w:tcPr>
          <w:p>
            <w:pPr>
              <w:pStyle w:val="TableContents"/>
              <w:bidi w:val="0"/>
              <w:spacing w:before="0" w:after="283"/>
              <w:jc w:val="right"/>
              <w:rPr/>
            </w:pPr>
            <w:r>
              <w:rPr/>
              <w:t>10,300</w:t>
            </w:r>
          </w:p>
        </w:tc>
        <w:tc>
          <w:tcPr>
            <w:tcW w:w="159" w:type="dxa"/>
            <w:tcBorders/>
            <w:shd w:fill="CCEEFF" w:val="clear"/>
            <w:vAlign w:val="bottom"/>
          </w:tcPr>
          <w:p>
            <w:pPr>
              <w:pStyle w:val="TableContents"/>
              <w:bidi w:val="0"/>
              <w:spacing w:before="0" w:after="283"/>
              <w:jc w:val="left"/>
              <w:rPr/>
            </w:pPr>
            <w:r>
              <w:rPr/>
              <w:t> </w:t>
            </w:r>
          </w:p>
        </w:tc>
      </w:tr>
      <w:tr>
        <w:trPr/>
        <w:tc>
          <w:tcPr>
            <w:tcW w:w="7078" w:type="dxa"/>
            <w:tcBorders/>
            <w:vAlign w:val="bottom"/>
          </w:tcPr>
          <w:p>
            <w:pPr>
              <w:pStyle w:val="TableContents"/>
              <w:bidi w:val="0"/>
              <w:spacing w:before="0" w:after="283"/>
              <w:jc w:val="left"/>
              <w:rPr>
                <w:sz w:val="4"/>
                <w:szCs w:val="4"/>
              </w:rPr>
            </w:pPr>
            <w:r>
              <w:rPr>
                <w:sz w:val="4"/>
                <w:szCs w:val="4"/>
              </w:rPr>
            </w:r>
          </w:p>
        </w:tc>
        <w:tc>
          <w:tcPr>
            <w:tcW w:w="30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5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7"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078" w:type="dxa"/>
            <w:tcBorders/>
          </w:tcPr>
          <w:p>
            <w:pPr>
              <w:pStyle w:val="TableContents"/>
              <w:bidi w:val="0"/>
              <w:spacing w:before="0" w:after="0"/>
              <w:jc w:val="left"/>
              <w:rPr>
                <w:rFonts w:ascii="Times New Roman" w:hAnsi="Times New Roman"/>
                <w:b/>
                <w:sz w:val="20"/>
              </w:rPr>
            </w:pPr>
            <w:r>
              <w:rPr>
                <w:rFonts w:ascii="Times New Roman" w:hAnsi="Times New Roman"/>
                <w:b/>
                <w:sz w:val="20"/>
              </w:rPr>
              <w:t>NET INVESTMENT INCOME</w:t>
            </w:r>
          </w:p>
        </w:tc>
        <w:tc>
          <w:tcPr>
            <w:tcW w:w="30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7" w:type="dxa"/>
            <w:tcBorders/>
            <w:vAlign w:val="bottom"/>
          </w:tcPr>
          <w:p>
            <w:pPr>
              <w:pStyle w:val="TableContents"/>
              <w:bidi w:val="0"/>
              <w:spacing w:before="0" w:after="283"/>
              <w:jc w:val="right"/>
              <w:rPr/>
            </w:pPr>
            <w:r>
              <w:rPr/>
              <w:t>4,340</w:t>
            </w:r>
          </w:p>
        </w:tc>
        <w:tc>
          <w:tcPr>
            <w:tcW w:w="155" w:type="dxa"/>
            <w:tcBorders/>
            <w:vAlign w:val="bottom"/>
          </w:tcPr>
          <w:p>
            <w:pPr>
              <w:pStyle w:val="TableContents"/>
              <w:bidi w:val="0"/>
              <w:spacing w:before="0" w:after="283"/>
              <w:jc w:val="left"/>
              <w:rPr/>
            </w:pPr>
            <w:r>
              <w:rPr/>
              <w:t> </w:t>
            </w:r>
          </w:p>
        </w:tc>
        <w:tc>
          <w:tcPr>
            <w:tcW w:w="25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7" w:type="dxa"/>
            <w:tcBorders/>
            <w:vAlign w:val="bottom"/>
          </w:tcPr>
          <w:p>
            <w:pPr>
              <w:pStyle w:val="TableContents"/>
              <w:bidi w:val="0"/>
              <w:spacing w:before="0" w:after="283"/>
              <w:jc w:val="right"/>
              <w:rPr/>
            </w:pPr>
            <w:r>
              <w:rPr/>
              <w:t>6,226</w:t>
            </w:r>
          </w:p>
        </w:tc>
        <w:tc>
          <w:tcPr>
            <w:tcW w:w="159" w:type="dxa"/>
            <w:tcBorders/>
            <w:vAlign w:val="bottom"/>
          </w:tcPr>
          <w:p>
            <w:pPr>
              <w:pStyle w:val="TableContents"/>
              <w:bidi w:val="0"/>
              <w:spacing w:before="0" w:after="283"/>
              <w:jc w:val="left"/>
              <w:rPr/>
            </w:pPr>
            <w:r>
              <w:rPr/>
              <w:t> </w:t>
            </w:r>
          </w:p>
        </w:tc>
      </w:tr>
      <w:tr>
        <w:trPr/>
        <w:tc>
          <w:tcPr>
            <w:tcW w:w="7078" w:type="dxa"/>
            <w:tcBorders/>
            <w:vAlign w:val="bottom"/>
          </w:tcPr>
          <w:p>
            <w:pPr>
              <w:pStyle w:val="TableContents"/>
              <w:bidi w:val="0"/>
              <w:spacing w:before="0" w:after="283"/>
              <w:jc w:val="left"/>
              <w:rPr>
                <w:sz w:val="4"/>
                <w:szCs w:val="4"/>
              </w:rPr>
            </w:pPr>
            <w:r>
              <w:rPr>
                <w:sz w:val="4"/>
                <w:szCs w:val="4"/>
              </w:rPr>
            </w:r>
          </w:p>
        </w:tc>
        <w:tc>
          <w:tcPr>
            <w:tcW w:w="30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5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7"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078"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REALIZED AND UNREALIZED GAINS (LOSSES) ON INVESTMENTS</w:t>
            </w:r>
          </w:p>
        </w:tc>
        <w:tc>
          <w:tcPr>
            <w:tcW w:w="30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8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5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87"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7078" w:type="dxa"/>
            <w:tcBorders/>
          </w:tcPr>
          <w:p>
            <w:pPr>
              <w:pStyle w:val="TableContents"/>
              <w:bidi w:val="0"/>
              <w:spacing w:before="0" w:after="0"/>
              <w:jc w:val="left"/>
              <w:rPr>
                <w:rFonts w:ascii="Times New Roman" w:hAnsi="Times New Roman"/>
                <w:sz w:val="20"/>
              </w:rPr>
            </w:pPr>
            <w:r>
              <w:rPr>
                <w:rFonts w:ascii="Times New Roman" w:hAnsi="Times New Roman"/>
                <w:sz w:val="20"/>
              </w:rPr>
              <w:t>Net realized gains (losses) from investment transactions:</w:t>
            </w:r>
          </w:p>
        </w:tc>
        <w:tc>
          <w:tcPr>
            <w:tcW w:w="30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87"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5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87"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707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Non-controlled/non-affiliated investments</w:t>
            </w:r>
          </w:p>
        </w:tc>
        <w:tc>
          <w:tcPr>
            <w:tcW w:w="30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7" w:type="dxa"/>
            <w:tcBorders/>
            <w:shd w:fill="CCEEFF" w:val="clear"/>
            <w:vAlign w:val="bottom"/>
          </w:tcPr>
          <w:p>
            <w:pPr>
              <w:pStyle w:val="TableContents"/>
              <w:bidi w:val="0"/>
              <w:spacing w:before="0" w:after="283"/>
              <w:jc w:val="right"/>
              <w:rPr/>
            </w:pPr>
            <w:r>
              <w:rPr/>
              <w:t>(81</w:t>
            </w:r>
          </w:p>
        </w:tc>
        <w:tc>
          <w:tcPr>
            <w:tcW w:w="155" w:type="dxa"/>
            <w:tcBorders/>
            <w:shd w:fill="CCEEFF" w:val="clear"/>
            <w:vAlign w:val="bottom"/>
          </w:tcPr>
          <w:p>
            <w:pPr>
              <w:pStyle w:val="TableContents"/>
              <w:bidi w:val="0"/>
              <w:spacing w:before="0" w:after="283"/>
              <w:jc w:val="left"/>
              <w:rPr/>
            </w:pPr>
            <w:r>
              <w:rPr/>
              <w:t>) </w:t>
            </w:r>
          </w:p>
        </w:tc>
        <w:tc>
          <w:tcPr>
            <w:tcW w:w="25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7" w:type="dxa"/>
            <w:tcBorders/>
            <w:shd w:fill="CCEEFF" w:val="clear"/>
            <w:vAlign w:val="bottom"/>
          </w:tcPr>
          <w:p>
            <w:pPr>
              <w:pStyle w:val="TableContents"/>
              <w:bidi w:val="0"/>
              <w:spacing w:before="0" w:after="283"/>
              <w:jc w:val="right"/>
              <w:rPr/>
            </w:pPr>
            <w:r>
              <w:rPr/>
              <w:t>(1,641</w:t>
            </w:r>
          </w:p>
        </w:tc>
        <w:tc>
          <w:tcPr>
            <w:tcW w:w="159" w:type="dxa"/>
            <w:tcBorders/>
            <w:shd w:fill="CCEEFF" w:val="clear"/>
            <w:vAlign w:val="bottom"/>
          </w:tcPr>
          <w:p>
            <w:pPr>
              <w:pStyle w:val="TableContents"/>
              <w:bidi w:val="0"/>
              <w:spacing w:before="0" w:after="283"/>
              <w:jc w:val="left"/>
              <w:rPr/>
            </w:pPr>
            <w:r>
              <w:rPr/>
              <w:t>) </w:t>
            </w:r>
          </w:p>
        </w:tc>
      </w:tr>
      <w:tr>
        <w:trPr/>
        <w:tc>
          <w:tcPr>
            <w:tcW w:w="7078" w:type="dxa"/>
            <w:tcBorders/>
          </w:tcPr>
          <w:p>
            <w:pPr>
              <w:pStyle w:val="TableContents"/>
              <w:bidi w:val="0"/>
              <w:spacing w:before="0" w:after="0"/>
              <w:jc w:val="left"/>
              <w:rPr>
                <w:rFonts w:ascii="Times New Roman" w:hAnsi="Times New Roman"/>
                <w:sz w:val="20"/>
              </w:rPr>
            </w:pPr>
            <w:r>
              <w:rPr>
                <w:rFonts w:ascii="Times New Roman" w:hAnsi="Times New Roman"/>
                <w:sz w:val="20"/>
              </w:rPr>
              <w:t>Non-controlled affiliated investments</w:t>
            </w:r>
          </w:p>
        </w:tc>
        <w:tc>
          <w:tcPr>
            <w:tcW w:w="30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7" w:type="dxa"/>
            <w:tcBorders/>
            <w:vAlign w:val="bottom"/>
          </w:tcPr>
          <w:p>
            <w:pPr>
              <w:pStyle w:val="TableContents"/>
              <w:bidi w:val="0"/>
              <w:spacing w:before="0" w:after="283"/>
              <w:jc w:val="right"/>
              <w:rPr/>
            </w:pPr>
            <w:r>
              <w:rPr/>
              <w:t>(92</w:t>
            </w:r>
          </w:p>
        </w:tc>
        <w:tc>
          <w:tcPr>
            <w:tcW w:w="155" w:type="dxa"/>
            <w:tcBorders/>
            <w:vAlign w:val="bottom"/>
          </w:tcPr>
          <w:p>
            <w:pPr>
              <w:pStyle w:val="TableContents"/>
              <w:bidi w:val="0"/>
              <w:spacing w:before="0" w:after="283"/>
              <w:jc w:val="left"/>
              <w:rPr/>
            </w:pPr>
            <w:r>
              <w:rPr/>
              <w:t>) </w:t>
            </w:r>
          </w:p>
        </w:tc>
        <w:tc>
          <w:tcPr>
            <w:tcW w:w="25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7" w:type="dxa"/>
            <w:tcBorders/>
            <w:vAlign w:val="bottom"/>
          </w:tcPr>
          <w:p>
            <w:pPr>
              <w:pStyle w:val="TableContents"/>
              <w:bidi w:val="0"/>
              <w:spacing w:before="0" w:after="283"/>
              <w:jc w:val="right"/>
              <w:rPr/>
            </w:pPr>
            <w:r>
              <w:rPr/>
              <w:t> </w:t>
            </w:r>
          </w:p>
        </w:tc>
        <w:tc>
          <w:tcPr>
            <w:tcW w:w="159" w:type="dxa"/>
            <w:tcBorders/>
            <w:vAlign w:val="bottom"/>
          </w:tcPr>
          <w:p>
            <w:pPr>
              <w:pStyle w:val="TableContents"/>
              <w:bidi w:val="0"/>
              <w:spacing w:before="0" w:after="283"/>
              <w:jc w:val="left"/>
              <w:rPr/>
            </w:pPr>
            <w:r>
              <w:rPr/>
              <w:t> </w:t>
            </w:r>
          </w:p>
        </w:tc>
      </w:tr>
      <w:tr>
        <w:trPr/>
        <w:tc>
          <w:tcPr>
            <w:tcW w:w="707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Controlled affiliated investments</w:t>
            </w:r>
          </w:p>
        </w:tc>
        <w:tc>
          <w:tcPr>
            <w:tcW w:w="30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7"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25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7" w:type="dxa"/>
            <w:tcBorders/>
            <w:shd w:fill="CCEEFF" w:val="clear"/>
            <w:vAlign w:val="bottom"/>
          </w:tcPr>
          <w:p>
            <w:pPr>
              <w:pStyle w:val="TableContents"/>
              <w:bidi w:val="0"/>
              <w:spacing w:before="0" w:after="283"/>
              <w:jc w:val="right"/>
              <w:rPr/>
            </w:pPr>
            <w:r>
              <w:rPr/>
              <w:t>(416</w:t>
            </w:r>
          </w:p>
        </w:tc>
        <w:tc>
          <w:tcPr>
            <w:tcW w:w="159" w:type="dxa"/>
            <w:tcBorders/>
            <w:shd w:fill="CCEEFF" w:val="clear"/>
            <w:vAlign w:val="bottom"/>
          </w:tcPr>
          <w:p>
            <w:pPr>
              <w:pStyle w:val="TableContents"/>
              <w:bidi w:val="0"/>
              <w:spacing w:before="0" w:after="283"/>
              <w:jc w:val="left"/>
              <w:rPr/>
            </w:pPr>
            <w:r>
              <w:rPr/>
              <w:t>) </w:t>
            </w:r>
          </w:p>
        </w:tc>
      </w:tr>
      <w:tr>
        <w:trPr/>
        <w:tc>
          <w:tcPr>
            <w:tcW w:w="7078" w:type="dxa"/>
            <w:tcBorders/>
            <w:vAlign w:val="bottom"/>
          </w:tcPr>
          <w:p>
            <w:pPr>
              <w:pStyle w:val="TableContents"/>
              <w:bidi w:val="0"/>
              <w:spacing w:before="0" w:after="283"/>
              <w:jc w:val="left"/>
              <w:rPr>
                <w:sz w:val="4"/>
                <w:szCs w:val="4"/>
              </w:rPr>
            </w:pPr>
            <w:r>
              <w:rPr>
                <w:sz w:val="4"/>
                <w:szCs w:val="4"/>
              </w:rPr>
            </w:r>
          </w:p>
        </w:tc>
        <w:tc>
          <w:tcPr>
            <w:tcW w:w="30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5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7"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078" w:type="dxa"/>
            <w:tcBorders/>
          </w:tcPr>
          <w:p>
            <w:pPr>
              <w:pStyle w:val="TableContents"/>
              <w:bidi w:val="0"/>
              <w:spacing w:before="0" w:after="0"/>
              <w:jc w:val="left"/>
              <w:rPr>
                <w:rFonts w:ascii="Times New Roman" w:hAnsi="Times New Roman"/>
                <w:sz w:val="20"/>
              </w:rPr>
            </w:pPr>
            <w:r>
              <w:rPr>
                <w:rFonts w:ascii="Times New Roman" w:hAnsi="Times New Roman"/>
                <w:sz w:val="20"/>
              </w:rPr>
              <w:t>Net realized gain (loss) on investments</w:t>
            </w:r>
          </w:p>
        </w:tc>
        <w:tc>
          <w:tcPr>
            <w:tcW w:w="30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7" w:type="dxa"/>
            <w:tcBorders/>
            <w:vAlign w:val="bottom"/>
          </w:tcPr>
          <w:p>
            <w:pPr>
              <w:pStyle w:val="TableContents"/>
              <w:bidi w:val="0"/>
              <w:spacing w:before="0" w:after="283"/>
              <w:jc w:val="right"/>
              <w:rPr/>
            </w:pPr>
            <w:r>
              <w:rPr/>
              <w:t>(173</w:t>
            </w:r>
          </w:p>
        </w:tc>
        <w:tc>
          <w:tcPr>
            <w:tcW w:w="155" w:type="dxa"/>
            <w:tcBorders/>
            <w:vAlign w:val="bottom"/>
          </w:tcPr>
          <w:p>
            <w:pPr>
              <w:pStyle w:val="TableContents"/>
              <w:bidi w:val="0"/>
              <w:spacing w:before="0" w:after="283"/>
              <w:jc w:val="left"/>
              <w:rPr/>
            </w:pPr>
            <w:r>
              <w:rPr/>
              <w:t>) </w:t>
            </w:r>
          </w:p>
        </w:tc>
        <w:tc>
          <w:tcPr>
            <w:tcW w:w="25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7" w:type="dxa"/>
            <w:tcBorders/>
            <w:vAlign w:val="bottom"/>
          </w:tcPr>
          <w:p>
            <w:pPr>
              <w:pStyle w:val="TableContents"/>
              <w:bidi w:val="0"/>
              <w:spacing w:before="0" w:after="283"/>
              <w:jc w:val="right"/>
              <w:rPr/>
            </w:pPr>
            <w:r>
              <w:rPr/>
              <w:t>(2,057</w:t>
            </w:r>
          </w:p>
        </w:tc>
        <w:tc>
          <w:tcPr>
            <w:tcW w:w="159" w:type="dxa"/>
            <w:tcBorders/>
            <w:vAlign w:val="bottom"/>
          </w:tcPr>
          <w:p>
            <w:pPr>
              <w:pStyle w:val="TableContents"/>
              <w:bidi w:val="0"/>
              <w:spacing w:before="0" w:after="283"/>
              <w:jc w:val="left"/>
              <w:rPr/>
            </w:pPr>
            <w:r>
              <w:rPr/>
              <w:t>) </w:t>
            </w:r>
          </w:p>
        </w:tc>
      </w:tr>
      <w:tr>
        <w:trPr/>
        <w:tc>
          <w:tcPr>
            <w:tcW w:w="707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change in unrealized appreciation (depreciation) on:</w:t>
            </w:r>
          </w:p>
        </w:tc>
        <w:tc>
          <w:tcPr>
            <w:tcW w:w="30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8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5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87"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7078" w:type="dxa"/>
            <w:tcBorders/>
          </w:tcPr>
          <w:p>
            <w:pPr>
              <w:pStyle w:val="TableContents"/>
              <w:bidi w:val="0"/>
              <w:spacing w:before="0" w:after="0"/>
              <w:jc w:val="left"/>
              <w:rPr>
                <w:rFonts w:ascii="Times New Roman" w:hAnsi="Times New Roman"/>
                <w:sz w:val="20"/>
              </w:rPr>
            </w:pPr>
            <w:r>
              <w:rPr>
                <w:rFonts w:ascii="Times New Roman" w:hAnsi="Times New Roman"/>
                <w:sz w:val="20"/>
              </w:rPr>
              <w:t>Non-controlled/non-affiliated investments</w:t>
            </w:r>
          </w:p>
        </w:tc>
        <w:tc>
          <w:tcPr>
            <w:tcW w:w="30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7" w:type="dxa"/>
            <w:tcBorders/>
            <w:vAlign w:val="bottom"/>
          </w:tcPr>
          <w:p>
            <w:pPr>
              <w:pStyle w:val="TableContents"/>
              <w:bidi w:val="0"/>
              <w:spacing w:before="0" w:after="283"/>
              <w:jc w:val="right"/>
              <w:rPr/>
            </w:pPr>
            <w:r>
              <w:rPr/>
              <w:t>(1,501</w:t>
            </w:r>
          </w:p>
        </w:tc>
        <w:tc>
          <w:tcPr>
            <w:tcW w:w="155" w:type="dxa"/>
            <w:tcBorders/>
            <w:vAlign w:val="bottom"/>
          </w:tcPr>
          <w:p>
            <w:pPr>
              <w:pStyle w:val="TableContents"/>
              <w:bidi w:val="0"/>
              <w:spacing w:before="0" w:after="283"/>
              <w:jc w:val="left"/>
              <w:rPr/>
            </w:pPr>
            <w:r>
              <w:rPr/>
              <w:t>) </w:t>
            </w:r>
          </w:p>
        </w:tc>
        <w:tc>
          <w:tcPr>
            <w:tcW w:w="25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7" w:type="dxa"/>
            <w:tcBorders/>
            <w:vAlign w:val="bottom"/>
          </w:tcPr>
          <w:p>
            <w:pPr>
              <w:pStyle w:val="TableContents"/>
              <w:bidi w:val="0"/>
              <w:spacing w:before="0" w:after="283"/>
              <w:jc w:val="right"/>
              <w:rPr/>
            </w:pPr>
            <w:r>
              <w:rPr/>
              <w:t>(659</w:t>
            </w:r>
          </w:p>
        </w:tc>
        <w:tc>
          <w:tcPr>
            <w:tcW w:w="159" w:type="dxa"/>
            <w:tcBorders/>
            <w:vAlign w:val="bottom"/>
          </w:tcPr>
          <w:p>
            <w:pPr>
              <w:pStyle w:val="TableContents"/>
              <w:bidi w:val="0"/>
              <w:spacing w:before="0" w:after="283"/>
              <w:jc w:val="left"/>
              <w:rPr/>
            </w:pPr>
            <w:r>
              <w:rPr/>
              <w:t>) </w:t>
            </w:r>
          </w:p>
        </w:tc>
      </w:tr>
      <w:tr>
        <w:trPr/>
        <w:tc>
          <w:tcPr>
            <w:tcW w:w="707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Non-controlled affiliated investments</w:t>
            </w:r>
          </w:p>
        </w:tc>
        <w:tc>
          <w:tcPr>
            <w:tcW w:w="30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7" w:type="dxa"/>
            <w:tcBorders/>
            <w:shd w:fill="CCEEFF" w:val="clear"/>
            <w:vAlign w:val="bottom"/>
          </w:tcPr>
          <w:p>
            <w:pPr>
              <w:pStyle w:val="TableContents"/>
              <w:bidi w:val="0"/>
              <w:spacing w:before="0" w:after="283"/>
              <w:jc w:val="right"/>
              <w:rPr/>
            </w:pPr>
            <w:r>
              <w:rPr/>
              <w:t>(1,140</w:t>
            </w:r>
          </w:p>
        </w:tc>
        <w:tc>
          <w:tcPr>
            <w:tcW w:w="155" w:type="dxa"/>
            <w:tcBorders/>
            <w:shd w:fill="CCEEFF" w:val="clear"/>
            <w:vAlign w:val="bottom"/>
          </w:tcPr>
          <w:p>
            <w:pPr>
              <w:pStyle w:val="TableContents"/>
              <w:bidi w:val="0"/>
              <w:spacing w:before="0" w:after="283"/>
              <w:jc w:val="left"/>
              <w:rPr/>
            </w:pPr>
            <w:r>
              <w:rPr/>
              <w:t>) </w:t>
            </w:r>
          </w:p>
        </w:tc>
        <w:tc>
          <w:tcPr>
            <w:tcW w:w="25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7" w:type="dxa"/>
            <w:tcBorders/>
            <w:shd w:fill="CCEEFF" w:val="clear"/>
            <w:vAlign w:val="bottom"/>
          </w:tcPr>
          <w:p>
            <w:pPr>
              <w:pStyle w:val="TableContents"/>
              <w:bidi w:val="0"/>
              <w:spacing w:before="0" w:after="283"/>
              <w:jc w:val="right"/>
              <w:rPr/>
            </w:pPr>
            <w:r>
              <w:rPr/>
              <w:t>140</w:t>
            </w:r>
          </w:p>
        </w:tc>
        <w:tc>
          <w:tcPr>
            <w:tcW w:w="159" w:type="dxa"/>
            <w:tcBorders/>
            <w:shd w:fill="CCEEFF" w:val="clear"/>
            <w:vAlign w:val="bottom"/>
          </w:tcPr>
          <w:p>
            <w:pPr>
              <w:pStyle w:val="TableContents"/>
              <w:bidi w:val="0"/>
              <w:spacing w:before="0" w:after="283"/>
              <w:jc w:val="left"/>
              <w:rPr/>
            </w:pPr>
            <w:r>
              <w:rPr/>
              <w:t> </w:t>
            </w:r>
          </w:p>
        </w:tc>
      </w:tr>
      <w:tr>
        <w:trPr/>
        <w:tc>
          <w:tcPr>
            <w:tcW w:w="7078" w:type="dxa"/>
            <w:tcBorders/>
          </w:tcPr>
          <w:p>
            <w:pPr>
              <w:pStyle w:val="TableContents"/>
              <w:bidi w:val="0"/>
              <w:spacing w:before="0" w:after="0"/>
              <w:jc w:val="left"/>
              <w:rPr>
                <w:rFonts w:ascii="Times New Roman" w:hAnsi="Times New Roman"/>
                <w:sz w:val="20"/>
              </w:rPr>
            </w:pPr>
            <w:r>
              <w:rPr>
                <w:rFonts w:ascii="Times New Roman" w:hAnsi="Times New Roman"/>
                <w:sz w:val="20"/>
              </w:rPr>
              <w:t>Controlled affiliated investments</w:t>
            </w:r>
          </w:p>
        </w:tc>
        <w:tc>
          <w:tcPr>
            <w:tcW w:w="30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7" w:type="dxa"/>
            <w:tcBorders/>
            <w:vAlign w:val="bottom"/>
          </w:tcPr>
          <w:p>
            <w:pPr>
              <w:pStyle w:val="TableContents"/>
              <w:bidi w:val="0"/>
              <w:spacing w:before="0" w:after="283"/>
              <w:jc w:val="right"/>
              <w:rPr/>
            </w:pPr>
            <w:r>
              <w:rPr/>
              <w:t>(1,274</w:t>
            </w:r>
          </w:p>
        </w:tc>
        <w:tc>
          <w:tcPr>
            <w:tcW w:w="155" w:type="dxa"/>
            <w:tcBorders/>
            <w:vAlign w:val="bottom"/>
          </w:tcPr>
          <w:p>
            <w:pPr>
              <w:pStyle w:val="TableContents"/>
              <w:bidi w:val="0"/>
              <w:spacing w:before="0" w:after="283"/>
              <w:jc w:val="left"/>
              <w:rPr/>
            </w:pPr>
            <w:r>
              <w:rPr/>
              <w:t>) </w:t>
            </w:r>
          </w:p>
        </w:tc>
        <w:tc>
          <w:tcPr>
            <w:tcW w:w="25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7" w:type="dxa"/>
            <w:tcBorders/>
            <w:vAlign w:val="bottom"/>
          </w:tcPr>
          <w:p>
            <w:pPr>
              <w:pStyle w:val="TableContents"/>
              <w:bidi w:val="0"/>
              <w:spacing w:before="0" w:after="283"/>
              <w:jc w:val="right"/>
              <w:rPr/>
            </w:pPr>
            <w:r>
              <w:rPr/>
              <w:t>590</w:t>
            </w:r>
          </w:p>
        </w:tc>
        <w:tc>
          <w:tcPr>
            <w:tcW w:w="159" w:type="dxa"/>
            <w:tcBorders/>
            <w:vAlign w:val="bottom"/>
          </w:tcPr>
          <w:p>
            <w:pPr>
              <w:pStyle w:val="TableContents"/>
              <w:bidi w:val="0"/>
              <w:spacing w:before="0" w:after="283"/>
              <w:jc w:val="left"/>
              <w:rPr/>
            </w:pPr>
            <w:r>
              <w:rPr/>
              <w:t> </w:t>
            </w:r>
          </w:p>
        </w:tc>
      </w:tr>
      <w:tr>
        <w:trPr/>
        <w:tc>
          <w:tcPr>
            <w:tcW w:w="707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Derivatives</w:t>
            </w:r>
          </w:p>
        </w:tc>
        <w:tc>
          <w:tcPr>
            <w:tcW w:w="30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7" w:type="dxa"/>
            <w:tcBorders/>
            <w:shd w:fill="CCEEFF" w:val="clear"/>
            <w:vAlign w:val="bottom"/>
          </w:tcPr>
          <w:p>
            <w:pPr>
              <w:pStyle w:val="TableContents"/>
              <w:bidi w:val="0"/>
              <w:spacing w:before="0" w:after="283"/>
              <w:jc w:val="right"/>
              <w:rPr/>
            </w:pPr>
            <w:r>
              <w:rPr/>
              <w:t>12</w:t>
            </w:r>
          </w:p>
        </w:tc>
        <w:tc>
          <w:tcPr>
            <w:tcW w:w="155" w:type="dxa"/>
            <w:tcBorders/>
            <w:shd w:fill="CCEEFF" w:val="clear"/>
            <w:vAlign w:val="bottom"/>
          </w:tcPr>
          <w:p>
            <w:pPr>
              <w:pStyle w:val="TableContents"/>
              <w:bidi w:val="0"/>
              <w:spacing w:before="0" w:after="283"/>
              <w:jc w:val="left"/>
              <w:rPr/>
            </w:pPr>
            <w:r>
              <w:rPr/>
              <w:t> </w:t>
            </w:r>
          </w:p>
        </w:tc>
        <w:tc>
          <w:tcPr>
            <w:tcW w:w="25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7" w:type="dxa"/>
            <w:tcBorders/>
            <w:shd w:fill="CCEEFF" w:val="clear"/>
            <w:vAlign w:val="bottom"/>
          </w:tcPr>
          <w:p>
            <w:pPr>
              <w:pStyle w:val="TableContents"/>
              <w:bidi w:val="0"/>
              <w:spacing w:before="0" w:after="283"/>
              <w:jc w:val="right"/>
              <w:rPr/>
            </w:pPr>
            <w:r>
              <w:rPr/>
              <w:t> </w:t>
            </w:r>
          </w:p>
        </w:tc>
        <w:tc>
          <w:tcPr>
            <w:tcW w:w="159" w:type="dxa"/>
            <w:tcBorders/>
            <w:shd w:fill="CCEEFF" w:val="clear"/>
            <w:vAlign w:val="bottom"/>
          </w:tcPr>
          <w:p>
            <w:pPr>
              <w:pStyle w:val="TableContents"/>
              <w:bidi w:val="0"/>
              <w:spacing w:before="0" w:after="283"/>
              <w:jc w:val="left"/>
              <w:rPr/>
            </w:pPr>
            <w:r>
              <w:rPr/>
              <w:t> </w:t>
            </w:r>
          </w:p>
        </w:tc>
      </w:tr>
      <w:tr>
        <w:trPr/>
        <w:tc>
          <w:tcPr>
            <w:tcW w:w="7078" w:type="dxa"/>
            <w:tcBorders/>
            <w:vAlign w:val="bottom"/>
          </w:tcPr>
          <w:p>
            <w:pPr>
              <w:pStyle w:val="TableContents"/>
              <w:bidi w:val="0"/>
              <w:spacing w:before="0" w:after="283"/>
              <w:jc w:val="left"/>
              <w:rPr>
                <w:sz w:val="4"/>
                <w:szCs w:val="4"/>
              </w:rPr>
            </w:pPr>
            <w:r>
              <w:rPr>
                <w:sz w:val="4"/>
                <w:szCs w:val="4"/>
              </w:rPr>
            </w:r>
          </w:p>
        </w:tc>
        <w:tc>
          <w:tcPr>
            <w:tcW w:w="30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5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7"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078" w:type="dxa"/>
            <w:tcBorders/>
          </w:tcPr>
          <w:p>
            <w:pPr>
              <w:pStyle w:val="TableContents"/>
              <w:bidi w:val="0"/>
              <w:spacing w:before="0" w:after="0"/>
              <w:jc w:val="left"/>
              <w:rPr>
                <w:rFonts w:ascii="Times New Roman" w:hAnsi="Times New Roman"/>
                <w:sz w:val="20"/>
              </w:rPr>
            </w:pPr>
            <w:r>
              <w:rPr>
                <w:rFonts w:ascii="Times New Roman" w:hAnsi="Times New Roman"/>
                <w:sz w:val="20"/>
              </w:rPr>
              <w:t>Net change in unrealized gain (loss) on investments</w:t>
            </w:r>
          </w:p>
        </w:tc>
        <w:tc>
          <w:tcPr>
            <w:tcW w:w="30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7" w:type="dxa"/>
            <w:tcBorders/>
            <w:vAlign w:val="bottom"/>
          </w:tcPr>
          <w:p>
            <w:pPr>
              <w:pStyle w:val="TableContents"/>
              <w:bidi w:val="0"/>
              <w:spacing w:before="0" w:after="283"/>
              <w:jc w:val="right"/>
              <w:rPr/>
            </w:pPr>
            <w:r>
              <w:rPr/>
              <w:t>(3,903</w:t>
            </w:r>
          </w:p>
        </w:tc>
        <w:tc>
          <w:tcPr>
            <w:tcW w:w="155" w:type="dxa"/>
            <w:tcBorders/>
            <w:vAlign w:val="bottom"/>
          </w:tcPr>
          <w:p>
            <w:pPr>
              <w:pStyle w:val="TableContents"/>
              <w:bidi w:val="0"/>
              <w:spacing w:before="0" w:after="283"/>
              <w:jc w:val="left"/>
              <w:rPr/>
            </w:pPr>
            <w:r>
              <w:rPr/>
              <w:t>) </w:t>
            </w:r>
          </w:p>
        </w:tc>
        <w:tc>
          <w:tcPr>
            <w:tcW w:w="25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7" w:type="dxa"/>
            <w:tcBorders/>
            <w:vAlign w:val="bottom"/>
          </w:tcPr>
          <w:p>
            <w:pPr>
              <w:pStyle w:val="TableContents"/>
              <w:bidi w:val="0"/>
              <w:spacing w:before="0" w:after="283"/>
              <w:jc w:val="right"/>
              <w:rPr/>
            </w:pPr>
            <w:r>
              <w:rPr/>
              <w:t>71</w:t>
            </w:r>
          </w:p>
        </w:tc>
        <w:tc>
          <w:tcPr>
            <w:tcW w:w="159" w:type="dxa"/>
            <w:tcBorders/>
            <w:vAlign w:val="bottom"/>
          </w:tcPr>
          <w:p>
            <w:pPr>
              <w:pStyle w:val="TableContents"/>
              <w:bidi w:val="0"/>
              <w:spacing w:before="0" w:after="283"/>
              <w:jc w:val="left"/>
              <w:rPr/>
            </w:pPr>
            <w:r>
              <w:rPr/>
              <w:t> </w:t>
            </w:r>
          </w:p>
        </w:tc>
      </w:tr>
      <w:tr>
        <w:trPr/>
        <w:tc>
          <w:tcPr>
            <w:tcW w:w="7078" w:type="dxa"/>
            <w:tcBorders/>
            <w:vAlign w:val="bottom"/>
          </w:tcPr>
          <w:p>
            <w:pPr>
              <w:pStyle w:val="TableContents"/>
              <w:bidi w:val="0"/>
              <w:spacing w:before="0" w:after="283"/>
              <w:jc w:val="left"/>
              <w:rPr>
                <w:sz w:val="4"/>
                <w:szCs w:val="4"/>
              </w:rPr>
            </w:pPr>
            <w:r>
              <w:rPr>
                <w:sz w:val="4"/>
                <w:szCs w:val="4"/>
              </w:rPr>
            </w:r>
          </w:p>
        </w:tc>
        <w:tc>
          <w:tcPr>
            <w:tcW w:w="30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5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7"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07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Tax (provision) benefit on realized and unrealized gains (losses) on investments</w:t>
            </w:r>
          </w:p>
        </w:tc>
        <w:tc>
          <w:tcPr>
            <w:tcW w:w="30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7" w:type="dxa"/>
            <w:tcBorders/>
            <w:shd w:fill="CCEEFF" w:val="clear"/>
            <w:vAlign w:val="bottom"/>
          </w:tcPr>
          <w:p>
            <w:pPr>
              <w:pStyle w:val="TableContents"/>
              <w:bidi w:val="0"/>
              <w:spacing w:before="0" w:after="283"/>
              <w:jc w:val="right"/>
              <w:rPr/>
            </w:pPr>
            <w:r>
              <w:rPr/>
              <w:t>(346</w:t>
            </w:r>
          </w:p>
        </w:tc>
        <w:tc>
          <w:tcPr>
            <w:tcW w:w="155" w:type="dxa"/>
            <w:tcBorders/>
            <w:shd w:fill="CCEEFF" w:val="clear"/>
            <w:vAlign w:val="bottom"/>
          </w:tcPr>
          <w:p>
            <w:pPr>
              <w:pStyle w:val="TableContents"/>
              <w:bidi w:val="0"/>
              <w:spacing w:before="0" w:after="283"/>
              <w:jc w:val="left"/>
              <w:rPr/>
            </w:pPr>
            <w:r>
              <w:rPr/>
              <w:t>) </w:t>
            </w:r>
          </w:p>
        </w:tc>
        <w:tc>
          <w:tcPr>
            <w:tcW w:w="25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7" w:type="dxa"/>
            <w:tcBorders/>
            <w:shd w:fill="CCEEFF" w:val="clear"/>
            <w:vAlign w:val="bottom"/>
          </w:tcPr>
          <w:p>
            <w:pPr>
              <w:pStyle w:val="TableContents"/>
              <w:bidi w:val="0"/>
              <w:spacing w:before="0" w:after="283"/>
              <w:jc w:val="right"/>
              <w:rPr/>
            </w:pPr>
            <w:r>
              <w:rPr/>
              <w:t>459</w:t>
            </w:r>
          </w:p>
        </w:tc>
        <w:tc>
          <w:tcPr>
            <w:tcW w:w="159" w:type="dxa"/>
            <w:tcBorders/>
            <w:shd w:fill="CCEEFF" w:val="clear"/>
            <w:vAlign w:val="bottom"/>
          </w:tcPr>
          <w:p>
            <w:pPr>
              <w:pStyle w:val="TableContents"/>
              <w:bidi w:val="0"/>
              <w:spacing w:before="0" w:after="283"/>
              <w:jc w:val="left"/>
              <w:rPr/>
            </w:pPr>
            <w:r>
              <w:rPr/>
              <w:t> </w:t>
            </w:r>
          </w:p>
        </w:tc>
      </w:tr>
      <w:tr>
        <w:trPr/>
        <w:tc>
          <w:tcPr>
            <w:tcW w:w="7078" w:type="dxa"/>
            <w:tcBorders/>
            <w:vAlign w:val="bottom"/>
          </w:tcPr>
          <w:p>
            <w:pPr>
              <w:pStyle w:val="TableContents"/>
              <w:bidi w:val="0"/>
              <w:spacing w:before="0" w:after="283"/>
              <w:jc w:val="left"/>
              <w:rPr>
                <w:sz w:val="4"/>
                <w:szCs w:val="4"/>
              </w:rPr>
            </w:pPr>
            <w:r>
              <w:rPr>
                <w:sz w:val="4"/>
                <w:szCs w:val="4"/>
              </w:rPr>
            </w:r>
          </w:p>
        </w:tc>
        <w:tc>
          <w:tcPr>
            <w:tcW w:w="30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5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7"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078" w:type="dxa"/>
            <w:tcBorders/>
          </w:tcPr>
          <w:p>
            <w:pPr>
              <w:pStyle w:val="TableContents"/>
              <w:bidi w:val="0"/>
              <w:spacing w:before="0" w:after="0"/>
              <w:jc w:val="left"/>
              <w:rPr>
                <w:rFonts w:ascii="Times New Roman" w:hAnsi="Times New Roman"/>
                <w:sz w:val="20"/>
              </w:rPr>
            </w:pPr>
            <w:r>
              <w:rPr>
                <w:rFonts w:ascii="Times New Roman" w:hAnsi="Times New Roman"/>
                <w:sz w:val="20"/>
              </w:rPr>
              <w:t>Net realized and unrealized appreciation (depreciation) on investments, net of taxes</w:t>
            </w:r>
          </w:p>
        </w:tc>
        <w:tc>
          <w:tcPr>
            <w:tcW w:w="30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7" w:type="dxa"/>
            <w:tcBorders/>
            <w:vAlign w:val="bottom"/>
          </w:tcPr>
          <w:p>
            <w:pPr>
              <w:pStyle w:val="TableContents"/>
              <w:bidi w:val="0"/>
              <w:spacing w:before="0" w:after="283"/>
              <w:jc w:val="right"/>
              <w:rPr/>
            </w:pPr>
            <w:r>
              <w:rPr/>
              <w:t>(4,422</w:t>
            </w:r>
          </w:p>
        </w:tc>
        <w:tc>
          <w:tcPr>
            <w:tcW w:w="155" w:type="dxa"/>
            <w:tcBorders/>
            <w:vAlign w:val="bottom"/>
          </w:tcPr>
          <w:p>
            <w:pPr>
              <w:pStyle w:val="TableContents"/>
              <w:bidi w:val="0"/>
              <w:spacing w:before="0" w:after="283"/>
              <w:jc w:val="left"/>
              <w:rPr/>
            </w:pPr>
            <w:r>
              <w:rPr/>
              <w:t>) </w:t>
            </w:r>
          </w:p>
        </w:tc>
        <w:tc>
          <w:tcPr>
            <w:tcW w:w="25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7" w:type="dxa"/>
            <w:tcBorders/>
            <w:vAlign w:val="bottom"/>
          </w:tcPr>
          <w:p>
            <w:pPr>
              <w:pStyle w:val="TableContents"/>
              <w:bidi w:val="0"/>
              <w:spacing w:before="0" w:after="283"/>
              <w:jc w:val="right"/>
              <w:rPr/>
            </w:pPr>
            <w:r>
              <w:rPr/>
              <w:t>(1,527</w:t>
            </w:r>
          </w:p>
        </w:tc>
        <w:tc>
          <w:tcPr>
            <w:tcW w:w="159" w:type="dxa"/>
            <w:tcBorders/>
            <w:vAlign w:val="bottom"/>
          </w:tcPr>
          <w:p>
            <w:pPr>
              <w:pStyle w:val="TableContents"/>
              <w:bidi w:val="0"/>
              <w:spacing w:before="0" w:after="283"/>
              <w:jc w:val="left"/>
              <w:rPr/>
            </w:pPr>
            <w:r>
              <w:rPr/>
              <w:t>) </w:t>
            </w:r>
          </w:p>
        </w:tc>
      </w:tr>
      <w:tr>
        <w:trPr/>
        <w:tc>
          <w:tcPr>
            <w:tcW w:w="7078" w:type="dxa"/>
            <w:tcBorders/>
            <w:vAlign w:val="bottom"/>
          </w:tcPr>
          <w:p>
            <w:pPr>
              <w:pStyle w:val="TableContents"/>
              <w:bidi w:val="0"/>
              <w:spacing w:before="0" w:after="283"/>
              <w:jc w:val="left"/>
              <w:rPr>
                <w:sz w:val="4"/>
                <w:szCs w:val="4"/>
              </w:rPr>
            </w:pPr>
            <w:r>
              <w:rPr>
                <w:sz w:val="4"/>
                <w:szCs w:val="4"/>
              </w:rPr>
            </w:r>
          </w:p>
        </w:tc>
        <w:tc>
          <w:tcPr>
            <w:tcW w:w="30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5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7"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07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realized gain (loss) on extinguishment of debt</w:t>
            </w:r>
          </w:p>
        </w:tc>
        <w:tc>
          <w:tcPr>
            <w:tcW w:w="30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7"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25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7" w:type="dxa"/>
            <w:tcBorders/>
            <w:shd w:fill="CCEEFF" w:val="clear"/>
            <w:vAlign w:val="bottom"/>
          </w:tcPr>
          <w:p>
            <w:pPr>
              <w:pStyle w:val="TableContents"/>
              <w:bidi w:val="0"/>
              <w:spacing w:before="0" w:after="283"/>
              <w:jc w:val="right"/>
              <w:rPr/>
            </w:pPr>
            <w:r>
              <w:rPr/>
              <w:t>(213</w:t>
            </w:r>
          </w:p>
        </w:tc>
        <w:tc>
          <w:tcPr>
            <w:tcW w:w="159" w:type="dxa"/>
            <w:tcBorders/>
            <w:shd w:fill="CCEEFF" w:val="clear"/>
            <w:vAlign w:val="bottom"/>
          </w:tcPr>
          <w:p>
            <w:pPr>
              <w:pStyle w:val="TableContents"/>
              <w:bidi w:val="0"/>
              <w:spacing w:before="0" w:after="283"/>
              <w:jc w:val="left"/>
              <w:rPr/>
            </w:pPr>
            <w:r>
              <w:rPr/>
              <w:t>) </w:t>
            </w:r>
          </w:p>
        </w:tc>
      </w:tr>
      <w:tr>
        <w:trPr/>
        <w:tc>
          <w:tcPr>
            <w:tcW w:w="7078" w:type="dxa"/>
            <w:tcBorders/>
            <w:vAlign w:val="bottom"/>
          </w:tcPr>
          <w:p>
            <w:pPr>
              <w:pStyle w:val="TableContents"/>
              <w:bidi w:val="0"/>
              <w:spacing w:before="0" w:after="283"/>
              <w:jc w:val="left"/>
              <w:rPr>
                <w:sz w:val="4"/>
                <w:szCs w:val="4"/>
              </w:rPr>
            </w:pPr>
            <w:r>
              <w:rPr>
                <w:sz w:val="4"/>
                <w:szCs w:val="4"/>
              </w:rPr>
            </w:r>
          </w:p>
        </w:tc>
        <w:tc>
          <w:tcPr>
            <w:tcW w:w="30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5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7"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078" w:type="dxa"/>
            <w:tcBorders/>
          </w:tcPr>
          <w:p>
            <w:pPr>
              <w:pStyle w:val="TableContents"/>
              <w:bidi w:val="0"/>
              <w:spacing w:before="0" w:after="0"/>
              <w:jc w:val="left"/>
              <w:rPr>
                <w:rFonts w:ascii="Times New Roman" w:hAnsi="Times New Roman"/>
                <w:b/>
                <w:sz w:val="20"/>
              </w:rPr>
            </w:pPr>
            <w:r>
              <w:rPr>
                <w:rFonts w:ascii="Times New Roman" w:hAnsi="Times New Roman"/>
                <w:b/>
                <w:sz w:val="20"/>
              </w:rPr>
              <w:t>NET INCREASE (DECREASE) IN NET ASSETS RESULTING FROM OPERATIONS</w:t>
            </w:r>
          </w:p>
        </w:tc>
        <w:tc>
          <w:tcPr>
            <w:tcW w:w="30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87" w:type="dxa"/>
            <w:tcBorders/>
            <w:vAlign w:val="bottom"/>
          </w:tcPr>
          <w:p>
            <w:pPr>
              <w:pStyle w:val="TableContents"/>
              <w:bidi w:val="0"/>
              <w:spacing w:before="0" w:after="283"/>
              <w:jc w:val="right"/>
              <w:rPr/>
            </w:pPr>
            <w:r>
              <w:rPr/>
              <w:t>(82</w:t>
            </w:r>
          </w:p>
        </w:tc>
        <w:tc>
          <w:tcPr>
            <w:tcW w:w="155" w:type="dxa"/>
            <w:tcBorders/>
            <w:vAlign w:val="bottom"/>
          </w:tcPr>
          <w:p>
            <w:pPr>
              <w:pStyle w:val="TableContents"/>
              <w:bidi w:val="0"/>
              <w:spacing w:before="0" w:after="283"/>
              <w:jc w:val="left"/>
              <w:rPr/>
            </w:pPr>
            <w:r>
              <w:rPr/>
              <w:t>) </w:t>
            </w:r>
          </w:p>
        </w:tc>
        <w:tc>
          <w:tcPr>
            <w:tcW w:w="25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87" w:type="dxa"/>
            <w:tcBorders/>
            <w:vAlign w:val="bottom"/>
          </w:tcPr>
          <w:p>
            <w:pPr>
              <w:pStyle w:val="TableContents"/>
              <w:bidi w:val="0"/>
              <w:spacing w:before="0" w:after="283"/>
              <w:jc w:val="right"/>
              <w:rPr/>
            </w:pPr>
            <w:r>
              <w:rPr/>
              <w:t>4,486</w:t>
            </w:r>
          </w:p>
        </w:tc>
        <w:tc>
          <w:tcPr>
            <w:tcW w:w="159" w:type="dxa"/>
            <w:tcBorders/>
            <w:vAlign w:val="bottom"/>
          </w:tcPr>
          <w:p>
            <w:pPr>
              <w:pStyle w:val="TableContents"/>
              <w:bidi w:val="0"/>
              <w:spacing w:before="0" w:after="283"/>
              <w:jc w:val="left"/>
              <w:rPr/>
            </w:pPr>
            <w:r>
              <w:rPr/>
              <w:t> </w:t>
            </w:r>
          </w:p>
        </w:tc>
      </w:tr>
      <w:tr>
        <w:trPr/>
        <w:tc>
          <w:tcPr>
            <w:tcW w:w="7078" w:type="dxa"/>
            <w:tcBorders/>
            <w:vAlign w:val="bottom"/>
          </w:tcPr>
          <w:p>
            <w:pPr>
              <w:pStyle w:val="TableContents"/>
              <w:bidi w:val="0"/>
              <w:spacing w:before="0" w:after="283"/>
              <w:jc w:val="left"/>
              <w:rPr>
                <w:sz w:val="4"/>
                <w:szCs w:val="4"/>
              </w:rPr>
            </w:pPr>
            <w:r>
              <w:rPr>
                <w:sz w:val="4"/>
                <w:szCs w:val="4"/>
              </w:rPr>
            </w:r>
          </w:p>
        </w:tc>
        <w:tc>
          <w:tcPr>
            <w:tcW w:w="30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87"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5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87"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07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Increase (Decrease) In Net Assets Resulting from Operations per Common Share:</w:t>
            </w:r>
          </w:p>
        </w:tc>
        <w:tc>
          <w:tcPr>
            <w:tcW w:w="30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8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5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87"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7078" w:type="dxa"/>
            <w:tcBorders/>
          </w:tcPr>
          <w:p>
            <w:pPr>
              <w:pStyle w:val="TableContents"/>
              <w:bidi w:val="0"/>
              <w:spacing w:before="0" w:after="0"/>
              <w:jc w:val="left"/>
              <w:rPr>
                <w:rFonts w:ascii="Times New Roman" w:hAnsi="Times New Roman"/>
                <w:sz w:val="20"/>
              </w:rPr>
            </w:pPr>
            <w:r>
              <w:rPr>
                <w:rFonts w:ascii="Times New Roman" w:hAnsi="Times New Roman"/>
                <w:sz w:val="20"/>
              </w:rPr>
              <w:t>Basic and Diluted:</w:t>
            </w:r>
          </w:p>
        </w:tc>
        <w:tc>
          <w:tcPr>
            <w:tcW w:w="30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87" w:type="dxa"/>
            <w:tcBorders/>
            <w:vAlign w:val="bottom"/>
          </w:tcPr>
          <w:p>
            <w:pPr>
              <w:pStyle w:val="TableContents"/>
              <w:bidi w:val="0"/>
              <w:spacing w:before="0" w:after="283"/>
              <w:jc w:val="right"/>
              <w:rPr/>
            </w:pPr>
            <w:r>
              <w:rPr/>
              <w:t>(0.01</w:t>
            </w:r>
          </w:p>
        </w:tc>
        <w:tc>
          <w:tcPr>
            <w:tcW w:w="155" w:type="dxa"/>
            <w:tcBorders/>
            <w:vAlign w:val="bottom"/>
          </w:tcPr>
          <w:p>
            <w:pPr>
              <w:pStyle w:val="TableContents"/>
              <w:bidi w:val="0"/>
              <w:spacing w:before="0" w:after="283"/>
              <w:jc w:val="left"/>
              <w:rPr/>
            </w:pPr>
            <w:r>
              <w:rPr/>
              <w:t>) </w:t>
            </w:r>
          </w:p>
        </w:tc>
        <w:tc>
          <w:tcPr>
            <w:tcW w:w="25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87" w:type="dxa"/>
            <w:tcBorders/>
            <w:vAlign w:val="bottom"/>
          </w:tcPr>
          <w:p>
            <w:pPr>
              <w:pStyle w:val="TableContents"/>
              <w:bidi w:val="0"/>
              <w:spacing w:before="0" w:after="283"/>
              <w:jc w:val="right"/>
              <w:rPr/>
            </w:pPr>
            <w:r>
              <w:rPr/>
              <w:t>0.48</w:t>
            </w:r>
          </w:p>
        </w:tc>
        <w:tc>
          <w:tcPr>
            <w:tcW w:w="159" w:type="dxa"/>
            <w:tcBorders/>
            <w:vAlign w:val="bottom"/>
          </w:tcPr>
          <w:p>
            <w:pPr>
              <w:pStyle w:val="TableContents"/>
              <w:bidi w:val="0"/>
              <w:spacing w:before="0" w:after="283"/>
              <w:jc w:val="left"/>
              <w:rPr/>
            </w:pPr>
            <w:r>
              <w:rPr/>
              <w:t> </w:t>
            </w:r>
          </w:p>
        </w:tc>
      </w:tr>
      <w:tr>
        <w:trPr/>
        <w:tc>
          <w:tcPr>
            <w:tcW w:w="707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Investment Income Per Common Share:</w:t>
            </w:r>
          </w:p>
        </w:tc>
        <w:tc>
          <w:tcPr>
            <w:tcW w:w="30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8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5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87"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7078" w:type="dxa"/>
            <w:tcBorders/>
          </w:tcPr>
          <w:p>
            <w:pPr>
              <w:pStyle w:val="TableContents"/>
              <w:bidi w:val="0"/>
              <w:spacing w:before="0" w:after="0"/>
              <w:jc w:val="left"/>
              <w:rPr>
                <w:rFonts w:ascii="Times New Roman" w:hAnsi="Times New Roman"/>
                <w:sz w:val="20"/>
              </w:rPr>
            </w:pPr>
            <w:r>
              <w:rPr>
                <w:rFonts w:ascii="Times New Roman" w:hAnsi="Times New Roman"/>
                <w:sz w:val="20"/>
              </w:rPr>
              <w:t>Basic and Diluted:</w:t>
            </w:r>
          </w:p>
        </w:tc>
        <w:tc>
          <w:tcPr>
            <w:tcW w:w="30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87" w:type="dxa"/>
            <w:tcBorders/>
            <w:vAlign w:val="bottom"/>
          </w:tcPr>
          <w:p>
            <w:pPr>
              <w:pStyle w:val="TableContents"/>
              <w:bidi w:val="0"/>
              <w:spacing w:before="0" w:after="283"/>
              <w:jc w:val="right"/>
              <w:rPr/>
            </w:pPr>
            <w:r>
              <w:rPr/>
              <w:t>0.47</w:t>
            </w:r>
          </w:p>
        </w:tc>
        <w:tc>
          <w:tcPr>
            <w:tcW w:w="155" w:type="dxa"/>
            <w:tcBorders/>
            <w:vAlign w:val="bottom"/>
          </w:tcPr>
          <w:p>
            <w:pPr>
              <w:pStyle w:val="TableContents"/>
              <w:bidi w:val="0"/>
              <w:spacing w:before="0" w:after="283"/>
              <w:jc w:val="left"/>
              <w:rPr/>
            </w:pPr>
            <w:r>
              <w:rPr/>
              <w:t> </w:t>
            </w:r>
          </w:p>
        </w:tc>
        <w:tc>
          <w:tcPr>
            <w:tcW w:w="25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87" w:type="dxa"/>
            <w:tcBorders/>
            <w:vAlign w:val="bottom"/>
          </w:tcPr>
          <w:p>
            <w:pPr>
              <w:pStyle w:val="TableContents"/>
              <w:bidi w:val="0"/>
              <w:spacing w:before="0" w:after="283"/>
              <w:jc w:val="right"/>
              <w:rPr/>
            </w:pPr>
            <w:r>
              <w:rPr/>
              <w:t>0.67</w:t>
            </w:r>
          </w:p>
        </w:tc>
        <w:tc>
          <w:tcPr>
            <w:tcW w:w="159" w:type="dxa"/>
            <w:tcBorders/>
            <w:vAlign w:val="bottom"/>
          </w:tcPr>
          <w:p>
            <w:pPr>
              <w:pStyle w:val="TableContents"/>
              <w:bidi w:val="0"/>
              <w:spacing w:before="0" w:after="283"/>
              <w:jc w:val="left"/>
              <w:rPr/>
            </w:pPr>
            <w:r>
              <w:rPr/>
              <w:t> </w:t>
            </w:r>
          </w:p>
        </w:tc>
      </w:tr>
      <w:tr>
        <w:trPr/>
        <w:tc>
          <w:tcPr>
            <w:tcW w:w="707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Weighted Average Shares of Common Stock Outstanding  Basic and Diluted</w:t>
            </w:r>
          </w:p>
        </w:tc>
        <w:tc>
          <w:tcPr>
            <w:tcW w:w="30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7" w:type="dxa"/>
            <w:tcBorders/>
            <w:shd w:fill="CCEEFF" w:val="clear"/>
            <w:vAlign w:val="bottom"/>
          </w:tcPr>
          <w:p>
            <w:pPr>
              <w:pStyle w:val="TableContents"/>
              <w:bidi w:val="0"/>
              <w:spacing w:before="0" w:after="283"/>
              <w:jc w:val="right"/>
              <w:rPr/>
            </w:pPr>
            <w:r>
              <w:rPr/>
              <w:t>9,198,223</w:t>
            </w:r>
          </w:p>
        </w:tc>
        <w:tc>
          <w:tcPr>
            <w:tcW w:w="155" w:type="dxa"/>
            <w:tcBorders/>
            <w:shd w:fill="CCEEFF" w:val="clear"/>
            <w:vAlign w:val="bottom"/>
          </w:tcPr>
          <w:p>
            <w:pPr>
              <w:pStyle w:val="TableContents"/>
              <w:bidi w:val="0"/>
              <w:spacing w:before="0" w:after="283"/>
              <w:jc w:val="left"/>
              <w:rPr/>
            </w:pPr>
            <w:r>
              <w:rPr/>
              <w:t> </w:t>
            </w:r>
          </w:p>
        </w:tc>
        <w:tc>
          <w:tcPr>
            <w:tcW w:w="25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7" w:type="dxa"/>
            <w:tcBorders/>
            <w:shd w:fill="CCEEFF" w:val="clear"/>
            <w:vAlign w:val="bottom"/>
          </w:tcPr>
          <w:p>
            <w:pPr>
              <w:pStyle w:val="TableContents"/>
              <w:bidi w:val="0"/>
              <w:spacing w:before="0" w:after="283"/>
              <w:jc w:val="right"/>
              <w:rPr/>
            </w:pPr>
            <w:r>
              <w:rPr/>
              <w:t>9,344,994</w:t>
            </w:r>
          </w:p>
        </w:tc>
        <w:tc>
          <w:tcPr>
            <w:tcW w:w="159"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During the three months ended March 31, 2025, and 2024, the Company received $0.2 million and $0.1 million, respectively, of non-recurring fee income that was paid in-kind and included in this financial statement line item. </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4530</Words>
  <Characters>24503</Characters>
  <CharactersWithSpaces>29866</CharactersWithSpaces>
  <Paragraphs>1758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425</dc:title>
</cp:coreProperties>
</file>