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700" w:right="1620" w:hanging="692"/>
        <w:spacing w:after="0" w:line="28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66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Portman Ridge Finance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20-5951150</w:t>
      </w:r>
    </w:p>
    <w:p>
      <w:pPr>
        <w:spacing w:after="0" w:line="200" w:lineRule="exact"/>
        <w:rPr>
          <w:sz w:val="24"/>
          <w:szCs w:val="24"/>
          <w:color w:val="auto"/>
        </w:rPr>
      </w:pPr>
    </w:p>
    <w:p>
      <w:pPr>
        <w:sectPr>
          <w:pgSz w:w="11900" w:h="16838" w:orient="portrait"/>
          <w:cols w:equalWidth="0" w:num="2">
            <w:col w:w="7420" w:space="720"/>
            <w:col w:w="3280"/>
          </w:cols>
          <w:pgMar w:left="240" w:top="729" w:right="239" w:bottom="1440" w:gutter="0" w:footer="0" w:header="0"/>
          <w:type w:val="continuous"/>
        </w:sectPr>
      </w:pPr>
    </w:p>
    <w:p>
      <w:pPr>
        <w:spacing w:after="0" w:line="48" w:lineRule="exact"/>
        <w:rPr>
          <w:sz w:val="24"/>
          <w:szCs w:val="24"/>
          <w:color w:val="auto"/>
        </w:rPr>
      </w:pPr>
    </w:p>
    <w:p>
      <w:pPr>
        <w:ind w:left="1740"/>
        <w:spacing w:after="0"/>
        <w:rPr>
          <w:sz w:val="20"/>
          <w:szCs w:val="20"/>
          <w:color w:val="auto"/>
        </w:rPr>
      </w:pPr>
      <w:r>
        <w:rPr>
          <w:rFonts w:ascii="Arial" w:cs="Arial" w:eastAsia="Arial" w:hAnsi="Arial"/>
          <w:sz w:val="16"/>
          <w:szCs w:val="16"/>
          <w:b w:val="1"/>
          <w:bCs w:val="1"/>
          <w:color w:val="auto"/>
        </w:rPr>
        <w:t>(State or other jurisdiction of</w:t>
      </w:r>
    </w:p>
    <w:p>
      <w:pPr>
        <w:spacing w:after="0" w:line="50"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(I.R.S. Employer</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960" w:space="720"/>
            <w:col w:w="3740"/>
          </w:cols>
          <w:pgMar w:left="240" w:top="72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Madison Avenue, 23rd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20"/>
          </w:cols>
          <w:pgMar w:left="240" w:top="729" w:right="2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891-2880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980" w:type="dxa"/>
            <w:vAlign w:val="bottom"/>
          </w:tcPr>
          <w:p>
            <w:pPr>
              <w:jc w:val="center"/>
              <w:ind w:left="730"/>
              <w:spacing w:after="0"/>
              <w:rPr>
                <w:sz w:val="20"/>
                <w:szCs w:val="20"/>
                <w:color w:val="auto"/>
              </w:rPr>
            </w:pPr>
            <w:r>
              <w:rPr>
                <w:rFonts w:ascii="Arial" w:cs="Arial" w:eastAsia="Arial" w:hAnsi="Arial"/>
                <w:sz w:val="18"/>
                <w:szCs w:val="18"/>
                <w:color w:val="auto"/>
                <w:w w:val="88"/>
              </w:rPr>
              <w:t>x</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jc w:val="center"/>
              <w:ind w:left="7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82"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5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6"/>
                <w:szCs w:val="16"/>
                <w:color w:val="auto"/>
              </w:rPr>
            </w:pPr>
          </w:p>
        </w:tc>
        <w:tc>
          <w:tcPr>
            <w:tcW w:w="1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PTMN</w:t>
            </w:r>
          </w:p>
        </w:tc>
        <w:tc>
          <w:tcPr>
            <w:tcW w:w="100" w:type="dxa"/>
            <w:vAlign w:val="bottom"/>
          </w:tcPr>
          <w:p>
            <w:pPr>
              <w:spacing w:after="0"/>
              <w:rPr>
                <w:sz w:val="16"/>
                <w:szCs w:val="16"/>
                <w:color w:val="auto"/>
              </w:rPr>
            </w:pPr>
          </w:p>
        </w:tc>
        <w:tc>
          <w:tcPr>
            <w:tcW w:w="4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The NASDAQ Global Select Market</w:t>
            </w:r>
          </w:p>
        </w:tc>
      </w:tr>
      <w:tr>
        <w:trPr>
          <w:trHeight w:val="230"/>
        </w:trPr>
        <w:tc>
          <w:tcPr>
            <w:tcW w:w="5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6.125% Notes due 2022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KCAPL</w:t>
            </w:r>
          </w:p>
        </w:tc>
        <w:tc>
          <w:tcPr>
            <w:tcW w:w="4340" w:type="dxa"/>
            <w:vAlign w:val="bottom"/>
          </w:tcPr>
          <w:p>
            <w:pPr>
              <w:jc w:val="center"/>
              <w:spacing w:after="0"/>
              <w:rPr>
                <w:sz w:val="20"/>
                <w:szCs w:val="20"/>
                <w:color w:val="auto"/>
              </w:rPr>
            </w:pPr>
            <w:r>
              <w:rPr>
                <w:rFonts w:ascii="Arial" w:cs="Arial" w:eastAsia="Arial" w:hAnsi="Arial"/>
                <w:sz w:val="18"/>
                <w:szCs w:val="18"/>
                <w:color w:val="auto"/>
                <w:w w:val="93"/>
              </w:rPr>
              <w:t>The NASDAQ Global Select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common stock of the registrant as of May 7, 2019 was 37,356,061.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14"/>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0" w:type="dxa"/>
            <w:vAlign w:val="bottom"/>
            <w:gridSpan w:val="16"/>
            <w:shd w:val="clear" w:color="auto" w:fill="CCEEFF"/>
          </w:tcPr>
          <w:p>
            <w:pPr>
              <w:jc w:val="center"/>
              <w:ind w:right="2340"/>
              <w:spacing w:after="0" w:line="176" w:lineRule="exact"/>
              <w:rPr>
                <w:sz w:val="20"/>
                <w:szCs w:val="20"/>
                <w:color w:val="auto"/>
              </w:rPr>
            </w:pPr>
            <w:r>
              <w:rPr>
                <w:rFonts w:ascii="Arial" w:cs="Arial" w:eastAsia="Arial" w:hAnsi="Arial"/>
                <w:sz w:val="18"/>
                <w:szCs w:val="18"/>
                <w:b w:val="1"/>
                <w:bCs w:val="1"/>
                <w:color w:val="auto"/>
                <w:w w:val="95"/>
              </w:rPr>
              <w:t>Part I. Financial Information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March 31, 2019 (unaudited) and December 31,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for the three months ended March 31, 2019 and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Changes in Net Assets (unaudited) for the three months ended March 31, 2019 and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three months ended March 31, 2019 and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Schedule of Investments as of March 31, 2019 (unaudited) and December 31, 2018</w:t>
              </w:r>
            </w:hyperlink>
          </w:p>
        </w:tc>
        <w:tc>
          <w:tcPr>
            <w:tcW w:w="1140" w:type="dxa"/>
            <w:vAlign w:val="bottom"/>
            <w:gridSpan w:val="4"/>
            <w:shd w:val="clear" w:color="auto" w:fill="CCEEFF"/>
          </w:tcPr>
          <w:p>
            <w:pPr>
              <w:jc w:val="right"/>
              <w:ind w:righ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Consolidated Financial Highlights (unaudited) for the three months ended March 31, 2019 and 2018</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Notes to Consolidated Financial Statements (unaudited)</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2.</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3.</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Quantitative and Qualitative Disclosures About Market Risk</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4.</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5.</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700" w:type="dxa"/>
            <w:vAlign w:val="bottom"/>
            <w:gridSpan w:val="15"/>
            <w:shd w:val="clear" w:color="auto" w:fill="CCEEFF"/>
          </w:tcPr>
          <w:p>
            <w:pPr>
              <w:jc w:val="center"/>
              <w:ind w:right="3440"/>
              <w:spacing w:after="0" w:line="176" w:lineRule="exact"/>
              <w:rPr>
                <w:rFonts w:ascii="Arial" w:cs="Arial" w:eastAsia="Arial" w:hAnsi="Arial"/>
                <w:sz w:val="18"/>
                <w:szCs w:val="18"/>
                <w:b w:val="1"/>
                <w:bCs w:val="1"/>
                <w:color w:val="0000EE"/>
                <w:w w:val="97"/>
              </w:rPr>
            </w:pPr>
            <w:hyperlink w:anchor="page93">
              <w:r>
                <w:rPr>
                  <w:rFonts w:ascii="Arial" w:cs="Arial" w:eastAsia="Arial" w:hAnsi="Arial"/>
                  <w:sz w:val="18"/>
                  <w:szCs w:val="18"/>
                  <w:b w:val="1"/>
                  <w:bCs w:val="1"/>
                  <w:color w:val="0000EE"/>
                  <w:w w:val="97"/>
                </w:rPr>
                <w:t>Part II. Other Information</w:t>
              </w:r>
            </w:hyperlink>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Legal Proceedings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Item 1A.</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Risk Factors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2.</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Unregistered Sales of Equity Securities and Use of Proceeds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3.</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Defaults Upon Senior Securities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Item 4.</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Mine Safety Disclosures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5.</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97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Item 6.</w:t>
              </w:r>
            </w:hyperlink>
          </w:p>
        </w:tc>
        <w:tc>
          <w:tcPr>
            <w:tcW w:w="9120" w:type="dxa"/>
            <w:vAlign w:val="bottom"/>
            <w:gridSpan w:val="22"/>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112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97</w:t>
              </w:r>
            </w:hyperlink>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580" w:type="dxa"/>
            <w:vAlign w:val="bottom"/>
            <w:tcBorders>
              <w:top w:val="single" w:sz="8" w:color="CCEEFF"/>
              <w:bottom w:val="single" w:sz="8" w:color="auto"/>
            </w:tcBorders>
            <w:gridSpan w:val="12"/>
          </w:tcPr>
          <w:p>
            <w:pPr>
              <w:jc w:val="center"/>
              <w:ind w:left="3430"/>
              <w:spacing w:after="0"/>
              <w:rPr>
                <w:sz w:val="20"/>
                <w:szCs w:val="20"/>
                <w:color w:val="auto"/>
              </w:rPr>
            </w:pPr>
            <w:r>
              <w:rPr>
                <w:rFonts w:ascii="Arial" w:cs="Arial" w:eastAsia="Arial" w:hAnsi="Arial"/>
                <w:sz w:val="18"/>
                <w:szCs w:val="18"/>
                <w:color w:val="auto"/>
                <w:w w:val="99"/>
              </w:rPr>
              <w:t>2</w:t>
            </w:r>
          </w:p>
        </w:tc>
        <w:tc>
          <w:tcPr>
            <w:tcW w:w="10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NOTE ABOUT REFERENCES TO PORTMAN RIDGE FINANCE CORPORATION</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In this Quarterly Report on Form 10-Q, “Portman Ridge,” “Company,” “we,” “us,” and “our” refer to Portman Ridge Finance Corporation, the “Company”, “Portman Ridge”, “we”, “us” and “our” refer to Portman Ridge Finance Corporation and its wholly-owned subsidiaries, Great Lakes KCAP Funding I LLC, Kohlberg Capital Funding I LLC, KCAP Senior Funding I, LLC and KCAP Senior Funding I Holdings, LLC, unless the context otherwise requires.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information contained in this item should be read in conjunction with our consolidated financial statements and notes thereto appearing elsewhere in this Quarterly Report and in conjunction with the financial statements and notes thereto in the Company’s Form 10-K for the year ended December 31, 2018,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Portman Ridge Finance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(“BDC”) and a regulated investment company (“RIC”),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ind w:left="660" w:righ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Sierra Crest Investment Management LLC (the “Adviser”) to locate suitable investments for us to monitor and administer our investments;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Adviser to attract and retain highly talented professionals;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actual and potential conflicts of interest with the Adviser and its affiliates;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RIC under Subchapter M of the Internal Revenue Code of 1986, as amended (the “Code”), and as a BDC;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legal, tax, and regulatory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a more detailed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2018.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7"/>
          </w:tcPr>
          <w:p>
            <w:pPr>
              <w:jc w:val="right"/>
              <w:ind w:right="100"/>
              <w:spacing w:after="0"/>
              <w:rPr>
                <w:sz w:val="20"/>
                <w:szCs w:val="20"/>
                <w:color w:val="auto"/>
              </w:rPr>
            </w:pPr>
            <w:r>
              <w:rPr>
                <w:rFonts w:ascii="Arial" w:cs="Arial" w:eastAsia="Arial" w:hAnsi="Arial"/>
                <w:sz w:val="18"/>
                <w:szCs w:val="18"/>
                <w:b w:val="1"/>
                <w:bCs w:val="1"/>
                <w:color w:val="auto"/>
                <w:w w:val="95"/>
              </w:rPr>
              <w:t>March 31, 2019   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(cost: 2019 - $44,120,648; 2018 - $44,756,478)</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44,120,648</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Debt securities (amortized cost: 2019 - $164,699,256; 2018 - $162,264,482)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152,196,382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147,861,744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 managed by affiliates (amortized cost: 2019 - $4,416,048; 2018 - $4,407,106)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4,400,213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4,473,840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w w:val="97"/>
              </w:rPr>
              <w:t>CLO Fund Securities managed by non-affiliates (amortized cost: 2019 - $49,883,910; 2018 - $51,073,520)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41,204,802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39,851,160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(cost: 2019 - $29,326,114; 2018 - $21,944,430)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16,835,340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Asset Manager Affiliates (cost: 2019 - $17,791,230; 2018 - $17,791,230)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3,470,000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(cost: 2019 - $24,914,858; 2018 - $24,914,858)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23,707,969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18,390,440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Investments at Fair Value (cost: 2019 - $335,152,064; 2018 - $327,152,104)</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282,465,354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273,308,349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3,288,010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1,466,002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3,907,341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877,156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Due from affiliates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928,098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1,007,631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3,181,469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570,370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481,265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292,776,459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285,464,681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6.125% Notes Due 2022 (net of offering costs of: 2019-$2,071,220; 2018 - $2,207,342)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75,335,980</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75,199,858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Great Lakes KCAP Funding I, LLC Revolving Credit Facility (net of offering costs of: 2019-$1,327,960; 2018 -</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$1,155,754)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42,543,122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3,553,359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23,624,746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3,898,900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3,591,910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Due to affiliates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115,825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149,090,431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127,443,670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5"/>
              </w:rPr>
              <w:t>Common stock, par value $0.01 per share, 100,000,000 common shares authorized; 37,526,568 issued, and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37,331,709 outstanding at March 31, 2019, and 37,521,705 issued, and 37,326,846 outstanding at December 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373,317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373,268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307,099,763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306,784,387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distributable (loss) earnings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(163,787,052)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(149,136,644)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143,686,028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158,021,011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292,776,459</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285,464,681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jc w:val="center"/>
              <w:ind w:left="30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40" w:type="dxa"/>
            <w:vAlign w:val="bottom"/>
            <w:tcBorders>
              <w:bottom w:val="single" w:sz="8" w:color="auto"/>
            </w:tcBorders>
          </w:tcPr>
          <w:p>
            <w:pPr>
              <w:jc w:val="right"/>
              <w:ind w:right="241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2,936,796</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3,398,197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Payment-in-kind investment income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Interest from cash and time deposits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35,669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132,446</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1,681,274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Investment income - Joint Venture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950,000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61,203</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 income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5,799,410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6,826,477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1,800,926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1,863,848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3,688,578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1,668,122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88,651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748,320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7,994,597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4,365,735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Net Investment (Loss) Income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(2,195,187)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(Losses) Gains On Investments: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Net realized (losses) gains from investment transactions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(13,349,430)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(depreciation) appreciation on:</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1,899,864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(5,051,031)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(82,569)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2,543,252</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Joint Venture Investment</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5,317,529</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4,627,045</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and unrealized (depreciation) appreciation on investments</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(8,722,385)</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317,725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extinguishments of Debt</w:t>
            </w: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(169,074)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(Decrease) Increase In Stockholders’ Equity Resulting From Operations</w:t>
            </w:r>
          </w:p>
        </w:tc>
        <w:tc>
          <w:tcPr>
            <w:tcW w:w="7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(10,917,572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w w:val="99"/>
              </w:rPr>
              <w:t>Net (Decrease) Increase In Stockholders' Equity Resulting from Operations per Common Share: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Diluted:</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(Loss) Income Per Common Share: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20"/>
              <w:spacing w:after="0"/>
              <w:rPr>
                <w:sz w:val="20"/>
                <w:szCs w:val="20"/>
                <w:color w:val="auto"/>
              </w:rPr>
            </w:pPr>
            <w:r>
              <w:rPr>
                <w:rFonts w:ascii="Arial" w:cs="Arial" w:eastAsia="Arial" w:hAnsi="Arial"/>
                <w:sz w:val="18"/>
                <w:szCs w:val="18"/>
                <w:color w:val="auto"/>
              </w:rPr>
              <w:t>Basic:</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37,335,094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37,350,411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37,335,094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37,350,411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3800"/>
        <w:spacing w:after="0"/>
        <w:rPr>
          <w:sz w:val="20"/>
          <w:szCs w:val="20"/>
          <w:color w:val="auto"/>
        </w:rPr>
      </w:pPr>
      <w:r>
        <w:rPr>
          <w:rFonts w:ascii="Arial" w:cs="Arial" w:eastAsia="Arial" w:hAnsi="Arial"/>
          <w:sz w:val="18"/>
          <w:szCs w:val="18"/>
          <w:b w:val="1"/>
          <w:bCs w:val="1"/>
          <w:color w:val="auto"/>
        </w:rPr>
        <w:t>PORTMAN RIDGE FINANCE CORPORATION</w:t>
      </w:r>
    </w:p>
    <w:p>
      <w:pPr>
        <w:ind w:left="2980"/>
        <w:spacing w:after="0" w:line="198" w:lineRule="auto"/>
        <w:rPr>
          <w:sz w:val="20"/>
          <w:szCs w:val="20"/>
          <w:color w:val="auto"/>
        </w:rPr>
      </w:pPr>
      <w:r>
        <w:rPr>
          <w:rFonts w:ascii="Arial" w:cs="Arial" w:eastAsia="Arial" w:hAnsi="Arial"/>
          <w:sz w:val="18"/>
          <w:szCs w:val="18"/>
          <w:b w:val="1"/>
          <w:bCs w:val="1"/>
          <w:color w:val="auto"/>
        </w:rPr>
        <w:t>CONSOLIDATED STATEMENTS OF CHANGES IN NET ASSETS</w:t>
      </w:r>
      <w:r>
        <w:rPr>
          <w:rFonts w:ascii="Arial" w:cs="Arial" w:eastAsia="Arial" w:hAnsi="Arial"/>
          <w:sz w:val="30"/>
          <w:szCs w:val="30"/>
          <w:b w:val="1"/>
          <w:bCs w:val="1"/>
          <w:color w:val="auto"/>
          <w:vertAlign w:val="superscript"/>
        </w:rPr>
        <w:t>(1)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investment (loss) income</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(2,195,187)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gains from investment transactions</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(13,349,430)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(169,074)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4,627,045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15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(10,917,572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2,609,393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(3,732,836)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(3,716,297)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56,489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51,560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258,936</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315,425</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158,021,011</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181,804,576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143,686,028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181,002,087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37,331,709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37,354,479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500" w:right="2800" w:hanging="3492"/>
        <w:spacing w:after="0" w:line="624"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9 "Stockholders' Equity" for additional information on changes in components of Stockholders' Equity See accompanying notes to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(10,917,572)</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2,609,393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Adjustments to reconcile net (decrease) increase in stockholder’s equity resulting from operations to net cash (used</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provided by in operations: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Net realized losses (gains) on investment transactions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13,349,430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appreciation from investments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(4,627,045)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(35,189,571)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(52,140,700)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19,050,340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84,965,082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Net accretion of investments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(1,744,332)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(1,886,762)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227,366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169,074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amortization of operating lease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(362,937)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258,936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payable for open trades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420,182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(25,262,689)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Decrease in receivable for open trades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2,993,750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interest and dividends receivable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465,814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Increase in accrued interest payable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decrease in other assets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(89,105)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Decrease (increase) in due from affiliates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79,532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(1,436,404)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due to affiliates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Decrease (increase) in accounts payable and accrued expenses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681,979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(1,295,838)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(18,145,653)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8,236,565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FINANCING ACTIVITIES: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issuance costs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(263,450)</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(1,353,761)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Distributions to stockholders</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(3,676,349)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(3,664,438)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7.375 Notes Due 2019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Borrowings under Great Lakes KCAP Funding LLC, Revolving Credit Facility</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23,000,000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Great Lakes KCAP Funding LLC, Revolving Credit Facility</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(5,485,002)</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13,575,199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(5,190,455</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RESTRICTED CASH</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(4,570,454)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RESTRICTED CASH, BEGINNING OF PERIOD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9,324,466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2,034,095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RESTRICTED CASH, END OF PERIOD</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4,754,012</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5,080,205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 during the period</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1,570,418</w:t>
            </w:r>
          </w:p>
        </w:tc>
        <w:tc>
          <w:tcPr>
            <w:tcW w:w="3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1,693,813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56,489</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51,560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Realized loss on Asset Manager Affiliates</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3,470,000</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Amounts per balance sheet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Cash</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3,288,010</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1,933,851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cash</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1,466,002</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3,146,354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Total Cash and Restricted cash</w:t>
            </w: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4,754,012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5,080,205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04"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184" w:lineRule="auto"/>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3"/>
          <w:szCs w:val="23"/>
          <w:color w:val="auto"/>
          <w:vertAlign w:val="superscript"/>
        </w:rPr>
        <w:t>(5)(8)</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Consumer goods: Durable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AlixPartners, LLP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Services: Business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8"/>
          <w:szCs w:val="28"/>
          <w:color w:val="auto"/>
          <w:vertAlign w:val="superscript"/>
        </w:rPr>
        <w:t>(8)</w:t>
      </w:r>
    </w:p>
    <w:p>
      <w:pPr>
        <w:spacing w:after="0"/>
        <w:rPr>
          <w:sz w:val="20"/>
          <w:szCs w:val="20"/>
          <w:color w:val="auto"/>
        </w:rPr>
      </w:pPr>
      <w:r>
        <w:rPr>
          <w:rFonts w:ascii="Arial" w:cs="Arial" w:eastAsia="Arial" w:hAnsi="Arial"/>
          <w:sz w:val="14"/>
          <w:szCs w:val="14"/>
          <w:color w:val="auto"/>
        </w:rPr>
        <w:t>(13)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BMC Acquisition, Inc. (aka BenefitMall)</w:t>
      </w:r>
      <w:r>
        <w:rPr>
          <w:rFonts w:ascii="Arial" w:cs="Arial" w:eastAsia="Arial" w:hAnsi="Arial"/>
          <w:sz w:val="28"/>
          <w:szCs w:val="28"/>
          <w:color w:val="auto"/>
          <w:vertAlign w:val="superscript"/>
        </w:rPr>
        <w:t>(8)</w:t>
      </w:r>
    </w:p>
    <w:p>
      <w:pPr>
        <w:spacing w:after="0"/>
        <w:rPr>
          <w:sz w:val="20"/>
          <w:szCs w:val="20"/>
          <w:color w:val="auto"/>
        </w:rPr>
      </w:pPr>
      <w:r>
        <w:rPr>
          <w:rFonts w:ascii="Arial" w:cs="Arial" w:eastAsia="Arial" w:hAnsi="Arial"/>
          <w:sz w:val="14"/>
          <w:szCs w:val="14"/>
          <w:color w:val="auto"/>
        </w:rPr>
        <w:t>(13)(14)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Bristol Hospice, L.L.C.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BW NHHC Holdco Inc.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Carestream Health, Inc.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273" w:lineRule="exact"/>
        <w:rPr>
          <w:sz w:val="20"/>
          <w:szCs w:val="20"/>
          <w:color w:val="auto"/>
        </w:rPr>
      </w:pPr>
    </w:p>
    <w:p>
      <w:pPr>
        <w:ind w:left="180" w:right="320" w:hanging="161"/>
        <w:spacing w:after="0" w:line="191" w:lineRule="auto"/>
        <w:rPr>
          <w:sz w:val="20"/>
          <w:szCs w:val="20"/>
          <w:color w:val="auto"/>
        </w:rPr>
      </w:pPr>
      <w:r>
        <w:rPr>
          <w:rFonts w:ascii="Arial" w:cs="Arial" w:eastAsia="Arial" w:hAnsi="Arial"/>
          <w:sz w:val="14"/>
          <w:szCs w:val="14"/>
          <w:color w:val="auto"/>
        </w:rPr>
        <w:t>Child Development Schools, Inc.</w:t>
      </w:r>
      <w:r>
        <w:rPr>
          <w:rFonts w:ascii="Arial" w:cs="Arial" w:eastAsia="Arial" w:hAnsi="Arial"/>
          <w:sz w:val="28"/>
          <w:szCs w:val="28"/>
          <w:color w:val="auto"/>
          <w:vertAlign w:val="superscript"/>
        </w:rPr>
        <w:t>(8)(14)</w:t>
      </w:r>
      <w:r>
        <w:rPr>
          <w:rFonts w:ascii="Arial" w:cs="Arial" w:eastAsia="Arial" w:hAnsi="Arial"/>
          <w:sz w:val="14"/>
          <w:szCs w:val="14"/>
          <w:color w:val="auto"/>
        </w:rPr>
        <w:t xml:space="preserve"> Services: Business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Investment</w:t>
      </w:r>
    </w:p>
    <w:p>
      <w:pPr>
        <w:ind w:left="1160"/>
        <w:spacing w:after="0" w:line="183" w:lineRule="auto"/>
        <w:rPr>
          <w:sz w:val="20"/>
          <w:szCs w:val="20"/>
          <w:color w:val="auto"/>
        </w:rPr>
      </w:pPr>
      <w:r>
        <w:rPr>
          <w:rFonts w:ascii="Arial" w:cs="Arial" w:eastAsia="Arial" w:hAnsi="Arial"/>
          <w:sz w:val="13"/>
          <w:szCs w:val="13"/>
          <w:b w:val="1"/>
          <w:bCs w:val="1"/>
          <w:color w:val="auto"/>
        </w:rPr>
        <w:t>Interest Rate¹ / Maturity</w:t>
      </w:r>
      <w:r>
        <w:rPr>
          <w:rFonts w:ascii="Arial" w:cs="Arial" w:eastAsia="Arial" w:hAnsi="Arial"/>
          <w:sz w:val="25"/>
          <w:szCs w:val="25"/>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wp:posOffset>
            </wp:positionV>
            <wp:extent cx="724662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4"/>
          <w:szCs w:val="14"/>
          <w:color w:val="auto"/>
        </w:rPr>
        <w:t>Junior Secured Loan — Second Lien Notes</w:t>
      </w:r>
    </w:p>
    <w:p>
      <w:pPr>
        <w:ind w:right="120"/>
        <w:spacing w:after="0" w:line="315" w:lineRule="auto"/>
        <w:rPr>
          <w:sz w:val="20"/>
          <w:szCs w:val="20"/>
          <w:color w:val="auto"/>
        </w:rPr>
      </w:pPr>
      <w:r>
        <w:rPr>
          <w:rFonts w:ascii="Arial" w:cs="Arial" w:eastAsia="Arial" w:hAnsi="Arial"/>
          <w:sz w:val="14"/>
          <w:szCs w:val="14"/>
          <w:color w:val="auto"/>
        </w:rPr>
        <w:t>9.6% Cash, 10.0% PIK, 3 month LIBOR(2.60%) + 7.00%; LIBOR Floor 1.00% , Due 10/23</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2017 Refinancing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5.2% Cash, 1 month LIBOR(2.50%) + 2.75%; LIBOR Floor 1.00% , Due 4/24</w:t>
      </w:r>
    </w:p>
    <w:p>
      <w:pPr>
        <w:spacing w:after="0" w:line="65"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Senior Secured Loan — Amendment No. 14 Replacement B-4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-203200</wp:posOffset>
            </wp:positionV>
            <wp:extent cx="724662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5.5% Cash, 1 month LIBOR(2.50%) + 3.00% , Due 8/22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8.1% Cash, 6 month LIBOR(2.88%) + 5.25%; LIBOR Floor 1.00% , Due 12/24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Initial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9.7% Cash, 1 month LIBOR(2.50%) + 7.25%; LIBOR Floor 1.00% , Due 1/24</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 w:lineRule="exact"/>
        <w:rPr>
          <w:sz w:val="20"/>
          <w:szCs w:val="20"/>
          <w:color w:val="auto"/>
        </w:rPr>
      </w:pPr>
    </w:p>
    <w:p>
      <w:pPr>
        <w:ind w:right="500"/>
        <w:spacing w:after="0" w:line="398" w:lineRule="auto"/>
        <w:rPr>
          <w:sz w:val="20"/>
          <w:szCs w:val="20"/>
          <w:color w:val="auto"/>
        </w:rPr>
      </w:pPr>
      <w:r>
        <w:rPr>
          <w:rFonts w:ascii="Arial" w:cs="Arial" w:eastAsia="Arial" w:hAnsi="Arial"/>
          <w:sz w:val="12"/>
          <w:szCs w:val="12"/>
          <w:color w:val="auto"/>
        </w:rPr>
        <w:t>7.5% Cash, 1 month LIBOR(2.49%) + 5.00% , Due 5/25 Junior Secured Loan — Extended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12.0% Cash, 1 month LIBOR(2.50%) + 9.50%; LIBOR Floor 1.00% , Due 6/21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6.8% Cash, 3 month LIBOR(2.52%) + 4.25% , Due 5/23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28"/>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6/13/2012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1,007,062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1,007,062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2,474</w:t>
            </w:r>
          </w:p>
        </w:tc>
        <w:tc>
          <w:tcPr>
            <w:tcW w:w="0" w:type="dxa"/>
            <w:vAlign w:val="bottom"/>
          </w:tcPr>
          <w:p>
            <w:pPr>
              <w:spacing w:after="0"/>
              <w:rPr>
                <w:sz w:val="1"/>
                <w:szCs w:val="1"/>
                <w:color w:val="auto"/>
              </w:rPr>
            </w:pPr>
          </w:p>
        </w:tc>
      </w:tr>
      <w:tr>
        <w:trPr>
          <w:trHeight w:val="648"/>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12/28/2018</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994,924</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956,531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989,699</w:t>
            </w:r>
          </w:p>
        </w:tc>
        <w:tc>
          <w:tcPr>
            <w:tcW w:w="0" w:type="dxa"/>
            <w:vAlign w:val="bottom"/>
          </w:tcPr>
          <w:p>
            <w:pPr>
              <w:spacing w:after="0"/>
              <w:rPr>
                <w:sz w:val="1"/>
                <w:szCs w:val="1"/>
                <w:color w:val="auto"/>
              </w:rPr>
            </w:pPr>
          </w:p>
        </w:tc>
      </w:tr>
      <w:tr>
        <w:trPr>
          <w:trHeight w:val="6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12/28/2018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1,503,083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1,448,764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1,497,987</w:t>
            </w:r>
          </w:p>
        </w:tc>
        <w:tc>
          <w:tcPr>
            <w:tcW w:w="0" w:type="dxa"/>
            <w:vAlign w:val="bottom"/>
          </w:tcPr>
          <w:p>
            <w:pPr>
              <w:spacing w:after="0"/>
              <w:rPr>
                <w:sz w:val="1"/>
                <w:szCs w:val="1"/>
                <w:color w:val="auto"/>
              </w:rPr>
            </w:pPr>
          </w:p>
        </w:tc>
      </w:tr>
      <w:tr>
        <w:trPr>
          <w:trHeight w:val="6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2,962,500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2,961,067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2,888,437</w:t>
            </w:r>
          </w:p>
        </w:tc>
        <w:tc>
          <w:tcPr>
            <w:tcW w:w="0" w:type="dxa"/>
            <w:vAlign w:val="bottom"/>
          </w:tcPr>
          <w:p>
            <w:pPr>
              <w:spacing w:after="0"/>
              <w:rPr>
                <w:sz w:val="1"/>
                <w:szCs w:val="1"/>
                <w:color w:val="auto"/>
              </w:rPr>
            </w:pPr>
          </w:p>
        </w:tc>
      </w:tr>
      <w:tr>
        <w:trPr>
          <w:trHeight w:val="648"/>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3/29/2019</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8,800,000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8,743,583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8,756,000</w:t>
            </w:r>
          </w:p>
        </w:tc>
        <w:tc>
          <w:tcPr>
            <w:tcW w:w="0" w:type="dxa"/>
            <w:vAlign w:val="bottom"/>
          </w:tcPr>
          <w:p>
            <w:pPr>
              <w:spacing w:after="0"/>
              <w:rPr>
                <w:sz w:val="1"/>
                <w:szCs w:val="1"/>
                <w:color w:val="auto"/>
              </w:rPr>
            </w:pPr>
          </w:p>
        </w:tc>
      </w:tr>
      <w:tr>
        <w:trPr>
          <w:trHeight w:val="50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5/16/2018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1,985,000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1,958,871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1,937,023</w:t>
            </w:r>
          </w:p>
        </w:tc>
        <w:tc>
          <w:tcPr>
            <w:tcW w:w="0" w:type="dxa"/>
            <w:vAlign w:val="bottom"/>
          </w:tcPr>
          <w:p>
            <w:pPr>
              <w:spacing w:after="0"/>
              <w:rPr>
                <w:sz w:val="1"/>
                <w:szCs w:val="1"/>
                <w:color w:val="auto"/>
              </w:rPr>
            </w:pPr>
          </w:p>
        </w:tc>
      </w:tr>
      <w:tr>
        <w:trPr>
          <w:trHeight w:val="648"/>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10/7/2014</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1,510,955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1,497,587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1,488,291</w:t>
            </w:r>
          </w:p>
        </w:tc>
        <w:tc>
          <w:tcPr>
            <w:tcW w:w="0" w:type="dxa"/>
            <w:vAlign w:val="bottom"/>
          </w:tcPr>
          <w:p>
            <w:pPr>
              <w:spacing w:after="0"/>
              <w:rPr>
                <w:sz w:val="1"/>
                <w:szCs w:val="1"/>
                <w:color w:val="auto"/>
              </w:rPr>
            </w:pPr>
          </w:p>
        </w:tc>
      </w:tr>
      <w:tr>
        <w:trPr>
          <w:trHeight w:val="50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6/6/2018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4,726,027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4,716,164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4,714,212</w:t>
            </w: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3">
            <w:col w:w="2660" w:space="220"/>
            <w:col w:w="3960" w:space="160"/>
            <w:col w:w="44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w w:val="99"/>
              </w:rPr>
              <w:t>Community Care Health Network, Inc. (aka</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Secured Loan — Closing Date Term Loan</w:t>
            </w:r>
          </w:p>
        </w:tc>
        <w:tc>
          <w:tcPr>
            <w:tcW w:w="1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Matrix Medical Network)</w:t>
            </w:r>
            <w:r>
              <w:rPr>
                <w:rFonts w:ascii="Arial" w:cs="Arial" w:eastAsia="Arial" w:hAnsi="Arial"/>
                <w:sz w:val="23"/>
                <w:szCs w:val="23"/>
                <w:color w:val="auto"/>
                <w:vertAlign w:val="superscript"/>
              </w:rPr>
              <w:t>(8)(14)</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7.2% Cash, 1 month LIBOR(2.50%) + 4.75%; LIBOR Floor 1.00% ,</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2/25</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2/9/2018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1,985,000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1,980,821</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1,871,458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Corsair Gaming, Inc.</w:t>
            </w:r>
            <w:r>
              <w:rPr>
                <w:rFonts w:ascii="Arial" w:cs="Arial" w:eastAsia="Arial" w:hAnsi="Arial"/>
                <w:sz w:val="20"/>
                <w:szCs w:val="20"/>
                <w:color w:val="auto"/>
                <w:vertAlign w:val="superscript"/>
              </w:rPr>
              <w:t>(8)</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Junior Secured Loan — Term Loan (Second Lien)</w:t>
            </w:r>
          </w:p>
        </w:tc>
        <w:tc>
          <w:tcPr>
            <w:tcW w:w="1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11.1% Cash, 3 month LIBOR(2.60%) + 8.50%; LIBOR Floor 1.00%</w:t>
            </w: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80" w:type="dxa"/>
            <w:vAlign w:val="bottom"/>
            <w:vMerge w:val="continue"/>
            <w:shd w:val="clear" w:color="auto" w:fill="CCEEFF"/>
          </w:tcPr>
          <w:p>
            <w:pPr>
              <w:spacing w:after="0"/>
              <w:rPr>
                <w:sz w:val="3"/>
                <w:szCs w:val="3"/>
                <w:color w:val="auto"/>
              </w:rPr>
            </w:pPr>
          </w:p>
        </w:tc>
        <w:tc>
          <w:tcPr>
            <w:tcW w:w="438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 Due 8/25</w:t>
            </w:r>
          </w:p>
        </w:tc>
        <w:tc>
          <w:tcPr>
            <w:tcW w:w="11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9/29/2017</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5,000,000</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4,938,888</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4,929,000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43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Portfolio Company/</w:t>
            </w:r>
          </w:p>
        </w:tc>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80" w:type="dxa"/>
            <w:vAlign w:val="bottom"/>
            <w:gridSpan w:val="3"/>
            <w:vMerge w:val="continue"/>
          </w:tcPr>
          <w:p>
            <w:pPr>
              <w:spacing w:after="0"/>
              <w:rPr>
                <w:sz w:val="4"/>
                <w:szCs w:val="4"/>
                <w:color w:val="auto"/>
              </w:rPr>
            </w:pPr>
          </w:p>
        </w:tc>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1020" w:type="dxa"/>
            <w:vAlign w:val="bottom"/>
            <w:gridSpan w:val="2"/>
            <w:vMerge w:val="restart"/>
          </w:tcPr>
          <w:p>
            <w:pPr>
              <w:ind w:left="100"/>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1"/>
                <w:szCs w:val="11"/>
                <w:color w:val="auto"/>
              </w:rPr>
              <w:t>Corsair Gaming, Inc.</w:t>
            </w:r>
            <w:r>
              <w:rPr>
                <w:rFonts w:ascii="Arial" w:cs="Arial" w:eastAsia="Arial" w:hAnsi="Arial"/>
                <w:sz w:val="19"/>
                <w:szCs w:val="19"/>
                <w:color w:val="auto"/>
                <w:vertAlign w:val="superscript"/>
              </w:rPr>
              <w:t>(8)(14)</w:t>
            </w:r>
          </w:p>
        </w:tc>
        <w:tc>
          <w:tcPr>
            <w:tcW w:w="14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Senior Secured Loan — Term Loan (First Lien)</w:t>
            </w: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6.9% Cash, 3 month LIBOR(2.60%) + 4.25%;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8/24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9/29/2017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1,984,926</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1,980,728</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1,965,077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CSM Bakery Solutions Limited (fka CSM</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Bakery Supplies Limited)</w:t>
            </w:r>
            <w:r>
              <w:rPr>
                <w:rFonts w:ascii="Arial" w:cs="Arial" w:eastAsia="Arial" w:hAnsi="Arial"/>
                <w:sz w:val="23"/>
                <w:szCs w:val="23"/>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10.6% Cash, 3 month LIBOR(2.80%) + 7.75%; LIBOR Floor 1.00%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Beverage, Food and Tobacco</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Due 7/21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5/23/2013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3,005,685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2,812,500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Inc.</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New Term Loan Facility</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(Smart Holdings Corp.) (aka HealthPort)</w:t>
            </w:r>
            <w:r>
              <w:rPr>
                <w:rFonts w:ascii="Arial" w:cs="Arial" w:eastAsia="Arial" w:hAnsi="Arial"/>
                <w:sz w:val="23"/>
                <w:szCs w:val="23"/>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6.7% Cash, 1 month LIBOR(2.50%) + 4.25%; LIBOR Floor 1.00% ,</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(13)(14)</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12/21</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3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11/19/2014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3,953,793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3,948,258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3,432,387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Decolin Inc.</w:t>
            </w:r>
            <w:r>
              <w:rPr>
                <w:rFonts w:ascii="Arial" w:cs="Arial" w:eastAsia="Arial" w:hAnsi="Arial"/>
                <w:sz w:val="20"/>
                <w:szCs w:val="20"/>
                <w:color w:val="auto"/>
                <w:vertAlign w:val="superscript"/>
              </w:rPr>
              <w:t>(3)(13)(14)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Textiles and Leather</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7.0% Cash, 1 month LIBOR(2.50%) + 4.50%;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12/23</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1/26/2018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2,190,363</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2,181,554</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2,090,482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Digitran Innovations B.V. (Pomeroy Solutions</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Holding Company, Inc.)</w:t>
            </w:r>
            <w:r>
              <w:rPr>
                <w:rFonts w:ascii="Arial" w:cs="Arial" w:eastAsia="Arial" w:hAnsi="Arial"/>
                <w:sz w:val="23"/>
                <w:szCs w:val="23"/>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10.1% Cash, 3 month LIBOR(2.61%) + 7.50%; LIBOR Floor 1.50%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Due 7/24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12/10/2018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4,974,937</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4,927,919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4,912,751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Drilling Info Holdings, Inc.</w:t>
            </w:r>
            <w:r>
              <w:rPr>
                <w:rFonts w:ascii="Arial" w:cs="Arial" w:eastAsia="Arial" w:hAnsi="Arial"/>
                <w:sz w:val="21"/>
                <w:szCs w:val="21"/>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6.7% Cash, 1 month LIBOR(2.50%) + 4.25% , Due 7/25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2/12/2019</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2,485,239</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2,479,579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2,479,026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Evergreen North America Acquisition, LLC</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(f/k/a Industrial Services Acquisition, LLC)</w:t>
            </w:r>
            <w:r>
              <w:rPr>
                <w:rFonts w:ascii="Arial" w:cs="Arial" w:eastAsia="Arial" w:hAnsi="Arial"/>
                <w:sz w:val="23"/>
                <w:szCs w:val="23"/>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7.6% Cash, 3 month LIBOR(2.63%) + 5.00%; LIBOR Floor 1.00% ,</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(13)(14)</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6/22</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Environmental Industries</w:t>
            </w:r>
          </w:p>
        </w:tc>
        <w:tc>
          <w:tcPr>
            <w:tcW w:w="3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6/21/2016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1,087,683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1,091,368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1,087,683</w:t>
            </w:r>
          </w:p>
        </w:tc>
        <w:tc>
          <w:tcPr>
            <w:tcW w:w="0" w:type="dxa"/>
            <w:vAlign w:val="bottom"/>
          </w:tcPr>
          <w:p>
            <w:pPr>
              <w:spacing w:after="0"/>
              <w:rPr>
                <w:sz w:val="1"/>
                <w:szCs w:val="1"/>
                <w:color w:val="auto"/>
              </w:rPr>
            </w:pPr>
          </w:p>
        </w:tc>
      </w:tr>
    </w:tbl>
    <w:p>
      <w:pPr>
        <w:spacing w:after="0" w:line="91" w:lineRule="exact"/>
        <w:rPr>
          <w:sz w:val="20"/>
          <w:szCs w:val="20"/>
          <w:color w:val="auto"/>
        </w:rPr>
      </w:pPr>
    </w:p>
    <w:p>
      <w:pPr>
        <w:sectPr>
          <w:pgSz w:w="11900" w:h="16838" w:orient="portrait"/>
          <w:cols w:equalWidth="0" w:num="1">
            <w:col w:w="11420"/>
          </w:cols>
          <w:pgMar w:left="240" w:top="888" w:right="239" w:bottom="1440" w:gutter="0" w:footer="0" w:header="0"/>
        </w:sectPr>
      </w:pPr>
    </w:p>
    <w:p>
      <w:pPr>
        <w:spacing w:after="0"/>
        <w:rPr>
          <w:sz w:val="20"/>
          <w:szCs w:val="20"/>
          <w:color w:val="auto"/>
        </w:rPr>
      </w:pPr>
      <w:r>
        <w:rPr>
          <w:rFonts w:ascii="Arial" w:cs="Arial" w:eastAsia="Arial" w:hAnsi="Arial"/>
          <w:sz w:val="12"/>
          <w:szCs w:val="12"/>
          <w:color w:val="auto"/>
        </w:rPr>
        <w:t>First American Payment Systems, L.P.</w:t>
      </w:r>
      <w:r>
        <w:rPr>
          <w:rFonts w:ascii="Arial" w:cs="Arial" w:eastAsia="Arial" w:hAnsi="Arial"/>
          <w:sz w:val="22"/>
          <w:szCs w:val="22"/>
          <w:color w:val="auto"/>
          <w:vertAlign w:val="superscript"/>
        </w:rPr>
        <w:t>(8)(13)</w:t>
      </w:r>
    </w:p>
    <w:p>
      <w:pPr>
        <w:spacing w:after="0"/>
        <w:rPr>
          <w:sz w:val="20"/>
          <w:szCs w:val="20"/>
          <w:color w:val="auto"/>
        </w:rPr>
      </w:pPr>
      <w:r>
        <w:rPr>
          <w:rFonts w:ascii="Arial" w:cs="Arial" w:eastAsia="Arial" w:hAnsi="Arial"/>
          <w:sz w:val="14"/>
          <w:szCs w:val="14"/>
          <w:color w:val="auto"/>
        </w:rPr>
        <w:t>(14)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13.1% Cash, 3 month LIBOR(2.64%) + 10.50%; LIBOR Floor</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Pr>
          <w:p>
            <w:pPr>
              <w:spacing w:after="0"/>
              <w:rPr>
                <w:sz w:val="20"/>
                <w:szCs w:val="20"/>
                <w:color w:val="auto"/>
              </w:rPr>
            </w:pPr>
            <w:r>
              <w:rPr>
                <w:rFonts w:ascii="Arial" w:cs="Arial" w:eastAsia="Arial" w:hAnsi="Arial"/>
                <w:sz w:val="14"/>
                <w:szCs w:val="14"/>
                <w:color w:val="auto"/>
              </w:rPr>
              <w:t>1.00% , Due 7/24</w:t>
            </w:r>
          </w:p>
        </w:tc>
        <w:tc>
          <w:tcPr>
            <w:tcW w:w="2560" w:type="dxa"/>
            <w:vAlign w:val="bottom"/>
          </w:tcPr>
          <w:p>
            <w:pPr>
              <w:jc w:val="right"/>
              <w:ind w:right="208"/>
              <w:spacing w:after="0"/>
              <w:rPr>
                <w:sz w:val="20"/>
                <w:szCs w:val="20"/>
                <w:color w:val="auto"/>
              </w:rPr>
            </w:pPr>
            <w:r>
              <w:rPr>
                <w:rFonts w:ascii="Arial" w:cs="Arial" w:eastAsia="Arial" w:hAnsi="Arial"/>
                <w:sz w:val="14"/>
                <w:szCs w:val="14"/>
                <w:color w:val="auto"/>
              </w:rPr>
              <w:t>1/4/2017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1,500,000</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1,468,354</w:t>
            </w:r>
          </w:p>
        </w:tc>
        <w:tc>
          <w:tcPr>
            <w:tcW w:w="860" w:type="dxa"/>
            <w:vAlign w:val="bottom"/>
          </w:tcPr>
          <w:p>
            <w:pPr>
              <w:jc w:val="right"/>
              <w:spacing w:after="0"/>
              <w:rPr>
                <w:sz w:val="20"/>
                <w:szCs w:val="20"/>
                <w:color w:val="auto"/>
              </w:rPr>
            </w:pPr>
            <w:r>
              <w:rPr>
                <w:rFonts w:ascii="Arial" w:cs="Arial" w:eastAsia="Arial" w:hAnsi="Arial"/>
                <w:sz w:val="14"/>
                <w:szCs w:val="14"/>
                <w:color w:val="auto"/>
              </w:rPr>
              <w:t>1,409,400</w:t>
            </w:r>
          </w:p>
        </w:tc>
      </w:tr>
    </w:tbl>
    <w:p>
      <w:pPr>
        <w:spacing w:after="0" w:line="102" w:lineRule="exact"/>
        <w:rPr>
          <w:sz w:val="20"/>
          <w:szCs w:val="20"/>
          <w:color w:val="auto"/>
        </w:rPr>
      </w:pPr>
    </w:p>
    <w:p>
      <w:pPr>
        <w:sectPr>
          <w:pgSz w:w="11900" w:h="16838" w:orient="portrait"/>
          <w:cols w:equalWidth="0" w:num="2">
            <w:col w:w="2660" w:space="220"/>
            <w:col w:w="8540"/>
          </w:cols>
          <w:pgMar w:left="240" w:top="888"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w w:val="99"/>
              </w:rPr>
              <w:t>Flexera Software LLC (fka Flexera Software,</w:t>
            </w:r>
          </w:p>
        </w:tc>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Junior Secured Loan — Initial Term Loan (Second Lien)</w:t>
            </w:r>
          </w:p>
        </w:tc>
        <w:tc>
          <w:tcPr>
            <w:tcW w:w="1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Inc.)</w:t>
            </w:r>
            <w:r>
              <w:rPr>
                <w:rFonts w:ascii="Arial" w:cs="Arial" w:eastAsia="Arial" w:hAnsi="Arial"/>
                <w:sz w:val="23"/>
                <w:szCs w:val="23"/>
                <w:color w:val="auto"/>
                <w:vertAlign w:val="superscript"/>
              </w:rPr>
              <w:t>(8)</w:t>
            </w:r>
          </w:p>
        </w:tc>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9.8% Cash, 1 month LIBOR(2.50%) + 7.25%; LIBOR Floor 1.00% ,</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67"/>
        </w:trPr>
        <w:tc>
          <w:tcPr>
            <w:tcW w:w="27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High Tech Industries</w:t>
            </w:r>
          </w:p>
        </w:tc>
        <w:tc>
          <w:tcPr>
            <w:tcW w:w="4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2/26</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1/25/2018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1,099,654</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1,111,069</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1,092,781</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10" w:name="page11"/>
    <w:bookmarkEnd w:id="1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184" w:lineRule="auto"/>
        <w:rPr>
          <w:sz w:val="20"/>
          <w:szCs w:val="20"/>
          <w:color w:val="auto"/>
        </w:rPr>
      </w:pPr>
      <w:r>
        <w:rPr>
          <w:rFonts w:ascii="Arial" w:cs="Arial" w:eastAsia="Arial" w:hAnsi="Arial"/>
          <w:sz w:val="13"/>
          <w:szCs w:val="13"/>
          <w:color w:val="auto"/>
        </w:rPr>
        <w:t>GI Advo Opco, LLC</w:t>
      </w:r>
      <w:r>
        <w:rPr>
          <w:rFonts w:ascii="Arial" w:cs="Arial" w:eastAsia="Arial" w:hAnsi="Arial"/>
          <w:sz w:val="23"/>
          <w:szCs w:val="23"/>
          <w:color w:val="auto"/>
          <w:vertAlign w:val="superscript"/>
        </w:rPr>
        <w:t>(5)(8)(13)(14)</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Healthcare &amp; Pharmaceuticals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GK Holdings, Inc. (aka Global Knowledge)</w:t>
      </w:r>
      <w:r>
        <w:rPr>
          <w:rFonts w:ascii="Arial" w:cs="Arial" w:eastAsia="Arial" w:hAnsi="Arial"/>
          <w:sz w:val="25"/>
          <w:szCs w:val="25"/>
          <w:color w:val="auto"/>
          <w:vertAlign w:val="superscript"/>
        </w:rPr>
        <w:t>(8)</w:t>
      </w:r>
    </w:p>
    <w:p>
      <w:pPr>
        <w:spacing w:after="0"/>
        <w:rPr>
          <w:sz w:val="20"/>
          <w:szCs w:val="20"/>
          <w:color w:val="auto"/>
        </w:rPr>
      </w:pPr>
      <w:r>
        <w:rPr>
          <w:rFonts w:ascii="Arial" w:cs="Arial" w:eastAsia="Arial" w:hAnsi="Arial"/>
          <w:sz w:val="14"/>
          <w:szCs w:val="14"/>
          <w:color w:val="auto"/>
        </w:rPr>
        <w:t>(13)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Services: Business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Global Tel*Link Corporation</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Telecommunications</w:t>
      </w:r>
    </w:p>
    <w:p>
      <w:pPr>
        <w:spacing w:after="0" w:line="124" w:lineRule="exact"/>
        <w:rPr>
          <w:sz w:val="20"/>
          <w:szCs w:val="20"/>
          <w:color w:val="auto"/>
        </w:rPr>
      </w:pPr>
    </w:p>
    <w:p>
      <w:pPr>
        <w:ind w:left="180" w:right="360" w:hanging="161"/>
        <w:spacing w:after="0" w:line="236" w:lineRule="auto"/>
        <w:rPr>
          <w:sz w:val="20"/>
          <w:szCs w:val="20"/>
          <w:color w:val="auto"/>
        </w:rPr>
      </w:pPr>
      <w:r>
        <w:rPr>
          <w:rFonts w:ascii="Arial" w:cs="Arial" w:eastAsia="Arial" w:hAnsi="Arial"/>
          <w:sz w:val="12"/>
          <w:szCs w:val="12"/>
          <w:color w:val="auto"/>
        </w:rPr>
        <w:t>Global Tel*Link Corporation</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Telecommunications</w:t>
      </w:r>
    </w:p>
    <w:p>
      <w:pPr>
        <w:spacing w:after="0" w:line="115" w:lineRule="exact"/>
        <w:rPr>
          <w:sz w:val="20"/>
          <w:szCs w:val="20"/>
          <w:color w:val="auto"/>
        </w:rPr>
      </w:pPr>
    </w:p>
    <w:p>
      <w:pPr>
        <w:ind w:left="180" w:right="360" w:hanging="161"/>
        <w:spacing w:after="0" w:line="236" w:lineRule="auto"/>
        <w:rPr>
          <w:sz w:val="20"/>
          <w:szCs w:val="20"/>
          <w:color w:val="auto"/>
        </w:rPr>
      </w:pPr>
      <w:r>
        <w:rPr>
          <w:rFonts w:ascii="Arial" w:cs="Arial" w:eastAsia="Arial" w:hAnsi="Arial"/>
          <w:sz w:val="12"/>
          <w:szCs w:val="12"/>
          <w:color w:val="auto"/>
        </w:rPr>
        <w:t>Global Tel*Link Corporation</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Telecommunications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8"/>
          <w:szCs w:val="28"/>
          <w:color w:val="auto"/>
          <w:vertAlign w:val="superscript"/>
        </w:rPr>
        <w:t>(5)(8)(13)</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920" w:type="dxa"/>
            <w:vAlign w:val="bottom"/>
            <w:vMerge w:val="restart"/>
          </w:tcPr>
          <w:p>
            <w:pPr>
              <w:jc w:val="right"/>
              <w:ind w:right="28"/>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Senior Secured Loan — Term Loan</w:t>
            </w:r>
          </w:p>
        </w:tc>
        <w:tc>
          <w:tcPr>
            <w:tcW w:w="1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gridSpan w:val="2"/>
          </w:tcPr>
          <w:p>
            <w:pPr>
              <w:spacing w:after="0"/>
              <w:rPr>
                <w:sz w:val="20"/>
                <w:szCs w:val="20"/>
                <w:color w:val="auto"/>
              </w:rPr>
            </w:pPr>
            <w:r>
              <w:rPr>
                <w:rFonts w:ascii="Arial" w:cs="Arial" w:eastAsia="Arial" w:hAnsi="Arial"/>
                <w:sz w:val="14"/>
                <w:szCs w:val="14"/>
                <w:color w:val="auto"/>
              </w:rPr>
              <w:t>9.5% Cash, Due 11/21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11/19/2015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180,304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179,431</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12.9% Cash, 3 month LIBOR(2.60%) + 10.25%; LIBOR Floor</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4"/>
                <w:szCs w:val="14"/>
                <w:color w:val="auto"/>
              </w:rPr>
              <w:t>1.00% , Due 1/22</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1/30/2015</w:t>
            </w:r>
          </w:p>
        </w:tc>
        <w:tc>
          <w:tcPr>
            <w:tcW w:w="920" w:type="dxa"/>
            <w:vAlign w:val="bottom"/>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1,487,894</w:t>
            </w:r>
          </w:p>
        </w:tc>
        <w:tc>
          <w:tcPr>
            <w:tcW w:w="920" w:type="dxa"/>
            <w:vAlign w:val="bottom"/>
          </w:tcPr>
          <w:p>
            <w:pPr>
              <w:jc w:val="right"/>
              <w:spacing w:after="0"/>
              <w:rPr>
                <w:sz w:val="20"/>
                <w:szCs w:val="20"/>
                <w:color w:val="auto"/>
              </w:rPr>
            </w:pPr>
            <w:r>
              <w:rPr>
                <w:rFonts w:ascii="Arial" w:cs="Arial" w:eastAsia="Arial" w:hAnsi="Arial"/>
                <w:sz w:val="14"/>
                <w:szCs w:val="14"/>
                <w:color w:val="auto"/>
              </w:rPr>
              <w:t>1,344,450</w:t>
            </w: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Loan (Second Lien)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10.7% Cash, 1 month LIBOR(2.50%) + 8.2%, Due 11/26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5/21/2013</w:t>
            </w:r>
          </w:p>
        </w:tc>
        <w:tc>
          <w:tcPr>
            <w:tcW w:w="920" w:type="dxa"/>
            <w:vAlign w:val="bottom"/>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4,918,578</w:t>
            </w:r>
          </w:p>
        </w:tc>
        <w:tc>
          <w:tcPr>
            <w:tcW w:w="920" w:type="dxa"/>
            <w:vAlign w:val="bottom"/>
          </w:tcPr>
          <w:p>
            <w:pPr>
              <w:jc w:val="right"/>
              <w:spacing w:after="0"/>
              <w:rPr>
                <w:sz w:val="20"/>
                <w:szCs w:val="20"/>
                <w:color w:val="auto"/>
              </w:rPr>
            </w:pPr>
            <w:r>
              <w:rPr>
                <w:rFonts w:ascii="Arial" w:cs="Arial" w:eastAsia="Arial" w:hAnsi="Arial"/>
                <w:sz w:val="14"/>
                <w:szCs w:val="14"/>
                <w:color w:val="auto"/>
              </w:rPr>
              <w:t>4,906,500</w:t>
            </w: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Loan (Second Lien)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10.7% Cash, 1 month LIBOR(2.50%) + 8.2%, Due 11/26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5/21/2013</w:t>
            </w:r>
          </w:p>
        </w:tc>
        <w:tc>
          <w:tcPr>
            <w:tcW w:w="92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1,966,427</w:t>
            </w:r>
          </w:p>
        </w:tc>
        <w:tc>
          <w:tcPr>
            <w:tcW w:w="920" w:type="dxa"/>
            <w:vAlign w:val="bottom"/>
          </w:tcPr>
          <w:p>
            <w:pPr>
              <w:jc w:val="right"/>
              <w:spacing w:after="0"/>
              <w:rPr>
                <w:sz w:val="20"/>
                <w:szCs w:val="20"/>
                <w:color w:val="auto"/>
              </w:rPr>
            </w:pPr>
            <w:r>
              <w:rPr>
                <w:rFonts w:ascii="Arial" w:cs="Arial" w:eastAsia="Arial" w:hAnsi="Arial"/>
                <w:sz w:val="14"/>
                <w:szCs w:val="14"/>
                <w:color w:val="auto"/>
              </w:rPr>
              <w:t>1,962,600</w:t>
            </w: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Term Loan (First Lien)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6.7% Cash, 1 month LIBOR(2.50%), Due 11/25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5/21/2013</w:t>
            </w:r>
          </w:p>
        </w:tc>
        <w:tc>
          <w:tcPr>
            <w:tcW w:w="920" w:type="dxa"/>
            <w:vAlign w:val="bottom"/>
          </w:tcPr>
          <w:p>
            <w:pPr>
              <w:jc w:val="right"/>
              <w:spacing w:after="0"/>
              <w:rPr>
                <w:sz w:val="20"/>
                <w:szCs w:val="20"/>
                <w:color w:val="auto"/>
              </w:rPr>
            </w:pPr>
            <w:r>
              <w:rPr>
                <w:rFonts w:ascii="Arial" w:cs="Arial" w:eastAsia="Arial" w:hAnsi="Arial"/>
                <w:sz w:val="14"/>
                <w:szCs w:val="14"/>
                <w:color w:val="auto"/>
              </w:rPr>
              <w:t>1,470,104</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1,466,908</w:t>
            </w:r>
          </w:p>
        </w:tc>
        <w:tc>
          <w:tcPr>
            <w:tcW w:w="920" w:type="dxa"/>
            <w:vAlign w:val="bottom"/>
          </w:tcPr>
          <w:p>
            <w:pPr>
              <w:jc w:val="right"/>
              <w:spacing w:after="0"/>
              <w:rPr>
                <w:sz w:val="20"/>
                <w:szCs w:val="20"/>
                <w:color w:val="auto"/>
              </w:rPr>
            </w:pPr>
            <w:r>
              <w:rPr>
                <w:rFonts w:ascii="Arial" w:cs="Arial" w:eastAsia="Arial" w:hAnsi="Arial"/>
                <w:sz w:val="14"/>
                <w:szCs w:val="14"/>
                <w:color w:val="auto"/>
              </w:rPr>
              <w:t>1,453,051</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Term B Loan (First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9.8% Cash, 3 month LIBOR(2.75%) + 7.00%; LIBOR Floor 1.50%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1/18</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1/30/2013</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2,776,116</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2,776,116</w:t>
            </w:r>
          </w:p>
        </w:tc>
        <w:tc>
          <w:tcPr>
            <w:tcW w:w="920" w:type="dxa"/>
            <w:vAlign w:val="bottom"/>
          </w:tcPr>
          <w:p>
            <w:pPr>
              <w:jc w:val="right"/>
              <w:spacing w:after="0"/>
              <w:rPr>
                <w:sz w:val="20"/>
                <w:szCs w:val="20"/>
                <w:color w:val="auto"/>
              </w:rPr>
            </w:pPr>
            <w:r>
              <w:rPr>
                <w:rFonts w:ascii="Arial" w:cs="Arial" w:eastAsia="Arial" w:hAnsi="Arial"/>
                <w:sz w:val="14"/>
                <w:szCs w:val="14"/>
                <w:color w:val="auto"/>
              </w:rPr>
              <w:t>2,685,892</w:t>
            </w: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13.8% Cash, Due 7/18</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1/30/2013</w:t>
            </w:r>
          </w:p>
        </w:tc>
        <w:tc>
          <w:tcPr>
            <w:tcW w:w="920" w:type="dxa"/>
            <w:vAlign w:val="bottom"/>
          </w:tcPr>
          <w:p>
            <w:pPr>
              <w:jc w:val="right"/>
              <w:spacing w:after="0"/>
              <w:rPr>
                <w:sz w:val="20"/>
                <w:szCs w:val="20"/>
                <w:color w:val="auto"/>
              </w:rPr>
            </w:pPr>
            <w:r>
              <w:rPr>
                <w:rFonts w:ascii="Arial" w:cs="Arial" w:eastAsia="Arial" w:hAnsi="Arial"/>
                <w:sz w:val="14"/>
                <w:szCs w:val="14"/>
                <w:color w:val="auto"/>
              </w:rPr>
              <w:t>7,191,667</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7,169,109</w:t>
            </w:r>
          </w:p>
        </w:tc>
        <w:tc>
          <w:tcPr>
            <w:tcW w:w="920" w:type="dxa"/>
            <w:vAlign w:val="bottom"/>
          </w:tcPr>
          <w:p>
            <w:pPr>
              <w:jc w:val="right"/>
              <w:spacing w:after="0"/>
              <w:rPr>
                <w:sz w:val="20"/>
                <w:szCs w:val="20"/>
                <w:color w:val="auto"/>
              </w:rPr>
            </w:pPr>
            <w:r>
              <w:rPr>
                <w:rFonts w:ascii="Arial" w:cs="Arial" w:eastAsia="Arial" w:hAnsi="Arial"/>
                <w:sz w:val="14"/>
                <w:szCs w:val="14"/>
                <w:color w:val="auto"/>
              </w:rPr>
              <w:t>4,536,036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-2024380</wp:posOffset>
            </wp:positionV>
            <wp:extent cx="7246620"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3464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-1595120</wp:posOffset>
            </wp:positionV>
            <wp:extent cx="7246620" cy="2228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-1278255</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-960755</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-643255</wp:posOffset>
            </wp:positionV>
            <wp:extent cx="724662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-231775</wp:posOffset>
            </wp:positionV>
            <wp:extent cx="724662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-2350135</wp:posOffset>
            </wp:positionV>
            <wp:extent cx="7246620" cy="231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2700" w:space="180"/>
            <w:col w:w="8540"/>
          </w:cols>
          <w:pgMar w:left="240" w:top="888"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Harland Clarke Holdings Corp. (fka Clarke</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Loan — Initial Term Loan</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American Corp.)</w:t>
            </w:r>
            <w:r>
              <w:rPr>
                <w:rFonts w:ascii="Arial" w:cs="Arial" w:eastAsia="Arial" w:hAnsi="Arial"/>
                <w:sz w:val="23"/>
                <w:szCs w:val="23"/>
                <w:color w:val="auto"/>
                <w:vertAlign w:val="superscript"/>
              </w:rPr>
              <w:t>(8)(13)(14)</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7.4% Cash, 3 month LIBOR(2.60%) + 4.75%; LIBOR Floor 1.00% ,</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Media: Advertising, Printing &amp; Publishing</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11/23</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6/18/2013</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2,774,851</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2,792,996</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2,538,989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Hoffmaster Group, Inc.</w:t>
            </w:r>
            <w:r>
              <w:rPr>
                <w:rFonts w:ascii="Arial" w:cs="Arial" w:eastAsia="Arial" w:hAnsi="Arial"/>
                <w:sz w:val="20"/>
                <w:szCs w:val="20"/>
                <w:color w:val="auto"/>
                <w:vertAlign w:val="superscript"/>
              </w:rPr>
              <w:t>(8)(13)(14)</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Junior Secured Loan — Initial Term Loan (Second Lien)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Forest Products &amp; Paper</w:t>
            </w:r>
          </w:p>
        </w:tc>
        <w:tc>
          <w:tcPr>
            <w:tcW w:w="4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12.0% Cash, 1 month LIBOR(2.50%) + 9.50%; LIBOR Floor 1.00%</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40" w:type="dxa"/>
            <w:vAlign w:val="bottom"/>
            <w:vMerge w:val="continue"/>
            <w:shd w:val="clear" w:color="auto" w:fill="CCEEFF"/>
          </w:tcPr>
          <w:p>
            <w:pPr>
              <w:spacing w:after="0"/>
              <w:rPr>
                <w:sz w:val="3"/>
                <w:szCs w:val="3"/>
                <w:color w:val="auto"/>
              </w:rPr>
            </w:pPr>
          </w:p>
        </w:tc>
        <w:tc>
          <w:tcPr>
            <w:tcW w:w="43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 Due 11/24</w:t>
            </w:r>
          </w:p>
        </w:tc>
        <w:tc>
          <w:tcPr>
            <w:tcW w:w="11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5/6/2014</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1,600,000</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1,566,065</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1,554,080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43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Ivanti Software, Inc. (fka LANDesk Group,</w:t>
            </w:r>
          </w:p>
        </w:tc>
        <w:tc>
          <w:tcPr>
            <w:tcW w:w="4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Junior Secured Loan — Loan (Second Lien)</w:t>
            </w: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Inc.)</w:t>
            </w:r>
            <w:r>
              <w:rPr>
                <w:rFonts w:ascii="Arial" w:cs="Arial" w:eastAsia="Arial" w:hAnsi="Arial"/>
                <w:sz w:val="13"/>
                <w:szCs w:val="13"/>
                <w:color w:val="auto"/>
              </w:rPr>
              <w:t>(8)(13)</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11.5% Cash, 1 month LIBOR(2.50%) + 9.00%; LIBOR Floor 1.00%</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Due 1/25</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3/10/2017</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3,228,619</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3,228,619</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3,102,057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Kellermeyer Bergensons Services, LLC</w:t>
            </w:r>
            <w:r>
              <w:rPr>
                <w:rFonts w:ascii="Arial" w:cs="Arial" w:eastAsia="Arial" w:hAnsi="Arial"/>
                <w:sz w:val="20"/>
                <w:szCs w:val="20"/>
                <w:color w:val="auto"/>
                <w:vertAlign w:val="superscript"/>
              </w:rPr>
              <w:t>(8)</w:t>
            </w:r>
          </w:p>
        </w:tc>
        <w:tc>
          <w:tcPr>
            <w:tcW w:w="43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Senior Secured Loan — 2018 Replacement Term Loan (First Lien)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Services: Business</w:t>
            </w:r>
          </w:p>
        </w:tc>
        <w:tc>
          <w:tcPr>
            <w:tcW w:w="4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7.4% Cash, 3 month LIBOR(2.63%) + 4.75%; LIBOR Floor 1.00% ,</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40" w:type="dxa"/>
            <w:vAlign w:val="bottom"/>
            <w:vMerge w:val="continue"/>
            <w:shd w:val="clear" w:color="auto" w:fill="CCEEFF"/>
          </w:tcPr>
          <w:p>
            <w:pPr>
              <w:spacing w:after="0"/>
              <w:rPr>
                <w:sz w:val="3"/>
                <w:szCs w:val="3"/>
                <w:color w:val="auto"/>
              </w:rPr>
            </w:pPr>
          </w:p>
        </w:tc>
        <w:tc>
          <w:tcPr>
            <w:tcW w:w="43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Due 10/21</w:t>
            </w:r>
          </w:p>
        </w:tc>
        <w:tc>
          <w:tcPr>
            <w:tcW w:w="11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10/31/2014</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2,088,206</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2,085,776</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2,068,994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40" w:type="dxa"/>
            <w:vAlign w:val="bottom"/>
            <w:shd w:val="clear" w:color="auto" w:fill="CCEEFF"/>
          </w:tcPr>
          <w:p>
            <w:pPr>
              <w:spacing w:after="0"/>
              <w:rPr>
                <w:sz w:val="11"/>
                <w:szCs w:val="11"/>
                <w:color w:val="auto"/>
              </w:rPr>
            </w:pPr>
          </w:p>
        </w:tc>
        <w:tc>
          <w:tcPr>
            <w:tcW w:w="430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11" w:name="page12"/>
    <w:bookmarkEnd w:id="1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1" w:lineRule="exact"/>
        <w:rPr>
          <w:sz w:val="20"/>
          <w:szCs w:val="20"/>
          <w:color w:val="auto"/>
        </w:rPr>
      </w:pPr>
    </w:p>
    <w:p>
      <w:pPr>
        <w:ind w:left="180" w:hanging="161"/>
        <w:spacing w:after="0" w:line="228" w:lineRule="auto"/>
        <w:rPr>
          <w:sz w:val="20"/>
          <w:szCs w:val="20"/>
          <w:color w:val="auto"/>
        </w:rPr>
      </w:pPr>
      <w:r>
        <w:rPr>
          <w:rFonts w:ascii="Arial" w:cs="Arial" w:eastAsia="Arial" w:hAnsi="Arial"/>
          <w:sz w:val="12"/>
          <w:szCs w:val="12"/>
          <w:color w:val="auto"/>
        </w:rPr>
        <w:t>MB Aerospace Holdings II Corp.</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Aerospace and Defense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Navex Topco, Inc.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Electronics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Pinstripe Holdings, LLC (Aka Cielo)</w:t>
      </w:r>
      <w:r>
        <w:rPr>
          <w:rFonts w:ascii="Arial" w:cs="Arial" w:eastAsia="Arial" w:hAnsi="Arial"/>
          <w:sz w:val="25"/>
          <w:szCs w:val="25"/>
          <w:color w:val="auto"/>
          <w:vertAlign w:val="superscript"/>
        </w:rPr>
        <w:t>(8)(13)</w:t>
      </w:r>
    </w:p>
    <w:p>
      <w:pPr>
        <w:spacing w:after="0"/>
        <w:rPr>
          <w:sz w:val="20"/>
          <w:szCs w:val="20"/>
          <w:color w:val="auto"/>
        </w:rPr>
      </w:pPr>
      <w:r>
        <w:rPr>
          <w:rFonts w:ascii="Arial" w:cs="Arial" w:eastAsia="Arial" w:hAnsi="Arial"/>
          <w:sz w:val="14"/>
          <w:szCs w:val="14"/>
          <w:color w:val="auto"/>
        </w:rPr>
        <w:t>(14)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Services: Consumer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Playpower, Inc.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Construction &amp; Building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PSC Industrial Holdings Corp.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Environmental Industries</w:t>
      </w:r>
    </w:p>
    <w:p>
      <w:pPr>
        <w:spacing w:after="0" w:line="273" w:lineRule="exact"/>
        <w:rPr>
          <w:sz w:val="20"/>
          <w:szCs w:val="20"/>
          <w:color w:val="auto"/>
        </w:rPr>
      </w:pPr>
    </w:p>
    <w:p>
      <w:pPr>
        <w:ind w:left="180" w:right="580" w:hanging="161"/>
        <w:spacing w:after="0" w:line="236" w:lineRule="auto"/>
        <w:rPr>
          <w:sz w:val="20"/>
          <w:szCs w:val="20"/>
          <w:color w:val="auto"/>
        </w:rPr>
      </w:pPr>
      <w:r>
        <w:rPr>
          <w:rFonts w:ascii="Arial" w:cs="Arial" w:eastAsia="Arial" w:hAnsi="Arial"/>
          <w:sz w:val="12"/>
          <w:szCs w:val="12"/>
          <w:color w:val="auto"/>
        </w:rPr>
        <w:t>PVHC Holding Corp</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Chemicals, Plastics and Rubber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920" w:type="dxa"/>
            <w:vAlign w:val="bottom"/>
            <w:vMerge w:val="restart"/>
          </w:tcPr>
          <w:p>
            <w:pPr>
              <w:jc w:val="right"/>
              <w:ind w:right="29"/>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Initial Term Loan (First Lien)</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6.0% Cash, 1 month LIBOR(2.50%) + 3.50%;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1/25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5/10/2013</w:t>
            </w:r>
          </w:p>
        </w:tc>
        <w:tc>
          <w:tcPr>
            <w:tcW w:w="920" w:type="dxa"/>
            <w:vAlign w:val="bottom"/>
          </w:tcPr>
          <w:p>
            <w:pPr>
              <w:jc w:val="right"/>
              <w:spacing w:after="0"/>
              <w:rPr>
                <w:sz w:val="20"/>
                <w:szCs w:val="20"/>
                <w:color w:val="auto"/>
              </w:rPr>
            </w:pPr>
            <w:r>
              <w:rPr>
                <w:rFonts w:ascii="Arial" w:cs="Arial" w:eastAsia="Arial" w:hAnsi="Arial"/>
                <w:sz w:val="14"/>
                <w:szCs w:val="14"/>
                <w:color w:val="auto"/>
              </w:rPr>
              <w:t>1,234,375</w:t>
            </w:r>
          </w:p>
        </w:tc>
        <w:tc>
          <w:tcPr>
            <w:tcW w:w="2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1,229,225</w:t>
            </w:r>
          </w:p>
        </w:tc>
        <w:tc>
          <w:tcPr>
            <w:tcW w:w="920" w:type="dxa"/>
            <w:vAlign w:val="bottom"/>
          </w:tcPr>
          <w:p>
            <w:pPr>
              <w:jc w:val="right"/>
              <w:spacing w:after="0"/>
              <w:rPr>
                <w:sz w:val="20"/>
                <w:szCs w:val="20"/>
                <w:color w:val="auto"/>
              </w:rPr>
            </w:pPr>
            <w:r>
              <w:rPr>
                <w:rFonts w:ascii="Arial" w:cs="Arial" w:eastAsia="Arial" w:hAnsi="Arial"/>
                <w:sz w:val="14"/>
                <w:szCs w:val="14"/>
                <w:color w:val="auto"/>
              </w:rPr>
              <w:t>1,206,602</w:t>
            </w: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9.5% Cash, 1 month LIBOR(2.50%) + 7.00% , Due 9/26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12/4/2018</w:t>
            </w:r>
          </w:p>
        </w:tc>
        <w:tc>
          <w:tcPr>
            <w:tcW w:w="920" w:type="dxa"/>
            <w:vAlign w:val="bottom"/>
          </w:tcPr>
          <w:p>
            <w:pPr>
              <w:jc w:val="right"/>
              <w:spacing w:after="0"/>
              <w:rPr>
                <w:sz w:val="20"/>
                <w:szCs w:val="20"/>
                <w:color w:val="auto"/>
              </w:rPr>
            </w:pPr>
            <w:r>
              <w:rPr>
                <w:rFonts w:ascii="Arial" w:cs="Arial" w:eastAsia="Arial" w:hAnsi="Arial"/>
                <w:sz w:val="14"/>
                <w:szCs w:val="14"/>
                <w:color w:val="auto"/>
              </w:rPr>
              <w:t>6,700,000</w:t>
            </w:r>
          </w:p>
        </w:tc>
        <w:tc>
          <w:tcPr>
            <w:tcW w:w="2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6,633,298</w:t>
            </w:r>
          </w:p>
        </w:tc>
        <w:tc>
          <w:tcPr>
            <w:tcW w:w="920" w:type="dxa"/>
            <w:vAlign w:val="bottom"/>
          </w:tcPr>
          <w:p>
            <w:pPr>
              <w:jc w:val="right"/>
              <w:spacing w:after="0"/>
              <w:rPr>
                <w:sz w:val="20"/>
                <w:szCs w:val="20"/>
                <w:color w:val="auto"/>
              </w:rPr>
            </w:pPr>
            <w:r>
              <w:rPr>
                <w:rFonts w:ascii="Arial" w:cs="Arial" w:eastAsia="Arial" w:hAnsi="Arial"/>
                <w:sz w:val="14"/>
                <w:szCs w:val="14"/>
                <w:color w:val="auto"/>
              </w:rPr>
              <w:t>6,566,000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8.5% Cash, 1 month LIBOR(2.50%) + 6.00%;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4"/>
                <w:szCs w:val="14"/>
                <w:color w:val="auto"/>
              </w:rPr>
              <w:t>Due 1/25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1/17/2019</w:t>
            </w:r>
          </w:p>
        </w:tc>
        <w:tc>
          <w:tcPr>
            <w:tcW w:w="920" w:type="dxa"/>
            <w:vAlign w:val="bottom"/>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tcPr>
          <w:p>
            <w:pPr>
              <w:spacing w:after="0"/>
              <w:rPr>
                <w:sz w:val="19"/>
                <w:szCs w:val="19"/>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4,902,799</w:t>
            </w:r>
          </w:p>
        </w:tc>
        <w:tc>
          <w:tcPr>
            <w:tcW w:w="920" w:type="dxa"/>
            <w:vAlign w:val="bottom"/>
          </w:tcPr>
          <w:p>
            <w:pPr>
              <w:jc w:val="right"/>
              <w:spacing w:after="0"/>
              <w:rPr>
                <w:sz w:val="20"/>
                <w:szCs w:val="20"/>
                <w:color w:val="auto"/>
              </w:rPr>
            </w:pPr>
            <w:r>
              <w:rPr>
                <w:rFonts w:ascii="Arial" w:cs="Arial" w:eastAsia="Arial" w:hAnsi="Arial"/>
                <w:sz w:val="14"/>
                <w:szCs w:val="14"/>
                <w:color w:val="auto"/>
              </w:rPr>
              <w:t>4,900,000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7.4% Cash, 3 month LIBOR(2.60%) + 4.75%;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6/21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6/23/2015</w:t>
            </w:r>
          </w:p>
        </w:tc>
        <w:tc>
          <w:tcPr>
            <w:tcW w:w="920" w:type="dxa"/>
            <w:vAlign w:val="bottom"/>
          </w:tcPr>
          <w:p>
            <w:pPr>
              <w:jc w:val="right"/>
              <w:spacing w:after="0"/>
              <w:rPr>
                <w:sz w:val="20"/>
                <w:szCs w:val="20"/>
                <w:color w:val="auto"/>
              </w:rPr>
            </w:pPr>
            <w:r>
              <w:rPr>
                <w:rFonts w:ascii="Arial" w:cs="Arial" w:eastAsia="Arial" w:hAnsi="Arial"/>
                <w:sz w:val="14"/>
                <w:szCs w:val="14"/>
                <w:color w:val="auto"/>
              </w:rPr>
              <w:t>1,524,087</w:t>
            </w:r>
          </w:p>
        </w:tc>
        <w:tc>
          <w:tcPr>
            <w:tcW w:w="2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1,529,905</w:t>
            </w:r>
          </w:p>
        </w:tc>
        <w:tc>
          <w:tcPr>
            <w:tcW w:w="920" w:type="dxa"/>
            <w:vAlign w:val="bottom"/>
          </w:tcPr>
          <w:p>
            <w:pPr>
              <w:jc w:val="right"/>
              <w:spacing w:after="0"/>
              <w:rPr>
                <w:sz w:val="20"/>
                <w:szCs w:val="20"/>
                <w:color w:val="auto"/>
              </w:rPr>
            </w:pPr>
            <w:r>
              <w:rPr>
                <w:rFonts w:ascii="Arial" w:cs="Arial" w:eastAsia="Arial" w:hAnsi="Arial"/>
                <w:sz w:val="14"/>
                <w:szCs w:val="14"/>
                <w:color w:val="auto"/>
              </w:rPr>
              <w:t>1,524,392</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10.98% Cash, 1 month LIBOR(2.48%) + 8.50%; LIBOR Floor</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1.00% , Due 10/25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10/5/2017</w:t>
            </w:r>
          </w:p>
        </w:tc>
        <w:tc>
          <w:tcPr>
            <w:tcW w:w="9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2,950,892</w:t>
            </w:r>
          </w:p>
        </w:tc>
        <w:tc>
          <w:tcPr>
            <w:tcW w:w="920" w:type="dxa"/>
            <w:vAlign w:val="bottom"/>
          </w:tcPr>
          <w:p>
            <w:pPr>
              <w:jc w:val="right"/>
              <w:spacing w:after="0"/>
              <w:rPr>
                <w:sz w:val="20"/>
                <w:szCs w:val="20"/>
                <w:color w:val="auto"/>
              </w:rPr>
            </w:pPr>
            <w:r>
              <w:rPr>
                <w:rFonts w:ascii="Arial" w:cs="Arial" w:eastAsia="Arial" w:hAnsi="Arial"/>
                <w:sz w:val="14"/>
                <w:szCs w:val="14"/>
                <w:color w:val="auto"/>
              </w:rPr>
              <w:t>2,865,000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7.36% Cash, 3 month LIBOR(2.61%) + 4.75%; LIBOR Floor 1.00%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 Due 8/24</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8/10/2018</w:t>
            </w:r>
          </w:p>
        </w:tc>
        <w:tc>
          <w:tcPr>
            <w:tcW w:w="920" w:type="dxa"/>
            <w:vAlign w:val="bottom"/>
          </w:tcPr>
          <w:p>
            <w:pPr>
              <w:jc w:val="right"/>
              <w:spacing w:after="0"/>
              <w:rPr>
                <w:sz w:val="20"/>
                <w:szCs w:val="20"/>
                <w:color w:val="auto"/>
              </w:rPr>
            </w:pPr>
            <w:r>
              <w:rPr>
                <w:rFonts w:ascii="Arial" w:cs="Arial" w:eastAsia="Arial" w:hAnsi="Arial"/>
                <w:sz w:val="14"/>
                <w:szCs w:val="14"/>
                <w:color w:val="auto"/>
              </w:rPr>
              <w:t>2,865,600</w:t>
            </w:r>
          </w:p>
        </w:tc>
        <w:tc>
          <w:tcPr>
            <w:tcW w:w="200" w:type="dxa"/>
            <w:vAlign w:val="bottom"/>
          </w:tcPr>
          <w:p>
            <w:pPr>
              <w:spacing w:after="0"/>
              <w:rPr>
                <w:sz w:val="17"/>
                <w:szCs w:val="17"/>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2,851,108</w:t>
            </w:r>
          </w:p>
        </w:tc>
        <w:tc>
          <w:tcPr>
            <w:tcW w:w="920" w:type="dxa"/>
            <w:vAlign w:val="bottom"/>
          </w:tcPr>
          <w:p>
            <w:pPr>
              <w:jc w:val="right"/>
              <w:spacing w:after="0"/>
              <w:rPr>
                <w:sz w:val="20"/>
                <w:szCs w:val="20"/>
                <w:color w:val="auto"/>
              </w:rPr>
            </w:pPr>
            <w:r>
              <w:rPr>
                <w:rFonts w:ascii="Arial" w:cs="Arial" w:eastAsia="Arial" w:hAnsi="Arial"/>
                <w:sz w:val="14"/>
                <w:szCs w:val="14"/>
                <w:color w:val="auto"/>
              </w:rPr>
              <w:t>2,793,960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-1895475</wp:posOffset>
            </wp:positionV>
            <wp:extent cx="72466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-1577975</wp:posOffset>
            </wp:positionV>
            <wp:extent cx="7246620" cy="3346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-1149350</wp:posOffset>
            </wp:positionV>
            <wp:extent cx="724662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-737870</wp:posOffset>
            </wp:positionV>
            <wp:extent cx="7246620" cy="317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-326390</wp:posOffset>
            </wp:positionV>
            <wp:extent cx="724662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-2315845</wp:posOffset>
            </wp:positionV>
            <wp:extent cx="7246620" cy="3257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2580" w:space="300"/>
            <w:col w:w="8540"/>
          </w:cols>
          <w:pgMar w:left="240" w:top="888"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w w:val="98"/>
              </w:rPr>
              <w:t>Q Holding Company (fka Lexington Precision</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Senior Secured Loan — Term B Loan</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Corporation)</w:t>
            </w:r>
            <w:r>
              <w:rPr>
                <w:rFonts w:ascii="Arial" w:cs="Arial" w:eastAsia="Arial" w:hAnsi="Arial"/>
                <w:sz w:val="23"/>
                <w:szCs w:val="23"/>
                <w:color w:val="auto"/>
                <w:vertAlign w:val="superscript"/>
              </w:rPr>
              <w:t>(8)(13)(14)</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7.50% Cash, 1 month LIBOR(2.50%) + 5.00%; LIBOR Floor 1.00%</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Chemicals, Plastics and Rubber</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Due 12/21</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12/16/2016</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1,974,227</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1,995,570</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1,951,721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Ravn Air Group, Inc.</w:t>
            </w:r>
            <w:r>
              <w:rPr>
                <w:rFonts w:ascii="Arial" w:cs="Arial" w:eastAsia="Arial" w:hAnsi="Arial"/>
                <w:sz w:val="20"/>
                <w:szCs w:val="20"/>
                <w:color w:val="auto"/>
                <w:vertAlign w:val="superscript"/>
              </w:rPr>
              <w:t>(8)(13)(14)</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Senior Secured Loan — Initial Term Loan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Aerospace and Defense</w:t>
            </w:r>
          </w:p>
        </w:tc>
        <w:tc>
          <w:tcPr>
            <w:tcW w:w="4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7.6% Cash, 3 month LIBOR(2.61%) + 5.00%; LIBOR Floor 1.00% ,</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vMerge w:val="continue"/>
            <w:shd w:val="clear" w:color="auto" w:fill="CCEEFF"/>
          </w:tcPr>
          <w:p>
            <w:pPr>
              <w:spacing w:after="0"/>
              <w:rPr>
                <w:sz w:val="3"/>
                <w:szCs w:val="3"/>
                <w:color w:val="auto"/>
              </w:rPr>
            </w:pPr>
          </w:p>
        </w:tc>
        <w:tc>
          <w:tcPr>
            <w:tcW w:w="42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Due 7/21</w:t>
            </w:r>
          </w:p>
        </w:tc>
        <w:tc>
          <w:tcPr>
            <w:tcW w:w="11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7/29/2015</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1,867,866</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1,867,866</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1,867,866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428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Robertshaw US Holding Corp. (fka Fox US</w:t>
            </w:r>
          </w:p>
        </w:tc>
        <w:tc>
          <w:tcPr>
            <w:tcW w:w="4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Junior Secured Loan — Initial Term Loan (Second Lien)</w:t>
            </w: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 xml:space="preserve">Bidco Corp.) </w:t>
            </w:r>
            <w:r>
              <w:rPr>
                <w:rFonts w:ascii="Arial" w:cs="Arial" w:eastAsia="Arial" w:hAnsi="Arial"/>
                <w:sz w:val="23"/>
                <w:szCs w:val="23"/>
                <w:color w:val="auto"/>
                <w:vertAlign w:val="superscript"/>
              </w:rPr>
              <w:t>(8)(13)</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10.5% Cash, 1 month LIBOR(2.50%) + 8.00%; LIBOR Floor 1.00%</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Equipment</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Due 2/26</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2/15/2018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3,000,000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2,974,023</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2,777,100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84" w:lineRule="exact"/>
              <w:rPr>
                <w:sz w:val="20"/>
                <w:szCs w:val="20"/>
                <w:color w:val="auto"/>
              </w:rPr>
            </w:pPr>
            <w:r>
              <w:rPr>
                <w:rFonts w:ascii="Arial" w:cs="Arial" w:eastAsia="Arial" w:hAnsi="Arial"/>
                <w:sz w:val="12"/>
                <w:szCs w:val="12"/>
                <w:color w:val="auto"/>
              </w:rPr>
              <w:t>Roscoe Medical, Inc.</w:t>
            </w:r>
            <w:r>
              <w:rPr>
                <w:rFonts w:ascii="Arial" w:cs="Arial" w:eastAsia="Arial" w:hAnsi="Arial"/>
                <w:sz w:val="21"/>
                <w:szCs w:val="21"/>
                <w:color w:val="auto"/>
                <w:vertAlign w:val="superscript"/>
              </w:rPr>
              <w:t>(5)(8)(13)</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Junior Secured Loan — Term Loan (Second Lien)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11.3% Cash, Due 9/19</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3/26/2014</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1,700,000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1,698,495</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816,000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84" w:lineRule="exact"/>
              <w:rPr>
                <w:sz w:val="20"/>
                <w:szCs w:val="20"/>
                <w:color w:val="auto"/>
              </w:rPr>
            </w:pPr>
            <w:r>
              <w:rPr>
                <w:rFonts w:ascii="Arial" w:cs="Arial" w:eastAsia="Arial" w:hAnsi="Arial"/>
                <w:sz w:val="12"/>
                <w:szCs w:val="12"/>
                <w:color w:val="auto"/>
              </w:rPr>
              <w:t>Roscoe Medical, Inc.</w:t>
            </w:r>
            <w:r>
              <w:rPr>
                <w:rFonts w:ascii="Arial" w:cs="Arial" w:eastAsia="Arial" w:hAnsi="Arial"/>
                <w:sz w:val="21"/>
                <w:szCs w:val="21"/>
                <w:color w:val="auto"/>
                <w:vertAlign w:val="superscript"/>
              </w:rPr>
              <w:t>(5)(8)(13)(14)</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Junior Secured Loan — Term Loan (Second Lien)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11.3% Cash, Due 9/19</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3/26/2014</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5,000,000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4,995,580</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Portfolio Company/</w:t>
            </w:r>
          </w:p>
        </w:tc>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80" w:type="dxa"/>
            <w:vAlign w:val="bottom"/>
            <w:gridSpan w:val="3"/>
            <w:vMerge w:val="continue"/>
          </w:tcPr>
          <w:p>
            <w:pPr>
              <w:spacing w:after="0"/>
              <w:rPr>
                <w:sz w:val="4"/>
                <w:szCs w:val="4"/>
                <w:color w:val="auto"/>
              </w:rPr>
            </w:pPr>
          </w:p>
        </w:tc>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1020" w:type="dxa"/>
            <w:vAlign w:val="bottom"/>
            <w:gridSpan w:val="2"/>
            <w:vMerge w:val="restart"/>
          </w:tcPr>
          <w:p>
            <w:pPr>
              <w:ind w:left="100"/>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1"/>
                <w:szCs w:val="11"/>
                <w:color w:val="auto"/>
              </w:rPr>
              <w:t>Salient CRGT Inc.</w:t>
            </w:r>
            <w:r>
              <w:rPr>
                <w:rFonts w:ascii="Arial" w:cs="Arial" w:eastAsia="Arial" w:hAnsi="Arial"/>
                <w:sz w:val="19"/>
                <w:szCs w:val="19"/>
                <w:color w:val="auto"/>
                <w:vertAlign w:val="superscript"/>
              </w:rPr>
              <w:t>(8)(13)(14)</w:t>
            </w:r>
          </w:p>
        </w:tc>
        <w:tc>
          <w:tcPr>
            <w:tcW w:w="140" w:type="dxa"/>
            <w:vAlign w:val="bottom"/>
            <w:tcBorders>
              <w:top w:val="single" w:sz="8" w:color="CCEEFF"/>
            </w:tcBorders>
            <w:shd w:val="clear" w:color="auto" w:fill="CCEEFF"/>
          </w:tcPr>
          <w:p>
            <w:pPr>
              <w:spacing w:after="0"/>
              <w:rPr>
                <w:sz w:val="14"/>
                <w:szCs w:val="14"/>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1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8.2% Cash, 1 month LIBOR(2.50%) + 5.75%;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2/22</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2/27/2017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1,828,971</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1,845,166</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1,761,117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SCSG EA Acquisition Company, Inc.</w:t>
            </w:r>
            <w:r>
              <w:rPr>
                <w:rFonts w:ascii="Arial" w:cs="Arial" w:eastAsia="Arial" w:hAnsi="Arial"/>
                <w:sz w:val="20"/>
                <w:szCs w:val="20"/>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11.0% Cash, 3 month LIBOR(2.80%) + 8.25%; LIBOR Floor 1.00%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9/24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8/18/2017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991,578</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985,000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SCSG EA Acquisition Company, Inc.</w:t>
            </w:r>
            <w:r>
              <w:rPr>
                <w:rFonts w:ascii="Arial" w:cs="Arial" w:eastAsia="Arial" w:hAnsi="Arial"/>
                <w:sz w:val="20"/>
                <w:szCs w:val="20"/>
                <w:color w:val="auto"/>
                <w:vertAlign w:val="superscript"/>
              </w:rPr>
              <w:t>(8)(14)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11.0% Cash, 3 month LIBOR(2.80%) + 8.25%; LIBOR Floor 1.00%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9/24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8/18/2017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4,961,208</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4,925,000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Enterprises, LLC (aka Lyons Magnus)</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Tranche B-1 Term Loan (First Lien)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(8)(13)(14)</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6.0% Cash, 1 month LIBOR(2.50%) + 3.50%; LIBOR Floor 1.00% ,</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Beverage, Food and Tobacco</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11/3/2017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2,962,575</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2,950,127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2,947,762</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888" w:right="239" w:bottom="1440" w:gutter="0" w:footer="0" w:header="0"/>
        </w:sect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5"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3"/>
          <w:szCs w:val="13"/>
          <w:color w:val="auto"/>
        </w:rPr>
        <w:t>(5)(8)(13)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Environmental Industries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5"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3"/>
          <w:szCs w:val="13"/>
          <w:color w:val="auto"/>
        </w:rPr>
        <w:t>(5)(8)(13)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Environmental Industries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Tank Partners Holdings, LLC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Energy: Oil &amp; Gas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Tex-Tech Industries, Inc.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Textiles and Leather</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Time Manufacturing Acquisition, LLC</w:t>
      </w:r>
      <w:r>
        <w:rPr>
          <w:rFonts w:ascii="Arial" w:cs="Arial" w:eastAsia="Arial" w:hAnsi="Arial"/>
          <w:sz w:val="25"/>
          <w:szCs w:val="25"/>
          <w:color w:val="auto"/>
          <w:vertAlign w:val="superscript"/>
        </w:rPr>
        <w:t>(8)(13)</w:t>
      </w:r>
    </w:p>
    <w:p>
      <w:pPr>
        <w:spacing w:after="0"/>
        <w:rPr>
          <w:sz w:val="20"/>
          <w:szCs w:val="20"/>
          <w:color w:val="auto"/>
        </w:rPr>
      </w:pPr>
      <w:r>
        <w:rPr>
          <w:rFonts w:ascii="Arial" w:cs="Arial" w:eastAsia="Arial" w:hAnsi="Arial"/>
          <w:sz w:val="14"/>
          <w:szCs w:val="14"/>
          <w:color w:val="auto"/>
        </w:rPr>
        <w:t>(14)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Capital Equipment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TLE Holdings, LLC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Services: Consumer</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TronAir Parent Inc.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Aerospace and Defense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Junior Secured Loan — Restructured Term Loan</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1.0% Cash, 8.3% PIK, Due 10/22</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6/25/2013</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2,035,770</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1,984,160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180" w:type="dxa"/>
            <w:vAlign w:val="bottom"/>
          </w:tcPr>
          <w:p>
            <w:pPr>
              <w:spacing w:after="0"/>
              <w:rPr>
                <w:sz w:val="20"/>
                <w:szCs w:val="20"/>
                <w:color w:val="auto"/>
              </w:rPr>
            </w:pPr>
            <w:r>
              <w:rPr>
                <w:rFonts w:ascii="Arial" w:cs="Arial" w:eastAsia="Arial" w:hAnsi="Arial"/>
                <w:sz w:val="14"/>
                <w:szCs w:val="14"/>
                <w:color w:val="auto"/>
              </w:rPr>
              <w:t>Senior Secured Loan — Term Loan</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1.0% Cash, 3 month LIBOR(2.82%) + 12.00% , Due 10/22</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6/25/2013</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339,788</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339,788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47,634</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180" w:type="dxa"/>
            <w:vAlign w:val="bottom"/>
          </w:tcPr>
          <w:p>
            <w:pPr>
              <w:spacing w:after="0"/>
              <w:rPr>
                <w:sz w:val="20"/>
                <w:szCs w:val="20"/>
                <w:color w:val="auto"/>
              </w:rPr>
            </w:pPr>
            <w:r>
              <w:rPr>
                <w:rFonts w:ascii="Arial" w:cs="Arial" w:eastAsia="Arial" w:hAnsi="Arial"/>
                <w:sz w:val="14"/>
                <w:szCs w:val="14"/>
                <w:color w:val="auto"/>
              </w:rPr>
              <w:t>Senior Unsecured Bond — TankConvert, 10.0% PIK, Due 2/22</w:t>
            </w:r>
          </w:p>
        </w:tc>
        <w:tc>
          <w:tcPr>
            <w:tcW w:w="1140" w:type="dxa"/>
            <w:vAlign w:val="bottom"/>
            <w:vMerge w:val="restart"/>
          </w:tcPr>
          <w:p>
            <w:pPr>
              <w:jc w:val="right"/>
              <w:ind w:right="208"/>
              <w:spacing w:after="0"/>
              <w:rPr>
                <w:sz w:val="20"/>
                <w:szCs w:val="20"/>
                <w:color w:val="auto"/>
              </w:rPr>
            </w:pPr>
            <w:r>
              <w:rPr>
                <w:rFonts w:ascii="Arial" w:cs="Arial" w:eastAsia="Arial" w:hAnsi="Arial"/>
                <w:sz w:val="14"/>
                <w:szCs w:val="14"/>
                <w:color w:val="auto"/>
              </w:rPr>
              <w:t>2/15/2019</w:t>
            </w:r>
          </w:p>
        </w:tc>
        <w:tc>
          <w:tcPr>
            <w:tcW w:w="1140" w:type="dxa"/>
            <w:vAlign w:val="bottom"/>
            <w:vMerge w:val="restart"/>
          </w:tcPr>
          <w:p>
            <w:pPr>
              <w:jc w:val="right"/>
              <w:ind w:right="188"/>
              <w:spacing w:after="0"/>
              <w:rPr>
                <w:sz w:val="20"/>
                <w:szCs w:val="20"/>
                <w:color w:val="auto"/>
              </w:rPr>
            </w:pPr>
            <w:r>
              <w:rPr>
                <w:rFonts w:ascii="Arial" w:cs="Arial" w:eastAsia="Arial" w:hAnsi="Arial"/>
                <w:sz w:val="14"/>
                <w:szCs w:val="14"/>
                <w:color w:val="auto"/>
              </w:rPr>
              <w:t>456,974</w:t>
            </w:r>
          </w:p>
        </w:tc>
        <w:tc>
          <w:tcPr>
            <w:tcW w:w="1120" w:type="dxa"/>
            <w:vAlign w:val="bottom"/>
            <w:vMerge w:val="restart"/>
          </w:tcPr>
          <w:p>
            <w:pPr>
              <w:jc w:val="right"/>
              <w:ind w:right="188"/>
              <w:spacing w:after="0"/>
              <w:rPr>
                <w:sz w:val="20"/>
                <w:szCs w:val="20"/>
                <w:color w:val="auto"/>
              </w:rPr>
            </w:pPr>
            <w:r>
              <w:rPr>
                <w:rFonts w:ascii="Arial" w:cs="Arial" w:eastAsia="Arial" w:hAnsi="Arial"/>
                <w:sz w:val="14"/>
                <w:szCs w:val="14"/>
                <w:color w:val="auto"/>
              </w:rPr>
              <w:t>456,974</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456,974</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0"/>
                <w:szCs w:val="20"/>
                <w:color w:val="auto"/>
              </w:rPr>
            </w:pPr>
            <w:r>
              <w:rPr>
                <w:rFonts w:ascii="Arial" w:cs="Arial" w:eastAsia="Arial" w:hAnsi="Arial"/>
                <w:sz w:val="14"/>
                <w:szCs w:val="14"/>
                <w:color w:val="auto"/>
              </w:rPr>
              <w:t>Junior Secured Loan — Term Loan (Second Lien)</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11.5% Cash, 1 month LIBOR(2.50%) + 9.00%; LIBOR Floor 1.00%</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 Due 8/24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8/24/2017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8,008,000</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7,961,681</w:t>
            </w:r>
          </w:p>
        </w:tc>
        <w:tc>
          <w:tcPr>
            <w:tcW w:w="860" w:type="dxa"/>
            <w:vAlign w:val="bottom"/>
          </w:tcPr>
          <w:p>
            <w:pPr>
              <w:jc w:val="right"/>
              <w:spacing w:after="0"/>
              <w:rPr>
                <w:sz w:val="20"/>
                <w:szCs w:val="20"/>
                <w:color w:val="auto"/>
              </w:rPr>
            </w:pPr>
            <w:r>
              <w:rPr>
                <w:rFonts w:ascii="Arial" w:cs="Arial" w:eastAsia="Arial" w:hAnsi="Arial"/>
                <w:sz w:val="14"/>
                <w:szCs w:val="14"/>
                <w:color w:val="auto"/>
              </w:rPr>
              <w:t>7,847,840</w:t>
            </w: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0"/>
                <w:szCs w:val="20"/>
                <w:color w:val="auto"/>
              </w:rPr>
            </w:pPr>
            <w:r>
              <w:rPr>
                <w:rFonts w:ascii="Arial" w:cs="Arial" w:eastAsia="Arial" w:hAnsi="Arial"/>
                <w:sz w:val="14"/>
                <w:szCs w:val="14"/>
                <w:color w:val="auto"/>
              </w:rPr>
              <w:t>Senior Secured Loan — Term Loan</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7.7% Cash, 6 month LIBOR(2.69%) + 5.00%; LIBOR Floor 1.00% ,</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4"/>
                <w:szCs w:val="14"/>
                <w:color w:val="auto"/>
              </w:rPr>
              <w:t>Due 2/23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2/3/2017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3,437,374</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3,438,848</w:t>
            </w:r>
          </w:p>
        </w:tc>
        <w:tc>
          <w:tcPr>
            <w:tcW w:w="860" w:type="dxa"/>
            <w:vAlign w:val="bottom"/>
          </w:tcPr>
          <w:p>
            <w:pPr>
              <w:jc w:val="right"/>
              <w:spacing w:after="0"/>
              <w:rPr>
                <w:sz w:val="20"/>
                <w:szCs w:val="20"/>
                <w:color w:val="auto"/>
              </w:rPr>
            </w:pPr>
            <w:r>
              <w:rPr>
                <w:rFonts w:ascii="Arial" w:cs="Arial" w:eastAsia="Arial" w:hAnsi="Arial"/>
                <w:sz w:val="14"/>
                <w:szCs w:val="14"/>
                <w:color w:val="auto"/>
              </w:rPr>
              <w:t>3,421,562</w:t>
            </w: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0"/>
                <w:szCs w:val="20"/>
                <w:color w:val="auto"/>
              </w:rPr>
            </w:pPr>
            <w:r>
              <w:rPr>
                <w:rFonts w:ascii="Arial" w:cs="Arial" w:eastAsia="Arial" w:hAnsi="Arial"/>
                <w:sz w:val="14"/>
                <w:szCs w:val="14"/>
                <w:color w:val="auto"/>
              </w:rPr>
              <w:t>Senior Secured Loan — Term Loan</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8.0% Cash, 1 month LIBOR(2.50%) + 5.50%; LIBOR Floor 1.00% ,</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Due 6/24</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3/29/2019</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5,732,229</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5,702,583</w:t>
            </w:r>
          </w:p>
        </w:tc>
        <w:tc>
          <w:tcPr>
            <w:tcW w:w="860" w:type="dxa"/>
            <w:vAlign w:val="bottom"/>
          </w:tcPr>
          <w:p>
            <w:pPr>
              <w:jc w:val="right"/>
              <w:spacing w:after="0"/>
              <w:rPr>
                <w:sz w:val="20"/>
                <w:szCs w:val="20"/>
                <w:color w:val="auto"/>
              </w:rPr>
            </w:pPr>
            <w:r>
              <w:rPr>
                <w:rFonts w:ascii="Arial" w:cs="Arial" w:eastAsia="Arial" w:hAnsi="Arial"/>
                <w:sz w:val="14"/>
                <w:szCs w:val="14"/>
                <w:color w:val="auto"/>
              </w:rPr>
              <w:t>5,703,568</w:t>
            </w:r>
          </w:p>
        </w:tc>
        <w:tc>
          <w:tcPr>
            <w:tcW w:w="0" w:type="dxa"/>
            <w:vAlign w:val="bottom"/>
          </w:tcPr>
          <w:p>
            <w:pPr>
              <w:spacing w:after="0"/>
              <w:rPr>
                <w:sz w:val="1"/>
                <w:szCs w:val="1"/>
                <w:color w:val="auto"/>
              </w:rPr>
            </w:pPr>
          </w:p>
        </w:tc>
      </w:tr>
      <w:tr>
        <w:trPr>
          <w:trHeight w:val="263"/>
        </w:trPr>
        <w:tc>
          <w:tcPr>
            <w:tcW w:w="4180" w:type="dxa"/>
            <w:vAlign w:val="bottom"/>
          </w:tcPr>
          <w:p>
            <w:pPr>
              <w:spacing w:after="0"/>
              <w:rPr>
                <w:sz w:val="20"/>
                <w:szCs w:val="20"/>
                <w:color w:val="auto"/>
              </w:rPr>
            </w:pPr>
            <w:r>
              <w:rPr>
                <w:rFonts w:ascii="Arial" w:cs="Arial" w:eastAsia="Arial" w:hAnsi="Arial"/>
                <w:sz w:val="14"/>
                <w:szCs w:val="14"/>
                <w:color w:val="auto"/>
              </w:rPr>
              <w:t>Senior Secured Loan — Initial Term Loan (First Lien)</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20"/>
                <w:szCs w:val="20"/>
                <w:color w:val="auto"/>
              </w:rPr>
            </w:pPr>
            <w:r>
              <w:rPr>
                <w:rFonts w:ascii="Arial" w:cs="Arial" w:eastAsia="Arial" w:hAnsi="Arial"/>
                <w:sz w:val="14"/>
                <w:szCs w:val="14"/>
                <w:color w:val="auto"/>
              </w:rPr>
              <w:t>7.6% Cash, 12 month LIBOR(2.82%) + 4.75%; LIBOR Floor 1.00%</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 Due 9/23</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9/30/2016</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984,848</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982,924</w:t>
            </w:r>
          </w:p>
        </w:tc>
        <w:tc>
          <w:tcPr>
            <w:tcW w:w="860" w:type="dxa"/>
            <w:vAlign w:val="bottom"/>
          </w:tcPr>
          <w:p>
            <w:pPr>
              <w:jc w:val="right"/>
              <w:spacing w:after="0"/>
              <w:rPr>
                <w:sz w:val="20"/>
                <w:szCs w:val="20"/>
                <w:color w:val="auto"/>
              </w:rPr>
            </w:pPr>
            <w:r>
              <w:rPr>
                <w:rFonts w:ascii="Arial" w:cs="Arial" w:eastAsia="Arial" w:hAnsi="Arial"/>
                <w:sz w:val="14"/>
                <w:szCs w:val="14"/>
                <w:color w:val="auto"/>
              </w:rPr>
              <w:t>961,015</w:t>
            </w:r>
          </w:p>
        </w:tc>
        <w:tc>
          <w:tcPr>
            <w:tcW w:w="0" w:type="dxa"/>
            <w:vAlign w:val="bottom"/>
          </w:tcPr>
          <w:p>
            <w:pPr>
              <w:spacing w:after="0"/>
              <w:rPr>
                <w:sz w:val="1"/>
                <w:szCs w:val="1"/>
                <w:color w:val="auto"/>
              </w:rPr>
            </w:pPr>
          </w:p>
        </w:tc>
      </w:tr>
      <w:tr>
        <w:trPr>
          <w:trHeight w:val="297"/>
        </w:trPr>
        <w:tc>
          <w:tcPr>
            <w:tcW w:w="4180" w:type="dxa"/>
            <w:vAlign w:val="bottom"/>
          </w:tcPr>
          <w:p>
            <w:pPr>
              <w:spacing w:after="0"/>
              <w:rPr>
                <w:sz w:val="20"/>
                <w:szCs w:val="20"/>
                <w:color w:val="auto"/>
              </w:rPr>
            </w:pPr>
            <w:r>
              <w:rPr>
                <w:rFonts w:ascii="Arial" w:cs="Arial" w:eastAsia="Arial" w:hAnsi="Arial"/>
                <w:sz w:val="14"/>
                <w:szCs w:val="14"/>
                <w:color w:val="auto"/>
              </w:rPr>
              <w:t>Junior Secured Loan — Term Loan (Second Lien)</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Arial" w:cs="Arial" w:eastAsia="Arial" w:hAnsi="Arial"/>
                <w:sz w:val="14"/>
                <w:szCs w:val="14"/>
                <w:color w:val="auto"/>
              </w:rPr>
              <w:t>14.0% Cash, Due 12/19</w:t>
            </w:r>
          </w:p>
        </w:tc>
        <w:tc>
          <w:tcPr>
            <w:tcW w:w="1140" w:type="dxa"/>
            <w:vAlign w:val="bottom"/>
          </w:tcPr>
          <w:p>
            <w:pPr>
              <w:jc w:val="right"/>
              <w:ind w:right="208"/>
              <w:spacing w:after="0"/>
              <w:rPr>
                <w:sz w:val="20"/>
                <w:szCs w:val="20"/>
                <w:color w:val="auto"/>
              </w:rPr>
            </w:pPr>
            <w:r>
              <w:rPr>
                <w:rFonts w:ascii="Arial" w:cs="Arial" w:eastAsia="Arial" w:hAnsi="Arial"/>
                <w:sz w:val="14"/>
                <w:szCs w:val="14"/>
                <w:color w:val="auto"/>
              </w:rPr>
              <w:t>12/24/2012</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1,000,000</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997,911</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-3035935</wp:posOffset>
            </wp:positionV>
            <wp:extent cx="724662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-2624455</wp:posOffset>
            </wp:positionV>
            <wp:extent cx="724662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-2212975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-1895475</wp:posOffset>
            </wp:positionV>
            <wp:extent cx="7246620"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-1483995</wp:posOffset>
            </wp:positionV>
            <wp:extent cx="7246620" cy="334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-1055370</wp:posOffset>
            </wp:positionV>
            <wp:extent cx="7246620" cy="3175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-643255</wp:posOffset>
            </wp:positionV>
            <wp:extent cx="7246620" cy="317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-231775</wp:posOffset>
            </wp:positionV>
            <wp:extent cx="7246620"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220"/>
            <w:col w:w="8540"/>
          </w:cols>
          <w:pgMar w:left="240" w:top="888"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13" w:name="page14"/>
    <w:bookmarkEnd w:id="13"/>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1" w:lineRule="exact"/>
        <w:rPr>
          <w:sz w:val="20"/>
          <w:szCs w:val="20"/>
          <w:color w:val="auto"/>
        </w:rPr>
      </w:pPr>
    </w:p>
    <w:p>
      <w:pPr>
        <w:ind w:left="180" w:right="100" w:hanging="161"/>
        <w:spacing w:after="0" w:line="228" w:lineRule="auto"/>
        <w:rPr>
          <w:sz w:val="20"/>
          <w:szCs w:val="20"/>
          <w:color w:val="auto"/>
        </w:rPr>
      </w:pPr>
      <w:r>
        <w:rPr>
          <w:rFonts w:ascii="Arial" w:cs="Arial" w:eastAsia="Arial" w:hAnsi="Arial"/>
          <w:sz w:val="12"/>
          <w:szCs w:val="12"/>
          <w:color w:val="auto"/>
        </w:rPr>
        <w:t>Verdesian Life Sciences, LLC</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Environmental Industries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Capital Equipment</w:t>
      </w:r>
    </w:p>
    <w:p>
      <w:pPr>
        <w:spacing w:after="0" w:line="273" w:lineRule="exact"/>
        <w:rPr>
          <w:sz w:val="20"/>
          <w:szCs w:val="20"/>
          <w:color w:val="auto"/>
        </w:rPr>
      </w:pPr>
    </w:p>
    <w:p>
      <w:pPr>
        <w:ind w:left="180" w:right="560" w:hanging="161"/>
        <w:spacing w:after="0" w:line="236" w:lineRule="auto"/>
        <w:rPr>
          <w:sz w:val="20"/>
          <w:szCs w:val="20"/>
          <w:color w:val="auto"/>
        </w:rPr>
      </w:pPr>
      <w:r>
        <w:rPr>
          <w:rFonts w:ascii="Arial" w:cs="Arial" w:eastAsia="Arial" w:hAnsi="Arial"/>
          <w:sz w:val="12"/>
          <w:szCs w:val="12"/>
          <w:color w:val="auto"/>
        </w:rPr>
        <w:t>Zest Acquisition Corp.</w:t>
      </w:r>
      <w:r>
        <w:rPr>
          <w:rFonts w:ascii="Arial" w:cs="Arial" w:eastAsia="Arial" w:hAnsi="Arial"/>
          <w:sz w:val="22"/>
          <w:szCs w:val="22"/>
          <w:color w:val="auto"/>
          <w:vertAlign w:val="superscript"/>
        </w:rPr>
        <w:t>(8)(13)</w:t>
      </w:r>
      <w:r>
        <w:rPr>
          <w:rFonts w:ascii="Arial" w:cs="Arial" w:eastAsia="Arial" w:hAnsi="Arial"/>
          <w:sz w:val="12"/>
          <w:szCs w:val="12"/>
          <w:color w:val="auto"/>
        </w:rPr>
        <w:t xml:space="preserve"> Healthcare &amp; Pharmaceuticals</w:t>
      </w:r>
    </w:p>
    <w:p>
      <w:pPr>
        <w:spacing w:after="0" w:line="287" w:lineRule="exact"/>
        <w:rPr>
          <w:sz w:val="20"/>
          <w:szCs w:val="20"/>
          <w:color w:val="auto"/>
        </w:rPr>
      </w:pPr>
    </w:p>
    <w:p>
      <w:pPr>
        <w:ind w:left="180" w:hanging="161"/>
        <w:spacing w:after="0" w:line="342" w:lineRule="auto"/>
        <w:rPr>
          <w:sz w:val="20"/>
          <w:szCs w:val="20"/>
          <w:color w:val="auto"/>
        </w:rPr>
      </w:pPr>
      <w:r>
        <w:rPr>
          <w:rFonts w:ascii="Arial" w:cs="Arial" w:eastAsia="Arial" w:hAnsi="Arial"/>
          <w:sz w:val="12"/>
          <w:szCs w:val="12"/>
          <w:b w:val="1"/>
          <w:bCs w:val="1"/>
          <w:color w:val="auto"/>
        </w:rPr>
        <w:t>Total Investment in Debt Securities (106%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rPr>
              <w:t>Initial</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20" w:type="dxa"/>
            <w:vAlign w:val="bottom"/>
            <w:gridSpan w:val="2"/>
            <w:vMerge w:val="continue"/>
          </w:tcPr>
          <w:p>
            <w:pPr>
              <w:spacing w:after="0"/>
              <w:rPr>
                <w:sz w:val="8"/>
                <w:szCs w:val="8"/>
                <w:color w:val="auto"/>
              </w:rPr>
            </w:pPr>
          </w:p>
        </w:tc>
        <w:tc>
          <w:tcPr>
            <w:tcW w:w="1280" w:type="dxa"/>
            <w:vAlign w:val="bottom"/>
            <w:gridSpan w:val="3"/>
            <w:vMerge w:val="restart"/>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280" w:type="dxa"/>
            <w:vAlign w:val="bottom"/>
            <w:gridSpan w:val="3"/>
            <w:vMerge w:val="continue"/>
          </w:tcPr>
          <w:p>
            <w:pPr>
              <w:spacing w:after="0"/>
              <w:rPr>
                <w:sz w:val="4"/>
                <w:szCs w:val="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920" w:type="dxa"/>
            <w:vAlign w:val="bottom"/>
            <w:vMerge w:val="restart"/>
          </w:tcPr>
          <w:p>
            <w:pPr>
              <w:jc w:val="right"/>
              <w:ind w:right="29"/>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280" w:type="dxa"/>
            <w:vAlign w:val="bottom"/>
            <w:gridSpan w:val="3"/>
          </w:tcPr>
          <w:p>
            <w:pPr>
              <w:jc w:val="center"/>
              <w:ind w:right="288"/>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9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Initial Term Loan</w:t>
            </w:r>
          </w:p>
        </w:tc>
        <w:tc>
          <w:tcPr>
            <w:tcW w:w="14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7.7% Cash, 3 month LIBOR(2.74%) + 5.00%;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7/20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6/25/2014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2,041,874</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2,007,410</w:t>
            </w:r>
          </w:p>
        </w:tc>
        <w:tc>
          <w:tcPr>
            <w:tcW w:w="920" w:type="dxa"/>
            <w:vAlign w:val="bottom"/>
          </w:tcPr>
          <w:p>
            <w:pPr>
              <w:jc w:val="right"/>
              <w:spacing w:after="0"/>
              <w:rPr>
                <w:sz w:val="20"/>
                <w:szCs w:val="20"/>
                <w:color w:val="auto"/>
              </w:rPr>
            </w:pPr>
            <w:r>
              <w:rPr>
                <w:rFonts w:ascii="Arial" w:cs="Arial" w:eastAsia="Arial" w:hAnsi="Arial"/>
                <w:sz w:val="14"/>
                <w:szCs w:val="14"/>
                <w:color w:val="auto"/>
              </w:rPr>
              <w:t>1,837,687</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11.5% Cash, 1 month LIBOR(2.50%) + 9.00%; LIBOR Floor 1.00%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 Due 9/24</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8/9/2016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2,969,008</w:t>
            </w:r>
          </w:p>
        </w:tc>
        <w:tc>
          <w:tcPr>
            <w:tcW w:w="920" w:type="dxa"/>
            <w:vAlign w:val="bottom"/>
          </w:tcPr>
          <w:p>
            <w:pPr>
              <w:jc w:val="right"/>
              <w:spacing w:after="0"/>
              <w:rPr>
                <w:sz w:val="20"/>
                <w:szCs w:val="20"/>
                <w:color w:val="auto"/>
              </w:rPr>
            </w:pPr>
            <w:r>
              <w:rPr>
                <w:rFonts w:ascii="Arial" w:cs="Arial" w:eastAsia="Arial" w:hAnsi="Arial"/>
                <w:sz w:val="14"/>
                <w:szCs w:val="14"/>
                <w:color w:val="auto"/>
              </w:rPr>
              <w:t>2,889,900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10.0% Cash, 1 month LIBOR(2.49%) + 7.50%; LIBOR Floor 1.00%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120" w:type="dxa"/>
            <w:vAlign w:val="bottom"/>
            <w:gridSpan w:val="2"/>
          </w:tcPr>
          <w:p>
            <w:pPr>
              <w:spacing w:after="0"/>
              <w:rPr>
                <w:sz w:val="20"/>
                <w:szCs w:val="20"/>
                <w:color w:val="auto"/>
              </w:rPr>
            </w:pPr>
            <w:r>
              <w:rPr>
                <w:rFonts w:ascii="Arial" w:cs="Arial" w:eastAsia="Arial" w:hAnsi="Arial"/>
                <w:sz w:val="14"/>
                <w:szCs w:val="14"/>
                <w:color w:val="auto"/>
              </w:rPr>
              <w:t>, Due 3/26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3/8/2018</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3,500,000</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3,480,435</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3,281,241</w:t>
            </w:r>
          </w:p>
        </w:tc>
        <w:tc>
          <w:tcPr>
            <w:tcW w:w="0" w:type="dxa"/>
            <w:vAlign w:val="bottom"/>
          </w:tcPr>
          <w:p>
            <w:pPr>
              <w:spacing w:after="0"/>
              <w:rPr>
                <w:sz w:val="1"/>
                <w:szCs w:val="1"/>
                <w:color w:val="auto"/>
              </w:rPr>
            </w:pPr>
          </w:p>
        </w:tc>
      </w:tr>
      <w:tr>
        <w:trPr>
          <w:trHeight w:val="453"/>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165,747,211</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164,699,256</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152,196,382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-1045845</wp:posOffset>
            </wp:positionV>
            <wp:extent cx="724662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-633730</wp:posOffset>
            </wp:positionV>
            <wp:extent cx="7246620" cy="3257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-205105</wp:posOffset>
            </wp:positionV>
            <wp:extent cx="7246620" cy="197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-1465580</wp:posOffset>
            </wp:positionV>
            <wp:extent cx="7246620" cy="3257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39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480" w:space="400"/>
            <w:col w:w="8440"/>
          </w:cols>
          <w:pgMar w:left="240" w:top="88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Equity Securities Portfolio</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1" w:lineRule="exact"/>
        <w:rPr>
          <w:sz w:val="20"/>
          <w:szCs w:val="20"/>
          <w:color w:val="auto"/>
        </w:rPr>
      </w:pPr>
    </w:p>
    <w:p>
      <w:pPr>
        <w:ind w:left="180" w:hanging="161"/>
        <w:spacing w:after="0" w:line="189" w:lineRule="auto"/>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7"/>
          <w:szCs w:val="27"/>
          <w:color w:val="auto"/>
          <w:vertAlign w:val="superscript"/>
        </w:rPr>
        <w:t>(8)(13)</w:t>
      </w:r>
      <w:r>
        <w:rPr>
          <w:rFonts w:ascii="Arial" w:cs="Arial" w:eastAsia="Arial" w:hAnsi="Arial"/>
          <w:sz w:val="14"/>
          <w:szCs w:val="14"/>
          <w:color w:val="auto"/>
        </w:rPr>
        <w:t xml:space="preserve"> Consumer goods: Durable</w:t>
      </w:r>
    </w:p>
    <w:p>
      <w:pPr>
        <w:spacing w:after="0" w:line="116" w:lineRule="exact"/>
        <w:rPr>
          <w:sz w:val="20"/>
          <w:szCs w:val="20"/>
          <w:color w:val="auto"/>
        </w:rPr>
      </w:pPr>
    </w:p>
    <w:p>
      <w:pPr>
        <w:ind w:left="180" w:hanging="161"/>
        <w:spacing w:after="0" w:line="195" w:lineRule="auto"/>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7"/>
          <w:szCs w:val="27"/>
          <w:color w:val="auto"/>
          <w:vertAlign w:val="superscript"/>
        </w:rPr>
        <w:t>(8)(13)</w:t>
      </w:r>
      <w:r>
        <w:rPr>
          <w:rFonts w:ascii="Arial" w:cs="Arial" w:eastAsia="Arial" w:hAnsi="Arial"/>
          <w:sz w:val="14"/>
          <w:szCs w:val="14"/>
          <w:color w:val="auto"/>
        </w:rPr>
        <w:t xml:space="preserve"> Consumer goods: Durable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Aerostructures Holdings L.P.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Aerospace and Defense</w:t>
      </w:r>
    </w:p>
    <w:p>
      <w:pPr>
        <w:spacing w:after="0" w:line="124" w:lineRule="exact"/>
        <w:rPr>
          <w:sz w:val="20"/>
          <w:szCs w:val="20"/>
          <w:color w:val="auto"/>
        </w:rPr>
      </w:pPr>
    </w:p>
    <w:p>
      <w:pPr>
        <w:ind w:left="180" w:right="120" w:hanging="161"/>
        <w:spacing w:after="0" w:line="211" w:lineRule="auto"/>
        <w:rPr>
          <w:sz w:val="20"/>
          <w:szCs w:val="20"/>
          <w:color w:val="auto"/>
        </w:rPr>
      </w:pPr>
      <w:r>
        <w:rPr>
          <w:rFonts w:ascii="Arial" w:cs="Arial" w:eastAsia="Arial" w:hAnsi="Arial"/>
          <w:sz w:val="13"/>
          <w:szCs w:val="13"/>
          <w:color w:val="auto"/>
        </w:rPr>
        <w:t>BCP Great Lakes Holdings LP</w:t>
      </w:r>
      <w:r>
        <w:rPr>
          <w:rFonts w:ascii="Arial" w:cs="Arial" w:eastAsia="Arial" w:hAnsi="Arial"/>
          <w:sz w:val="25"/>
          <w:szCs w:val="25"/>
          <w:color w:val="auto"/>
          <w:vertAlign w:val="superscript"/>
        </w:rPr>
        <w:t>(10)(17)(18)</w:t>
      </w:r>
      <w:r>
        <w:rPr>
          <w:rFonts w:ascii="Arial" w:cs="Arial" w:eastAsia="Arial" w:hAnsi="Arial"/>
          <w:sz w:val="13"/>
          <w:szCs w:val="13"/>
          <w:color w:val="auto"/>
        </w:rPr>
        <w:t xml:space="preserve"> Limited Partnership</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Caribe Media Inc. (fka Caribe Information</w:t>
      </w:r>
    </w:p>
    <w:p>
      <w:pPr>
        <w:spacing w:after="0" w:line="183" w:lineRule="auto"/>
        <w:rPr>
          <w:sz w:val="20"/>
          <w:szCs w:val="20"/>
          <w:color w:val="auto"/>
        </w:rPr>
      </w:pPr>
      <w:r>
        <w:rPr>
          <w:rFonts w:ascii="Arial" w:cs="Arial" w:eastAsia="Arial" w:hAnsi="Arial"/>
          <w:sz w:val="13"/>
          <w:szCs w:val="13"/>
          <w:color w:val="auto"/>
        </w:rPr>
        <w:t>Investments Incorporated)</w:t>
      </w:r>
      <w:r>
        <w:rPr>
          <w:rFonts w:ascii="Arial" w:cs="Arial" w:eastAsia="Arial" w:hAnsi="Arial"/>
          <w:sz w:val="23"/>
          <w:szCs w:val="23"/>
          <w:color w:val="auto"/>
          <w:vertAlign w:val="superscript"/>
        </w:rPr>
        <w:t>(8)(13)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Media: Advertising, Printing &amp; Publishing</w:t>
      </w:r>
    </w:p>
    <w:p>
      <w:pPr>
        <w:spacing w:after="0" w:line="136" w:lineRule="exact"/>
        <w:rPr>
          <w:sz w:val="20"/>
          <w:szCs w:val="20"/>
          <w:color w:val="auto"/>
        </w:rPr>
      </w:pPr>
    </w:p>
    <w:p>
      <w:pPr>
        <w:ind w:left="180" w:right="300" w:hanging="161"/>
        <w:spacing w:after="0" w:line="211" w:lineRule="auto"/>
        <w:rPr>
          <w:sz w:val="20"/>
          <w:szCs w:val="20"/>
          <w:color w:val="auto"/>
        </w:rPr>
      </w:pPr>
      <w:r>
        <w:rPr>
          <w:rFonts w:ascii="Arial" w:cs="Arial" w:eastAsia="Arial" w:hAnsi="Arial"/>
          <w:sz w:val="13"/>
          <w:szCs w:val="13"/>
          <w:color w:val="auto"/>
        </w:rPr>
        <w:t>eInstruction Acquisition, LLC</w:t>
      </w:r>
      <w:r>
        <w:rPr>
          <w:rFonts w:ascii="Arial" w:cs="Arial" w:eastAsia="Arial" w:hAnsi="Arial"/>
          <w:sz w:val="25"/>
          <w:szCs w:val="25"/>
          <w:color w:val="auto"/>
          <w:vertAlign w:val="superscript"/>
        </w:rPr>
        <w:t>(3)(8)(13)</w:t>
      </w:r>
      <w:r>
        <w:rPr>
          <w:rFonts w:ascii="Arial" w:cs="Arial" w:eastAsia="Arial" w:hAnsi="Arial"/>
          <w:sz w:val="13"/>
          <w:szCs w:val="13"/>
          <w:color w:val="auto"/>
        </w:rPr>
        <w:t xml:space="preserve"> Services: Business</w:t>
      </w:r>
    </w:p>
    <w:p>
      <w:pPr>
        <w:spacing w:after="0" w:line="116" w:lineRule="exact"/>
        <w:rPr>
          <w:sz w:val="20"/>
          <w:szCs w:val="20"/>
          <w:color w:val="auto"/>
        </w:rPr>
      </w:pPr>
    </w:p>
    <w:p>
      <w:pPr>
        <w:ind w:left="180" w:right="40" w:hanging="161"/>
        <w:spacing w:after="0" w:line="191" w:lineRule="auto"/>
        <w:rPr>
          <w:sz w:val="20"/>
          <w:szCs w:val="20"/>
          <w:color w:val="auto"/>
        </w:rPr>
      </w:pPr>
      <w:r>
        <w:rPr>
          <w:rFonts w:ascii="Arial" w:cs="Arial" w:eastAsia="Arial" w:hAnsi="Arial"/>
          <w:sz w:val="14"/>
          <w:szCs w:val="14"/>
          <w:color w:val="auto"/>
        </w:rPr>
        <w:t>FP WRCA Coinvestment Fund VII, Ltd.</w:t>
      </w:r>
      <w:r>
        <w:rPr>
          <w:rFonts w:ascii="Arial" w:cs="Arial" w:eastAsia="Arial" w:hAnsi="Arial"/>
          <w:sz w:val="28"/>
          <w:szCs w:val="28"/>
          <w:color w:val="auto"/>
          <w:vertAlign w:val="superscript"/>
        </w:rPr>
        <w:t>(13)</w:t>
      </w:r>
      <w:r>
        <w:rPr>
          <w:rFonts w:ascii="Arial" w:cs="Arial" w:eastAsia="Arial" w:hAnsi="Arial"/>
          <w:sz w:val="14"/>
          <w:szCs w:val="14"/>
          <w:color w:val="auto"/>
        </w:rPr>
        <w:t xml:space="preserve"> Capital Equipment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New Millennium Holdco, Inc. (Millennium</w:t>
      </w:r>
    </w:p>
    <w:p>
      <w:pPr>
        <w:spacing w:after="0" w:line="183" w:lineRule="auto"/>
        <w:rPr>
          <w:sz w:val="20"/>
          <w:szCs w:val="20"/>
          <w:color w:val="auto"/>
        </w:rPr>
      </w:pPr>
      <w:r>
        <w:rPr>
          <w:rFonts w:ascii="Arial" w:cs="Arial" w:eastAsia="Arial" w:hAnsi="Arial"/>
          <w:sz w:val="13"/>
          <w:szCs w:val="13"/>
          <w:color w:val="auto"/>
        </w:rPr>
        <w:t>Health, LLC)</w:t>
      </w:r>
      <w:r>
        <w:rPr>
          <w:rFonts w:ascii="Arial" w:cs="Arial" w:eastAsia="Arial" w:hAnsi="Arial"/>
          <w:sz w:val="23"/>
          <w:szCs w:val="23"/>
          <w:color w:val="auto"/>
          <w:vertAlign w:val="superscript"/>
        </w:rPr>
        <w:t>(8)(13)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Roscoe Investors, LLC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5"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3"/>
          <w:szCs w:val="13"/>
          <w:color w:val="auto"/>
        </w:rPr>
        <w:t>(8)(13)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Environmental Industries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5"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3"/>
          <w:szCs w:val="13"/>
          <w:color w:val="auto"/>
        </w:rPr>
        <w:t>(8)(13)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Environmental Industries</w:t>
      </w:r>
    </w:p>
    <w:p>
      <w:pPr>
        <w:spacing w:after="0" w:line="124" w:lineRule="exact"/>
        <w:rPr>
          <w:sz w:val="20"/>
          <w:szCs w:val="20"/>
          <w:color w:val="auto"/>
        </w:rPr>
      </w:pPr>
    </w:p>
    <w:p>
      <w:pPr>
        <w:ind w:left="180" w:right="260" w:hanging="161"/>
        <w:spacing w:after="0" w:line="211" w:lineRule="auto"/>
        <w:rPr>
          <w:sz w:val="20"/>
          <w:szCs w:val="20"/>
          <w:color w:val="auto"/>
        </w:rPr>
      </w:pPr>
      <w:r>
        <w:rPr>
          <w:rFonts w:ascii="Arial" w:cs="Arial" w:eastAsia="Arial" w:hAnsi="Arial"/>
          <w:sz w:val="13"/>
          <w:szCs w:val="13"/>
          <w:color w:val="auto"/>
        </w:rPr>
        <w:t>Tank Partners Holdings, LLC</w:t>
      </w:r>
      <w:r>
        <w:rPr>
          <w:rFonts w:ascii="Arial" w:cs="Arial" w:eastAsia="Arial" w:hAnsi="Arial"/>
          <w:sz w:val="25"/>
          <w:szCs w:val="25"/>
          <w:color w:val="auto"/>
          <w:vertAlign w:val="superscript"/>
        </w:rPr>
        <w:t>(8)(10)(13)</w:t>
      </w:r>
      <w:r>
        <w:rPr>
          <w:rFonts w:ascii="Arial" w:cs="Arial" w:eastAsia="Arial" w:hAnsi="Arial"/>
          <w:sz w:val="13"/>
          <w:szCs w:val="13"/>
          <w:color w:val="auto"/>
        </w:rPr>
        <w:t xml:space="preserve"> Energy: Oil &amp; Gas</w:t>
      </w:r>
    </w:p>
    <w:p>
      <w:pPr>
        <w:spacing w:after="0" w:line="116" w:lineRule="exact"/>
        <w:rPr>
          <w:sz w:val="20"/>
          <w:szCs w:val="20"/>
          <w:color w:val="auto"/>
        </w:rPr>
      </w:pPr>
    </w:p>
    <w:p>
      <w:pPr>
        <w:ind w:right="20"/>
        <w:spacing w:after="0" w:line="191" w:lineRule="auto"/>
        <w:rPr>
          <w:sz w:val="20"/>
          <w:szCs w:val="20"/>
          <w:color w:val="auto"/>
        </w:rPr>
      </w:pPr>
      <w:r>
        <w:rPr>
          <w:rFonts w:ascii="Arial" w:cs="Arial" w:eastAsia="Arial" w:hAnsi="Arial"/>
          <w:sz w:val="14"/>
          <w:szCs w:val="14"/>
          <w:color w:val="auto"/>
        </w:rPr>
        <w:t>Ohene Holdings B.V.- Digitran Pomeroy</w:t>
      </w:r>
      <w:r>
        <w:rPr>
          <w:rFonts w:ascii="Arial" w:cs="Arial" w:eastAsia="Arial" w:hAnsi="Arial"/>
          <w:sz w:val="28"/>
          <w:szCs w:val="28"/>
          <w:color w:val="auto"/>
          <w:vertAlign w:val="superscript"/>
        </w:rPr>
        <w:t>(13)</w:t>
      </w:r>
      <w:r>
        <w:rPr>
          <w:rFonts w:ascii="Arial" w:cs="Arial" w:eastAsia="Arial" w:hAnsi="Arial"/>
          <w:sz w:val="14"/>
          <w:szCs w:val="14"/>
          <w:color w:val="auto"/>
        </w:rPr>
        <w:t xml:space="preserve"> Services: Business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TRSO II, Inc.</w:t>
      </w:r>
      <w:r>
        <w:rPr>
          <w:rFonts w:ascii="Arial" w:cs="Arial" w:eastAsia="Arial" w:hAnsi="Arial"/>
          <w:sz w:val="28"/>
          <w:szCs w:val="28"/>
          <w:color w:val="auto"/>
          <w:vertAlign w:val="superscript"/>
        </w:rPr>
        <w:t>(8)(13)</w:t>
      </w:r>
    </w:p>
    <w:p>
      <w:pPr>
        <w:spacing w:after="0"/>
        <w:rPr>
          <w:sz w:val="20"/>
          <w:szCs w:val="20"/>
          <w:color w:val="auto"/>
        </w:rPr>
      </w:pPr>
      <w:r>
        <w:rPr>
          <w:rFonts w:ascii="Arial" w:cs="Arial" w:eastAsia="Arial" w:hAnsi="Arial"/>
          <w:sz w:val="14"/>
          <w:szCs w:val="14"/>
          <w:color w:val="auto"/>
        </w:rPr>
        <w:t>Energy: Oil &amp; Gas</w:t>
      </w:r>
    </w:p>
    <w:p>
      <w:pPr>
        <w:spacing w:after="0" w:line="147" w:lineRule="exact"/>
        <w:rPr>
          <w:sz w:val="20"/>
          <w:szCs w:val="20"/>
          <w:color w:val="auto"/>
        </w:rPr>
      </w:pPr>
    </w:p>
    <w:p>
      <w:pPr>
        <w:ind w:left="140" w:right="240" w:hanging="129"/>
        <w:spacing w:after="0" w:line="297" w:lineRule="auto"/>
        <w:rPr>
          <w:sz w:val="20"/>
          <w:szCs w:val="20"/>
          <w:color w:val="auto"/>
        </w:rPr>
      </w:pPr>
      <w:r>
        <w:rPr>
          <w:rFonts w:ascii="Arial" w:cs="Arial" w:eastAsia="Arial" w:hAnsi="Arial"/>
          <w:sz w:val="13"/>
          <w:szCs w:val="13"/>
          <w:b w:val="1"/>
          <w:bCs w:val="1"/>
          <w:color w:val="auto"/>
        </w:rPr>
        <w:t>Total Investment in Equity Securities (12% of net asset value at fair value)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54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120" w:type="dxa"/>
            <w:vAlign w:val="bottom"/>
            <w:vMerge w:val="restart"/>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40" w:type="dxa"/>
            <w:vAlign w:val="bottom"/>
            <w:vMerge w:val="restart"/>
          </w:tcPr>
          <w:p>
            <w:pPr>
              <w:jc w:val="right"/>
              <w:ind w:right="28"/>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Ownership/Shares</w:t>
            </w: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900" w:type="dxa"/>
            <w:vAlign w:val="bottom"/>
          </w:tcPr>
          <w:p>
            <w:pPr>
              <w:spacing w:after="0"/>
              <w:rPr>
                <w:sz w:val="20"/>
                <w:szCs w:val="20"/>
                <w:color w:val="auto"/>
              </w:rPr>
            </w:pPr>
            <w:r>
              <w:rPr>
                <w:rFonts w:ascii="Arial" w:cs="Arial" w:eastAsia="Arial" w:hAnsi="Arial"/>
                <w:sz w:val="14"/>
                <w:szCs w:val="14"/>
                <w:color w:val="auto"/>
              </w:rPr>
              <w:t>Warrants</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6/13/2012</w:t>
            </w:r>
          </w:p>
        </w:tc>
        <w:tc>
          <w:tcPr>
            <w:tcW w:w="10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1.90%</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Membership Interests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6/13/2012</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0.40%</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181,999</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Partnership Interests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2/28/2007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1.16%</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157,717</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Partnership Interests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12/11/2018</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55.6%</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15,185,556</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14,966,706</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12/18/2006</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1.17%</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359,765</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108,675</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Membership Units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7/2/2007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1,079,617</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A Shares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2/2/2007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0.41%</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1,500,000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624,000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10/7/2014</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0.20%</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1,953,299</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A Units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3/26/2014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B Units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6/25/2013</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B Equity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6/25/2013</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A Units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8/28/2014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48.5%</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6,228,000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568,905</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Warrants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8/28/2014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12/24/2012</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5.40%</w:t>
            </w: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1,680,161</w:t>
            </w:r>
          </w:p>
        </w:tc>
        <w:tc>
          <w:tcPr>
            <w:tcW w:w="20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510,054</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29,326,114</w:t>
            </w:r>
          </w:p>
        </w:tc>
        <w:tc>
          <w:tcPr>
            <w:tcW w:w="2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16,835,340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-4724400</wp:posOffset>
            </wp:positionV>
            <wp:extent cx="7246620" cy="2228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-4407535</wp:posOffset>
            </wp:positionV>
            <wp:extent cx="72466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-4090035</wp:posOffset>
            </wp:positionV>
            <wp:extent cx="724662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-3772535</wp:posOffset>
            </wp:positionV>
            <wp:extent cx="7246620"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-3361055</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-3043555</wp:posOffset>
            </wp:positionV>
            <wp:extent cx="72466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-2726690</wp:posOffset>
            </wp:positionV>
            <wp:extent cx="7246620" cy="31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-2314575</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-1997710</wp:posOffset>
            </wp:positionV>
            <wp:extent cx="724662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-1585595</wp:posOffset>
            </wp:positionV>
            <wp:extent cx="7246620" cy="3175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-1174115</wp:posOffset>
            </wp:positionV>
            <wp:extent cx="724662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-857250</wp:posOffset>
            </wp:positionV>
            <wp:extent cx="724662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-539750</wp:posOffset>
            </wp:positionV>
            <wp:extent cx="7246620" cy="231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-205105</wp:posOffset>
            </wp:positionV>
            <wp:extent cx="724662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-5050790</wp:posOffset>
            </wp:positionV>
            <wp:extent cx="7246620" cy="2317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2620" w:space="180"/>
            <w:col w:w="8520"/>
          </w:cols>
          <w:pgMar w:left="240" w:top="904" w:right="339" w:bottom="1440" w:gutter="0" w:footer="0" w:header="0"/>
        </w:sectPr>
      </w:pP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0" w:lineRule="exact"/>
        <w:rPr>
          <w:sz w:val="20"/>
          <w:szCs w:val="20"/>
          <w:color w:val="auto"/>
        </w:rPr>
      </w:pPr>
    </w:p>
    <w:p>
      <w:pPr>
        <w:spacing w:after="0" w:line="318" w:lineRule="exact"/>
        <w:rPr>
          <w:sz w:val="20"/>
          <w:szCs w:val="20"/>
          <w:color w:val="auto"/>
        </w:rPr>
      </w:pPr>
    </w:p>
    <w:p>
      <w:pPr>
        <w:ind w:right="740" w:firstLine="1126"/>
        <w:spacing w:after="0" w:line="283" w:lineRule="auto"/>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3"/>
          <w:szCs w:val="13"/>
          <w:color w:val="auto"/>
        </w:rPr>
        <w:t>Katonah III, Ltd.</w:t>
      </w:r>
      <w:r>
        <w:rPr>
          <w:rFonts w:ascii="Arial" w:cs="Arial" w:eastAsia="Arial" w:hAnsi="Arial"/>
          <w:sz w:val="25"/>
          <w:szCs w:val="25"/>
          <w:color w:val="auto"/>
          <w:vertAlign w:val="superscript"/>
        </w:rPr>
        <w:t>(3)(12)(13)</w:t>
      </w:r>
    </w:p>
    <w:p>
      <w:pPr>
        <w:spacing w:after="0" w:line="221" w:lineRule="auto"/>
        <w:rPr>
          <w:sz w:val="20"/>
          <w:szCs w:val="20"/>
          <w:color w:val="auto"/>
        </w:rPr>
      </w:pPr>
      <w:r>
        <w:rPr>
          <w:rFonts w:ascii="Arial" w:cs="Arial" w:eastAsia="Arial" w:hAnsi="Arial"/>
          <w:sz w:val="14"/>
          <w:szCs w:val="14"/>
          <w:color w:val="auto"/>
        </w:rPr>
        <w:t>Catamaran CLO 2013- 1 Ltd.</w:t>
      </w:r>
      <w:r>
        <w:rPr>
          <w:rFonts w:ascii="Arial" w:cs="Arial" w:eastAsia="Arial" w:hAnsi="Arial"/>
          <w:sz w:val="28"/>
          <w:szCs w:val="28"/>
          <w:color w:val="auto"/>
          <w:vertAlign w:val="superscript"/>
        </w:rPr>
        <w:t>(3)(13)</w:t>
      </w:r>
    </w:p>
    <w:p>
      <w:pPr>
        <w:spacing w:after="0" w:line="222" w:lineRule="auto"/>
        <w:rPr>
          <w:sz w:val="20"/>
          <w:szCs w:val="20"/>
          <w:color w:val="auto"/>
        </w:rPr>
      </w:pPr>
      <w:r>
        <w:rPr>
          <w:rFonts w:ascii="Arial" w:cs="Arial" w:eastAsia="Arial" w:hAnsi="Arial"/>
          <w:sz w:val="14"/>
          <w:szCs w:val="14"/>
          <w:color w:val="auto"/>
        </w:rPr>
        <w:t>Catamaran CLO 2014-1 Ltd.</w:t>
      </w:r>
      <w:r>
        <w:rPr>
          <w:rFonts w:ascii="Arial" w:cs="Arial" w:eastAsia="Arial" w:hAnsi="Arial"/>
          <w:sz w:val="28"/>
          <w:szCs w:val="28"/>
          <w:color w:val="auto"/>
          <w:vertAlign w:val="superscript"/>
        </w:rPr>
        <w:t>(3)(13)</w:t>
      </w:r>
    </w:p>
    <w:p>
      <w:pPr>
        <w:spacing w:after="0" w:line="221" w:lineRule="auto"/>
        <w:rPr>
          <w:sz w:val="20"/>
          <w:szCs w:val="20"/>
          <w:color w:val="auto"/>
        </w:rPr>
      </w:pPr>
      <w:r>
        <w:rPr>
          <w:rFonts w:ascii="Arial" w:cs="Arial" w:eastAsia="Arial" w:hAnsi="Arial"/>
          <w:sz w:val="14"/>
          <w:szCs w:val="14"/>
          <w:color w:val="auto"/>
        </w:rPr>
        <w:t>Dryden 30 Senior Loan Fund</w:t>
      </w:r>
      <w:r>
        <w:rPr>
          <w:rFonts w:ascii="Arial" w:cs="Arial" w:eastAsia="Arial" w:hAnsi="Arial"/>
          <w:sz w:val="28"/>
          <w:szCs w:val="28"/>
          <w:color w:val="auto"/>
          <w:vertAlign w:val="superscript"/>
        </w:rPr>
        <w:t>(3)(13)</w:t>
      </w:r>
    </w:p>
    <w:p>
      <w:pPr>
        <w:spacing w:after="0" w:line="222" w:lineRule="auto"/>
        <w:rPr>
          <w:sz w:val="20"/>
          <w:szCs w:val="20"/>
          <w:color w:val="auto"/>
        </w:rPr>
      </w:pPr>
      <w:r>
        <w:rPr>
          <w:rFonts w:ascii="Arial" w:cs="Arial" w:eastAsia="Arial" w:hAnsi="Arial"/>
          <w:sz w:val="14"/>
          <w:szCs w:val="14"/>
          <w:color w:val="auto"/>
        </w:rPr>
        <w:t>Catamaran CLO 2014-2 Ltd.</w:t>
      </w:r>
      <w:r>
        <w:rPr>
          <w:rFonts w:ascii="Arial" w:cs="Arial" w:eastAsia="Arial" w:hAnsi="Arial"/>
          <w:sz w:val="28"/>
          <w:szCs w:val="28"/>
          <w:color w:val="auto"/>
          <w:vertAlign w:val="superscript"/>
        </w:rPr>
        <w:t>(3)(13)</w:t>
      </w:r>
    </w:p>
    <w:p>
      <w:pPr>
        <w:spacing w:after="0"/>
        <w:rPr>
          <w:sz w:val="20"/>
          <w:szCs w:val="20"/>
          <w:color w:val="auto"/>
        </w:rPr>
      </w:pPr>
      <w:r>
        <w:rPr>
          <w:rFonts w:ascii="Arial" w:cs="Arial" w:eastAsia="Arial" w:hAnsi="Arial"/>
          <w:sz w:val="14"/>
          <w:szCs w:val="14"/>
          <w:color w:val="auto"/>
        </w:rPr>
        <w:t>Catamaran CLO 2015-1 Ltd.</w:t>
      </w:r>
      <w:r>
        <w:rPr>
          <w:rFonts w:ascii="Arial" w:cs="Arial" w:eastAsia="Arial" w:hAnsi="Arial"/>
          <w:sz w:val="28"/>
          <w:szCs w:val="28"/>
          <w:color w:val="auto"/>
          <w:vertAlign w:val="superscript"/>
        </w:rPr>
        <w:t>(3)(13)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2016-1 Ltd.</w:t>
      </w:r>
      <w:r>
        <w:rPr>
          <w:rFonts w:ascii="Arial" w:cs="Arial" w:eastAsia="Arial" w:hAnsi="Arial"/>
          <w:sz w:val="28"/>
          <w:szCs w:val="28"/>
          <w:color w:val="auto"/>
          <w:vertAlign w:val="superscript"/>
        </w:rPr>
        <w:t>(3)(13)</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Catamaran CLO 2018-1 Ltd</w:t>
      </w:r>
      <w:r>
        <w:rPr>
          <w:rFonts w:ascii="Arial" w:cs="Arial" w:eastAsia="Arial" w:hAnsi="Arial"/>
          <w:sz w:val="28"/>
          <w:szCs w:val="28"/>
          <w:color w:val="auto"/>
          <w:vertAlign w:val="superscript"/>
        </w:rPr>
        <w:t>(3)(13)</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Investment in CLO Subordinated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vMerge w:val="restart"/>
          </w:tcPr>
          <w:p>
            <w:pPr>
              <w:ind w:left="124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15,11</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Ownership</w:t>
            </w:r>
          </w:p>
        </w:tc>
        <w:tc>
          <w:tcPr>
            <w:tcW w:w="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color w:val="auto"/>
              </w:rPr>
              <w:t>Subordinated Securities, effective interest N/M, 5/15</w:t>
            </w: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3640" w:type="dxa"/>
            <w:vAlign w:val="bottom"/>
            <w:gridSpan w:val="3"/>
          </w:tcPr>
          <w:p>
            <w:pPr>
              <w:spacing w:after="0" w:line="179" w:lineRule="exact"/>
              <w:rPr>
                <w:sz w:val="20"/>
                <w:szCs w:val="20"/>
                <w:color w:val="auto"/>
              </w:rPr>
            </w:pPr>
            <w:r>
              <w:rPr>
                <w:rFonts w:ascii="Arial" w:cs="Arial" w:eastAsia="Arial" w:hAnsi="Arial"/>
                <w:sz w:val="13"/>
                <w:szCs w:val="13"/>
                <w:color w:val="auto"/>
              </w:rPr>
              <w:t xml:space="preserve">maturity </w:t>
            </w:r>
            <w:r>
              <w:rPr>
                <w:rFonts w:ascii="Arial" w:cs="Arial" w:eastAsia="Arial" w:hAnsi="Arial"/>
                <w:sz w:val="20"/>
                <w:szCs w:val="20"/>
                <w:color w:val="auto"/>
                <w:vertAlign w:val="superscript"/>
              </w:rPr>
              <w:t>(16)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12/11/2006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23.1%</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1,287,155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369,280</w:t>
            </w: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Subordinated Securities, effective interest 21.1%, 1/28</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6/4/2013</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6,371,659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7,506,434</w:t>
            </w: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Subordinated Securities, effective interest 13.5%, 4/30</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5/6/2014</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10,316,641</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9,112,278</w:t>
            </w: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Subordinated Securities, effective interest 27.2%, 12/29</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10/10/2013</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1,468,739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2,014,262</w:t>
            </w: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Subordinated Securities, effective interest 10.1%, 11/25</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8/15/2014</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6,316,361</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2,591,820</w:t>
            </w:r>
          </w:p>
        </w:tc>
        <w:tc>
          <w:tcPr>
            <w:tcW w:w="0" w:type="dxa"/>
            <w:vAlign w:val="bottom"/>
          </w:tcPr>
          <w:p>
            <w:pPr>
              <w:spacing w:after="0"/>
              <w:rPr>
                <w:sz w:val="1"/>
                <w:szCs w:val="1"/>
                <w:color w:val="auto"/>
              </w:rPr>
            </w:pPr>
          </w:p>
        </w:tc>
      </w:tr>
      <w:tr>
        <w:trPr>
          <w:trHeight w:val="182"/>
        </w:trPr>
        <w:tc>
          <w:tcPr>
            <w:tcW w:w="3640" w:type="dxa"/>
            <w:vAlign w:val="bottom"/>
            <w:gridSpan w:val="3"/>
          </w:tcPr>
          <w:p>
            <w:pPr>
              <w:spacing w:after="0"/>
              <w:rPr>
                <w:sz w:val="20"/>
                <w:szCs w:val="20"/>
                <w:color w:val="auto"/>
              </w:rPr>
            </w:pPr>
            <w:r>
              <w:rPr>
                <w:rFonts w:ascii="Arial" w:cs="Arial" w:eastAsia="Arial" w:hAnsi="Arial"/>
                <w:sz w:val="14"/>
                <w:szCs w:val="14"/>
                <w:color w:val="auto"/>
              </w:rPr>
              <w:t>Subordinated Securities, effective interest 11.3%, 10/26</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40" w:type="dxa"/>
            <w:vAlign w:val="bottom"/>
            <w:gridSpan w:val="3"/>
          </w:tcPr>
          <w:p>
            <w:pPr>
              <w:spacing w:after="0"/>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5/5/2015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4,303,600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3,157,769</w:t>
            </w:r>
          </w:p>
        </w:tc>
        <w:tc>
          <w:tcPr>
            <w:tcW w:w="0" w:type="dxa"/>
            <w:vAlign w:val="bottom"/>
          </w:tcPr>
          <w:p>
            <w:pPr>
              <w:spacing w:after="0"/>
              <w:rPr>
                <w:sz w:val="1"/>
                <w:szCs w:val="1"/>
                <w:color w:val="auto"/>
              </w:rPr>
            </w:pPr>
          </w:p>
        </w:tc>
      </w:tr>
      <w:tr>
        <w:trPr>
          <w:trHeight w:val="182"/>
        </w:trPr>
        <w:tc>
          <w:tcPr>
            <w:tcW w:w="3640" w:type="dxa"/>
            <w:vAlign w:val="bottom"/>
            <w:gridSpan w:val="3"/>
          </w:tcPr>
          <w:p>
            <w:pPr>
              <w:spacing w:after="0"/>
              <w:rPr>
                <w:sz w:val="20"/>
                <w:szCs w:val="20"/>
                <w:color w:val="auto"/>
              </w:rPr>
            </w:pPr>
            <w:r>
              <w:rPr>
                <w:rFonts w:ascii="Arial" w:cs="Arial" w:eastAsia="Arial" w:hAnsi="Arial"/>
                <w:sz w:val="14"/>
                <w:szCs w:val="14"/>
                <w:color w:val="auto"/>
              </w:rPr>
              <w:t>Subordinated Securities, effective interest 9.1%, 4/27</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40" w:type="dxa"/>
            <w:vAlign w:val="bottom"/>
            <w:gridSpan w:val="3"/>
          </w:tcPr>
          <w:p>
            <w:pPr>
              <w:spacing w:after="0"/>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12/21/2016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9,620,439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7,502,959</w:t>
            </w:r>
          </w:p>
        </w:tc>
        <w:tc>
          <w:tcPr>
            <w:tcW w:w="0" w:type="dxa"/>
            <w:vAlign w:val="bottom"/>
          </w:tcPr>
          <w:p>
            <w:pPr>
              <w:spacing w:after="0"/>
              <w:rPr>
                <w:sz w:val="1"/>
                <w:szCs w:val="1"/>
                <w:color w:val="auto"/>
              </w:rPr>
            </w:pPr>
          </w:p>
        </w:tc>
      </w:tr>
      <w:tr>
        <w:trPr>
          <w:trHeight w:val="182"/>
        </w:trPr>
        <w:tc>
          <w:tcPr>
            <w:tcW w:w="3640" w:type="dxa"/>
            <w:vAlign w:val="bottom"/>
            <w:gridSpan w:val="3"/>
          </w:tcPr>
          <w:p>
            <w:pPr>
              <w:spacing w:after="0"/>
              <w:rPr>
                <w:sz w:val="20"/>
                <w:szCs w:val="20"/>
                <w:color w:val="auto"/>
              </w:rPr>
            </w:pPr>
            <w:r>
              <w:rPr>
                <w:rFonts w:ascii="Arial" w:cs="Arial" w:eastAsia="Arial" w:hAnsi="Arial"/>
                <w:sz w:val="14"/>
                <w:szCs w:val="14"/>
                <w:color w:val="auto"/>
              </w:rPr>
              <w:t>Subordinated Securities, effective interest 14.5%, 10/31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640" w:type="dxa"/>
            <w:vAlign w:val="bottom"/>
            <w:gridSpan w:val="3"/>
          </w:tcPr>
          <w:p>
            <w:pPr>
              <w:spacing w:after="0"/>
              <w:rPr>
                <w:sz w:val="20"/>
                <w:szCs w:val="20"/>
                <w:color w:val="auto"/>
              </w:rPr>
            </w:pPr>
            <w:r>
              <w:rPr>
                <w:rFonts w:ascii="Arial" w:cs="Arial" w:eastAsia="Arial" w:hAnsi="Arial"/>
                <w:sz w:val="14"/>
                <w:szCs w:val="14"/>
                <w:color w:val="auto"/>
              </w:rPr>
              <w:t>maturity</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9/27/2018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24.8%</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10,199,316</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8,950,000</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49,883,910</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41,204,802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-1457325</wp:posOffset>
            </wp:positionV>
            <wp:extent cx="72466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-1080135</wp:posOffset>
            </wp:positionV>
            <wp:extent cx="724662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-668020</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-213995</wp:posOffset>
            </wp:positionV>
            <wp:extent cx="724662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-1868805</wp:posOffset>
            </wp:positionV>
            <wp:extent cx="724662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060" w:space="480"/>
            <w:col w:w="7780"/>
          </w:cols>
          <w:pgMar w:left="24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CLO Rated-Note Investment</w:t>
      </w:r>
    </w:p>
    <w:p>
      <w:pPr>
        <w:spacing w:after="0" w:line="200" w:lineRule="exact"/>
        <w:rPr>
          <w:sz w:val="20"/>
          <w:szCs w:val="20"/>
          <w:color w:val="auto"/>
        </w:rPr>
      </w:pPr>
    </w:p>
    <w:p>
      <w:pPr>
        <w:spacing w:after="0" w:line="318" w:lineRule="exact"/>
        <w:rPr>
          <w:sz w:val="20"/>
          <w:szCs w:val="20"/>
          <w:color w:val="auto"/>
        </w:rPr>
      </w:pPr>
    </w:p>
    <w:p>
      <w:pPr>
        <w:jc w:val="right"/>
        <w:ind w:right="840"/>
        <w:spacing w:after="0"/>
        <w:rPr>
          <w:sz w:val="20"/>
          <w:szCs w:val="20"/>
          <w:color w:val="auto"/>
        </w:rPr>
      </w:pPr>
      <w:r>
        <w:rPr>
          <w:rFonts w:ascii="Arial" w:cs="Arial" w:eastAsia="Arial" w:hAnsi="Arial"/>
          <w:sz w:val="14"/>
          <w:szCs w:val="14"/>
          <w:b w:val="1"/>
          <w:bCs w:val="1"/>
          <w:color w:val="auto"/>
        </w:rPr>
        <w:t>Portfolio Company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Great Lakes KCAP F3C Senior,</w:t>
      </w:r>
    </w:p>
    <w:p>
      <w:pPr>
        <w:spacing w:after="0" w:line="221" w:lineRule="auto"/>
        <w:rPr>
          <w:sz w:val="20"/>
          <w:szCs w:val="20"/>
          <w:color w:val="auto"/>
        </w:rPr>
      </w:pPr>
      <w:r>
        <w:rPr>
          <w:rFonts w:ascii="Arial" w:cs="Arial" w:eastAsia="Arial" w:hAnsi="Arial"/>
          <w:sz w:val="14"/>
          <w:szCs w:val="14"/>
          <w:color w:val="auto"/>
        </w:rPr>
        <w:t>LLC (fka KCAP F3C Senior</w:t>
      </w:r>
    </w:p>
    <w:p>
      <w:pPr>
        <w:spacing w:after="0"/>
        <w:rPr>
          <w:sz w:val="20"/>
          <w:szCs w:val="20"/>
          <w:color w:val="auto"/>
        </w:rPr>
      </w:pPr>
      <w:r>
        <w:rPr>
          <w:rFonts w:ascii="Arial" w:cs="Arial" w:eastAsia="Arial" w:hAnsi="Arial"/>
          <w:sz w:val="14"/>
          <w:szCs w:val="14"/>
          <w:color w:val="auto"/>
        </w:rPr>
        <w:t>Funding, LLC)</w:t>
      </w:r>
      <w:r>
        <w:rPr>
          <w:rFonts w:ascii="Arial" w:cs="Arial" w:eastAsia="Arial" w:hAnsi="Arial"/>
          <w:sz w:val="28"/>
          <w:szCs w:val="28"/>
          <w:color w:val="auto"/>
          <w:vertAlign w:val="superscript"/>
        </w:rPr>
        <w:t>(6)(13)</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 CLO Rated-Note</w:t>
      </w:r>
    </w:p>
    <w:p>
      <w:pPr>
        <w:spacing w:after="0" w:line="149" w:lineRule="exact"/>
        <w:rPr>
          <w:sz w:val="20"/>
          <w:szCs w:val="20"/>
          <w:color w:val="auto"/>
        </w:rPr>
      </w:pPr>
    </w:p>
    <w:p>
      <w:pPr>
        <w:ind w:left="180" w:right="960" w:hanging="161"/>
        <w:spacing w:after="0" w:line="297" w:lineRule="auto"/>
        <w:rPr>
          <w:sz w:val="20"/>
          <w:szCs w:val="20"/>
          <w:color w:val="auto"/>
        </w:rPr>
      </w:pPr>
      <w:r>
        <w:rPr>
          <w:rFonts w:ascii="Arial" w:cs="Arial" w:eastAsia="Arial" w:hAnsi="Arial"/>
          <w:sz w:val="13"/>
          <w:szCs w:val="13"/>
          <w:b w:val="1"/>
          <w:bCs w:val="1"/>
          <w:color w:val="auto"/>
        </w:rPr>
        <w:t>Total Investment in CLO Fund Securities (32% of net asset value at fair value)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vMerge w:val="restart"/>
          </w:tcPr>
          <w:p>
            <w:pPr>
              <w:ind w:left="100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Ownership</w:t>
            </w:r>
          </w:p>
        </w:tc>
        <w:tc>
          <w:tcPr>
            <w:tcW w:w="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9"/>
              </w:rPr>
              <w:t>Class E Notes, 10.13% Cash, 3 month LIBOR</w:t>
            </w: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gridSpan w:val="3"/>
          </w:tcPr>
          <w:p>
            <w:pPr>
              <w:spacing w:after="0"/>
              <w:rPr>
                <w:sz w:val="20"/>
                <w:szCs w:val="20"/>
                <w:color w:val="auto"/>
              </w:rPr>
            </w:pPr>
            <w:r>
              <w:rPr>
                <w:rFonts w:ascii="Arial" w:cs="Arial" w:eastAsia="Arial" w:hAnsi="Arial"/>
                <w:sz w:val="14"/>
                <w:szCs w:val="14"/>
                <w:color w:val="auto"/>
              </w:rPr>
              <w:t>(2.63%) + 7.50%, Due 12/29</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10/24/2017</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27.4%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4,416,048</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4,400,213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4,416,048</w:t>
            </w:r>
          </w:p>
        </w:tc>
        <w:tc>
          <w:tcPr>
            <w:tcW w:w="22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4,400,213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54,299,958</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45,605,015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-410845</wp:posOffset>
            </wp:positionV>
            <wp:extent cx="724662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-205105</wp:posOffset>
            </wp:positionV>
            <wp:extent cx="7246620" cy="1974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-840105</wp:posOffset>
            </wp:positionV>
            <wp:extent cx="7246620"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500" w:space="720"/>
            <w:col w:w="7100"/>
          </w:cols>
          <w:pgMar w:left="240" w:top="904" w:right="339" w:bottom="1440" w:gutter="0" w:footer="0" w:header="0"/>
          <w:type w:val="continuous"/>
        </w:sectPr>
      </w:pP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
            <w:vMerge w:val="restart"/>
          </w:tcPr>
          <w:p>
            <w:pPr>
              <w:ind w:left="102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2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line="210"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4"/>
                <w:szCs w:val="24"/>
                <w:color w:val="auto"/>
                <w:vertAlign w:val="superscript"/>
              </w:rPr>
              <w:t>(8)(13)(17)</w:t>
            </w:r>
          </w:p>
        </w:tc>
        <w:tc>
          <w:tcPr>
            <w:tcW w:w="120" w:type="dxa"/>
            <w:vAlign w:val="bottom"/>
            <w:shd w:val="clear" w:color="auto" w:fill="CCEEFF"/>
          </w:tcPr>
          <w:p>
            <w:pPr>
              <w:spacing w:after="0"/>
              <w:rPr>
                <w:sz w:val="18"/>
                <w:szCs w:val="18"/>
                <w:color w:val="auto"/>
              </w:rPr>
            </w:pPr>
          </w:p>
        </w:tc>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 Management Company</w:t>
            </w:r>
          </w:p>
        </w:tc>
        <w:tc>
          <w:tcPr>
            <w:tcW w:w="1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12/11/2006</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17,791,230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1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Asset Manager Affiliates</w:t>
            </w:r>
          </w:p>
        </w:tc>
        <w:tc>
          <w:tcPr>
            <w:tcW w:w="120" w:type="dxa"/>
            <w:vAlign w:val="bottom"/>
            <w:shd w:val="clear" w:color="auto" w:fill="CCEEFF"/>
          </w:tcPr>
          <w:p>
            <w:pPr>
              <w:spacing w:after="0"/>
              <w:rPr>
                <w:sz w:val="10"/>
                <w:szCs w:val="10"/>
                <w:color w:val="auto"/>
              </w:rPr>
            </w:pPr>
          </w:p>
        </w:tc>
        <w:tc>
          <w:tcPr>
            <w:tcW w:w="28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 of net asset value at fair value)</w:t>
            </w:r>
          </w:p>
        </w:tc>
        <w:tc>
          <w:tcPr>
            <w:tcW w:w="120" w:type="dxa"/>
            <w:vAlign w:val="bottom"/>
            <w:shd w:val="clear" w:color="auto" w:fill="CCEEFF"/>
          </w:tcPr>
          <w:p>
            <w:pPr>
              <w:spacing w:after="0"/>
              <w:rPr>
                <w:sz w:val="16"/>
                <w:szCs w:val="16"/>
                <w:color w:val="auto"/>
              </w:rPr>
            </w:pPr>
          </w:p>
        </w:tc>
        <w:tc>
          <w:tcPr>
            <w:tcW w:w="28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17,791,230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
            <w:vMerge w:val="restart"/>
          </w:tcPr>
          <w:p>
            <w:pPr>
              <w:ind w:left="102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Principal Business</w:t>
            </w:r>
          </w:p>
        </w:tc>
        <w:tc>
          <w:tcPr>
            <w:tcW w:w="12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line="210" w:lineRule="exact"/>
              <w:rPr>
                <w:sz w:val="20"/>
                <w:szCs w:val="20"/>
                <w:color w:val="auto"/>
              </w:rPr>
            </w:pPr>
            <w:r>
              <w:rPr>
                <w:rFonts w:ascii="Arial" w:cs="Arial" w:eastAsia="Arial" w:hAnsi="Arial"/>
                <w:sz w:val="13"/>
                <w:szCs w:val="13"/>
                <w:color w:val="auto"/>
              </w:rPr>
              <w:t>KCAP Freedom 3 LLC</w:t>
            </w:r>
            <w:r>
              <w:rPr>
                <w:rFonts w:ascii="Arial" w:cs="Arial" w:eastAsia="Arial" w:hAnsi="Arial"/>
                <w:sz w:val="24"/>
                <w:szCs w:val="24"/>
                <w:color w:val="auto"/>
                <w:vertAlign w:val="superscript"/>
              </w:rPr>
              <w:t>(9)(13)</w:t>
            </w:r>
          </w:p>
        </w:tc>
        <w:tc>
          <w:tcPr>
            <w:tcW w:w="120" w:type="dxa"/>
            <w:vAlign w:val="bottom"/>
            <w:shd w:val="clear" w:color="auto" w:fill="CCEEFF"/>
          </w:tcPr>
          <w:p>
            <w:pPr>
              <w:spacing w:after="0"/>
              <w:rPr>
                <w:sz w:val="18"/>
                <w:szCs w:val="18"/>
                <w:color w:val="auto"/>
              </w:rPr>
            </w:pPr>
          </w:p>
        </w:tc>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Joint Venture</w:t>
            </w:r>
          </w:p>
        </w:tc>
        <w:tc>
          <w:tcPr>
            <w:tcW w:w="12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7/19/2017</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24,914,858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23,707,969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1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Joint Ventures</w:t>
            </w:r>
          </w:p>
        </w:tc>
        <w:tc>
          <w:tcPr>
            <w:tcW w:w="120" w:type="dxa"/>
            <w:vAlign w:val="bottom"/>
            <w:shd w:val="clear" w:color="auto" w:fill="CCEEFF"/>
          </w:tcPr>
          <w:p>
            <w:pPr>
              <w:spacing w:after="0"/>
              <w:rPr>
                <w:sz w:val="10"/>
                <w:szCs w:val="10"/>
                <w:color w:val="auto"/>
              </w:rPr>
            </w:pPr>
          </w:p>
        </w:tc>
        <w:tc>
          <w:tcPr>
            <w:tcW w:w="288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800" w:type="dxa"/>
            <w:vAlign w:val="bottom"/>
            <w:tcBorders>
              <w:righ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(16% of net asset value at fair value)</w:t>
            </w:r>
          </w:p>
        </w:tc>
        <w:tc>
          <w:tcPr>
            <w:tcW w:w="120" w:type="dxa"/>
            <w:vAlign w:val="bottom"/>
            <w:shd w:val="clear" w:color="auto" w:fill="CCEEFF"/>
          </w:tcPr>
          <w:p>
            <w:pPr>
              <w:spacing w:after="0"/>
              <w:rPr>
                <w:sz w:val="16"/>
                <w:szCs w:val="16"/>
                <w:color w:val="auto"/>
              </w:rPr>
            </w:pPr>
          </w:p>
        </w:tc>
        <w:tc>
          <w:tcPr>
            <w:tcW w:w="288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24,914,858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23,707,969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/Amortized</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Short-term Investments</w:t>
            </w:r>
          </w:p>
        </w:tc>
        <w:tc>
          <w:tcPr>
            <w:tcW w:w="120" w:type="dxa"/>
            <w:vAlign w:val="bottom"/>
          </w:tcPr>
          <w:p>
            <w:pPr>
              <w:spacing w:after="0"/>
              <w:rPr>
                <w:sz w:val="12"/>
                <w:szCs w:val="12"/>
                <w:color w:val="auto"/>
              </w:rPr>
            </w:pPr>
          </w:p>
        </w:tc>
        <w:tc>
          <w:tcPr>
            <w:tcW w:w="300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3"/>
                <w:szCs w:val="23"/>
                <w:b w:val="1"/>
                <w:bCs w:val="1"/>
                <w:color w:val="auto"/>
                <w:vertAlign w:val="superscript"/>
              </w:rPr>
              <w:t>15</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Yield</w:t>
            </w: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w:t>
            </w:r>
            <w:r>
              <w:rPr>
                <w:rFonts w:ascii="Arial" w:cs="Arial" w:eastAsia="Arial" w:hAnsi="Arial"/>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2"/>
            <w:vMerge w:val="continue"/>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1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US Bank Money Market Account</w:t>
            </w:r>
            <w:r>
              <w:rPr>
                <w:rFonts w:ascii="Arial" w:cs="Arial" w:eastAsia="Arial" w:hAnsi="Arial"/>
                <w:sz w:val="21"/>
                <w:szCs w:val="21"/>
                <w:color w:val="auto"/>
                <w:vertAlign w:val="superscript"/>
              </w:rPr>
              <w:t>(7)(8)</w:t>
            </w:r>
          </w:p>
        </w:tc>
        <w:tc>
          <w:tcPr>
            <w:tcW w:w="120" w:type="dxa"/>
            <w:vAlign w:val="bottom"/>
            <w:shd w:val="clear" w:color="auto" w:fill="CCEEFF"/>
          </w:tcPr>
          <w:p>
            <w:pPr>
              <w:spacing w:after="0"/>
              <w:rPr>
                <w:sz w:val="15"/>
                <w:szCs w:val="15"/>
                <w:color w:val="auto"/>
              </w:rPr>
            </w:pPr>
          </w:p>
        </w:tc>
        <w:tc>
          <w:tcPr>
            <w:tcW w:w="2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Money Market Account</w:t>
            </w:r>
          </w:p>
        </w:tc>
        <w:tc>
          <w:tcPr>
            <w:tcW w:w="120" w:type="dxa"/>
            <w:vAlign w:val="bottom"/>
            <w:tcBorders>
              <w:right w:val="single" w:sz="8" w:color="CCEEFF"/>
            </w:tcBorders>
            <w:shd w:val="clear" w:color="auto" w:fill="CCEEFF"/>
          </w:tcPr>
          <w:p>
            <w:pPr>
              <w:spacing w:after="0"/>
              <w:rPr>
                <w:sz w:val="15"/>
                <w:szCs w:val="15"/>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N/A</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24,121,902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24,121,902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30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US Treasury Bill (Cusip:912796UV9)</w:t>
            </w:r>
            <w:r>
              <w:rPr>
                <w:rFonts w:ascii="Arial" w:cs="Arial" w:eastAsia="Arial" w:hAnsi="Arial"/>
                <w:sz w:val="23"/>
                <w:szCs w:val="23"/>
                <w:color w:val="auto"/>
                <w:vertAlign w:val="superscript"/>
              </w:rPr>
              <w:t>(8)</w:t>
            </w:r>
          </w:p>
        </w:tc>
        <w:tc>
          <w:tcPr>
            <w:tcW w:w="312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U.S. Government Obligation</w:t>
            </w: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2.29%</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19,998,746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19,998,746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00" w:type="dxa"/>
            <w:vAlign w:val="bottom"/>
          </w:tcPr>
          <w:p>
            <w:pPr>
              <w:spacing w:after="0" w:line="106" w:lineRule="exact"/>
              <w:rPr>
                <w:sz w:val="20"/>
                <w:szCs w:val="20"/>
                <w:color w:val="auto"/>
              </w:rPr>
            </w:pPr>
            <w:r>
              <w:rPr>
                <w:rFonts w:ascii="Arial" w:cs="Arial" w:eastAsia="Arial" w:hAnsi="Arial"/>
                <w:sz w:val="12"/>
                <w:szCs w:val="12"/>
                <w:b w:val="1"/>
                <w:bCs w:val="1"/>
                <w:color w:val="auto"/>
              </w:rPr>
              <w:t>Total Short-term Investments</w:t>
            </w:r>
          </w:p>
        </w:tc>
        <w:tc>
          <w:tcPr>
            <w:tcW w:w="1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ind w:left="160"/>
              <w:spacing w:after="0"/>
              <w:rPr>
                <w:sz w:val="20"/>
                <w:szCs w:val="20"/>
                <w:color w:val="auto"/>
              </w:rPr>
            </w:pPr>
            <w:r>
              <w:rPr>
                <w:rFonts w:ascii="Arial" w:cs="Arial" w:eastAsia="Arial" w:hAnsi="Arial"/>
                <w:sz w:val="14"/>
                <w:szCs w:val="14"/>
                <w:b w:val="1"/>
                <w:bCs w:val="1"/>
                <w:color w:val="auto"/>
              </w:rPr>
              <w:t>(31% of net asset value at fair value)</w:t>
            </w: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44,120,648</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44,120,648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8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CCEEFF"/>
              <w:right w:val="single" w:sz="8" w:color="CCEEFF"/>
            </w:tcBorders>
            <w:shd w:val="clear" w:color="auto" w:fill="CCEEFF"/>
          </w:tcPr>
          <w:p>
            <w:pPr>
              <w:spacing w:after="0"/>
              <w:rPr>
                <w:sz w:val="12"/>
                <w:szCs w:val="12"/>
                <w:color w:val="auto"/>
              </w:rPr>
            </w:pPr>
          </w:p>
        </w:tc>
        <w:tc>
          <w:tcPr>
            <w:tcW w:w="900" w:type="dxa"/>
            <w:vAlign w:val="bottom"/>
            <w:tcBorders>
              <w:top w:val="single" w:sz="8" w:color="CCEEFF"/>
              <w:right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line="216" w:lineRule="exact"/>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b w:val="1"/>
                <w:bCs w:val="1"/>
                <w:color w:val="auto"/>
                <w:vertAlign w:val="superscript"/>
              </w:rPr>
              <w:t>4</w:t>
            </w: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335,152,064</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282,465,354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24"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March 31, 2019. As noted in the table above, 78% (based on par) of debt securities contain floors which range between 1.00% and 1.50%.</w:t>
      </w:r>
    </w:p>
    <w:p>
      <w:pPr>
        <w:spacing w:after="0" w:line="11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March 31, 2019 as determined by the Company’s Board of Directors.</w:t>
      </w:r>
    </w:p>
    <w:p>
      <w:pPr>
        <w:spacing w:after="0" w:line="1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29" w:lineRule="exact"/>
        <w:rPr>
          <w:sz w:val="20"/>
          <w:szCs w:val="20"/>
          <w:color w:val="auto"/>
        </w:rPr>
      </w:pPr>
    </w:p>
    <w:p>
      <w:pPr>
        <w:ind w:left="340" w:right="660" w:hanging="332"/>
        <w:spacing w:after="0" w:line="209"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$335 million. The aggregate gross unrealized appreciation is approximately $0.1 million, the aggregate gross unrealized depreciation is approximately $52.8 million, and the net unrealized depreciation is approximately $52.7 million.</w:t>
      </w:r>
    </w:p>
    <w:p>
      <w:pPr>
        <w:spacing w:after="0" w:line="11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13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11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Money market account.</w:t>
      </w:r>
    </w:p>
    <w:p>
      <w:pPr>
        <w:spacing w:after="0" w:line="229" w:lineRule="exact"/>
        <w:rPr>
          <w:sz w:val="20"/>
          <w:szCs w:val="20"/>
          <w:color w:val="auto"/>
        </w:rPr>
      </w:pPr>
    </w:p>
    <w:p>
      <w:pPr>
        <w:ind w:left="340" w:right="720" w:hanging="332"/>
        <w:spacing w:after="0" w:line="19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 as amended (the “1940 Act”). Qualifying assets represent approximately 70.3% of the total assets at March 31, 2019.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332" w:right="20" w:hanging="332"/>
        <w:spacing w:after="0" w:line="218" w:lineRule="auto"/>
        <w:tabs>
          <w:tab w:leader="none" w:pos="332"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115" w:lineRule="exact"/>
        <w:rPr>
          <w:sz w:val="20"/>
          <w:szCs w:val="20"/>
          <w:color w:val="auto"/>
        </w:rPr>
      </w:pPr>
    </w:p>
    <w:p>
      <w:pPr>
        <w:ind w:left="332" w:hanging="332"/>
        <w:spacing w:after="0"/>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28" w:lineRule="exact"/>
        <w:rPr>
          <w:rFonts w:ascii="Arial" w:cs="Arial" w:eastAsia="Arial" w:hAnsi="Arial"/>
          <w:sz w:val="30"/>
          <w:szCs w:val="30"/>
          <w:color w:val="auto"/>
          <w:vertAlign w:val="superscript"/>
        </w:rPr>
      </w:pPr>
    </w:p>
    <w:p>
      <w:pPr>
        <w:jc w:val="both"/>
        <w:ind w:left="332" w:right="180" w:hanging="332"/>
        <w:spacing w:after="0" w:line="218"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15"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163" w:lineRule="exact"/>
        <w:rPr>
          <w:rFonts w:ascii="Arial" w:cs="Arial" w:eastAsia="Arial" w:hAnsi="Arial"/>
          <w:sz w:val="30"/>
          <w:szCs w:val="30"/>
          <w:color w:val="auto"/>
          <w:vertAlign w:val="superscript"/>
        </w:rPr>
      </w:pPr>
    </w:p>
    <w:p>
      <w:pPr>
        <w:ind w:left="332" w:hanging="332"/>
        <w:spacing w:after="0" w:line="205"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229" w:lineRule="exact"/>
        <w:rPr>
          <w:rFonts w:ascii="Arial" w:cs="Arial" w:eastAsia="Arial" w:hAnsi="Arial"/>
          <w:sz w:val="30"/>
          <w:szCs w:val="30"/>
          <w:color w:val="auto"/>
          <w:vertAlign w:val="superscript"/>
        </w:rPr>
      </w:pPr>
    </w:p>
    <w:p>
      <w:pPr>
        <w:ind w:left="332" w:right="80" w:hanging="332"/>
        <w:spacing w:after="0" w:line="218"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As of March 31, 2019, this investment is owned by Great Lakes KCAP Funding I, LLC and was pledged to secure Great Lakes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230" w:lineRule="exact"/>
        <w:rPr>
          <w:rFonts w:ascii="Arial" w:cs="Arial" w:eastAsia="Arial" w:hAnsi="Arial"/>
          <w:sz w:val="30"/>
          <w:szCs w:val="30"/>
          <w:color w:val="auto"/>
          <w:vertAlign w:val="superscript"/>
        </w:rPr>
      </w:pPr>
    </w:p>
    <w:p>
      <w:pPr>
        <w:ind w:left="332" w:right="40" w:hanging="332"/>
        <w:spacing w:after="0" w:line="209"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230" w:lineRule="exact"/>
        <w:rPr>
          <w:rFonts w:ascii="Arial" w:cs="Arial" w:eastAsia="Arial" w:hAnsi="Arial"/>
          <w:sz w:val="30"/>
          <w:szCs w:val="30"/>
          <w:color w:val="auto"/>
          <w:vertAlign w:val="superscript"/>
        </w:rPr>
      </w:pPr>
    </w:p>
    <w:p>
      <w:pPr>
        <w:ind w:left="332" w:hanging="332"/>
        <w:spacing w:after="0" w:line="218"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remaining collateral in this CLO Fund portfolio is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203" w:lineRule="exact"/>
        <w:rPr>
          <w:rFonts w:ascii="Arial" w:cs="Arial" w:eastAsia="Arial" w:hAnsi="Arial"/>
          <w:sz w:val="30"/>
          <w:szCs w:val="30"/>
          <w:color w:val="auto"/>
          <w:vertAlign w:val="superscript"/>
        </w:rPr>
      </w:pPr>
    </w:p>
    <w:p>
      <w:pPr>
        <w:ind w:left="332" w:right="20" w:hanging="332"/>
        <w:spacing w:after="0" w:line="209" w:lineRule="auto"/>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115"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Ownership of LP interest held through the holding company BCP Great Lakes Fund, LP.</w:t>
      </w: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95"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420"/>
          </w:cols>
          <w:pgMar w:left="240" w:top="904"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741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Advanced Lighting Technologies, Inc.</w:t>
      </w:r>
      <w:r>
        <w:rPr>
          <w:rFonts w:ascii="Arial" w:cs="Arial" w:eastAsia="Arial" w:hAnsi="Arial"/>
          <w:sz w:val="25"/>
          <w:szCs w:val="25"/>
          <w:color w:val="auto"/>
          <w:vertAlign w:val="superscript"/>
        </w:rPr>
        <w:t>(5)(8)</w:t>
      </w:r>
    </w:p>
    <w:p>
      <w:pPr>
        <w:spacing w:after="0"/>
        <w:rPr>
          <w:sz w:val="20"/>
          <w:szCs w:val="20"/>
          <w:color w:val="auto"/>
        </w:rPr>
      </w:pPr>
      <w:r>
        <w:rPr>
          <w:rFonts w:ascii="Arial" w:cs="Arial" w:eastAsia="Arial" w:hAnsi="Arial"/>
          <w:sz w:val="14"/>
          <w:szCs w:val="14"/>
          <w:color w:val="auto"/>
        </w:rPr>
        <w:t>(13)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Consumer goods: Durable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AlixPartners, LLP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Services: Business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8"/>
          <w:szCs w:val="28"/>
          <w:color w:val="auto"/>
          <w:vertAlign w:val="superscript"/>
        </w:rPr>
        <w:t>(8)</w:t>
      </w:r>
    </w:p>
    <w:p>
      <w:pPr>
        <w:spacing w:after="0"/>
        <w:rPr>
          <w:sz w:val="20"/>
          <w:szCs w:val="20"/>
          <w:color w:val="auto"/>
        </w:rPr>
      </w:pPr>
      <w:r>
        <w:rPr>
          <w:rFonts w:ascii="Arial" w:cs="Arial" w:eastAsia="Arial" w:hAnsi="Arial"/>
          <w:sz w:val="14"/>
          <w:szCs w:val="14"/>
          <w:color w:val="auto"/>
        </w:rPr>
        <w:t>(13)</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BMC Acquisition, Inc. (aka BenefitMall)</w:t>
      </w:r>
      <w:r>
        <w:rPr>
          <w:rFonts w:ascii="Arial" w:cs="Arial" w:eastAsia="Arial" w:hAnsi="Arial"/>
          <w:sz w:val="28"/>
          <w:szCs w:val="28"/>
          <w:color w:val="auto"/>
          <w:vertAlign w:val="superscript"/>
        </w:rPr>
        <w:t>(8)</w:t>
      </w:r>
    </w:p>
    <w:p>
      <w:pPr>
        <w:spacing w:after="0"/>
        <w:rPr>
          <w:sz w:val="20"/>
          <w:szCs w:val="20"/>
          <w:color w:val="auto"/>
        </w:rPr>
      </w:pPr>
      <w:r>
        <w:rPr>
          <w:rFonts w:ascii="Arial" w:cs="Arial" w:eastAsia="Arial" w:hAnsi="Arial"/>
          <w:sz w:val="14"/>
          <w:szCs w:val="14"/>
          <w:color w:val="auto"/>
        </w:rPr>
        <w:t>(13)(14)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BW NHHC Holdco Inc.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Carestream Health, Inc.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Healthcare &amp; Pharmaceuticals</w:t>
      </w:r>
    </w:p>
    <w:p>
      <w:pPr>
        <w:spacing w:after="0" w:line="273" w:lineRule="exact"/>
        <w:rPr>
          <w:sz w:val="20"/>
          <w:szCs w:val="20"/>
          <w:color w:val="auto"/>
        </w:rPr>
      </w:pPr>
    </w:p>
    <w:p>
      <w:pPr>
        <w:ind w:left="180" w:right="80" w:hanging="161"/>
        <w:spacing w:after="0" w:line="191" w:lineRule="auto"/>
        <w:rPr>
          <w:sz w:val="20"/>
          <w:szCs w:val="20"/>
          <w:color w:val="auto"/>
        </w:rPr>
      </w:pPr>
      <w:r>
        <w:rPr>
          <w:rFonts w:ascii="Arial" w:cs="Arial" w:eastAsia="Arial" w:hAnsi="Arial"/>
          <w:sz w:val="14"/>
          <w:szCs w:val="14"/>
          <w:color w:val="auto"/>
        </w:rPr>
        <w:t>Child Development Schools, Inc.</w:t>
      </w:r>
      <w:r>
        <w:rPr>
          <w:rFonts w:ascii="Arial" w:cs="Arial" w:eastAsia="Arial" w:hAnsi="Arial"/>
          <w:sz w:val="28"/>
          <w:szCs w:val="28"/>
          <w:color w:val="auto"/>
          <w:vertAlign w:val="superscript"/>
        </w:rPr>
        <w:t>(8)(13)(14)</w:t>
      </w:r>
      <w:r>
        <w:rPr>
          <w:rFonts w:ascii="Arial" w:cs="Arial" w:eastAsia="Arial" w:hAnsi="Arial"/>
          <w:sz w:val="14"/>
          <w:szCs w:val="14"/>
          <w:color w:val="auto"/>
        </w:rPr>
        <w:t xml:space="preserve"> Services: Business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Investment</w:t>
      </w:r>
    </w:p>
    <w:p>
      <w:pPr>
        <w:spacing w:after="0" w:line="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8"/>
          <w:szCs w:val="28"/>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2538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Second Lien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34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ind w:right="120"/>
        <w:spacing w:after="0" w:line="315" w:lineRule="auto"/>
        <w:rPr>
          <w:sz w:val="20"/>
          <w:szCs w:val="20"/>
          <w:color w:val="auto"/>
        </w:rPr>
      </w:pPr>
      <w:r>
        <w:rPr>
          <w:rFonts w:ascii="Arial" w:cs="Arial" w:eastAsia="Arial" w:hAnsi="Arial"/>
          <w:sz w:val="14"/>
          <w:szCs w:val="14"/>
          <w:color w:val="auto"/>
        </w:rPr>
        <w:t>9.8% Cash, 10.0% PIK, 3 month LIBOR(2.80%) + 7.00%; LIBOR Floor 1.00% , Due 10/23</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2017 Refinancing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5.3% Cash, 1 month LIBOR(2.52%) + 2.75%; LIBOR Floor 1.00% , Due 4/24</w:t>
      </w:r>
    </w:p>
    <w:p>
      <w:pPr>
        <w:spacing w:after="0" w:line="65"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color w:val="auto"/>
        </w:rPr>
        <w:t>Senior Secured Loan — Amendment No. 14 Replacement B-4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-183515</wp:posOffset>
            </wp:positionV>
            <wp:extent cx="72466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ind w:right="40"/>
        <w:spacing w:after="0" w:line="315" w:lineRule="auto"/>
        <w:rPr>
          <w:sz w:val="20"/>
          <w:szCs w:val="20"/>
          <w:color w:val="auto"/>
        </w:rPr>
      </w:pPr>
      <w:r>
        <w:rPr>
          <w:rFonts w:ascii="Arial" w:cs="Arial" w:eastAsia="Arial" w:hAnsi="Arial"/>
          <w:sz w:val="14"/>
          <w:szCs w:val="14"/>
          <w:color w:val="auto"/>
        </w:rPr>
        <w:t>5.5% Cash, 1 month LIBOR(2.52%)+ 3.00%; LIBOR Floor 1.00% , Due 8/22</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346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7.8% Cash, 6 month LIBOR(2.59%) + 5.25%; LIBOR Floor 1.00% , Due 12/24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Initial Term Loan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 w:lineRule="exact"/>
        <w:rPr>
          <w:sz w:val="20"/>
          <w:szCs w:val="20"/>
          <w:color w:val="auto"/>
        </w:rPr>
      </w:pPr>
    </w:p>
    <w:p>
      <w:pPr>
        <w:ind w:right="500"/>
        <w:spacing w:after="0" w:line="398" w:lineRule="auto"/>
        <w:rPr>
          <w:sz w:val="20"/>
          <w:szCs w:val="20"/>
          <w:color w:val="auto"/>
        </w:rPr>
      </w:pPr>
      <w:r>
        <w:rPr>
          <w:rFonts w:ascii="Arial" w:cs="Arial" w:eastAsia="Arial" w:hAnsi="Arial"/>
          <w:sz w:val="12"/>
          <w:szCs w:val="12"/>
          <w:color w:val="auto"/>
        </w:rPr>
        <w:t>7.5% Cash, 1 month LIBOR(2.47%) + 5.00% , Due 5/25 Junior Secured Loan — Extended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17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12.0% Cash, 1 month LIBOR(2.52%) + 9.50%; LIBOR Floor 1.00% , Due 6/21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Senior Secured Loan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6.7% Cash, 3 month LIBOR(2.50%) + 4.25% , Due 5/23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ind w:right="28"/>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4"/>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6/13/2012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1,007,062</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958,499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362,240</w:t>
            </w:r>
          </w:p>
        </w:tc>
        <w:tc>
          <w:tcPr>
            <w:tcW w:w="0" w:type="dxa"/>
            <w:vAlign w:val="bottom"/>
          </w:tcPr>
          <w:p>
            <w:pPr>
              <w:spacing w:after="0"/>
              <w:rPr>
                <w:sz w:val="1"/>
                <w:szCs w:val="1"/>
                <w:color w:val="auto"/>
              </w:rPr>
            </w:pPr>
          </w:p>
        </w:tc>
      </w:tr>
      <w:tr>
        <w:trPr>
          <w:trHeight w:val="648"/>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12/28/2018</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997,462</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957,563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957,563</w:t>
            </w:r>
          </w:p>
        </w:tc>
        <w:tc>
          <w:tcPr>
            <w:tcW w:w="0" w:type="dxa"/>
            <w:vAlign w:val="bottom"/>
          </w:tcPr>
          <w:p>
            <w:pPr>
              <w:spacing w:after="0"/>
              <w:rPr>
                <w:sz w:val="1"/>
                <w:szCs w:val="1"/>
                <w:color w:val="auto"/>
              </w:rPr>
            </w:pPr>
          </w:p>
        </w:tc>
      </w:tr>
      <w:tr>
        <w:trPr>
          <w:trHeight w:val="797"/>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12/28/2018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1,520,851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1,463,819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1,460,001</w:t>
            </w:r>
          </w:p>
        </w:tc>
        <w:tc>
          <w:tcPr>
            <w:tcW w:w="0" w:type="dxa"/>
            <w:vAlign w:val="bottom"/>
          </w:tcPr>
          <w:p>
            <w:pPr>
              <w:spacing w:after="0"/>
              <w:rPr>
                <w:sz w:val="1"/>
                <w:szCs w:val="1"/>
                <w:color w:val="auto"/>
              </w:rPr>
            </w:pPr>
          </w:p>
        </w:tc>
      </w:tr>
      <w:tr>
        <w:trPr>
          <w:trHeight w:val="675"/>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2,968,502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2,942,082</w:t>
            </w:r>
          </w:p>
        </w:tc>
        <w:tc>
          <w:tcPr>
            <w:tcW w:w="0" w:type="dxa"/>
            <w:vAlign w:val="bottom"/>
          </w:tcPr>
          <w:p>
            <w:pPr>
              <w:spacing w:after="0"/>
              <w:rPr>
                <w:sz w:val="1"/>
                <w:szCs w:val="1"/>
                <w:color w:val="auto"/>
              </w:rPr>
            </w:pPr>
          </w:p>
        </w:tc>
      </w:tr>
      <w:tr>
        <w:trPr>
          <w:trHeight w:val="50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5/16/2018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1,990,000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1,962,751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1,950,200</w:t>
            </w:r>
          </w:p>
        </w:tc>
        <w:tc>
          <w:tcPr>
            <w:tcW w:w="0" w:type="dxa"/>
            <w:vAlign w:val="bottom"/>
          </w:tcPr>
          <w:p>
            <w:pPr>
              <w:spacing w:after="0"/>
              <w:rPr>
                <w:sz w:val="1"/>
                <w:szCs w:val="1"/>
                <w:color w:val="auto"/>
              </w:rPr>
            </w:pPr>
          </w:p>
        </w:tc>
      </w:tr>
      <w:tr>
        <w:trPr>
          <w:trHeight w:val="648"/>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10/7/2014</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1,510,955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1,496,079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1,480,736</w:t>
            </w:r>
          </w:p>
        </w:tc>
        <w:tc>
          <w:tcPr>
            <w:tcW w:w="0" w:type="dxa"/>
            <w:vAlign w:val="bottom"/>
          </w:tcPr>
          <w:p>
            <w:pPr>
              <w:spacing w:after="0"/>
              <w:rPr>
                <w:sz w:val="1"/>
                <w:szCs w:val="1"/>
                <w:color w:val="auto"/>
              </w:rPr>
            </w:pPr>
          </w:p>
        </w:tc>
      </w:tr>
      <w:tr>
        <w:trPr>
          <w:trHeight w:val="50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6/6/2018</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4,794,521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4,783,918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4,782,534</w:t>
            </w: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3">
            <w:col w:w="2660" w:space="220"/>
            <w:col w:w="3960" w:space="160"/>
            <w:col w:w="44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w w:val="99"/>
              </w:rPr>
              <w:t>Community Care Health Network, Inc. (aka</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Secured Loan — Closing Date Term Loan</w:t>
            </w:r>
          </w:p>
        </w:tc>
        <w:tc>
          <w:tcPr>
            <w:tcW w:w="1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Matrix Medical Network)</w:t>
            </w:r>
            <w:r>
              <w:rPr>
                <w:rFonts w:ascii="Arial" w:cs="Arial" w:eastAsia="Arial" w:hAnsi="Arial"/>
                <w:sz w:val="23"/>
                <w:szCs w:val="23"/>
                <w:color w:val="auto"/>
                <w:vertAlign w:val="superscript"/>
              </w:rPr>
              <w:t>(8)(14)</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7.3% Cash, 1 month LIBOR(2.52%) + 4.75%; LIBOR Floor 1.00% ,</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2/25</w:t>
            </w:r>
          </w:p>
        </w:tc>
        <w:tc>
          <w:tcPr>
            <w:tcW w:w="11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2/9/2018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1,990,000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1,985,635</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1,873,784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Corsair Gaming, Inc.</w:t>
            </w:r>
            <w:r>
              <w:rPr>
                <w:rFonts w:ascii="Arial" w:cs="Arial" w:eastAsia="Arial" w:hAnsi="Arial"/>
                <w:sz w:val="20"/>
                <w:szCs w:val="20"/>
                <w:color w:val="auto"/>
                <w:vertAlign w:val="superscript"/>
              </w:rPr>
              <w:t>(8)</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Junior Secured Loan — Term Loan (Second Lien)</w:t>
            </w:r>
          </w:p>
        </w:tc>
        <w:tc>
          <w:tcPr>
            <w:tcW w:w="1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11.3% Cash, 3 month LIBOR(2.80%) + 8.50%; LIBOR Floor 1.00%</w:t>
            </w: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80" w:type="dxa"/>
            <w:vAlign w:val="bottom"/>
            <w:vMerge w:val="continue"/>
            <w:shd w:val="clear" w:color="auto" w:fill="CCEEFF"/>
          </w:tcPr>
          <w:p>
            <w:pPr>
              <w:spacing w:after="0"/>
              <w:rPr>
                <w:sz w:val="3"/>
                <w:szCs w:val="3"/>
                <w:color w:val="auto"/>
              </w:rPr>
            </w:pPr>
          </w:p>
        </w:tc>
        <w:tc>
          <w:tcPr>
            <w:tcW w:w="438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 Due 8/25</w:t>
            </w:r>
          </w:p>
        </w:tc>
        <w:tc>
          <w:tcPr>
            <w:tcW w:w="11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9/29/2017</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5,000,000</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4,936,538</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4,929,000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43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Corsair Gaming, Inc.</w:t>
            </w:r>
            <w:r>
              <w:rPr>
                <w:rFonts w:ascii="Arial" w:cs="Arial" w:eastAsia="Arial" w:hAnsi="Arial"/>
                <w:sz w:val="20"/>
                <w:szCs w:val="20"/>
                <w:color w:val="auto"/>
                <w:vertAlign w:val="superscript"/>
              </w:rPr>
              <w:t>(8)(14)</w:t>
            </w:r>
          </w:p>
        </w:tc>
        <w:tc>
          <w:tcPr>
            <w:tcW w:w="4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Senior Secured Loan — Term Loan (First Lien)</w:t>
            </w:r>
          </w:p>
        </w:tc>
        <w:tc>
          <w:tcPr>
            <w:tcW w:w="1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7.1% Cash, 3 month LIBOR(2.80%) + 4.25%; LIBOR Floor 1.00% ,</w:t>
            </w:r>
          </w:p>
        </w:tc>
        <w:tc>
          <w:tcPr>
            <w:tcW w:w="1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680" w:type="dxa"/>
            <w:vAlign w:val="bottom"/>
            <w:vMerge w:val="continue"/>
            <w:shd w:val="clear" w:color="auto" w:fill="CCEEFF"/>
          </w:tcPr>
          <w:p>
            <w:pPr>
              <w:spacing w:after="0"/>
              <w:rPr>
                <w:sz w:val="3"/>
                <w:szCs w:val="3"/>
                <w:color w:val="auto"/>
              </w:rPr>
            </w:pPr>
          </w:p>
        </w:tc>
        <w:tc>
          <w:tcPr>
            <w:tcW w:w="4380" w:type="dxa"/>
            <w:vAlign w:val="bottom"/>
            <w:vMerge w:val="restart"/>
            <w:shd w:val="clear" w:color="auto" w:fill="CCEEFF"/>
          </w:tcPr>
          <w:p>
            <w:pPr>
              <w:ind w:left="180"/>
              <w:spacing w:after="0"/>
              <w:rPr>
                <w:sz w:val="20"/>
                <w:szCs w:val="20"/>
                <w:color w:val="auto"/>
              </w:rPr>
            </w:pPr>
            <w:r>
              <w:rPr>
                <w:rFonts w:ascii="Arial" w:cs="Arial" w:eastAsia="Arial" w:hAnsi="Arial"/>
                <w:sz w:val="14"/>
                <w:szCs w:val="14"/>
                <w:color w:val="auto"/>
              </w:rPr>
              <w:t>Due 8/24</w:t>
            </w:r>
          </w:p>
        </w:tc>
        <w:tc>
          <w:tcPr>
            <w:tcW w:w="112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9/29/2017</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1,989,954</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1,985,554</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1,968,678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438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Portfolio Company /</w:t>
            </w:r>
          </w:p>
        </w:tc>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80" w:type="dxa"/>
            <w:vAlign w:val="bottom"/>
            <w:gridSpan w:val="3"/>
            <w:vMerge w:val="continue"/>
          </w:tcPr>
          <w:p>
            <w:pPr>
              <w:spacing w:after="0"/>
              <w:rPr>
                <w:sz w:val="4"/>
                <w:szCs w:val="4"/>
                <w:color w:val="auto"/>
              </w:rPr>
            </w:pPr>
          </w:p>
        </w:tc>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1020" w:type="dxa"/>
            <w:vAlign w:val="bottom"/>
            <w:gridSpan w:val="2"/>
            <w:vMerge w:val="restart"/>
          </w:tcPr>
          <w:p>
            <w:pPr>
              <w:ind w:left="100"/>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CSM Bakery Solutions Limited (fka CSM</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Bakery Supplies Limited)</w:t>
            </w:r>
            <w:r>
              <w:rPr>
                <w:rFonts w:ascii="Arial" w:cs="Arial" w:eastAsia="Arial" w:hAnsi="Arial"/>
                <w:sz w:val="23"/>
                <w:szCs w:val="23"/>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10.2% Cash, 3 month LIBOR(2.41%) + 7.75%; LIBOR Floor 1.00%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Beverage, Food and Tobacco</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Due 7/21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5/23/2013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3,006,304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2,841,300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Inc.</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New Term Loan Facility</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(Smart Holdings Corp.) (aka HealthPort)</w:t>
            </w:r>
            <w:r>
              <w:rPr>
                <w:rFonts w:ascii="Arial" w:cs="Arial" w:eastAsia="Arial" w:hAnsi="Arial"/>
                <w:sz w:val="23"/>
                <w:szCs w:val="23"/>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6.8% Cash, 1 month LIBOR(2.52%) + 4.25%; LIBOR Floor 1.00% ,</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12/21</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3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11/19/2014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3,964,063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3,958,001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3,306,683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Decolin Inc.</w:t>
            </w:r>
            <w:r>
              <w:rPr>
                <w:rFonts w:ascii="Arial" w:cs="Arial" w:eastAsia="Arial" w:hAnsi="Arial"/>
                <w:sz w:val="20"/>
                <w:szCs w:val="20"/>
                <w:color w:val="auto"/>
                <w:vertAlign w:val="superscript"/>
              </w:rPr>
              <w:t>(3)(13)(14)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Textiles and Leather</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7.0% Cash, 1 month LIBOR(2.51%) + 4.50%;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12/23</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1/26/2018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2,190,363</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2,181,096</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2,092,454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Dell International L.L.C. (EMC Corporation)</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Refinancing Term B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(8)(13)</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4.5% Cash, 1 month LIBOR(2.53%) + 2.00%; LIBOR Floor 0.75% ,</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9/23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12/28/2018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1,930,000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1,930,000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Digitran Innovations B.V. (Pomeroy Solutions</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Holding Company, Inc.)</w:t>
            </w:r>
            <w:r>
              <w:rPr>
                <w:rFonts w:ascii="Arial" w:cs="Arial" w:eastAsia="Arial" w:hAnsi="Arial"/>
                <w:sz w:val="23"/>
                <w:szCs w:val="23"/>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10.3% Cash, 3 month LIBOR(2.81%) + 7.50%; LIBOR Floor 1.50%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Due 7/24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12/10/2018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4,987,469</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4,938,132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4,937,594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Drew Marine Group Inc.</w:t>
            </w:r>
            <w:r>
              <w:rPr>
                <w:rFonts w:ascii="Arial" w:cs="Arial" w:eastAsia="Arial" w:hAnsi="Arial"/>
                <w:sz w:val="20"/>
                <w:szCs w:val="20"/>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Transportation: Cargo</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9.5% Cash, 1 month LIBOR(2.52%) + 7.00%;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5/21</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11/19/2013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4,000,634</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4,000,400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Evergreen North America Acquisition, LLC</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(f/k/a Industrial Services Acquisition, LLC)</w:t>
            </w:r>
            <w:r>
              <w:rPr>
                <w:rFonts w:ascii="Arial" w:cs="Arial" w:eastAsia="Arial" w:hAnsi="Arial"/>
                <w:sz w:val="23"/>
                <w:szCs w:val="23"/>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7.8% Cash, 3 month LIBOR(2.81%) + 5.00%; LIBOR Floor 1.00% ,</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(13)(14)</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6/22</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Environmental Industries</w:t>
            </w:r>
          </w:p>
        </w:tc>
        <w:tc>
          <w:tcPr>
            <w:tcW w:w="3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6/21/2016</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1,103,728</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1,107,755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1,103,728</w:t>
            </w:r>
          </w:p>
        </w:tc>
        <w:tc>
          <w:tcPr>
            <w:tcW w:w="0" w:type="dxa"/>
            <w:vAlign w:val="bottom"/>
          </w:tcPr>
          <w:p>
            <w:pPr>
              <w:spacing w:after="0"/>
              <w:rPr>
                <w:sz w:val="1"/>
                <w:szCs w:val="1"/>
                <w:color w:val="auto"/>
              </w:rPr>
            </w:pPr>
          </w:p>
        </w:tc>
      </w:tr>
    </w:tbl>
    <w:p>
      <w:pPr>
        <w:spacing w:after="0" w:line="91" w:lineRule="exact"/>
        <w:rPr>
          <w:sz w:val="20"/>
          <w:szCs w:val="20"/>
          <w:color w:val="auto"/>
        </w:rPr>
      </w:pPr>
    </w:p>
    <w:p>
      <w:pPr>
        <w:sectPr>
          <w:pgSz w:w="11900" w:h="16838" w:orient="portrait"/>
          <w:cols w:equalWidth="0" w:num="1">
            <w:col w:w="11420"/>
          </w:cols>
          <w:pgMar w:left="240" w:top="888" w:right="239" w:bottom="1440" w:gutter="0" w:footer="0" w:header="0"/>
        </w:sectPr>
      </w:pPr>
    </w:p>
    <w:p>
      <w:pPr>
        <w:spacing w:after="0"/>
        <w:rPr>
          <w:sz w:val="20"/>
          <w:szCs w:val="20"/>
          <w:color w:val="auto"/>
        </w:rPr>
      </w:pPr>
      <w:r>
        <w:rPr>
          <w:rFonts w:ascii="Arial" w:cs="Arial" w:eastAsia="Arial" w:hAnsi="Arial"/>
          <w:sz w:val="12"/>
          <w:szCs w:val="12"/>
          <w:color w:val="auto"/>
        </w:rPr>
        <w:t>First American Payment Systems, L.P.</w:t>
      </w:r>
      <w:r>
        <w:rPr>
          <w:rFonts w:ascii="Arial" w:cs="Arial" w:eastAsia="Arial" w:hAnsi="Arial"/>
          <w:sz w:val="22"/>
          <w:szCs w:val="22"/>
          <w:color w:val="auto"/>
          <w:vertAlign w:val="superscript"/>
        </w:rPr>
        <w:t>(8)(13)</w:t>
      </w:r>
    </w:p>
    <w:p>
      <w:pPr>
        <w:spacing w:after="0"/>
        <w:rPr>
          <w:sz w:val="20"/>
          <w:szCs w:val="20"/>
          <w:color w:val="auto"/>
        </w:rPr>
      </w:pPr>
      <w:r>
        <w:rPr>
          <w:rFonts w:ascii="Arial" w:cs="Arial" w:eastAsia="Arial" w:hAnsi="Arial"/>
          <w:sz w:val="14"/>
          <w:szCs w:val="14"/>
          <w:color w:val="auto"/>
        </w:rPr>
        <w:t>(14)</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Junior Secured Loan — Term Loan (Second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-89535</wp:posOffset>
            </wp:positionV>
            <wp:extent cx="7246620" cy="3346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13.0% Cash, 3 month LIBOR(2.54%) + 10.50%; LIBOR Floor</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Pr>
          <w:p>
            <w:pPr>
              <w:spacing w:after="0"/>
              <w:rPr>
                <w:sz w:val="20"/>
                <w:szCs w:val="20"/>
                <w:color w:val="auto"/>
              </w:rPr>
            </w:pPr>
            <w:r>
              <w:rPr>
                <w:rFonts w:ascii="Arial" w:cs="Arial" w:eastAsia="Arial" w:hAnsi="Arial"/>
                <w:sz w:val="14"/>
                <w:szCs w:val="14"/>
                <w:color w:val="auto"/>
              </w:rPr>
              <w:t>1.00% , Due 7/24</w:t>
            </w:r>
          </w:p>
        </w:tc>
        <w:tc>
          <w:tcPr>
            <w:tcW w:w="2560" w:type="dxa"/>
            <w:vAlign w:val="bottom"/>
          </w:tcPr>
          <w:p>
            <w:pPr>
              <w:jc w:val="right"/>
              <w:ind w:right="208"/>
              <w:spacing w:after="0"/>
              <w:rPr>
                <w:sz w:val="20"/>
                <w:szCs w:val="20"/>
                <w:color w:val="auto"/>
              </w:rPr>
            </w:pPr>
            <w:r>
              <w:rPr>
                <w:rFonts w:ascii="Arial" w:cs="Arial" w:eastAsia="Arial" w:hAnsi="Arial"/>
                <w:sz w:val="14"/>
                <w:szCs w:val="14"/>
                <w:color w:val="auto"/>
              </w:rPr>
              <w:t>1/4/2017</w:t>
            </w:r>
          </w:p>
        </w:tc>
        <w:tc>
          <w:tcPr>
            <w:tcW w:w="1140" w:type="dxa"/>
            <w:vAlign w:val="bottom"/>
          </w:tcPr>
          <w:p>
            <w:pPr>
              <w:jc w:val="right"/>
              <w:ind w:right="188"/>
              <w:spacing w:after="0"/>
              <w:rPr>
                <w:sz w:val="20"/>
                <w:szCs w:val="20"/>
                <w:color w:val="auto"/>
              </w:rPr>
            </w:pPr>
            <w:r>
              <w:rPr>
                <w:rFonts w:ascii="Arial" w:cs="Arial" w:eastAsia="Arial" w:hAnsi="Arial"/>
                <w:sz w:val="14"/>
                <w:szCs w:val="14"/>
                <w:color w:val="auto"/>
              </w:rPr>
              <w:t>1,500,000</w:t>
            </w:r>
          </w:p>
        </w:tc>
        <w:tc>
          <w:tcPr>
            <w:tcW w:w="1120" w:type="dxa"/>
            <w:vAlign w:val="bottom"/>
          </w:tcPr>
          <w:p>
            <w:pPr>
              <w:jc w:val="right"/>
              <w:ind w:right="188"/>
              <w:spacing w:after="0"/>
              <w:rPr>
                <w:sz w:val="20"/>
                <w:szCs w:val="20"/>
                <w:color w:val="auto"/>
              </w:rPr>
            </w:pPr>
            <w:r>
              <w:rPr>
                <w:rFonts w:ascii="Arial" w:cs="Arial" w:eastAsia="Arial" w:hAnsi="Arial"/>
                <w:sz w:val="14"/>
                <w:szCs w:val="14"/>
                <w:color w:val="auto"/>
              </w:rPr>
              <w:t>1,466,870</w:t>
            </w:r>
          </w:p>
        </w:tc>
        <w:tc>
          <w:tcPr>
            <w:tcW w:w="860" w:type="dxa"/>
            <w:vAlign w:val="bottom"/>
          </w:tcPr>
          <w:p>
            <w:pPr>
              <w:jc w:val="right"/>
              <w:spacing w:after="0"/>
              <w:rPr>
                <w:sz w:val="20"/>
                <w:szCs w:val="20"/>
                <w:color w:val="auto"/>
              </w:rPr>
            </w:pPr>
            <w:r>
              <w:rPr>
                <w:rFonts w:ascii="Arial" w:cs="Arial" w:eastAsia="Arial" w:hAnsi="Arial"/>
                <w:sz w:val="14"/>
                <w:szCs w:val="14"/>
                <w:color w:val="auto"/>
              </w:rPr>
              <w:t>1,399,200</w:t>
            </w:r>
          </w:p>
        </w:tc>
      </w:tr>
    </w:tbl>
    <w:p>
      <w:pPr>
        <w:spacing w:after="0" w:line="102" w:lineRule="exact"/>
        <w:rPr>
          <w:sz w:val="20"/>
          <w:szCs w:val="20"/>
          <w:color w:val="auto"/>
        </w:rPr>
      </w:pPr>
    </w:p>
    <w:p>
      <w:pPr>
        <w:sectPr>
          <w:pgSz w:w="11900" w:h="16838" w:orient="portrait"/>
          <w:cols w:equalWidth="0" w:num="2">
            <w:col w:w="2660" w:space="220"/>
            <w:col w:w="8540"/>
          </w:cols>
          <w:pgMar w:left="240" w:top="888"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w w:val="98"/>
              </w:rPr>
              <w:t>Flexera Software LLC (fka Flexera Software,</w:t>
            </w: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Junior Secured Loan — Initial Term Loan (Second Lien)</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Inc.)</w:t>
            </w:r>
            <w:r>
              <w:rPr>
                <w:rFonts w:ascii="Arial" w:cs="Arial" w:eastAsia="Arial" w:hAnsi="Arial"/>
                <w:sz w:val="23"/>
                <w:szCs w:val="23"/>
                <w:color w:val="auto"/>
                <w:vertAlign w:val="superscript"/>
              </w:rPr>
              <w:t>(8)</w:t>
            </w:r>
          </w:p>
        </w:tc>
        <w:tc>
          <w:tcPr>
            <w:tcW w:w="4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7"/>
              </w:rPr>
              <w:t>9.8%</w:t>
            </w:r>
          </w:p>
        </w:tc>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1 month LIBOR(2.53%) + 7.25%; LIBOR Floor 1.00% ,</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Due 2/26</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1/25/2018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1,099,654</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1,111,477</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1,090,032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Pr>
          <w:p>
            <w:pPr>
              <w:spacing w:after="0"/>
              <w:rPr>
                <w:sz w:val="12"/>
                <w:szCs w:val="12"/>
                <w:color w:val="auto"/>
              </w:rPr>
            </w:pPr>
          </w:p>
        </w:tc>
        <w:tc>
          <w:tcPr>
            <w:tcW w:w="430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740" w:type="dxa"/>
            <w:vAlign w:val="bottom"/>
            <w:shd w:val="clear" w:color="auto" w:fill="CCEEFF"/>
          </w:tcPr>
          <w:p>
            <w:pPr>
              <w:spacing w:after="0" w:line="184" w:lineRule="exact"/>
              <w:rPr>
                <w:sz w:val="20"/>
                <w:szCs w:val="20"/>
                <w:color w:val="auto"/>
              </w:rPr>
            </w:pPr>
            <w:r>
              <w:rPr>
                <w:rFonts w:ascii="Arial" w:cs="Arial" w:eastAsia="Arial" w:hAnsi="Arial"/>
                <w:sz w:val="12"/>
                <w:szCs w:val="12"/>
                <w:color w:val="auto"/>
              </w:rPr>
              <w:t>GI Advo Opco, LLC</w:t>
            </w:r>
            <w:r>
              <w:rPr>
                <w:rFonts w:ascii="Arial" w:cs="Arial" w:eastAsia="Arial" w:hAnsi="Arial"/>
                <w:sz w:val="21"/>
                <w:szCs w:val="21"/>
                <w:color w:val="auto"/>
                <w:vertAlign w:val="superscript"/>
              </w:rPr>
              <w:t>(5)(8)(13)(14)</w:t>
            </w: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Senior Secured Loan — Term Loan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7"/>
              </w:rPr>
              <w:t>9.5%</w:t>
            </w:r>
          </w:p>
        </w:tc>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Due 11/21</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11/19/2015</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180,304</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179,431</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Portfolio Company /</w:t>
            </w:r>
          </w:p>
        </w:tc>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80" w:type="dxa"/>
            <w:vAlign w:val="bottom"/>
            <w:gridSpan w:val="3"/>
            <w:vMerge w:val="continue"/>
          </w:tcPr>
          <w:p>
            <w:pPr>
              <w:spacing w:after="0"/>
              <w:rPr>
                <w:sz w:val="4"/>
                <w:szCs w:val="4"/>
                <w:color w:val="auto"/>
              </w:rPr>
            </w:pPr>
          </w:p>
        </w:tc>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1020" w:type="dxa"/>
            <w:vAlign w:val="bottom"/>
            <w:gridSpan w:val="2"/>
            <w:vMerge w:val="restart"/>
          </w:tcPr>
          <w:p>
            <w:pPr>
              <w:ind w:left="100"/>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GK Holdings, Inc. (aka Global Knowledge)</w:t>
            </w:r>
            <w:r>
              <w:rPr>
                <w:rFonts w:ascii="Arial" w:cs="Arial" w:eastAsia="Arial" w:hAnsi="Arial"/>
                <w:sz w:val="20"/>
                <w:szCs w:val="20"/>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13.1% Cash, 3 month LIBOR(2.80%) + 10.25%; LIBOR Floor</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20" w:type="dxa"/>
            <w:vAlign w:val="bottom"/>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1.00% , Due 1/22</w:t>
            </w:r>
          </w:p>
        </w:tc>
        <w:tc>
          <w:tcPr>
            <w:tcW w:w="9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Services: Business</w:t>
            </w:r>
          </w:p>
        </w:tc>
        <w:tc>
          <w:tcPr>
            <w:tcW w:w="4120" w:type="dxa"/>
            <w:vAlign w:val="bottom"/>
            <w:gridSpan w:val="2"/>
            <w:vMerge w:val="continue"/>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1/30/2015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1,486,831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1,376,250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Global Tel*Link Corporation</w:t>
            </w:r>
            <w:r>
              <w:rPr>
                <w:rFonts w:ascii="Arial" w:cs="Arial" w:eastAsia="Arial" w:hAnsi="Arial"/>
                <w:sz w:val="21"/>
                <w:szCs w:val="21"/>
                <w:color w:val="auto"/>
                <w:vertAlign w:val="superscript"/>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Telecommunications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 Cash, 3 month LIBOR(2.71%) + 8.25% , Due 11/26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5/21/2013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4,915,960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4,912,500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Global Tel*Link Corporation</w:t>
            </w:r>
            <w:r>
              <w:rPr>
                <w:rFonts w:ascii="Arial" w:cs="Arial" w:eastAsia="Arial" w:hAnsi="Arial"/>
                <w:sz w:val="21"/>
                <w:szCs w:val="21"/>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Telecommunications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11.0% Cash, 3 month LIBOR(2.71%) + 8.25% , Due 11/26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5/21/2013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1,965,349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Global Tel*Link Corporation</w:t>
            </w:r>
            <w:r>
              <w:rPr>
                <w:rFonts w:ascii="Arial" w:cs="Arial" w:eastAsia="Arial" w:hAnsi="Arial"/>
                <w:sz w:val="21"/>
                <w:szCs w:val="21"/>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 (First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Telecommunications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7.0% Cash, 3 month LIBOR(2.71%) + 4.25% , Due 11/25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12/7/2017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1,473,788</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1,470,466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1,466,419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20"/>
                <w:szCs w:val="20"/>
                <w:color w:val="auto"/>
                <w:vertAlign w:val="superscript"/>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B Loan (First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9.5% Cash, 3 month LIBOR(2.52%) + 7.00%; LIBOR Floor 1.50%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1/18</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1/30/2013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2,813,058</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2,813,058</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2,728,666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Grupo HIMA San Pablo, Inc.</w:t>
            </w:r>
            <w:r>
              <w:rPr>
                <w:rFonts w:ascii="Arial" w:cs="Arial" w:eastAsia="Arial" w:hAnsi="Arial"/>
                <w:sz w:val="21"/>
                <w:szCs w:val="21"/>
                <w:color w:val="auto"/>
                <w:vertAlign w:val="superscript"/>
              </w:rPr>
              <w:t>(5)(13)(14)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13.8% Cash, Due 7/18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1/30/2013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7,191,667</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7,169,109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4,789,650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Harland Clarke Holdings Corp. (fka Clarke</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Initial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13"/>
                <w:szCs w:val="13"/>
                <w:color w:val="auto"/>
              </w:rPr>
              <w:t>American Corp.)</w:t>
            </w:r>
            <w:r>
              <w:rPr>
                <w:rFonts w:ascii="Arial" w:cs="Arial" w:eastAsia="Arial" w:hAnsi="Arial"/>
                <w:sz w:val="23"/>
                <w:szCs w:val="23"/>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7.6% Cash, 3 month LIBOR(2.80%) + 4.75%; LIBOR Floor 1.00% ,</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Media: Advertising, Printing &amp; Publishing</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6/18/2013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2,817,177</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2,836,587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2,564,688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Hoffmaster Group, Inc.</w:t>
            </w:r>
            <w:r>
              <w:rPr>
                <w:rFonts w:ascii="Arial" w:cs="Arial" w:eastAsia="Arial" w:hAnsi="Arial"/>
                <w:sz w:val="20"/>
                <w:szCs w:val="20"/>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Forest Products &amp; Paper</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12.0% Cash, 1 month LIBOR(2.52%) + 9.50%; LIBOR Floor 1.00%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11/24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5/6/2014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1,564,583</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1,553,920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Infobase Holdings, Inc.</w:t>
            </w:r>
            <w:r>
              <w:rPr>
                <w:rFonts w:ascii="Arial" w:cs="Arial" w:eastAsia="Arial" w:hAnsi="Arial"/>
                <w:sz w:val="20"/>
                <w:szCs w:val="20"/>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7.1% Cash, 3 month LIBOR(2.63%) + 4.50%;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12/22</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12/13/2017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4,017,393</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3,981,675</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3,977,219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Ion Media Networks, Inc.</w:t>
            </w:r>
            <w:r>
              <w:rPr>
                <w:rFonts w:ascii="Arial" w:cs="Arial" w:eastAsia="Arial" w:hAnsi="Arial"/>
                <w:sz w:val="20"/>
                <w:szCs w:val="20"/>
                <w:color w:val="auto"/>
                <w:vertAlign w:val="superscript"/>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B-3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Media: Advertising, Printing &amp; Publishing</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5.3% Cash, 1 month LIBOR(2.53%) + 2.75%;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12/20</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12/28/2018</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2,917,500</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2,917,500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Ivanti Software, Inc. (fka LANDesk Group,</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Loan (Second Lien)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Inc.)</w:t>
            </w:r>
            <w:r>
              <w:rPr>
                <w:rFonts w:ascii="Arial" w:cs="Arial" w:eastAsia="Arial" w:hAnsi="Arial"/>
                <w:sz w:val="13"/>
                <w:szCs w:val="13"/>
                <w:color w:val="auto"/>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11.4% Cash, 1 month LIBOR(2.35%) + 9.00%; LIBOR Floor 1.00%</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High Tech Industries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Due 1/25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3/10/2017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3,228,619</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3,228,619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3,071,062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1" w:name="page22"/>
    <w:bookmarkEnd w:id="2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7411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Jane Street Group, LLC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3"/>
          <w:szCs w:val="13"/>
          <w:color w:val="auto"/>
        </w:rPr>
        <w:t>Banking, Finance, Insurance &amp; Real Estate</w:t>
      </w:r>
    </w:p>
    <w:p>
      <w:pPr>
        <w:spacing w:after="0" w:line="136" w:lineRule="exact"/>
        <w:rPr>
          <w:sz w:val="20"/>
          <w:szCs w:val="20"/>
          <w:color w:val="auto"/>
        </w:rPr>
      </w:pPr>
    </w:p>
    <w:p>
      <w:pPr>
        <w:ind w:left="180" w:right="200" w:hanging="161"/>
        <w:spacing w:after="0" w:line="191" w:lineRule="auto"/>
        <w:rPr>
          <w:sz w:val="20"/>
          <w:szCs w:val="20"/>
          <w:color w:val="auto"/>
        </w:rPr>
      </w:pPr>
      <w:r>
        <w:rPr>
          <w:rFonts w:ascii="Arial" w:cs="Arial" w:eastAsia="Arial" w:hAnsi="Arial"/>
          <w:sz w:val="14"/>
          <w:szCs w:val="14"/>
          <w:color w:val="auto"/>
        </w:rPr>
        <w:t>Kellermeyer Bergensons Services, LLC</w:t>
      </w:r>
      <w:r>
        <w:rPr>
          <w:rFonts w:ascii="Arial" w:cs="Arial" w:eastAsia="Arial" w:hAnsi="Arial"/>
          <w:sz w:val="28"/>
          <w:szCs w:val="28"/>
          <w:color w:val="auto"/>
          <w:vertAlign w:val="superscript"/>
        </w:rPr>
        <w:t>(8)</w:t>
      </w:r>
      <w:r>
        <w:rPr>
          <w:rFonts w:ascii="Arial" w:cs="Arial" w:eastAsia="Arial" w:hAnsi="Arial"/>
          <w:sz w:val="14"/>
          <w:szCs w:val="14"/>
          <w:color w:val="auto"/>
        </w:rPr>
        <w:t xml:space="preserve"> Services: Business</w:t>
      </w:r>
    </w:p>
    <w:p>
      <w:pPr>
        <w:spacing w:after="0" w:line="264" w:lineRule="exact"/>
        <w:rPr>
          <w:sz w:val="20"/>
          <w:szCs w:val="20"/>
          <w:color w:val="auto"/>
        </w:rPr>
      </w:pPr>
    </w:p>
    <w:p>
      <w:pPr>
        <w:ind w:left="180" w:right="80" w:hanging="161"/>
        <w:spacing w:after="0" w:line="236" w:lineRule="auto"/>
        <w:rPr>
          <w:sz w:val="20"/>
          <w:szCs w:val="20"/>
          <w:color w:val="auto"/>
        </w:rPr>
      </w:pPr>
      <w:r>
        <w:rPr>
          <w:rFonts w:ascii="Arial" w:cs="Arial" w:eastAsia="Arial" w:hAnsi="Arial"/>
          <w:sz w:val="12"/>
          <w:szCs w:val="12"/>
          <w:color w:val="auto"/>
        </w:rPr>
        <w:t>MB Aerospace Holdings II Corp.</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Aerospace and Defense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Navex Topco, Inc.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Electronics</w:t>
      </w:r>
    </w:p>
    <w:p>
      <w:pPr>
        <w:spacing w:after="0" w:line="124" w:lineRule="exact"/>
        <w:rPr>
          <w:sz w:val="20"/>
          <w:szCs w:val="20"/>
          <w:color w:val="auto"/>
        </w:rPr>
      </w:pPr>
    </w:p>
    <w:p>
      <w:pPr>
        <w:jc w:val="right"/>
        <w:ind w:right="1060"/>
        <w:spacing w:after="0" w:line="236" w:lineRule="auto"/>
        <w:rPr>
          <w:sz w:val="20"/>
          <w:szCs w:val="20"/>
          <w:color w:val="auto"/>
        </w:rPr>
      </w:pPr>
      <w:r>
        <w:rPr>
          <w:rFonts w:ascii="Arial" w:cs="Arial" w:eastAsia="Arial" w:hAnsi="Arial"/>
          <w:sz w:val="12"/>
          <w:szCs w:val="12"/>
          <w:color w:val="auto"/>
        </w:rPr>
        <w:t>Playpower, Inc.</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Construction &amp; Building</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PSC Industrial Holdings Corp.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Environmental Industries</w:t>
      </w:r>
    </w:p>
    <w:p>
      <w:pPr>
        <w:spacing w:after="0" w:line="273" w:lineRule="exact"/>
        <w:rPr>
          <w:sz w:val="20"/>
          <w:szCs w:val="20"/>
          <w:color w:val="auto"/>
        </w:rPr>
      </w:pPr>
    </w:p>
    <w:p>
      <w:pPr>
        <w:ind w:left="180" w:right="660" w:hanging="161"/>
        <w:spacing w:after="0" w:line="236" w:lineRule="auto"/>
        <w:rPr>
          <w:sz w:val="20"/>
          <w:szCs w:val="20"/>
          <w:color w:val="auto"/>
        </w:rPr>
      </w:pPr>
      <w:r>
        <w:rPr>
          <w:rFonts w:ascii="Arial" w:cs="Arial" w:eastAsia="Arial" w:hAnsi="Arial"/>
          <w:sz w:val="12"/>
          <w:szCs w:val="12"/>
          <w:color w:val="auto"/>
        </w:rPr>
        <w:t>PVHC Holding Corp</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Chemicals, Plastics and Rubber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980" w:type="dxa"/>
            <w:vAlign w:val="bottom"/>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40" w:type="dxa"/>
            <w:vAlign w:val="bottom"/>
            <w:vMerge w:val="restart"/>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200" w:type="dxa"/>
            <w:vAlign w:val="bottom"/>
            <w:vMerge w:val="restart"/>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20" w:type="dxa"/>
            <w:vAlign w:val="bottom"/>
            <w:vMerge w:val="restart"/>
          </w:tcPr>
          <w:p>
            <w:pPr>
              <w:jc w:val="right"/>
              <w:ind w:right="28"/>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Dollar Term Loan (2018)</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5.5% Cash, 1 month LIBOR(2.50%) + 3.00% , Due 8/22</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12/28/2018</w:t>
            </w:r>
          </w:p>
        </w:tc>
        <w:tc>
          <w:tcPr>
            <w:tcW w:w="920" w:type="dxa"/>
            <w:vAlign w:val="bottom"/>
          </w:tcPr>
          <w:p>
            <w:pPr>
              <w:jc w:val="right"/>
              <w:spacing w:after="0"/>
              <w:rPr>
                <w:sz w:val="20"/>
                <w:szCs w:val="20"/>
                <w:color w:val="auto"/>
              </w:rPr>
            </w:pPr>
            <w:r>
              <w:rPr>
                <w:rFonts w:ascii="Arial" w:cs="Arial" w:eastAsia="Arial" w:hAnsi="Arial"/>
                <w:sz w:val="14"/>
                <w:szCs w:val="14"/>
                <w:color w:val="auto"/>
              </w:rPr>
              <w:t>2,992,500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2,932,650</w:t>
            </w:r>
          </w:p>
        </w:tc>
        <w:tc>
          <w:tcPr>
            <w:tcW w:w="920" w:type="dxa"/>
            <w:vAlign w:val="bottom"/>
          </w:tcPr>
          <w:p>
            <w:pPr>
              <w:jc w:val="right"/>
              <w:spacing w:after="0"/>
              <w:rPr>
                <w:sz w:val="20"/>
                <w:szCs w:val="20"/>
                <w:color w:val="auto"/>
              </w:rPr>
            </w:pPr>
            <w:r>
              <w:rPr>
                <w:rFonts w:ascii="Arial" w:cs="Arial" w:eastAsia="Arial" w:hAnsi="Arial"/>
                <w:sz w:val="14"/>
                <w:szCs w:val="14"/>
                <w:color w:val="auto"/>
              </w:rPr>
              <w:t>2,932,650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w w:val="99"/>
              </w:rPr>
              <w:t>Senior Secured Loan — 2018 Replacement Term Loan (First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7.5% Cash, 3 month LIBOR(2.71%) + 4.75%;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10/21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10/31/2014</w:t>
            </w:r>
          </w:p>
        </w:tc>
        <w:tc>
          <w:tcPr>
            <w:tcW w:w="920" w:type="dxa"/>
            <w:vAlign w:val="bottom"/>
          </w:tcPr>
          <w:p>
            <w:pPr>
              <w:jc w:val="right"/>
              <w:spacing w:after="0"/>
              <w:rPr>
                <w:sz w:val="20"/>
                <w:szCs w:val="20"/>
                <w:color w:val="auto"/>
              </w:rPr>
            </w:pPr>
            <w:r>
              <w:rPr>
                <w:rFonts w:ascii="Arial" w:cs="Arial" w:eastAsia="Arial" w:hAnsi="Arial"/>
                <w:sz w:val="14"/>
                <w:szCs w:val="14"/>
                <w:color w:val="auto"/>
              </w:rPr>
              <w:t>2,093,452</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2,090,784</w:t>
            </w:r>
          </w:p>
        </w:tc>
        <w:tc>
          <w:tcPr>
            <w:tcW w:w="920" w:type="dxa"/>
            <w:vAlign w:val="bottom"/>
          </w:tcPr>
          <w:p>
            <w:pPr>
              <w:jc w:val="right"/>
              <w:spacing w:after="0"/>
              <w:rPr>
                <w:sz w:val="20"/>
                <w:szCs w:val="20"/>
                <w:color w:val="auto"/>
              </w:rPr>
            </w:pPr>
            <w:r>
              <w:rPr>
                <w:rFonts w:ascii="Arial" w:cs="Arial" w:eastAsia="Arial" w:hAnsi="Arial"/>
                <w:sz w:val="14"/>
                <w:szCs w:val="14"/>
                <w:color w:val="auto"/>
              </w:rPr>
              <w:t>2,096,069</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6.0% Cash, 1 month LIBOR(2.52%) + 3.50%;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1/25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5/10/2013</w:t>
            </w:r>
          </w:p>
        </w:tc>
        <w:tc>
          <w:tcPr>
            <w:tcW w:w="920" w:type="dxa"/>
            <w:vAlign w:val="bottom"/>
          </w:tcPr>
          <w:p>
            <w:pPr>
              <w:jc w:val="right"/>
              <w:spacing w:after="0"/>
              <w:rPr>
                <w:sz w:val="20"/>
                <w:szCs w:val="20"/>
                <w:color w:val="auto"/>
              </w:rPr>
            </w:pPr>
            <w:r>
              <w:rPr>
                <w:rFonts w:ascii="Arial" w:cs="Arial" w:eastAsia="Arial" w:hAnsi="Arial"/>
                <w:sz w:val="14"/>
                <w:szCs w:val="14"/>
                <w:color w:val="auto"/>
              </w:rPr>
              <w:t>1,237,500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1,232,118</w:t>
            </w:r>
          </w:p>
        </w:tc>
        <w:tc>
          <w:tcPr>
            <w:tcW w:w="920" w:type="dxa"/>
            <w:vAlign w:val="bottom"/>
          </w:tcPr>
          <w:p>
            <w:pPr>
              <w:jc w:val="right"/>
              <w:spacing w:after="0"/>
              <w:rPr>
                <w:sz w:val="20"/>
                <w:szCs w:val="20"/>
                <w:color w:val="auto"/>
              </w:rPr>
            </w:pPr>
            <w:r>
              <w:rPr>
                <w:rFonts w:ascii="Arial" w:cs="Arial" w:eastAsia="Arial" w:hAnsi="Arial"/>
                <w:sz w:val="14"/>
                <w:szCs w:val="14"/>
                <w:color w:val="auto"/>
              </w:rPr>
              <w:t>1,149,390</w:t>
            </w:r>
          </w:p>
        </w:tc>
        <w:tc>
          <w:tcPr>
            <w:tcW w:w="0" w:type="dxa"/>
            <w:vAlign w:val="bottom"/>
          </w:tcPr>
          <w:p>
            <w:pPr>
              <w:spacing w:after="0"/>
              <w:rPr>
                <w:sz w:val="1"/>
                <w:szCs w:val="1"/>
                <w:color w:val="auto"/>
              </w:rPr>
            </w:pPr>
          </w:p>
        </w:tc>
      </w:tr>
      <w:tr>
        <w:trPr>
          <w:trHeight w:val="297"/>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9.5% Cash, 1 month LIBOR(2.53%) + 7.00% , Due 9/26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12/4/2018</w:t>
            </w:r>
          </w:p>
        </w:tc>
        <w:tc>
          <w:tcPr>
            <w:tcW w:w="9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3,007,500</w:t>
            </w:r>
          </w:p>
        </w:tc>
        <w:tc>
          <w:tcPr>
            <w:tcW w:w="920" w:type="dxa"/>
            <w:vAlign w:val="bottom"/>
          </w:tcPr>
          <w:p>
            <w:pPr>
              <w:jc w:val="right"/>
              <w:spacing w:after="0"/>
              <w:rPr>
                <w:sz w:val="20"/>
                <w:szCs w:val="20"/>
                <w:color w:val="auto"/>
              </w:rPr>
            </w:pPr>
            <w:r>
              <w:rPr>
                <w:rFonts w:ascii="Arial" w:cs="Arial" w:eastAsia="Arial" w:hAnsi="Arial"/>
                <w:sz w:val="14"/>
                <w:szCs w:val="14"/>
                <w:color w:val="auto"/>
              </w:rPr>
              <w:t>3,007,500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7.6% Cash, 3 month LIBOR(2.80%) + 4.75%;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6/21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6/23/2015</w:t>
            </w:r>
          </w:p>
        </w:tc>
        <w:tc>
          <w:tcPr>
            <w:tcW w:w="920" w:type="dxa"/>
            <w:vAlign w:val="bottom"/>
          </w:tcPr>
          <w:p>
            <w:pPr>
              <w:jc w:val="right"/>
              <w:spacing w:after="0"/>
              <w:rPr>
                <w:sz w:val="20"/>
                <w:szCs w:val="20"/>
                <w:color w:val="auto"/>
              </w:rPr>
            </w:pPr>
            <w:r>
              <w:rPr>
                <w:rFonts w:ascii="Arial" w:cs="Arial" w:eastAsia="Arial" w:hAnsi="Arial"/>
                <w:sz w:val="14"/>
                <w:szCs w:val="14"/>
                <w:color w:val="auto"/>
              </w:rPr>
              <w:t>1,393,745</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1,400,223</w:t>
            </w:r>
          </w:p>
        </w:tc>
        <w:tc>
          <w:tcPr>
            <w:tcW w:w="920" w:type="dxa"/>
            <w:vAlign w:val="bottom"/>
          </w:tcPr>
          <w:p>
            <w:pPr>
              <w:jc w:val="right"/>
              <w:spacing w:after="0"/>
              <w:rPr>
                <w:sz w:val="20"/>
                <w:szCs w:val="20"/>
                <w:color w:val="auto"/>
              </w:rPr>
            </w:pPr>
            <w:r>
              <w:rPr>
                <w:rFonts w:ascii="Arial" w:cs="Arial" w:eastAsia="Arial" w:hAnsi="Arial"/>
                <w:sz w:val="14"/>
                <w:szCs w:val="14"/>
                <w:color w:val="auto"/>
              </w:rPr>
              <w:t>1,394,163</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rPr>
              <w:t>10.96% Cash, 1 month LIBOR(2.46%) + 8.50%; LIBOR Floor</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1.00% , Due 10/25</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10/5/2017</w:t>
            </w:r>
          </w:p>
        </w:tc>
        <w:tc>
          <w:tcPr>
            <w:tcW w:w="9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2,949,039</w:t>
            </w:r>
          </w:p>
        </w:tc>
        <w:tc>
          <w:tcPr>
            <w:tcW w:w="920" w:type="dxa"/>
            <w:vAlign w:val="bottom"/>
          </w:tcPr>
          <w:p>
            <w:pPr>
              <w:jc w:val="right"/>
              <w:spacing w:after="0"/>
              <w:rPr>
                <w:sz w:val="20"/>
                <w:szCs w:val="20"/>
                <w:color w:val="auto"/>
              </w:rPr>
            </w:pPr>
            <w:r>
              <w:rPr>
                <w:rFonts w:ascii="Arial" w:cs="Arial" w:eastAsia="Arial" w:hAnsi="Arial"/>
                <w:sz w:val="14"/>
                <w:szCs w:val="14"/>
                <w:color w:val="auto"/>
              </w:rPr>
              <w:t>2,940,300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7.57% Cash, 3 month LIBOR(2.82%) + 4.75%; LIBOR Floor 1.00%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 Due 8/24</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8/10/2018</w:t>
            </w:r>
          </w:p>
        </w:tc>
        <w:tc>
          <w:tcPr>
            <w:tcW w:w="920" w:type="dxa"/>
            <w:vAlign w:val="bottom"/>
          </w:tcPr>
          <w:p>
            <w:pPr>
              <w:jc w:val="right"/>
              <w:spacing w:after="0"/>
              <w:rPr>
                <w:sz w:val="20"/>
                <w:szCs w:val="20"/>
                <w:color w:val="auto"/>
              </w:rPr>
            </w:pPr>
            <w:r>
              <w:rPr>
                <w:rFonts w:ascii="Arial" w:cs="Arial" w:eastAsia="Arial" w:hAnsi="Arial"/>
                <w:sz w:val="14"/>
                <w:szCs w:val="14"/>
                <w:color w:val="auto"/>
              </w:rPr>
              <w:t>2,872,800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2,859,340</w:t>
            </w:r>
          </w:p>
        </w:tc>
        <w:tc>
          <w:tcPr>
            <w:tcW w:w="920" w:type="dxa"/>
            <w:vAlign w:val="bottom"/>
          </w:tcPr>
          <w:p>
            <w:pPr>
              <w:jc w:val="right"/>
              <w:spacing w:after="0"/>
              <w:rPr>
                <w:sz w:val="20"/>
                <w:szCs w:val="20"/>
                <w:color w:val="auto"/>
              </w:rPr>
            </w:pPr>
            <w:r>
              <w:rPr>
                <w:rFonts w:ascii="Arial" w:cs="Arial" w:eastAsia="Arial" w:hAnsi="Arial"/>
                <w:sz w:val="14"/>
                <w:szCs w:val="14"/>
                <w:color w:val="auto"/>
              </w:rPr>
              <w:t>2,859,872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-2607310</wp:posOffset>
            </wp:positionV>
            <wp:extent cx="724662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-2289810</wp:posOffset>
            </wp:positionV>
            <wp:extent cx="7246620"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-1878330</wp:posOffset>
            </wp:positionV>
            <wp:extent cx="7246620"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-1466850</wp:posOffset>
            </wp:positionV>
            <wp:extent cx="7246620" cy="2228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-1149350</wp:posOffset>
            </wp:positionV>
            <wp:extent cx="7246620" cy="3175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-737870</wp:posOffset>
            </wp:positionV>
            <wp:extent cx="7246620" cy="3175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-326390</wp:posOffset>
            </wp:positionV>
            <wp:extent cx="7246620" cy="317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2660" w:space="220"/>
            <w:col w:w="8540"/>
          </w:cols>
          <w:pgMar w:left="240" w:top="888"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w w:val="98"/>
              </w:rPr>
              <w:t>Q Holding Company (fka Lexington Precision</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Senior Secured Loan — Term B Loan</w:t>
            </w:r>
          </w:p>
        </w:tc>
        <w:tc>
          <w:tcPr>
            <w:tcW w:w="1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Corporation)</w:t>
            </w:r>
            <w:r>
              <w:rPr>
                <w:rFonts w:ascii="Arial" w:cs="Arial" w:eastAsia="Arial" w:hAnsi="Arial"/>
                <w:sz w:val="23"/>
                <w:szCs w:val="23"/>
                <w:color w:val="auto"/>
                <w:vertAlign w:val="superscript"/>
              </w:rPr>
              <w:t>(8)(13)(14)</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7.5% Cash, 1 month LIBOR(2.52%) + 5.00%; LIBOR Floor 1.00% ,</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Chemicals, Plastics and Rubber</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12/21</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12/16/2016</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1,979,381</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2,002,724</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1,941,773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76" w:lineRule="exact"/>
              <w:rPr>
                <w:sz w:val="20"/>
                <w:szCs w:val="20"/>
                <w:color w:val="auto"/>
              </w:rPr>
            </w:pPr>
            <w:r>
              <w:rPr>
                <w:rFonts w:ascii="Arial" w:cs="Arial" w:eastAsia="Arial" w:hAnsi="Arial"/>
                <w:sz w:val="12"/>
                <w:szCs w:val="12"/>
                <w:color w:val="auto"/>
              </w:rPr>
              <w:t>Ravn Air Group, Inc.</w:t>
            </w:r>
            <w:r>
              <w:rPr>
                <w:rFonts w:ascii="Arial" w:cs="Arial" w:eastAsia="Arial" w:hAnsi="Arial"/>
                <w:sz w:val="20"/>
                <w:szCs w:val="20"/>
                <w:color w:val="auto"/>
                <w:vertAlign w:val="superscript"/>
              </w:rPr>
              <w:t>(8)(13)(14)</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Senior Secured Loan — Initial Term Loan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Aerospace and Defense</w:t>
            </w:r>
          </w:p>
        </w:tc>
        <w:tc>
          <w:tcPr>
            <w:tcW w:w="4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7.8% Cash, 3 month LIBOR(2.81%) + 5.00%; LIBOR Floor 1.00% ,</w:t>
            </w:r>
          </w:p>
        </w:tc>
        <w:tc>
          <w:tcPr>
            <w:tcW w:w="1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vMerge w:val="continue"/>
            <w:shd w:val="clear" w:color="auto" w:fill="CCEEFF"/>
          </w:tcPr>
          <w:p>
            <w:pPr>
              <w:spacing w:after="0"/>
              <w:rPr>
                <w:sz w:val="3"/>
                <w:szCs w:val="3"/>
                <w:color w:val="auto"/>
              </w:rPr>
            </w:pPr>
          </w:p>
        </w:tc>
        <w:tc>
          <w:tcPr>
            <w:tcW w:w="42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Due 7/21</w:t>
            </w:r>
          </w:p>
        </w:tc>
        <w:tc>
          <w:tcPr>
            <w:tcW w:w="114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7/29/2015</w:t>
            </w:r>
          </w:p>
        </w:tc>
        <w:tc>
          <w:tcPr>
            <w:tcW w:w="114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1,894,549</w:t>
            </w:r>
          </w:p>
        </w:tc>
        <w:tc>
          <w:tcPr>
            <w:tcW w:w="112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1,894,549</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1,894,549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428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Robertshaw US Holding Corp. (fka Fox US</w:t>
            </w:r>
          </w:p>
        </w:tc>
        <w:tc>
          <w:tcPr>
            <w:tcW w:w="4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Junior Secured Loan — Initial Term Loan (Second Lien)</w:t>
            </w:r>
          </w:p>
        </w:tc>
        <w:tc>
          <w:tcPr>
            <w:tcW w:w="1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60" w:type="dxa"/>
            <w:vAlign w:val="bottom"/>
            <w:shd w:val="clear" w:color="auto" w:fill="CCEEFF"/>
          </w:tcPr>
          <w:p>
            <w:pPr>
              <w:spacing w:after="0" w:line="202" w:lineRule="exact"/>
              <w:rPr>
                <w:sz w:val="20"/>
                <w:szCs w:val="20"/>
                <w:color w:val="auto"/>
              </w:rPr>
            </w:pPr>
            <w:r>
              <w:rPr>
                <w:rFonts w:ascii="Arial" w:cs="Arial" w:eastAsia="Arial" w:hAnsi="Arial"/>
                <w:sz w:val="13"/>
                <w:szCs w:val="13"/>
                <w:color w:val="auto"/>
              </w:rPr>
              <w:t xml:space="preserve">Bidco Corp.) </w:t>
            </w:r>
            <w:r>
              <w:rPr>
                <w:rFonts w:ascii="Arial" w:cs="Arial" w:eastAsia="Arial" w:hAnsi="Arial"/>
                <w:sz w:val="23"/>
                <w:szCs w:val="23"/>
                <w:color w:val="auto"/>
                <w:vertAlign w:val="superscript"/>
              </w:rPr>
              <w:t>(8)(13)</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10.6% Cash, 1 month LIBOR(2.56%) + 8.00%; LIBOR Floor 1.00%</w:t>
            </w:r>
          </w:p>
        </w:tc>
        <w:tc>
          <w:tcPr>
            <w:tcW w:w="1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Equipment</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Due 2/26</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2/15/2018</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3,000,000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2,973,097</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2,775,000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760" w:type="dxa"/>
            <w:vAlign w:val="bottom"/>
            <w:shd w:val="clear" w:color="auto" w:fill="CCEEFF"/>
          </w:tcPr>
          <w:p>
            <w:pPr>
              <w:spacing w:after="0" w:line="184" w:lineRule="exact"/>
              <w:rPr>
                <w:sz w:val="20"/>
                <w:szCs w:val="20"/>
                <w:color w:val="auto"/>
              </w:rPr>
            </w:pPr>
            <w:r>
              <w:rPr>
                <w:rFonts w:ascii="Arial" w:cs="Arial" w:eastAsia="Arial" w:hAnsi="Arial"/>
                <w:sz w:val="12"/>
                <w:szCs w:val="12"/>
                <w:color w:val="auto"/>
              </w:rPr>
              <w:t>Roscoe Medical, Inc.</w:t>
            </w:r>
            <w:r>
              <w:rPr>
                <w:rFonts w:ascii="Arial" w:cs="Arial" w:eastAsia="Arial" w:hAnsi="Arial"/>
                <w:sz w:val="21"/>
                <w:szCs w:val="21"/>
                <w:color w:val="auto"/>
                <w:vertAlign w:val="superscript"/>
              </w:rPr>
              <w:t>(8)(13)</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Junior Secured Loan — Term Loan (Second Lien)</w:t>
            </w:r>
          </w:p>
        </w:tc>
        <w:tc>
          <w:tcPr>
            <w:tcW w:w="1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11.3% Cash, Due 9/19</w:t>
            </w:r>
          </w:p>
        </w:tc>
        <w:tc>
          <w:tcPr>
            <w:tcW w:w="114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3/26/2014</w:t>
            </w:r>
          </w:p>
        </w:tc>
        <w:tc>
          <w:tcPr>
            <w:tcW w:w="11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1,700,000</w:t>
            </w:r>
          </w:p>
        </w:tc>
        <w:tc>
          <w:tcPr>
            <w:tcW w:w="11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1,697,733</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1,525,750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Portfolio Company /</w:t>
            </w:r>
          </w:p>
        </w:tc>
        <w:tc>
          <w:tcPr>
            <w:tcW w:w="4120" w:type="dxa"/>
            <w:vAlign w:val="bottom"/>
            <w:gridSpan w:val="2"/>
            <w:vMerge w:val="continue"/>
          </w:tcPr>
          <w:p>
            <w:pPr>
              <w:spacing w:after="0"/>
              <w:rPr>
                <w:sz w:val="8"/>
                <w:szCs w:val="8"/>
                <w:color w:val="auto"/>
              </w:rPr>
            </w:pPr>
          </w:p>
        </w:tc>
        <w:tc>
          <w:tcPr>
            <w:tcW w:w="11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Amortized</w:t>
            </w: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880" w:type="dxa"/>
            <w:vAlign w:val="bottom"/>
            <w:gridSpan w:val="3"/>
            <w:vMerge w:val="continue"/>
          </w:tcPr>
          <w:p>
            <w:pPr>
              <w:spacing w:after="0"/>
              <w:rPr>
                <w:sz w:val="4"/>
                <w:szCs w:val="4"/>
                <w:color w:val="auto"/>
              </w:rPr>
            </w:pPr>
          </w:p>
        </w:tc>
        <w:tc>
          <w:tcPr>
            <w:tcW w:w="4120" w:type="dxa"/>
            <w:vAlign w:val="bottom"/>
            <w:gridSpan w:val="2"/>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160" w:type="dxa"/>
            <w:vAlign w:val="bottom"/>
            <w:gridSpan w:val="2"/>
            <w:vMerge w:val="continue"/>
          </w:tcPr>
          <w:p>
            <w:pPr>
              <w:spacing w:after="0"/>
              <w:rPr>
                <w:sz w:val="4"/>
                <w:szCs w:val="4"/>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2"/>
            <w:vMerge w:val="continue"/>
          </w:tcPr>
          <w:p>
            <w:pPr>
              <w:spacing w:after="0"/>
              <w:rPr>
                <w:sz w:val="4"/>
                <w:szCs w:val="4"/>
                <w:color w:val="auto"/>
              </w:rPr>
            </w:pPr>
          </w:p>
        </w:tc>
        <w:tc>
          <w:tcPr>
            <w:tcW w:w="1020" w:type="dxa"/>
            <w:vAlign w:val="bottom"/>
            <w:gridSpan w:val="2"/>
            <w:vMerge w:val="restart"/>
          </w:tcPr>
          <w:p>
            <w:pPr>
              <w:ind w:left="100"/>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Roscoe Medical, Inc.</w:t>
            </w:r>
            <w:r>
              <w:rPr>
                <w:rFonts w:ascii="Arial" w:cs="Arial" w:eastAsia="Arial" w:hAnsi="Arial"/>
                <w:sz w:val="21"/>
                <w:szCs w:val="21"/>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11.3% Cash, Due 9/19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3/26/2014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4,993,345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4,487,500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SCSG EA Acquisition Company, Inc.</w:t>
            </w:r>
            <w:r>
              <w:rPr>
                <w:rFonts w:ascii="Arial" w:cs="Arial" w:eastAsia="Arial" w:hAnsi="Arial"/>
                <w:sz w:val="20"/>
                <w:szCs w:val="20"/>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10.6% Cash, 3 month LIBOR(2.40%) + 8.25%; LIBOR Floor 1.00%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9/24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8/18/2017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991,195</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990,400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SCSG EA Acquisition Company, Inc.</w:t>
            </w:r>
            <w:r>
              <w:rPr>
                <w:rFonts w:ascii="Arial" w:cs="Arial" w:eastAsia="Arial" w:hAnsi="Arial"/>
                <w:sz w:val="20"/>
                <w:szCs w:val="20"/>
                <w:color w:val="auto"/>
                <w:vertAlign w:val="superscript"/>
              </w:rPr>
              <w:t>(8)(14)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Healthcare &amp; Pharmaceuticals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10.6% Cash, 3 month LIBOR(2.40%) + 8.25%; LIBOR Floor 1.00%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9/24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8/18/2017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4,959,445</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4,952,000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Sierra Enterprises, LLC (aka Lyons Magnus)</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Tranche B-1 Term Loan (First Lien)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(8)(13)(14)</w:t>
            </w:r>
          </w:p>
        </w:tc>
        <w:tc>
          <w:tcPr>
            <w:tcW w:w="14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6.0% Cash, 1 month LIBOR(2.52%) + 3.50%; LIBOR Floor 1.00% ,</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Beverage, Food and Tobacco</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11/24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11/3/2017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2,970,056</w:t>
            </w: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2,957,029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2,955,206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Stafford Logistics, Inc.(dba Custom Ecology,</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Junior Secured Loan — Restructured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Inc.)</w:t>
            </w:r>
            <w:r>
              <w:rPr>
                <w:rFonts w:ascii="Arial" w:cs="Arial" w:eastAsia="Arial" w:hAnsi="Arial"/>
                <w:sz w:val="13"/>
                <w:szCs w:val="13"/>
                <w:color w:val="auto"/>
              </w:rPr>
              <w:t>(5)(8)(13)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 Cash, 8.3% PIK, 3 month LIBOR (2.80%) + 5.50% , Due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Environmental Industries</w:t>
            </w: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10/22</w:t>
            </w: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6/25/2013</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2,035,770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1,941,220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560,855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Stafford Logistics, Inc.(dba Custom Ecology,</w:t>
            </w:r>
          </w:p>
        </w:tc>
        <w:tc>
          <w:tcPr>
            <w:tcW w:w="4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202" w:lineRule="exact"/>
              <w:rPr>
                <w:sz w:val="20"/>
                <w:szCs w:val="20"/>
                <w:color w:val="auto"/>
              </w:rPr>
            </w:pPr>
            <w:r>
              <w:rPr>
                <w:rFonts w:ascii="Arial" w:cs="Arial" w:eastAsia="Arial" w:hAnsi="Arial"/>
                <w:sz w:val="23"/>
                <w:szCs w:val="23"/>
                <w:color w:val="auto"/>
                <w:vertAlign w:val="subscript"/>
              </w:rPr>
              <w:t>Inc.)</w:t>
            </w:r>
            <w:r>
              <w:rPr>
                <w:rFonts w:ascii="Arial" w:cs="Arial" w:eastAsia="Arial" w:hAnsi="Arial"/>
                <w:sz w:val="13"/>
                <w:szCs w:val="13"/>
                <w:color w:val="auto"/>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14.8% Cash, 3 month LIBOR(2.82%) + 12.00% , Due 10/22</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Environmental Industries</w:t>
            </w:r>
          </w:p>
        </w:tc>
        <w:tc>
          <w:tcPr>
            <w:tcW w:w="3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6/25/2013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339,788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339,788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339,788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Tank Partners Holdings, LLC</w:t>
            </w:r>
            <w:r>
              <w:rPr>
                <w:rFonts w:ascii="Arial" w:cs="Arial" w:eastAsia="Arial" w:hAnsi="Arial"/>
                <w:sz w:val="20"/>
                <w:szCs w:val="20"/>
                <w:color w:val="auto"/>
                <w:vertAlign w:val="superscript"/>
              </w:rPr>
              <w:t>(5)(8)(13)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Energy: Oil &amp; Gas</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 Cash, 12.5% PIK, 1 month PRIME (5.00%)+7.5%; PRIME</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Floor 3.00% , Due 8/19</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8/28/2014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15,295,083</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14,149,836</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7,398,223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Tex-Tech Industries, Inc.</w:t>
            </w:r>
            <w:r>
              <w:rPr>
                <w:rFonts w:ascii="Arial" w:cs="Arial" w:eastAsia="Arial" w:hAnsi="Arial"/>
                <w:sz w:val="20"/>
                <w:szCs w:val="20"/>
                <w:color w:val="auto"/>
                <w:vertAlign w:val="superscript"/>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Textiles and Leather</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11.5% Cash, 1 month LIBOR (2.52%) + 9.00%; LIBOR Floor 1.00%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Due 8/24</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8/24/2017</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8,008,000</w:t>
            </w:r>
          </w:p>
        </w:tc>
        <w:tc>
          <w:tcPr>
            <w:tcW w:w="200" w:type="dxa"/>
            <w:vAlign w:val="bottom"/>
            <w:shd w:val="clear" w:color="auto" w:fill="CCEEFF"/>
          </w:tcPr>
          <w:p>
            <w:pPr>
              <w:spacing w:after="0"/>
              <w:rPr>
                <w:sz w:val="3"/>
                <w:szCs w:val="3"/>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7,959,567</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7,847,840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Time Manufacturing Acquisition, LLC</w:t>
            </w:r>
            <w:r>
              <w:rPr>
                <w:rFonts w:ascii="Arial" w:cs="Arial" w:eastAsia="Arial" w:hAnsi="Arial"/>
                <w:sz w:val="20"/>
                <w:szCs w:val="20"/>
                <w:color w:val="auto"/>
                <w:vertAlign w:val="superscript"/>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Term Loan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7.6% Cash, 6 month LIBOR(2.63%) + 5.00%;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20" w:type="dxa"/>
            <w:vAlign w:val="bottom"/>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2/23</w:t>
            </w:r>
          </w:p>
        </w:tc>
        <w:tc>
          <w:tcPr>
            <w:tcW w:w="9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Capital Equipment</w:t>
            </w:r>
          </w:p>
        </w:tc>
        <w:tc>
          <w:tcPr>
            <w:tcW w:w="4120" w:type="dxa"/>
            <w:vAlign w:val="bottom"/>
            <w:gridSpan w:val="2"/>
            <w:vMerge w:val="continue"/>
            <w:shd w:val="clear" w:color="auto" w:fill="CCEEFF"/>
          </w:tcPr>
          <w:p>
            <w:pPr>
              <w:spacing w:after="0"/>
              <w:rPr>
                <w:sz w:val="14"/>
                <w:szCs w:val="1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2/3/2017</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3,446,143</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3,447,715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3,430,291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76" w:lineRule="exact"/>
              <w:rPr>
                <w:sz w:val="20"/>
                <w:szCs w:val="20"/>
                <w:color w:val="auto"/>
              </w:rPr>
            </w:pPr>
            <w:r>
              <w:rPr>
                <w:rFonts w:ascii="Arial" w:cs="Arial" w:eastAsia="Arial" w:hAnsi="Arial"/>
                <w:sz w:val="12"/>
                <w:szCs w:val="12"/>
                <w:color w:val="auto"/>
              </w:rPr>
              <w:t>TronAir Parent Inc.</w:t>
            </w:r>
            <w:r>
              <w:rPr>
                <w:rFonts w:ascii="Arial" w:cs="Arial" w:eastAsia="Arial" w:hAnsi="Arial"/>
                <w:sz w:val="20"/>
                <w:szCs w:val="20"/>
                <w:color w:val="auto"/>
                <w:vertAlign w:val="superscript"/>
              </w:rPr>
              <w:t>(8)(13)(14)</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Secured Loan — Initial Term Loan (First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Aerospace and Defense</w:t>
            </w:r>
          </w:p>
        </w:tc>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7.6% Cash, 6 month LIBOR(2.82%) + 4.75%; LIBOR Floor 1.00% ,</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860" w:type="dxa"/>
            <w:vAlign w:val="bottom"/>
            <w:gridSpan w:val="2"/>
            <w:vMerge w:val="continue"/>
            <w:shd w:val="clear" w:color="auto" w:fill="CCEEFF"/>
          </w:tcPr>
          <w:p>
            <w:pPr>
              <w:spacing w:after="0"/>
              <w:rPr>
                <w:sz w:val="3"/>
                <w:szCs w:val="3"/>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Due 9/23</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9/30/2016</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987,374</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985,337</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954,001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120" w:type="dxa"/>
            <w:vAlign w:val="bottom"/>
            <w:gridSpan w:val="2"/>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120" w:type="dxa"/>
            <w:vAlign w:val="bottom"/>
            <w:gridSpan w:val="2"/>
            <w:vMerge w:val="continue"/>
            <w:shd w:val="clear" w:color="auto" w:fill="CCEEFF"/>
          </w:tcPr>
          <w:p>
            <w:pPr>
              <w:spacing w:after="0"/>
              <w:rPr>
                <w:sz w:val="11"/>
                <w:szCs w:val="11"/>
                <w:color w:val="auto"/>
              </w:rPr>
            </w:pPr>
          </w:p>
        </w:tc>
        <w:tc>
          <w:tcPr>
            <w:tcW w:w="10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2860" w:type="dxa"/>
            <w:vAlign w:val="bottom"/>
            <w:gridSpan w:val="2"/>
            <w:shd w:val="clear" w:color="auto" w:fill="CCEEFF"/>
          </w:tcPr>
          <w:p>
            <w:pPr>
              <w:spacing w:after="0" w:line="184" w:lineRule="exact"/>
              <w:rPr>
                <w:sz w:val="20"/>
                <w:szCs w:val="20"/>
                <w:color w:val="auto"/>
              </w:rPr>
            </w:pPr>
            <w:r>
              <w:rPr>
                <w:rFonts w:ascii="Arial" w:cs="Arial" w:eastAsia="Arial" w:hAnsi="Arial"/>
                <w:sz w:val="12"/>
                <w:szCs w:val="12"/>
                <w:color w:val="auto"/>
              </w:rPr>
              <w:t>TRSO I, Inc.</w:t>
            </w:r>
            <w:r>
              <w:rPr>
                <w:rFonts w:ascii="Arial" w:cs="Arial" w:eastAsia="Arial" w:hAnsi="Arial"/>
                <w:sz w:val="21"/>
                <w:szCs w:val="21"/>
                <w:color w:val="auto"/>
                <w:vertAlign w:val="superscript"/>
              </w:rPr>
              <w:t>(8)(13)</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Secured Loan — Term Loan (Second Lien)</w:t>
            </w: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Energy: Oil &amp; Gas</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14.0% Cash, Due 12/19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12/24/2012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997,207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3" w:name="page24"/>
    <w:bookmarkEnd w:id="23"/>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7411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18" w:lineRule="exact"/>
        <w:rPr>
          <w:sz w:val="20"/>
          <w:szCs w:val="20"/>
          <w:color w:val="auto"/>
        </w:rPr>
      </w:pPr>
    </w:p>
    <w:p>
      <w:pPr>
        <w:ind w:left="180" w:right="100" w:hanging="161"/>
        <w:spacing w:after="0" w:line="236" w:lineRule="auto"/>
        <w:rPr>
          <w:sz w:val="20"/>
          <w:szCs w:val="20"/>
          <w:color w:val="auto"/>
        </w:rPr>
      </w:pPr>
      <w:r>
        <w:rPr>
          <w:rFonts w:ascii="Arial" w:cs="Arial" w:eastAsia="Arial" w:hAnsi="Arial"/>
          <w:sz w:val="12"/>
          <w:szCs w:val="12"/>
          <w:color w:val="auto"/>
        </w:rPr>
        <w:t>Verdesian Life Sciences, LLC</w:t>
      </w:r>
      <w:r>
        <w:rPr>
          <w:rFonts w:ascii="Arial" w:cs="Arial" w:eastAsia="Arial" w:hAnsi="Arial"/>
          <w:sz w:val="22"/>
          <w:szCs w:val="22"/>
          <w:color w:val="auto"/>
          <w:vertAlign w:val="superscript"/>
        </w:rPr>
        <w:t>(8)(13)(14)</w:t>
      </w:r>
      <w:r>
        <w:rPr>
          <w:rFonts w:ascii="Arial" w:cs="Arial" w:eastAsia="Arial" w:hAnsi="Arial"/>
          <w:sz w:val="12"/>
          <w:szCs w:val="12"/>
          <w:color w:val="auto"/>
        </w:rPr>
        <w:t xml:space="preserve"> Environmental Industries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Weiman Products, LLC</w:t>
      </w:r>
      <w:r>
        <w:rPr>
          <w:rFonts w:ascii="Arial" w:cs="Arial" w:eastAsia="Arial" w:hAnsi="Arial"/>
          <w:sz w:val="28"/>
          <w:szCs w:val="28"/>
          <w:color w:val="auto"/>
          <w:vertAlign w:val="superscript"/>
        </w:rPr>
        <w:t>(8)(13)(14)</w:t>
      </w:r>
    </w:p>
    <w:p>
      <w:pPr>
        <w:ind w:left="180"/>
        <w:spacing w:after="0"/>
        <w:rPr>
          <w:sz w:val="20"/>
          <w:szCs w:val="20"/>
          <w:color w:val="auto"/>
        </w:rPr>
      </w:pPr>
      <w:r>
        <w:rPr>
          <w:rFonts w:ascii="Arial" w:cs="Arial" w:eastAsia="Arial" w:hAnsi="Arial"/>
          <w:sz w:val="14"/>
          <w:szCs w:val="14"/>
          <w:color w:val="auto"/>
        </w:rPr>
        <w:t>Consumer goods: Non-durable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Capital Equipment</w:t>
      </w:r>
    </w:p>
    <w:p>
      <w:pPr>
        <w:spacing w:after="0" w:line="273" w:lineRule="exact"/>
        <w:rPr>
          <w:sz w:val="20"/>
          <w:szCs w:val="20"/>
          <w:color w:val="auto"/>
        </w:rPr>
      </w:pPr>
    </w:p>
    <w:p>
      <w:pPr>
        <w:ind w:left="180" w:right="560" w:hanging="161"/>
        <w:spacing w:after="0" w:line="236" w:lineRule="auto"/>
        <w:rPr>
          <w:sz w:val="20"/>
          <w:szCs w:val="20"/>
          <w:color w:val="auto"/>
        </w:rPr>
      </w:pPr>
      <w:r>
        <w:rPr>
          <w:rFonts w:ascii="Arial" w:cs="Arial" w:eastAsia="Arial" w:hAnsi="Arial"/>
          <w:sz w:val="12"/>
          <w:szCs w:val="12"/>
          <w:color w:val="auto"/>
        </w:rPr>
        <w:t>Zest Acquisition Corp.</w:t>
      </w:r>
      <w:r>
        <w:rPr>
          <w:rFonts w:ascii="Arial" w:cs="Arial" w:eastAsia="Arial" w:hAnsi="Arial"/>
          <w:sz w:val="22"/>
          <w:szCs w:val="22"/>
          <w:color w:val="auto"/>
          <w:vertAlign w:val="superscript"/>
        </w:rPr>
        <w:t>(8)(13)</w:t>
      </w:r>
      <w:r>
        <w:rPr>
          <w:rFonts w:ascii="Arial" w:cs="Arial" w:eastAsia="Arial" w:hAnsi="Arial"/>
          <w:sz w:val="12"/>
          <w:szCs w:val="12"/>
          <w:color w:val="auto"/>
        </w:rPr>
        <w:t xml:space="preserve"> Healthcare &amp; Pharmaceuticals</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(103%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1640"/>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3"/>
          </w:tcPr>
          <w:p>
            <w:pPr>
              <w:jc w:val="center"/>
              <w:ind w:right="308"/>
              <w:spacing w:after="0"/>
              <w:rPr>
                <w:sz w:val="20"/>
                <w:szCs w:val="20"/>
                <w:color w:val="auto"/>
              </w:rPr>
            </w:pPr>
            <w:r>
              <w:rPr>
                <w:rFonts w:ascii="Arial" w:cs="Arial" w:eastAsia="Arial" w:hAnsi="Arial"/>
                <w:sz w:val="14"/>
                <w:szCs w:val="14"/>
                <w:b w:val="1"/>
                <w:bCs w:val="1"/>
                <w:color w:val="auto"/>
              </w:rPr>
              <w:t>Initial</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120" w:type="dxa"/>
            <w:vAlign w:val="bottom"/>
            <w:gridSpan w:val="2"/>
            <w:vMerge w:val="continue"/>
          </w:tcPr>
          <w:p>
            <w:pPr>
              <w:spacing w:after="0"/>
              <w:rPr>
                <w:sz w:val="8"/>
                <w:szCs w:val="8"/>
                <w:color w:val="auto"/>
              </w:rPr>
            </w:pPr>
          </w:p>
        </w:tc>
        <w:tc>
          <w:tcPr>
            <w:tcW w:w="1280" w:type="dxa"/>
            <w:vAlign w:val="bottom"/>
            <w:gridSpan w:val="3"/>
            <w:vMerge w:val="restart"/>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b w:val="1"/>
                <w:bCs w:val="1"/>
                <w:color w:val="auto"/>
              </w:rPr>
              <w:t>Amortized</w:t>
            </w: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980" w:type="dxa"/>
            <w:vAlign w:val="bottom"/>
            <w:vMerge w:val="restart"/>
          </w:tcPr>
          <w:p>
            <w:pPr>
              <w:ind w:left="1160"/>
              <w:spacing w:after="0" w:line="225" w:lineRule="exact"/>
              <w:rPr>
                <w:sz w:val="20"/>
                <w:szCs w:val="20"/>
                <w:color w:val="auto"/>
              </w:rPr>
            </w:pPr>
            <w:r>
              <w:rPr>
                <w:rFonts w:ascii="Arial" w:cs="Arial" w:eastAsia="Arial" w:hAnsi="Arial"/>
                <w:sz w:val="14"/>
                <w:szCs w:val="14"/>
                <w:b w:val="1"/>
                <w:bCs w:val="1"/>
                <w:color w:val="auto"/>
              </w:rPr>
              <w:t>Interest Rate¹ / Maturity</w:t>
            </w:r>
            <w:r>
              <w:rPr>
                <w:rFonts w:ascii="Arial" w:cs="Arial" w:eastAsia="Arial" w:hAnsi="Arial"/>
                <w:sz w:val="26"/>
                <w:szCs w:val="26"/>
                <w:b w:val="1"/>
                <w:bCs w:val="1"/>
                <w:color w:val="auto"/>
                <w:vertAlign w:val="superscript"/>
              </w:rPr>
              <w:t>15</w:t>
            </w:r>
          </w:p>
        </w:tc>
        <w:tc>
          <w:tcPr>
            <w:tcW w:w="140" w:type="dxa"/>
            <w:vAlign w:val="bottom"/>
            <w:vMerge w:val="restart"/>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Principal</w:t>
            </w:r>
          </w:p>
        </w:tc>
        <w:tc>
          <w:tcPr>
            <w:tcW w:w="200" w:type="dxa"/>
            <w:vAlign w:val="bottom"/>
            <w:vMerge w:val="restart"/>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20" w:type="dxa"/>
            <w:vAlign w:val="bottom"/>
            <w:vMerge w:val="restart"/>
          </w:tcPr>
          <w:p>
            <w:pPr>
              <w:jc w:val="right"/>
              <w:ind w:right="29"/>
              <w:spacing w:after="0" w:line="225"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6"/>
                <w:szCs w:val="26"/>
                <w:b w:val="1"/>
                <w:bCs w:val="1"/>
                <w:color w:val="auto"/>
                <w:vertAlign w:val="superscript"/>
              </w:rPr>
              <w:t>2</w:t>
            </w:r>
          </w:p>
        </w:tc>
        <w:tc>
          <w:tcPr>
            <w:tcW w:w="0" w:type="dxa"/>
            <w:vAlign w:val="bottom"/>
          </w:tcPr>
          <w:p>
            <w:pPr>
              <w:spacing w:after="0"/>
              <w:rPr>
                <w:sz w:val="1"/>
                <w:szCs w:val="1"/>
                <w:color w:val="auto"/>
              </w:rPr>
            </w:pPr>
          </w:p>
        </w:tc>
      </w:tr>
      <w:tr>
        <w:trPr>
          <w:trHeight w:val="171"/>
        </w:trPr>
        <w:tc>
          <w:tcPr>
            <w:tcW w:w="398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7.5% Cash, 1 month LIBOR(2.53%) + 5.00%;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7/20</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6/25/2014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2,075,305</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2,033,378</w:t>
            </w:r>
          </w:p>
        </w:tc>
        <w:tc>
          <w:tcPr>
            <w:tcW w:w="920" w:type="dxa"/>
            <w:vAlign w:val="bottom"/>
          </w:tcPr>
          <w:p>
            <w:pPr>
              <w:jc w:val="right"/>
              <w:spacing w:after="0"/>
              <w:rPr>
                <w:sz w:val="20"/>
                <w:szCs w:val="20"/>
                <w:color w:val="auto"/>
              </w:rPr>
            </w:pPr>
            <w:r>
              <w:rPr>
                <w:rFonts w:ascii="Arial" w:cs="Arial" w:eastAsia="Arial" w:hAnsi="Arial"/>
                <w:sz w:val="14"/>
                <w:szCs w:val="14"/>
                <w:color w:val="auto"/>
              </w:rPr>
              <w:t>1,993,123</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7.3% Cash, 3 month LIBOR(2.80%) + 4.50%; LIBOR Floor 1.00% ,</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Due 11/21</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11/22/2013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1,440,525</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1,434,568</w:t>
            </w:r>
          </w:p>
        </w:tc>
        <w:tc>
          <w:tcPr>
            <w:tcW w:w="920" w:type="dxa"/>
            <w:vAlign w:val="bottom"/>
          </w:tcPr>
          <w:p>
            <w:pPr>
              <w:jc w:val="right"/>
              <w:spacing w:after="0"/>
              <w:rPr>
                <w:sz w:val="20"/>
                <w:szCs w:val="20"/>
                <w:color w:val="auto"/>
              </w:rPr>
            </w:pPr>
            <w:r>
              <w:rPr>
                <w:rFonts w:ascii="Arial" w:cs="Arial" w:eastAsia="Arial" w:hAnsi="Arial"/>
                <w:sz w:val="14"/>
                <w:szCs w:val="14"/>
                <w:color w:val="auto"/>
              </w:rPr>
              <w:t>1,440,525</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11.5% Cash, 1 month LIBOR(2.52%) + 9.00%; LIBOR Floor 1.00%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 Due 9/24</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8/9/2016</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2,967,619</w:t>
            </w:r>
          </w:p>
        </w:tc>
        <w:tc>
          <w:tcPr>
            <w:tcW w:w="920" w:type="dxa"/>
            <w:vAlign w:val="bottom"/>
          </w:tcPr>
          <w:p>
            <w:pPr>
              <w:jc w:val="right"/>
              <w:spacing w:after="0"/>
              <w:rPr>
                <w:sz w:val="20"/>
                <w:szCs w:val="20"/>
                <w:color w:val="auto"/>
              </w:rPr>
            </w:pPr>
            <w:r>
              <w:rPr>
                <w:rFonts w:ascii="Arial" w:cs="Arial" w:eastAsia="Arial" w:hAnsi="Arial"/>
                <w:sz w:val="14"/>
                <w:szCs w:val="14"/>
                <w:color w:val="auto"/>
              </w:rPr>
              <w:t>2,957,100</w:t>
            </w:r>
          </w:p>
        </w:tc>
        <w:tc>
          <w:tcPr>
            <w:tcW w:w="0" w:type="dxa"/>
            <w:vAlign w:val="bottom"/>
          </w:tcPr>
          <w:p>
            <w:pPr>
              <w:spacing w:after="0"/>
              <w:rPr>
                <w:sz w:val="1"/>
                <w:szCs w:val="1"/>
                <w:color w:val="auto"/>
              </w:rPr>
            </w:pPr>
          </w:p>
        </w:tc>
      </w:tr>
      <w:tr>
        <w:trPr>
          <w:trHeight w:val="263"/>
        </w:trPr>
        <w:tc>
          <w:tcPr>
            <w:tcW w:w="4120" w:type="dxa"/>
            <w:vAlign w:val="bottom"/>
            <w:gridSpan w:val="2"/>
          </w:tcPr>
          <w:p>
            <w:pPr>
              <w:spacing w:after="0"/>
              <w:rPr>
                <w:sz w:val="20"/>
                <w:szCs w:val="20"/>
                <w:color w:val="auto"/>
              </w:rPr>
            </w:pPr>
            <w:r>
              <w:rPr>
                <w:rFonts w:ascii="Arial" w:cs="Arial" w:eastAsia="Arial" w:hAnsi="Arial"/>
                <w:sz w:val="14"/>
                <w:szCs w:val="14"/>
                <w:color w:val="auto"/>
              </w:rPr>
              <w:t>Junior Secured Loan — Initial Term Loan (Second Lien)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spacing w:after="0"/>
              <w:rPr>
                <w:sz w:val="20"/>
                <w:szCs w:val="20"/>
                <w:color w:val="auto"/>
              </w:rPr>
            </w:pPr>
            <w:r>
              <w:rPr>
                <w:rFonts w:ascii="Arial" w:cs="Arial" w:eastAsia="Arial" w:hAnsi="Arial"/>
                <w:sz w:val="14"/>
                <w:szCs w:val="14"/>
                <w:color w:val="auto"/>
                <w:w w:val="98"/>
              </w:rPr>
              <w:t>10.0% Cash, 1 month LIBOR(2.45%) + 7.50%; LIBOR Floor 1.00%</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rPr>
                <w:sz w:val="20"/>
                <w:szCs w:val="20"/>
                <w:color w:val="auto"/>
              </w:rPr>
            </w:pPr>
            <w:r>
              <w:rPr>
                <w:rFonts w:ascii="Arial" w:cs="Arial" w:eastAsia="Arial" w:hAnsi="Arial"/>
                <w:sz w:val="14"/>
                <w:szCs w:val="14"/>
                <w:color w:val="auto"/>
              </w:rPr>
              <w:t>, Due 3/26</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3/8/2018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3,500,000</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3,479,741</w:t>
            </w:r>
          </w:p>
        </w:tc>
        <w:tc>
          <w:tcPr>
            <w:tcW w:w="920" w:type="dxa"/>
            <w:vAlign w:val="bottom"/>
          </w:tcPr>
          <w:p>
            <w:pPr>
              <w:jc w:val="right"/>
              <w:spacing w:after="0"/>
              <w:rPr>
                <w:sz w:val="20"/>
                <w:szCs w:val="20"/>
                <w:color w:val="auto"/>
              </w:rPr>
            </w:pPr>
            <w:r>
              <w:rPr>
                <w:rFonts w:ascii="Arial" w:cs="Arial" w:eastAsia="Arial" w:hAnsi="Arial"/>
                <w:sz w:val="14"/>
                <w:szCs w:val="14"/>
                <w:color w:val="auto"/>
              </w:rPr>
              <w:t>3,430,000</w:t>
            </w:r>
          </w:p>
        </w:tc>
        <w:tc>
          <w:tcPr>
            <w:tcW w:w="0" w:type="dxa"/>
            <w:vAlign w:val="bottom"/>
          </w:tcPr>
          <w:p>
            <w:pPr>
              <w:spacing w:after="0"/>
              <w:rPr>
                <w:sz w:val="1"/>
                <w:szCs w:val="1"/>
                <w:color w:val="auto"/>
              </w:rPr>
            </w:pPr>
          </w:p>
        </w:tc>
      </w:tr>
      <w:tr>
        <w:trPr>
          <w:trHeight w:val="296"/>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164,541,812</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162,264,482</w:t>
            </w:r>
          </w:p>
        </w:tc>
        <w:tc>
          <w:tcPr>
            <w:tcW w:w="2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  147,861,744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-1757680</wp:posOffset>
            </wp:positionV>
            <wp:extent cx="7246620"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-1345565</wp:posOffset>
            </wp:positionV>
            <wp:extent cx="7246620" cy="3175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-934085</wp:posOffset>
            </wp:positionV>
            <wp:extent cx="724662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-522605</wp:posOffset>
            </wp:positionV>
            <wp:extent cx="7246620" cy="3175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-111125</wp:posOffset>
            </wp:positionV>
            <wp:extent cx="7246620" cy="102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398"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480" w:space="400"/>
            <w:col w:w="8440"/>
          </w:cols>
          <w:pgMar w:left="240" w:top="8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Equity Securities Portfolio</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7068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18" w:lineRule="exact"/>
        <w:rPr>
          <w:sz w:val="20"/>
          <w:szCs w:val="20"/>
          <w:color w:val="auto"/>
        </w:rPr>
      </w:pPr>
    </w:p>
    <w:p>
      <w:pPr>
        <w:ind w:left="180" w:right="40" w:hanging="161"/>
        <w:spacing w:after="0" w:line="195" w:lineRule="auto"/>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7"/>
          <w:szCs w:val="27"/>
          <w:color w:val="auto"/>
          <w:vertAlign w:val="superscript"/>
        </w:rPr>
        <w:t>(8)(13)</w:t>
      </w:r>
      <w:r>
        <w:rPr>
          <w:rFonts w:ascii="Arial" w:cs="Arial" w:eastAsia="Arial" w:hAnsi="Arial"/>
          <w:sz w:val="14"/>
          <w:szCs w:val="14"/>
          <w:color w:val="auto"/>
        </w:rPr>
        <w:t xml:space="preserve"> Consumer goods: Durable</w:t>
      </w:r>
    </w:p>
    <w:p>
      <w:pPr>
        <w:spacing w:after="0" w:line="117" w:lineRule="exact"/>
        <w:rPr>
          <w:sz w:val="20"/>
          <w:szCs w:val="20"/>
          <w:color w:val="auto"/>
        </w:rPr>
      </w:pPr>
    </w:p>
    <w:p>
      <w:pPr>
        <w:ind w:left="180" w:right="40" w:hanging="161"/>
        <w:spacing w:after="0" w:line="195" w:lineRule="auto"/>
        <w:rPr>
          <w:sz w:val="20"/>
          <w:szCs w:val="20"/>
          <w:color w:val="auto"/>
        </w:rPr>
      </w:pPr>
      <w:r>
        <w:rPr>
          <w:rFonts w:ascii="Arial" w:cs="Arial" w:eastAsia="Arial" w:hAnsi="Arial"/>
          <w:sz w:val="14"/>
          <w:szCs w:val="14"/>
          <w:color w:val="auto"/>
        </w:rPr>
        <w:t>Advanced Lighting Technologies, Inc.</w:t>
      </w:r>
      <w:r>
        <w:rPr>
          <w:rFonts w:ascii="Arial" w:cs="Arial" w:eastAsia="Arial" w:hAnsi="Arial"/>
          <w:sz w:val="27"/>
          <w:szCs w:val="27"/>
          <w:color w:val="auto"/>
          <w:vertAlign w:val="superscript"/>
        </w:rPr>
        <w:t>(8)(13)</w:t>
      </w:r>
      <w:r>
        <w:rPr>
          <w:rFonts w:ascii="Arial" w:cs="Arial" w:eastAsia="Arial" w:hAnsi="Arial"/>
          <w:sz w:val="14"/>
          <w:szCs w:val="14"/>
          <w:color w:val="auto"/>
        </w:rPr>
        <w:t xml:space="preserve"> Consumer goods: Durable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Aerostructures Holdings L.P.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Aerospace and Defense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BCP Great Lakes Holding LP</w:t>
      </w:r>
      <w:r>
        <w:rPr>
          <w:rFonts w:ascii="Arial" w:cs="Arial" w:eastAsia="Arial" w:hAnsi="Arial"/>
          <w:sz w:val="28"/>
          <w:szCs w:val="28"/>
          <w:color w:val="auto"/>
          <w:vertAlign w:val="superscript"/>
        </w:rPr>
        <w:t>(17)</w:t>
      </w:r>
    </w:p>
    <w:p>
      <w:pPr>
        <w:ind w:left="180"/>
        <w:spacing w:after="0"/>
        <w:rPr>
          <w:sz w:val="20"/>
          <w:szCs w:val="20"/>
          <w:color w:val="auto"/>
        </w:rPr>
      </w:pPr>
      <w:r>
        <w:rPr>
          <w:rFonts w:ascii="Arial" w:cs="Arial" w:eastAsia="Arial" w:hAnsi="Arial"/>
          <w:sz w:val="14"/>
          <w:szCs w:val="14"/>
          <w:color w:val="auto"/>
        </w:rPr>
        <w:t>Limited Partnership</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Caribe Media Inc. (fka Caribe Information</w:t>
      </w:r>
    </w:p>
    <w:p>
      <w:pPr>
        <w:spacing w:after="0" w:line="183" w:lineRule="auto"/>
        <w:rPr>
          <w:sz w:val="20"/>
          <w:szCs w:val="20"/>
          <w:color w:val="auto"/>
        </w:rPr>
      </w:pPr>
      <w:r>
        <w:rPr>
          <w:rFonts w:ascii="Arial" w:cs="Arial" w:eastAsia="Arial" w:hAnsi="Arial"/>
          <w:sz w:val="13"/>
          <w:szCs w:val="13"/>
          <w:color w:val="auto"/>
        </w:rPr>
        <w:t>Investments Incorporated)</w:t>
      </w:r>
      <w:r>
        <w:rPr>
          <w:rFonts w:ascii="Arial" w:cs="Arial" w:eastAsia="Arial" w:hAnsi="Arial"/>
          <w:sz w:val="23"/>
          <w:szCs w:val="23"/>
          <w:color w:val="auto"/>
          <w:vertAlign w:val="superscript"/>
        </w:rPr>
        <w:t>(8)(13)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Media: Advertising, Printing &amp; Publishing</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eInstruction Acquisition, LLC</w:t>
      </w:r>
      <w:r>
        <w:rPr>
          <w:rFonts w:ascii="Arial" w:cs="Arial" w:eastAsia="Arial" w:hAnsi="Arial"/>
          <w:sz w:val="28"/>
          <w:szCs w:val="28"/>
          <w:color w:val="auto"/>
          <w:vertAlign w:val="superscript"/>
        </w:rPr>
        <w:t>(3)(13)</w:t>
      </w:r>
    </w:p>
    <w:p>
      <w:pPr>
        <w:ind w:left="180"/>
        <w:spacing w:after="0"/>
        <w:rPr>
          <w:sz w:val="20"/>
          <w:szCs w:val="20"/>
          <w:color w:val="auto"/>
        </w:rPr>
      </w:pPr>
      <w:r>
        <w:rPr>
          <w:rFonts w:ascii="Arial" w:cs="Arial" w:eastAsia="Arial" w:hAnsi="Arial"/>
          <w:sz w:val="14"/>
          <w:szCs w:val="14"/>
          <w:color w:val="auto"/>
        </w:rPr>
        <w:t>Services: Business</w:t>
      </w:r>
    </w:p>
    <w:p>
      <w:pPr>
        <w:spacing w:after="0" w:line="124" w:lineRule="exact"/>
        <w:rPr>
          <w:sz w:val="20"/>
          <w:szCs w:val="20"/>
          <w:color w:val="auto"/>
        </w:rPr>
      </w:pPr>
    </w:p>
    <w:p>
      <w:pPr>
        <w:ind w:left="180" w:right="80" w:hanging="161"/>
        <w:spacing w:after="0" w:line="191" w:lineRule="auto"/>
        <w:rPr>
          <w:sz w:val="20"/>
          <w:szCs w:val="20"/>
          <w:color w:val="auto"/>
        </w:rPr>
      </w:pPr>
      <w:r>
        <w:rPr>
          <w:rFonts w:ascii="Arial" w:cs="Arial" w:eastAsia="Arial" w:hAnsi="Arial"/>
          <w:sz w:val="14"/>
          <w:szCs w:val="14"/>
          <w:color w:val="auto"/>
        </w:rPr>
        <w:t>FP WRCA Coinvestment Fund VII, Ltd.</w:t>
      </w:r>
      <w:r>
        <w:rPr>
          <w:rFonts w:ascii="Arial" w:cs="Arial" w:eastAsia="Arial" w:hAnsi="Arial"/>
          <w:sz w:val="28"/>
          <w:szCs w:val="28"/>
          <w:color w:val="auto"/>
          <w:vertAlign w:val="superscript"/>
        </w:rPr>
        <w:t>(13)</w:t>
      </w:r>
      <w:r>
        <w:rPr>
          <w:rFonts w:ascii="Arial" w:cs="Arial" w:eastAsia="Arial" w:hAnsi="Arial"/>
          <w:sz w:val="14"/>
          <w:szCs w:val="14"/>
          <w:color w:val="auto"/>
        </w:rPr>
        <w:t xml:space="preserve"> Capital Equipment</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New Millennium Holdco, Inc. (Millennium</w:t>
      </w:r>
    </w:p>
    <w:p>
      <w:pPr>
        <w:spacing w:after="0" w:line="183" w:lineRule="auto"/>
        <w:rPr>
          <w:sz w:val="20"/>
          <w:szCs w:val="20"/>
          <w:color w:val="auto"/>
        </w:rPr>
      </w:pPr>
      <w:r>
        <w:rPr>
          <w:rFonts w:ascii="Arial" w:cs="Arial" w:eastAsia="Arial" w:hAnsi="Arial"/>
          <w:sz w:val="13"/>
          <w:szCs w:val="13"/>
          <w:color w:val="auto"/>
        </w:rPr>
        <w:t>Health, LLC)</w:t>
      </w:r>
      <w:r>
        <w:rPr>
          <w:rFonts w:ascii="Arial" w:cs="Arial" w:eastAsia="Arial" w:hAnsi="Arial"/>
          <w:sz w:val="23"/>
          <w:szCs w:val="23"/>
          <w:color w:val="auto"/>
          <w:vertAlign w:val="superscript"/>
        </w:rPr>
        <w:t>(13)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Healthcare &amp; Pharmaceuticals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Hotel, Gaming &amp; Leisure</w:t>
      </w:r>
    </w:p>
    <w:p>
      <w:pPr>
        <w:spacing w:after="0" w:line="124" w:lineRule="exact"/>
        <w:rPr>
          <w:sz w:val="20"/>
          <w:szCs w:val="20"/>
          <w:color w:val="auto"/>
        </w:rPr>
      </w:pPr>
    </w:p>
    <w:p>
      <w:pPr>
        <w:ind w:right="80"/>
        <w:spacing w:after="0" w:line="191" w:lineRule="auto"/>
        <w:rPr>
          <w:sz w:val="20"/>
          <w:szCs w:val="20"/>
          <w:color w:val="auto"/>
        </w:rPr>
      </w:pPr>
      <w:r>
        <w:rPr>
          <w:rFonts w:ascii="Arial" w:cs="Arial" w:eastAsia="Arial" w:hAnsi="Arial"/>
          <w:sz w:val="14"/>
          <w:szCs w:val="14"/>
          <w:color w:val="auto"/>
        </w:rPr>
        <w:t>Roscoe Investors, LLC</w:t>
      </w:r>
      <w:r>
        <w:rPr>
          <w:rFonts w:ascii="Arial" w:cs="Arial" w:eastAsia="Arial" w:hAnsi="Arial"/>
          <w:sz w:val="28"/>
          <w:szCs w:val="28"/>
          <w:color w:val="auto"/>
          <w:vertAlign w:val="superscript"/>
        </w:rPr>
        <w:t>(8)(13)</w:t>
      </w:r>
      <w:r>
        <w:rPr>
          <w:rFonts w:ascii="Arial" w:cs="Arial" w:eastAsia="Arial" w:hAnsi="Arial"/>
          <w:sz w:val="14"/>
          <w:szCs w:val="14"/>
          <w:color w:val="auto"/>
        </w:rPr>
        <w:t xml:space="preserve"> Healthcare &amp; Pharmaceuticals</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5"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3"/>
          <w:szCs w:val="13"/>
          <w:color w:val="auto"/>
        </w:rPr>
        <w:t>(8)(13)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Environmental Industries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w:t>
      </w:r>
    </w:p>
    <w:p>
      <w:pPr>
        <w:spacing w:after="0" w:line="185" w:lineRule="auto"/>
        <w:rPr>
          <w:sz w:val="20"/>
          <w:szCs w:val="20"/>
          <w:color w:val="auto"/>
        </w:rPr>
      </w:pPr>
      <w:r>
        <w:rPr>
          <w:rFonts w:ascii="Arial" w:cs="Arial" w:eastAsia="Arial" w:hAnsi="Arial"/>
          <w:sz w:val="24"/>
          <w:szCs w:val="24"/>
          <w:color w:val="auto"/>
          <w:vertAlign w:val="subscript"/>
        </w:rPr>
        <w:t>Inc.)</w:t>
      </w:r>
      <w:r>
        <w:rPr>
          <w:rFonts w:ascii="Arial" w:cs="Arial" w:eastAsia="Arial" w:hAnsi="Arial"/>
          <w:sz w:val="13"/>
          <w:szCs w:val="13"/>
          <w:color w:val="auto"/>
        </w:rPr>
        <w:t>(8)(10)(13)</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Environmental Industries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Tank Partners Holdings, LLC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Aerospace and Defense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Tank Partners Holdings, LLC</w:t>
      </w:r>
      <w:r>
        <w:rPr>
          <w:rFonts w:ascii="Arial" w:cs="Arial" w:eastAsia="Arial" w:hAnsi="Arial"/>
          <w:sz w:val="28"/>
          <w:szCs w:val="28"/>
          <w:color w:val="auto"/>
          <w:vertAlign w:val="superscript"/>
        </w:rPr>
        <w:t>(8)(13)</w:t>
      </w:r>
    </w:p>
    <w:p>
      <w:pPr>
        <w:ind w:left="180"/>
        <w:spacing w:after="0"/>
        <w:rPr>
          <w:sz w:val="20"/>
          <w:szCs w:val="20"/>
          <w:color w:val="auto"/>
        </w:rPr>
      </w:pPr>
      <w:r>
        <w:rPr>
          <w:rFonts w:ascii="Arial" w:cs="Arial" w:eastAsia="Arial" w:hAnsi="Arial"/>
          <w:sz w:val="14"/>
          <w:szCs w:val="14"/>
          <w:color w:val="auto"/>
        </w:rPr>
        <w:t>Aerospace and Defense</w:t>
      </w:r>
    </w:p>
    <w:p>
      <w:pPr>
        <w:spacing w:after="0" w:line="86" w:lineRule="exact"/>
        <w:rPr>
          <w:sz w:val="20"/>
          <w:szCs w:val="20"/>
          <w:color w:val="auto"/>
        </w:rPr>
      </w:pPr>
    </w:p>
    <w:p>
      <w:pPr>
        <w:jc w:val="right"/>
        <w:ind w:right="1460"/>
        <w:spacing w:after="0"/>
        <w:rPr>
          <w:sz w:val="20"/>
          <w:szCs w:val="20"/>
          <w:color w:val="auto"/>
        </w:rPr>
      </w:pPr>
      <w:r>
        <w:rPr>
          <w:rFonts w:ascii="Arial" w:cs="Arial" w:eastAsia="Arial" w:hAnsi="Arial"/>
          <w:sz w:val="12"/>
          <w:szCs w:val="12"/>
          <w:color w:val="auto"/>
        </w:rPr>
        <w:t>TRSO II, Inc.</w:t>
      </w:r>
      <w:r>
        <w:rPr>
          <w:rFonts w:ascii="Arial" w:cs="Arial" w:eastAsia="Arial" w:hAnsi="Arial"/>
          <w:sz w:val="22"/>
          <w:szCs w:val="22"/>
          <w:color w:val="auto"/>
          <w:vertAlign w:val="superscript"/>
        </w:rPr>
        <w:t>(8)(13)</w:t>
      </w:r>
    </w:p>
    <w:p>
      <w:pPr>
        <w:jc w:val="right"/>
        <w:ind w:right="1400"/>
        <w:spacing w:after="0"/>
        <w:rPr>
          <w:sz w:val="20"/>
          <w:szCs w:val="20"/>
          <w:color w:val="auto"/>
        </w:rPr>
      </w:pPr>
      <w:r>
        <w:rPr>
          <w:rFonts w:ascii="Arial" w:cs="Arial" w:eastAsia="Arial" w:hAnsi="Arial"/>
          <w:sz w:val="14"/>
          <w:szCs w:val="14"/>
          <w:color w:val="auto"/>
        </w:rPr>
        <w:t>Energy: Oil &amp; Gas</w:t>
      </w:r>
    </w:p>
    <w:p>
      <w:pPr>
        <w:spacing w:after="0" w:line="147" w:lineRule="exact"/>
        <w:rPr>
          <w:sz w:val="20"/>
          <w:szCs w:val="20"/>
          <w:color w:val="auto"/>
        </w:rPr>
      </w:pPr>
    </w:p>
    <w:p>
      <w:pPr>
        <w:ind w:left="140" w:hanging="129"/>
        <w:spacing w:after="0" w:line="259" w:lineRule="auto"/>
        <w:rPr>
          <w:sz w:val="20"/>
          <w:szCs w:val="20"/>
          <w:color w:val="auto"/>
        </w:rPr>
      </w:pPr>
      <w:r>
        <w:rPr>
          <w:rFonts w:ascii="Arial" w:cs="Arial" w:eastAsia="Arial" w:hAnsi="Arial"/>
          <w:sz w:val="14"/>
          <w:szCs w:val="14"/>
          <w:b w:val="1"/>
          <w:bCs w:val="1"/>
          <w:color w:val="auto"/>
        </w:rPr>
        <w:t>Total Investment in Equity Securities (10% of net asset value at fair value)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ind w:left="154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120" w:type="dxa"/>
            <w:vAlign w:val="bottom"/>
            <w:vMerge w:val="restart"/>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40" w:type="dxa"/>
            <w:vAlign w:val="bottom"/>
            <w:vMerge w:val="restart"/>
          </w:tcPr>
          <w:p>
            <w:pPr>
              <w:jc w:val="right"/>
              <w:ind w:right="28"/>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Ownership/Shares</w:t>
            </w: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00" w:type="dxa"/>
            <w:vAlign w:val="bottom"/>
          </w:tcPr>
          <w:p>
            <w:pPr>
              <w:spacing w:after="0"/>
              <w:rPr>
                <w:sz w:val="20"/>
                <w:szCs w:val="20"/>
                <w:color w:val="auto"/>
              </w:rPr>
            </w:pPr>
            <w:r>
              <w:rPr>
                <w:rFonts w:ascii="Arial" w:cs="Arial" w:eastAsia="Arial" w:hAnsi="Arial"/>
                <w:sz w:val="14"/>
                <w:szCs w:val="14"/>
                <w:color w:val="auto"/>
              </w:rPr>
              <w:t>Warrants</w:t>
            </w:r>
          </w:p>
        </w:tc>
        <w:tc>
          <w:tcPr>
            <w:tcW w:w="12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6/13/2012</w:t>
            </w:r>
          </w:p>
        </w:tc>
        <w:tc>
          <w:tcPr>
            <w:tcW w:w="10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1.90%</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Membership Interests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6/13/2012</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0.40%</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181,999</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Partnership Interests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2/28/2007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1.16%</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157,717</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Partnership Interests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12/11/2018</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55.6%</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12,466,667</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12,466,667</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12/18/2006</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1.17%</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359,765</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108,675</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Membership Units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7/2/2007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1.10%</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1,079,617</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A Shares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2/2/2007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0.41%</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1,500,000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669,000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10/7/2014</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0.20%</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1,953,299</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4/5/2007</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0.19%</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A Units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3/26/2014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1,000,000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653,000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B Units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6/25/2013</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Class B Equity</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6/25/2013</w:t>
            </w:r>
          </w:p>
        </w:tc>
        <w:tc>
          <w:tcPr>
            <w:tcW w:w="1460" w:type="dxa"/>
            <w:vAlign w:val="bottom"/>
            <w:gridSpan w:val="3"/>
          </w:tcPr>
          <w:p>
            <w:pPr>
              <w:jc w:val="right"/>
              <w:ind w:right="100"/>
              <w:spacing w:after="0"/>
              <w:rPr>
                <w:sz w:val="20"/>
                <w:szCs w:val="20"/>
                <w:color w:val="auto"/>
              </w:rPr>
            </w:pPr>
            <w:r>
              <w:rPr>
                <w:rFonts w:ascii="Arial" w:cs="Arial" w:eastAsia="Arial" w:hAnsi="Arial"/>
                <w:sz w:val="14"/>
                <w:szCs w:val="14"/>
                <w:color w:val="auto"/>
              </w:rPr>
              <w:t>1.56%</w:t>
            </w:r>
          </w:p>
        </w:tc>
        <w:tc>
          <w:tcPr>
            <w:tcW w:w="18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Unit</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8/28/2014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15.5%</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980,000</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Warrants</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8/28/2014</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1.04%</w:t>
            </w:r>
          </w:p>
        </w:tc>
        <w:tc>
          <w:tcPr>
            <w:tcW w:w="180" w:type="dxa"/>
            <w:vAlign w:val="bottom"/>
          </w:tcPr>
          <w:p>
            <w:pPr>
              <w:spacing w:after="0"/>
              <w:rPr>
                <w:sz w:val="24"/>
                <w:szCs w:val="24"/>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185,205</w:t>
            </w: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12/24/2012</w:t>
            </w:r>
          </w:p>
        </w:tc>
        <w:tc>
          <w:tcPr>
            <w:tcW w:w="14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5.40%</w:t>
            </w:r>
          </w:p>
        </w:tc>
        <w:tc>
          <w:tcPr>
            <w:tcW w:w="1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1,680,161</w:t>
            </w:r>
          </w:p>
        </w:tc>
        <w:tc>
          <w:tcPr>
            <w:tcW w:w="20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548,345</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21,944,430</w:t>
            </w:r>
          </w:p>
        </w:tc>
        <w:tc>
          <w:tcPr>
            <w:tcW w:w="20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14,504,687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-5359400</wp:posOffset>
            </wp:positionV>
            <wp:extent cx="724662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-5041900</wp:posOffset>
            </wp:positionV>
            <wp:extent cx="724662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-4724400</wp:posOffset>
            </wp:positionV>
            <wp:extent cx="724662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-4407535</wp:posOffset>
            </wp:positionV>
            <wp:extent cx="7246620"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-4090035</wp:posOffset>
            </wp:positionV>
            <wp:extent cx="7246620" cy="3175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-3678555</wp:posOffset>
            </wp:positionV>
            <wp:extent cx="7246620" cy="222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-3361055</wp:posOffset>
            </wp:positionV>
            <wp:extent cx="724662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-3043555</wp:posOffset>
            </wp:positionV>
            <wp:extent cx="7246620" cy="31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-2632075</wp:posOffset>
            </wp:positionV>
            <wp:extent cx="72466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-2314575</wp:posOffset>
            </wp:positionV>
            <wp:extent cx="7246620"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-1997710</wp:posOffset>
            </wp:positionV>
            <wp:extent cx="7246620" cy="3175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-1585595</wp:posOffset>
            </wp:positionV>
            <wp:extent cx="7246620" cy="3175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-1174115</wp:posOffset>
            </wp:positionV>
            <wp:extent cx="724662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-857250</wp:posOffset>
            </wp:positionV>
            <wp:extent cx="7246620" cy="2228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-539750</wp:posOffset>
            </wp:positionV>
            <wp:extent cx="7246620" cy="231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-1772285</wp:posOffset>
            </wp:positionH>
            <wp:positionV relativeFrom="paragraph">
              <wp:posOffset>-205105</wp:posOffset>
            </wp:positionV>
            <wp:extent cx="7246620"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140"/>
            <w:col w:w="8520"/>
          </w:cols>
          <w:pgMar w:left="240" w:top="904" w:right="339" w:bottom="1440" w:gutter="0" w:footer="0" w:header="0"/>
        </w:sect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CLO Subordinated Investments</w:t>
      </w:r>
    </w:p>
    <w:p>
      <w:pPr>
        <w:spacing w:after="0" w:line="200" w:lineRule="exact"/>
        <w:rPr>
          <w:sz w:val="20"/>
          <w:szCs w:val="20"/>
          <w:color w:val="auto"/>
        </w:rPr>
      </w:pPr>
    </w:p>
    <w:p>
      <w:pPr>
        <w:spacing w:after="0" w:line="341" w:lineRule="exact"/>
        <w:rPr>
          <w:sz w:val="20"/>
          <w:szCs w:val="20"/>
          <w:color w:val="auto"/>
        </w:rPr>
      </w:pPr>
    </w:p>
    <w:p>
      <w:pPr>
        <w:ind w:right="500" w:firstLine="781"/>
        <w:spacing w:after="0" w:line="275" w:lineRule="auto"/>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3"/>
          <w:szCs w:val="13"/>
          <w:color w:val="auto"/>
        </w:rPr>
        <w:t>Katonah III, Ltd.</w:t>
      </w:r>
      <w:r>
        <w:rPr>
          <w:rFonts w:ascii="Arial" w:cs="Arial" w:eastAsia="Arial" w:hAnsi="Arial"/>
          <w:sz w:val="25"/>
          <w:szCs w:val="25"/>
          <w:color w:val="auto"/>
          <w:vertAlign w:val="superscript"/>
        </w:rPr>
        <w:t>(3)(12)(13)</w:t>
      </w:r>
    </w:p>
    <w:p>
      <w:pPr>
        <w:spacing w:after="0" w:line="185" w:lineRule="auto"/>
        <w:rPr>
          <w:sz w:val="20"/>
          <w:szCs w:val="20"/>
          <w:color w:val="auto"/>
        </w:rPr>
      </w:pPr>
      <w:r>
        <w:rPr>
          <w:rFonts w:ascii="Arial" w:cs="Arial" w:eastAsia="Arial" w:hAnsi="Arial"/>
          <w:sz w:val="13"/>
          <w:szCs w:val="13"/>
          <w:color w:val="auto"/>
        </w:rPr>
        <w:t>Catamaran CLO 2013- 1 Ltd.</w:t>
      </w:r>
      <w:r>
        <w:rPr>
          <w:rFonts w:ascii="Arial" w:cs="Arial" w:eastAsia="Arial" w:hAnsi="Arial"/>
          <w:sz w:val="23"/>
          <w:szCs w:val="23"/>
          <w:color w:val="auto"/>
          <w:vertAlign w:val="superscript"/>
        </w:rPr>
        <w:t>(3)(13)</w:t>
      </w:r>
    </w:p>
    <w:p>
      <w:pPr>
        <w:spacing w:after="0" w:line="184" w:lineRule="auto"/>
        <w:rPr>
          <w:sz w:val="20"/>
          <w:szCs w:val="20"/>
          <w:color w:val="auto"/>
        </w:rPr>
      </w:pPr>
      <w:r>
        <w:rPr>
          <w:rFonts w:ascii="Arial" w:cs="Arial" w:eastAsia="Arial" w:hAnsi="Arial"/>
          <w:sz w:val="13"/>
          <w:szCs w:val="13"/>
          <w:color w:val="auto"/>
        </w:rPr>
        <w:t>Catamaran CLO 2014-1 Ltd.</w:t>
      </w:r>
      <w:r>
        <w:rPr>
          <w:rFonts w:ascii="Arial" w:cs="Arial" w:eastAsia="Arial" w:hAnsi="Arial"/>
          <w:sz w:val="23"/>
          <w:szCs w:val="23"/>
          <w:color w:val="auto"/>
          <w:vertAlign w:val="superscript"/>
        </w:rPr>
        <w:t>(3)(13)</w:t>
      </w:r>
    </w:p>
    <w:p>
      <w:pPr>
        <w:spacing w:after="0" w:line="183" w:lineRule="auto"/>
        <w:rPr>
          <w:sz w:val="20"/>
          <w:szCs w:val="20"/>
          <w:color w:val="auto"/>
        </w:rPr>
      </w:pPr>
      <w:r>
        <w:rPr>
          <w:rFonts w:ascii="Arial" w:cs="Arial" w:eastAsia="Arial" w:hAnsi="Arial"/>
          <w:sz w:val="13"/>
          <w:szCs w:val="13"/>
          <w:color w:val="auto"/>
        </w:rPr>
        <w:t>Dryden 30 Senior Loan Fund</w:t>
      </w:r>
      <w:r>
        <w:rPr>
          <w:rFonts w:ascii="Arial" w:cs="Arial" w:eastAsia="Arial" w:hAnsi="Arial"/>
          <w:sz w:val="23"/>
          <w:szCs w:val="23"/>
          <w:color w:val="auto"/>
          <w:vertAlign w:val="superscript"/>
        </w:rPr>
        <w:t>(3)(13)</w:t>
      </w:r>
    </w:p>
    <w:p>
      <w:pPr>
        <w:spacing w:after="0" w:line="184" w:lineRule="auto"/>
        <w:rPr>
          <w:sz w:val="20"/>
          <w:szCs w:val="20"/>
          <w:color w:val="auto"/>
        </w:rPr>
      </w:pPr>
      <w:r>
        <w:rPr>
          <w:rFonts w:ascii="Arial" w:cs="Arial" w:eastAsia="Arial" w:hAnsi="Arial"/>
          <w:sz w:val="13"/>
          <w:szCs w:val="13"/>
          <w:color w:val="auto"/>
        </w:rPr>
        <w:t>Catamaran CLO 2014-2 Ltd.</w:t>
      </w:r>
      <w:r>
        <w:rPr>
          <w:rFonts w:ascii="Arial" w:cs="Arial" w:eastAsia="Arial" w:hAnsi="Arial"/>
          <w:sz w:val="23"/>
          <w:szCs w:val="23"/>
          <w:color w:val="auto"/>
          <w:vertAlign w:val="superscript"/>
        </w:rPr>
        <w:t>(3)(13)</w:t>
      </w:r>
    </w:p>
    <w:p>
      <w:pPr>
        <w:spacing w:after="0" w:line="184" w:lineRule="auto"/>
        <w:rPr>
          <w:sz w:val="20"/>
          <w:szCs w:val="20"/>
          <w:color w:val="auto"/>
        </w:rPr>
      </w:pPr>
      <w:r>
        <w:rPr>
          <w:rFonts w:ascii="Arial" w:cs="Arial" w:eastAsia="Arial" w:hAnsi="Arial"/>
          <w:sz w:val="13"/>
          <w:szCs w:val="13"/>
          <w:color w:val="auto"/>
        </w:rPr>
        <w:t>Catamaran CLO 2015-1 Ltd.</w:t>
      </w:r>
      <w:r>
        <w:rPr>
          <w:rFonts w:ascii="Arial" w:cs="Arial" w:eastAsia="Arial" w:hAnsi="Arial"/>
          <w:sz w:val="23"/>
          <w:szCs w:val="23"/>
          <w:color w:val="auto"/>
          <w:vertAlign w:val="superscript"/>
        </w:rPr>
        <w:t>(3)(13)</w:t>
      </w:r>
    </w:p>
    <w:p>
      <w:pPr>
        <w:spacing w:after="0" w:line="184" w:lineRule="auto"/>
        <w:rPr>
          <w:sz w:val="20"/>
          <w:szCs w:val="20"/>
          <w:color w:val="auto"/>
        </w:rPr>
      </w:pPr>
      <w:r>
        <w:rPr>
          <w:rFonts w:ascii="Arial" w:cs="Arial" w:eastAsia="Arial" w:hAnsi="Arial"/>
          <w:sz w:val="13"/>
          <w:szCs w:val="13"/>
          <w:color w:val="auto"/>
        </w:rPr>
        <w:t>Catamaran CLO 2016-1 Ltd.</w:t>
      </w:r>
      <w:r>
        <w:rPr>
          <w:rFonts w:ascii="Arial" w:cs="Arial" w:eastAsia="Arial" w:hAnsi="Arial"/>
          <w:sz w:val="23"/>
          <w:szCs w:val="23"/>
          <w:color w:val="auto"/>
          <w:vertAlign w:val="superscript"/>
        </w:rPr>
        <w:t>(3)(13)</w:t>
      </w:r>
    </w:p>
    <w:p>
      <w:pPr>
        <w:spacing w:after="0" w:line="180" w:lineRule="auto"/>
        <w:rPr>
          <w:sz w:val="20"/>
          <w:szCs w:val="20"/>
          <w:color w:val="auto"/>
        </w:rPr>
      </w:pPr>
      <w:r>
        <w:rPr>
          <w:rFonts w:ascii="Arial" w:cs="Arial" w:eastAsia="Arial" w:hAnsi="Arial"/>
          <w:sz w:val="13"/>
          <w:szCs w:val="13"/>
          <w:color w:val="auto"/>
        </w:rPr>
        <w:t>Catamaran CLO 2018-1 Ltd</w:t>
      </w:r>
      <w:r>
        <w:rPr>
          <w:rFonts w:ascii="Arial" w:cs="Arial" w:eastAsia="Arial" w:hAnsi="Arial"/>
          <w:sz w:val="25"/>
          <w:szCs w:val="25"/>
          <w:color w:val="auto"/>
          <w:vertAlign w:val="superscript"/>
        </w:rPr>
        <w:t>(3)(13)</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b w:val="1"/>
          <w:bCs w:val="1"/>
          <w:color w:val="auto"/>
        </w:rPr>
        <w:t>Total Investment in CLO Subordinated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-3810</wp:posOffset>
            </wp:positionV>
            <wp:extent cx="724662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ind w:right="160"/>
        <w:spacing w:after="0" w:line="237" w:lineRule="auto"/>
        <w:rPr>
          <w:sz w:val="20"/>
          <w:szCs w:val="20"/>
          <w:color w:val="auto"/>
        </w:rPr>
      </w:pPr>
      <w:r>
        <w:rPr>
          <w:rFonts w:ascii="Arial" w:cs="Arial" w:eastAsia="Arial" w:hAnsi="Arial"/>
          <w:sz w:val="14"/>
          <w:szCs w:val="14"/>
          <w:color w:val="auto"/>
        </w:rPr>
        <w:t>Subordinated Securities, effective interest N/M, 5/15 maturity 16</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21.9%, 1/28 maturity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13.6%, 4/30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-82550</wp:posOffset>
            </wp:positionV>
            <wp:extent cx="7246620"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27.0%, 12/29 maturity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10.4%, 11/25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-82550</wp:posOffset>
            </wp:positionV>
            <wp:extent cx="724662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11.4%, 10/26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72466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9.1%, 4/27 maturity</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Subordinated Securities, effective interest 14.5%, 10/31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19685</wp:posOffset>
            </wp:positionV>
            <wp:extent cx="7246620"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Amortized Cost</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Ownership</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12/11/2006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23.1%</w:t>
            </w:r>
          </w:p>
        </w:tc>
        <w:tc>
          <w:tcPr>
            <w:tcW w:w="2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1,287,155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369,280</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6/4/2013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23.3%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6,378,611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7,016,733</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5/6/2014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25.1%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11,740,622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9,777,251</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10/10/2013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1,438,701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1,913,925</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8/15/2014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6,314,484</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2,158,200</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5/5/2015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4,353,347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3,048,698</w:t>
            </w:r>
          </w:p>
        </w:tc>
        <w:tc>
          <w:tcPr>
            <w:tcW w:w="0" w:type="dxa"/>
            <w:vAlign w:val="bottom"/>
          </w:tcPr>
          <w:p>
            <w:pPr>
              <w:spacing w:after="0"/>
              <w:rPr>
                <w:sz w:val="1"/>
                <w:szCs w:val="1"/>
                <w:color w:val="auto"/>
              </w:rPr>
            </w:pPr>
          </w:p>
        </w:tc>
      </w:tr>
      <w:tr>
        <w:trPr>
          <w:trHeight w:val="203"/>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12/21/2016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9,717,150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7,067,073</w:t>
            </w:r>
          </w:p>
        </w:tc>
        <w:tc>
          <w:tcPr>
            <w:tcW w:w="0" w:type="dxa"/>
            <w:vAlign w:val="bottom"/>
          </w:tcPr>
          <w:p>
            <w:pPr>
              <w:spacing w:after="0"/>
              <w:rPr>
                <w:sz w:val="1"/>
                <w:szCs w:val="1"/>
                <w:color w:val="auto"/>
              </w:rPr>
            </w:pPr>
          </w:p>
        </w:tc>
      </w:tr>
      <w:tr>
        <w:trPr>
          <w:trHeight w:val="201"/>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9/27/2018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24.8%</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9,843,450</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8,500,000</w:t>
            </w:r>
          </w:p>
        </w:tc>
        <w:tc>
          <w:tcPr>
            <w:tcW w:w="0" w:type="dxa"/>
            <w:vAlign w:val="bottom"/>
          </w:tcPr>
          <w:p>
            <w:pPr>
              <w:spacing w:after="0"/>
              <w:rPr>
                <w:sz w:val="1"/>
                <w:szCs w:val="1"/>
                <w:color w:val="auto"/>
              </w:rPr>
            </w:pPr>
          </w:p>
        </w:tc>
      </w:tr>
      <w:tr>
        <w:trPr>
          <w:trHeight w:val="291"/>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51,073,520</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39,851,160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3">
            <w:col w:w="2460" w:space="420"/>
            <w:col w:w="3720" w:space="360"/>
            <w:col w:w="4360"/>
          </w:cols>
          <w:pgMar w:left="24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CLO Rated-Note Investment</w:t>
      </w:r>
    </w:p>
    <w:p>
      <w:pPr>
        <w:spacing w:after="0" w:line="200" w:lineRule="exact"/>
        <w:rPr>
          <w:sz w:val="20"/>
          <w:szCs w:val="20"/>
          <w:color w:val="auto"/>
        </w:rPr>
      </w:pPr>
    </w:p>
    <w:p>
      <w:pPr>
        <w:spacing w:after="0" w:line="318" w:lineRule="exact"/>
        <w:rPr>
          <w:sz w:val="20"/>
          <w:szCs w:val="20"/>
          <w:color w:val="auto"/>
        </w:rPr>
      </w:pPr>
    </w:p>
    <w:p>
      <w:pPr>
        <w:ind w:right="580" w:firstLine="781"/>
        <w:spacing w:after="0" w:line="326" w:lineRule="auto"/>
        <w:rPr>
          <w:sz w:val="20"/>
          <w:szCs w:val="20"/>
          <w:color w:val="auto"/>
        </w:rPr>
      </w:pPr>
      <w:r>
        <w:rPr>
          <w:rFonts w:ascii="Arial" w:cs="Arial" w:eastAsia="Arial" w:hAnsi="Arial"/>
          <w:sz w:val="13"/>
          <w:szCs w:val="13"/>
          <w:b w:val="1"/>
          <w:bCs w:val="1"/>
          <w:color w:val="auto"/>
        </w:rPr>
        <w:t xml:space="preserve">Portfolio Company </w:t>
      </w:r>
      <w:r>
        <w:rPr>
          <w:rFonts w:ascii="Arial" w:cs="Arial" w:eastAsia="Arial" w:hAnsi="Arial"/>
          <w:sz w:val="13"/>
          <w:szCs w:val="13"/>
          <w:color w:val="auto"/>
        </w:rPr>
        <w:t>KCAP 2017-1A</w:t>
      </w:r>
      <w:r>
        <w:rPr>
          <w:rFonts w:ascii="Arial" w:cs="Arial" w:eastAsia="Arial" w:hAnsi="Arial"/>
          <w:sz w:val="25"/>
          <w:szCs w:val="25"/>
          <w:color w:val="auto"/>
          <w:vertAlign w:val="superscript"/>
        </w:rPr>
        <w:t>(6)(13)</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Total Investment in CLO Rated-Note</w:t>
      </w:r>
    </w:p>
    <w:p>
      <w:pPr>
        <w:spacing w:after="0" w:line="159" w:lineRule="exact"/>
        <w:rPr>
          <w:sz w:val="20"/>
          <w:szCs w:val="20"/>
          <w:color w:val="auto"/>
        </w:rPr>
      </w:pPr>
    </w:p>
    <w:p>
      <w:pPr>
        <w:ind w:left="140" w:hanging="129"/>
        <w:spacing w:after="0" w:line="297" w:lineRule="auto"/>
        <w:rPr>
          <w:sz w:val="20"/>
          <w:szCs w:val="20"/>
          <w:color w:val="auto"/>
        </w:rPr>
      </w:pPr>
      <w:r>
        <w:rPr>
          <w:rFonts w:ascii="Arial" w:cs="Arial" w:eastAsia="Arial" w:hAnsi="Arial"/>
          <w:sz w:val="13"/>
          <w:szCs w:val="13"/>
          <w:b w:val="1"/>
          <w:bCs w:val="1"/>
          <w:color w:val="auto"/>
        </w:rPr>
        <w:t>Total Investment in CLO Fund Securities (31%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-3810</wp:posOffset>
            </wp:positionV>
            <wp:extent cx="7246620" cy="231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315" w:lineRule="auto"/>
        <w:rPr>
          <w:sz w:val="20"/>
          <w:szCs w:val="20"/>
          <w:color w:val="auto"/>
        </w:rPr>
      </w:pPr>
      <w:r>
        <w:rPr>
          <w:rFonts w:ascii="Arial" w:cs="Arial" w:eastAsia="Arial" w:hAnsi="Arial"/>
          <w:sz w:val="14"/>
          <w:szCs w:val="14"/>
          <w:color w:val="auto"/>
        </w:rPr>
        <w:t>Class E Notes, 10.29% Cash, 3 month LIBOR (2.79%) + 7.50%, Due 12/29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61595</wp:posOffset>
            </wp:positionV>
            <wp:extent cx="7246620"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267335</wp:posOffset>
            </wp:positionV>
            <wp:extent cx="724662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Initial</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Amortized Cost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Ownership</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10/24/2017</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4,407,106</w:t>
            </w: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4,473,840</w:t>
            </w: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vMerge w:val="restart"/>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4,407,106</w:t>
            </w:r>
          </w:p>
        </w:tc>
        <w:tc>
          <w:tcPr>
            <w:tcW w:w="22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4,473,840</w:t>
            </w:r>
          </w:p>
        </w:tc>
        <w:tc>
          <w:tcPr>
            <w:tcW w:w="0" w:type="dxa"/>
            <w:vAlign w:val="bottom"/>
          </w:tcPr>
          <w:p>
            <w:pPr>
              <w:spacing w:after="0"/>
              <w:rPr>
                <w:sz w:val="1"/>
                <w:szCs w:val="1"/>
                <w:color w:val="auto"/>
              </w:rPr>
            </w:pPr>
          </w:p>
        </w:tc>
      </w:tr>
      <w:tr>
        <w:trPr>
          <w:trHeight w:val="453"/>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55,480,626</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44,325,000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3">
            <w:col w:w="2540" w:space="340"/>
            <w:col w:w="3720" w:space="360"/>
            <w:col w:w="4360"/>
          </w:cols>
          <w:pgMar w:left="240" w:top="90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Asset Manager Affiliates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continue"/>
          </w:tcPr>
          <w:p>
            <w:pPr>
              <w:spacing w:after="0"/>
              <w:rPr>
                <w:sz w:val="12"/>
                <w:szCs w:val="12"/>
                <w:color w:val="auto"/>
              </w:rPr>
            </w:pPr>
          </w:p>
        </w:tc>
        <w:tc>
          <w:tcPr>
            <w:tcW w:w="4120" w:type="dxa"/>
            <w:vAlign w:val="bottom"/>
            <w:gridSpan w:val="2"/>
            <w:vMerge w:val="restart"/>
          </w:tcPr>
          <w:p>
            <w:pPr>
              <w:ind w:left="158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line="210"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4"/>
                <w:szCs w:val="24"/>
                <w:color w:val="auto"/>
                <w:vertAlign w:val="superscript"/>
              </w:rPr>
              <w:t>(8)(13)(17)</w:t>
            </w:r>
          </w:p>
        </w:tc>
        <w:tc>
          <w:tcPr>
            <w:tcW w:w="140" w:type="dxa"/>
            <w:vAlign w:val="bottom"/>
            <w:vMerge w:val="continue"/>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Asset Management Company</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12/11/2006</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17,791,230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Asset Manager</w:t>
            </w:r>
          </w:p>
        </w:tc>
        <w:tc>
          <w:tcPr>
            <w:tcW w:w="3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Affiliates</w:t>
            </w: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right w:val="single" w:sz="8" w:color="CCEEFF"/>
            </w:tcBorders>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(2% of net asset value at fair value)</w:t>
            </w:r>
          </w:p>
        </w:tc>
        <w:tc>
          <w:tcPr>
            <w:tcW w:w="3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17,791,230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3,470,000</w:t>
            </w:r>
          </w:p>
        </w:tc>
        <w:tc>
          <w:tcPr>
            <w:tcW w:w="0" w:type="dxa"/>
            <w:vAlign w:val="bottom"/>
          </w:tcPr>
          <w:p>
            <w:pPr>
              <w:spacing w:after="0"/>
              <w:rPr>
                <w:sz w:val="1"/>
                <w:szCs w:val="1"/>
                <w:color w:val="auto"/>
              </w:rPr>
            </w:pPr>
          </w:p>
        </w:tc>
      </w:tr>
      <w:tr>
        <w:trPr>
          <w:trHeight w:val="426"/>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Joint Ventures</w:t>
            </w: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w:t>
            </w: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continue"/>
          </w:tcPr>
          <w:p>
            <w:pPr>
              <w:spacing w:after="0"/>
              <w:rPr>
                <w:sz w:val="12"/>
                <w:szCs w:val="12"/>
                <w:color w:val="auto"/>
              </w:rPr>
            </w:pPr>
          </w:p>
        </w:tc>
        <w:tc>
          <w:tcPr>
            <w:tcW w:w="4120" w:type="dxa"/>
            <w:vAlign w:val="bottom"/>
            <w:gridSpan w:val="2"/>
            <w:vMerge w:val="restart"/>
          </w:tcPr>
          <w:p>
            <w:pPr>
              <w:ind w:left="158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Principal Business</w:t>
            </w: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Ownership</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line="210" w:lineRule="exact"/>
              <w:rPr>
                <w:sz w:val="20"/>
                <w:szCs w:val="20"/>
                <w:color w:val="auto"/>
              </w:rPr>
            </w:pPr>
            <w:r>
              <w:rPr>
                <w:rFonts w:ascii="Arial" w:cs="Arial" w:eastAsia="Arial" w:hAnsi="Arial"/>
                <w:sz w:val="13"/>
                <w:szCs w:val="13"/>
                <w:color w:val="auto"/>
              </w:rPr>
              <w:t>KCAP Freedom 3 LLC</w:t>
            </w:r>
            <w:r>
              <w:rPr>
                <w:rFonts w:ascii="Arial" w:cs="Arial" w:eastAsia="Arial" w:hAnsi="Arial"/>
                <w:sz w:val="24"/>
                <w:szCs w:val="24"/>
                <w:color w:val="auto"/>
                <w:vertAlign w:val="superscript"/>
              </w:rPr>
              <w:t>(9)(13)</w:t>
            </w:r>
          </w:p>
        </w:tc>
        <w:tc>
          <w:tcPr>
            <w:tcW w:w="140" w:type="dxa"/>
            <w:vAlign w:val="bottom"/>
            <w:vMerge w:val="continue"/>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Joint Venture</w:t>
            </w: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7/19/2017</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24,914,858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18,390,440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86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Total Investment in Joint Ventures</w:t>
            </w:r>
          </w:p>
        </w:tc>
        <w:tc>
          <w:tcPr>
            <w:tcW w:w="3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900" w:type="dxa"/>
            <w:vAlign w:val="bottom"/>
            <w:tcBorders>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(13% of net asset value at fair value)</w:t>
            </w:r>
          </w:p>
        </w:tc>
        <w:tc>
          <w:tcPr>
            <w:tcW w:w="3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24,914,858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18,390,440</w:t>
            </w:r>
          </w:p>
        </w:tc>
        <w:tc>
          <w:tcPr>
            <w:tcW w:w="0" w:type="dxa"/>
            <w:vAlign w:val="bottom"/>
          </w:tcPr>
          <w:p>
            <w:pPr>
              <w:spacing w:after="0"/>
              <w:rPr>
                <w:sz w:val="1"/>
                <w:szCs w:val="1"/>
                <w:color w:val="auto"/>
              </w:rPr>
            </w:pPr>
          </w:p>
        </w:tc>
      </w:tr>
      <w:tr>
        <w:trPr>
          <w:trHeight w:val="426"/>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Short-term Investments</w:t>
            </w: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Initial</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Par /Amortized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Short-term Investments</w:t>
            </w:r>
          </w:p>
        </w:tc>
        <w:tc>
          <w:tcPr>
            <w:tcW w:w="4120" w:type="dxa"/>
            <w:vAlign w:val="bottom"/>
            <w:gridSpan w:val="2"/>
            <w:vMerge w:val="restart"/>
          </w:tcPr>
          <w:p>
            <w:pPr>
              <w:ind w:left="1580"/>
              <w:spacing w:after="0" w:line="320" w:lineRule="exact"/>
              <w:rPr>
                <w:sz w:val="20"/>
                <w:szCs w:val="20"/>
                <w:color w:val="auto"/>
              </w:rPr>
            </w:pPr>
            <w:r>
              <w:rPr>
                <w:rFonts w:ascii="Arial" w:cs="Arial" w:eastAsia="Arial" w:hAnsi="Arial"/>
                <w:sz w:val="14"/>
                <w:szCs w:val="14"/>
                <w:b w:val="1"/>
                <w:bCs w:val="1"/>
                <w:color w:val="auto"/>
              </w:rPr>
              <w:t>Investment</w:t>
            </w:r>
            <w:r>
              <w:rPr>
                <w:rFonts w:ascii="Arial" w:cs="Arial" w:eastAsia="Arial" w:hAnsi="Arial"/>
                <w:sz w:val="28"/>
                <w:szCs w:val="28"/>
                <w:b w:val="1"/>
                <w:bCs w:val="1"/>
                <w:color w:val="auto"/>
                <w:vertAlign w:val="superscript"/>
              </w:rPr>
              <w:t>15</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Yield</w:t>
            </w: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180"/>
              <w:spacing w:after="0" w:line="320" w:lineRule="exact"/>
              <w:rPr>
                <w:sz w:val="20"/>
                <w:szCs w:val="20"/>
                <w:color w:val="auto"/>
              </w:rPr>
            </w:pPr>
            <w:r>
              <w:rPr>
                <w:rFonts w:ascii="Arial" w:cs="Arial" w:eastAsia="Arial" w:hAnsi="Arial"/>
                <w:sz w:val="14"/>
                <w:szCs w:val="14"/>
                <w:b w:val="1"/>
                <w:bCs w:val="1"/>
                <w:color w:val="auto"/>
                <w:w w:val="93"/>
              </w:rPr>
              <w:t>Fair Value</w:t>
            </w:r>
            <w:r>
              <w:rPr>
                <w:rFonts w:ascii="Arial" w:cs="Arial" w:eastAsia="Arial" w:hAnsi="Arial"/>
                <w:sz w:val="28"/>
                <w:szCs w:val="28"/>
                <w:b w:val="1"/>
                <w:bCs w:val="1"/>
                <w:color w:val="auto"/>
                <w:w w:val="93"/>
                <w:vertAlign w:val="superscript"/>
              </w:rPr>
              <w:t>2</w:t>
            </w:r>
          </w:p>
        </w:tc>
        <w:tc>
          <w:tcPr>
            <w:tcW w:w="0" w:type="dxa"/>
            <w:vAlign w:val="bottom"/>
          </w:tcPr>
          <w:p>
            <w:pPr>
              <w:spacing w:after="0"/>
              <w:rPr>
                <w:sz w:val="1"/>
                <w:szCs w:val="1"/>
                <w:color w:val="auto"/>
              </w:rPr>
            </w:pPr>
          </w:p>
        </w:tc>
      </w:tr>
      <w:tr>
        <w:trPr>
          <w:trHeight w:val="171"/>
        </w:trPr>
        <w:tc>
          <w:tcPr>
            <w:tcW w:w="2880" w:type="dxa"/>
            <w:vAlign w:val="bottom"/>
            <w:gridSpan w:val="3"/>
            <w:vMerge w:val="continue"/>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line="197" w:lineRule="exact"/>
              <w:rPr>
                <w:sz w:val="20"/>
                <w:szCs w:val="20"/>
                <w:color w:val="auto"/>
              </w:rPr>
            </w:pPr>
            <w:r>
              <w:rPr>
                <w:rFonts w:ascii="Arial" w:cs="Arial" w:eastAsia="Arial" w:hAnsi="Arial"/>
                <w:sz w:val="12"/>
                <w:szCs w:val="12"/>
                <w:color w:val="auto"/>
              </w:rPr>
              <w:t>US Bank Money Market Account</w:t>
            </w:r>
            <w:r>
              <w:rPr>
                <w:rFonts w:ascii="Arial" w:cs="Arial" w:eastAsia="Arial" w:hAnsi="Arial"/>
                <w:sz w:val="22"/>
                <w:szCs w:val="22"/>
                <w:color w:val="auto"/>
                <w:vertAlign w:val="superscript"/>
              </w:rPr>
              <w:t>(7)(8)</w:t>
            </w:r>
          </w:p>
        </w:tc>
        <w:tc>
          <w:tcPr>
            <w:tcW w:w="140" w:type="dxa"/>
            <w:vAlign w:val="bottom"/>
            <w:vMerge w:val="continue"/>
            <w:shd w:val="clear" w:color="auto" w:fill="CCEEFF"/>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Money Market Account</w:t>
            </w:r>
          </w:p>
        </w:tc>
        <w:tc>
          <w:tcPr>
            <w:tcW w:w="1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240" w:type="dxa"/>
            <w:vAlign w:val="bottom"/>
            <w:tcBorders>
              <w:right w:val="single" w:sz="8" w:color="CCEEFF"/>
            </w:tcBorders>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shd w:val="clear" w:color="auto" w:fill="CCEEFF"/>
          </w:tcPr>
          <w:p>
            <w:pPr>
              <w:jc w:val="right"/>
              <w:ind w:right="45"/>
              <w:spacing w:after="0"/>
              <w:rPr>
                <w:sz w:val="20"/>
                <w:szCs w:val="20"/>
                <w:color w:val="auto"/>
              </w:rPr>
            </w:pPr>
            <w:r>
              <w:rPr>
                <w:rFonts w:ascii="Arial" w:cs="Arial" w:eastAsia="Arial" w:hAnsi="Arial"/>
                <w:sz w:val="5"/>
                <w:szCs w:val="5"/>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34,757,129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34,757,129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gridSpan w:val="2"/>
          </w:tcPr>
          <w:p>
            <w:pPr>
              <w:spacing w:after="0"/>
              <w:rPr>
                <w:sz w:val="12"/>
                <w:szCs w:val="12"/>
                <w:color w:val="auto"/>
              </w:rPr>
            </w:pPr>
          </w:p>
        </w:tc>
        <w:tc>
          <w:tcPr>
            <w:tcW w:w="412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line="216" w:lineRule="exact"/>
              <w:rPr>
                <w:sz w:val="20"/>
                <w:szCs w:val="20"/>
                <w:color w:val="auto"/>
              </w:rPr>
            </w:pPr>
            <w:r>
              <w:rPr>
                <w:rFonts w:ascii="Arial" w:cs="Arial" w:eastAsia="Arial" w:hAnsi="Arial"/>
                <w:sz w:val="13"/>
                <w:szCs w:val="13"/>
                <w:color w:val="auto"/>
              </w:rPr>
              <w:t>US Treasury Bill (Cusip:912796UH0)</w:t>
            </w:r>
            <w:r>
              <w:rPr>
                <w:rFonts w:ascii="Arial" w:cs="Arial" w:eastAsia="Arial" w:hAnsi="Arial"/>
                <w:sz w:val="25"/>
                <w:szCs w:val="25"/>
                <w:color w:val="auto"/>
                <w:vertAlign w:val="superscript"/>
              </w:rPr>
              <w:t>(8)</w:t>
            </w:r>
          </w:p>
        </w:tc>
        <w:tc>
          <w:tcPr>
            <w:tcW w:w="4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U.S. Government Obligation</w:t>
            </w:r>
          </w:p>
        </w:tc>
        <w:tc>
          <w:tcPr>
            <w:tcW w:w="9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9,999,349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9,999,349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60" w:type="dxa"/>
            <w:vAlign w:val="bottom"/>
            <w:gridSpan w:val="2"/>
          </w:tcPr>
          <w:p>
            <w:pPr>
              <w:spacing w:after="0" w:line="106" w:lineRule="exact"/>
              <w:rPr>
                <w:sz w:val="20"/>
                <w:szCs w:val="20"/>
                <w:color w:val="auto"/>
              </w:rPr>
            </w:pPr>
            <w:r>
              <w:rPr>
                <w:rFonts w:ascii="Arial" w:cs="Arial" w:eastAsia="Arial" w:hAnsi="Arial"/>
                <w:sz w:val="12"/>
                <w:szCs w:val="12"/>
                <w:b w:val="1"/>
                <w:bCs w:val="1"/>
                <w:color w:val="auto"/>
              </w:rPr>
              <w:t>Total Short-term Investments</w:t>
            </w:r>
          </w:p>
        </w:tc>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b w:val="1"/>
                <w:bCs w:val="1"/>
                <w:color w:val="auto"/>
              </w:rPr>
              <w:t>(31% of net asset value at fair value)</w:t>
            </w:r>
          </w:p>
        </w:tc>
        <w:tc>
          <w:tcPr>
            <w:tcW w:w="39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ind w:right="45"/>
              <w:spacing w:after="0"/>
              <w:rPr>
                <w:sz w:val="20"/>
                <w:szCs w:val="20"/>
                <w:color w:val="auto"/>
              </w:rPr>
            </w:pPr>
            <w:r>
              <w:rPr>
                <w:rFonts w:ascii="Arial" w:cs="Arial" w:eastAsia="Arial" w:hAnsi="Arial"/>
                <w:sz w:val="5"/>
                <w:szCs w:val="5"/>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44,756,478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44,756,478</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line="210" w:lineRule="exact"/>
              <w:rPr>
                <w:sz w:val="20"/>
                <w:szCs w:val="20"/>
                <w:color w:val="auto"/>
              </w:rPr>
            </w:pPr>
            <w:r>
              <w:rPr>
                <w:rFonts w:ascii="Arial" w:cs="Arial" w:eastAsia="Arial" w:hAnsi="Arial"/>
                <w:sz w:val="13"/>
                <w:szCs w:val="13"/>
                <w:b w:val="1"/>
                <w:bCs w:val="1"/>
                <w:color w:val="auto"/>
              </w:rPr>
              <w:t>Total Investments</w:t>
            </w:r>
            <w:r>
              <w:rPr>
                <w:rFonts w:ascii="Arial" w:cs="Arial" w:eastAsia="Arial" w:hAnsi="Arial"/>
                <w:sz w:val="24"/>
                <w:szCs w:val="24"/>
                <w:b w:val="1"/>
                <w:bCs w:val="1"/>
                <w:color w:val="auto"/>
                <w:vertAlign w:val="superscript"/>
              </w:rPr>
              <w:t>4</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ind w:right="45"/>
              <w:spacing w:after="0"/>
              <w:rPr>
                <w:sz w:val="20"/>
                <w:szCs w:val="20"/>
                <w:color w:val="auto"/>
              </w:rPr>
            </w:pPr>
            <w:r>
              <w:rPr>
                <w:rFonts w:ascii="Arial" w:cs="Arial" w:eastAsia="Arial" w:hAnsi="Arial"/>
                <w:sz w:val="5"/>
                <w:szCs w:val="5"/>
                <w:b w:val="1"/>
                <w:bCs w:val="1"/>
                <w:color w:val="auto"/>
                <w:w w:val="70"/>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7"/>
              </w:rPr>
              <w:t>327,152,104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273,308,349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10"/>
        <w:spacing w:after="0" w:line="238" w:lineRule="auto"/>
        <w:tabs>
          <w:tab w:leader="none" w:pos="34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w:t>
      </w:r>
    </w:p>
    <w:p>
      <w:pPr>
        <w:spacing w:after="0" w:line="1" w:lineRule="exact"/>
        <w:rPr>
          <w:sz w:val="20"/>
          <w:szCs w:val="20"/>
          <w:color w:val="auto"/>
        </w:rPr>
      </w:pPr>
    </w:p>
    <w:p>
      <w:pPr>
        <w:ind w:left="340" w:right="280"/>
        <w:spacing w:after="0" w:line="250" w:lineRule="auto"/>
        <w:rPr>
          <w:sz w:val="20"/>
          <w:szCs w:val="20"/>
          <w:color w:val="auto"/>
        </w:rPr>
      </w:pPr>
      <w:r>
        <w:rPr>
          <w:rFonts w:ascii="Arial" w:cs="Arial" w:eastAsia="Arial" w:hAnsi="Arial"/>
          <w:sz w:val="18"/>
          <w:szCs w:val="18"/>
          <w:color w:val="auto"/>
        </w:rPr>
        <w:t>weighted average annual stated interest rate in effect at December 31, 2018. As noted in the table above, 81% (based on par) of debt securities contain floors which range between 0.75% and 3.00%.</w:t>
      </w:r>
    </w:p>
    <w:p>
      <w:pPr>
        <w:ind w:left="340" w:hanging="310"/>
        <w:spacing w:after="0" w:line="181"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2018, as determined by the Company’s Board of Directors.</w:t>
      </w:r>
    </w:p>
    <w:p>
      <w:pPr>
        <w:ind w:left="340" w:hanging="310"/>
        <w:spacing w:after="0" w:line="180"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spacing w:after="0" w:line="2" w:lineRule="exact"/>
        <w:rPr>
          <w:sz w:val="20"/>
          <w:szCs w:val="20"/>
          <w:color w:val="auto"/>
        </w:rPr>
      </w:pPr>
    </w:p>
    <w:p>
      <w:pPr>
        <w:ind w:left="340" w:right="660" w:hanging="310"/>
        <w:spacing w:after="0" w:line="214" w:lineRule="auto"/>
        <w:tabs>
          <w:tab w:leader="none" w:pos="34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The aggregate cost of investments for federal income tax purposes is approximately $327 million. The aggregate gross unrealized appreciation is approximately $0 million, the aggregate gross unrealized depreciation is approximately $53.8 million, and the net unrealized depreciation is</w:t>
      </w:r>
    </w:p>
    <w:p>
      <w:pPr>
        <w:ind w:left="340"/>
        <w:spacing w:after="0"/>
        <w:rPr>
          <w:sz w:val="20"/>
          <w:szCs w:val="20"/>
          <w:color w:val="auto"/>
        </w:rPr>
      </w:pPr>
      <w:r>
        <w:rPr>
          <w:rFonts w:ascii="Arial" w:cs="Arial" w:eastAsia="Arial" w:hAnsi="Arial"/>
          <w:sz w:val="18"/>
          <w:szCs w:val="18"/>
          <w:color w:val="auto"/>
        </w:rPr>
        <w:t>approximately $53.8 million.</w:t>
      </w:r>
    </w:p>
    <w:p>
      <w:pPr>
        <w:ind w:left="340" w:hanging="310"/>
        <w:spacing w:after="0" w:line="180" w:lineRule="auto"/>
        <w:tabs>
          <w:tab w:leader="none" w:pos="34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40" w:hanging="310"/>
        <w:spacing w:after="0" w:line="18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40" w:hanging="310"/>
        <w:spacing w:after="0" w:line="180"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Money market account.</w:t>
      </w:r>
    </w:p>
    <w:p>
      <w:pPr>
        <w:spacing w:after="0" w:line="2" w:lineRule="exact"/>
        <w:rPr>
          <w:sz w:val="20"/>
          <w:szCs w:val="20"/>
          <w:color w:val="auto"/>
        </w:rPr>
      </w:pPr>
    </w:p>
    <w:p>
      <w:pPr>
        <w:ind w:left="340" w:right="720" w:hanging="310"/>
        <w:spacing w:after="0" w:line="187" w:lineRule="auto"/>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 as amended (the “1940 Act”). Qualifying assets represent approximately 72.0% of the total assets at December 31, 2018.</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310" w:hanging="310"/>
        <w:spacing w:after="0"/>
        <w:tabs>
          <w:tab w:leader="none" w:pos="31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As defined in the 1940 Act, the Company is deemed to be both an “Affiliated Person” and has “Control” of this portfolio company as the Company owns</w:t>
      </w:r>
    </w:p>
    <w:p>
      <w:pPr>
        <w:spacing w:after="0" w:line="2" w:lineRule="exact"/>
        <w:rPr>
          <w:sz w:val="20"/>
          <w:szCs w:val="20"/>
          <w:color w:val="auto"/>
        </w:rPr>
      </w:pPr>
    </w:p>
    <w:p>
      <w:pPr>
        <w:ind w:left="310" w:right="400"/>
        <w:spacing w:after="0" w:line="249" w:lineRule="auto"/>
        <w:rPr>
          <w:sz w:val="20"/>
          <w:szCs w:val="20"/>
          <w:color w:val="auto"/>
        </w:rPr>
      </w:pPr>
      <w:r>
        <w:rPr>
          <w:rFonts w:ascii="Arial" w:cs="Arial" w:eastAsia="Arial" w:hAnsi="Arial"/>
          <w:sz w:val="18"/>
          <w:szCs w:val="18"/>
          <w:color w:val="auto"/>
        </w:rPr>
        <w:t>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ind w:left="310" w:hanging="310"/>
        <w:spacing w:after="0" w:line="182" w:lineRule="auto"/>
        <w:tabs>
          <w:tab w:leader="none" w:pos="31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310" w:right="160" w:hanging="310"/>
        <w:spacing w:after="0" w:line="214" w:lineRule="auto"/>
        <w:tabs>
          <w:tab w:leader="none" w:pos="31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30"/>
          <w:szCs w:val="30"/>
          <w:color w:val="auto"/>
          <w:vertAlign w:val="superscript"/>
        </w:rPr>
      </w:pPr>
    </w:p>
    <w:p>
      <w:pPr>
        <w:ind w:left="310" w:hanging="310"/>
        <w:spacing w:after="0" w:line="180" w:lineRule="auto"/>
        <w:tabs>
          <w:tab w:leader="none" w:pos="31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security.</w:t>
      </w:r>
    </w:p>
    <w:p>
      <w:pPr>
        <w:spacing w:after="0" w:line="2" w:lineRule="exact"/>
        <w:rPr>
          <w:rFonts w:ascii="Arial" w:cs="Arial" w:eastAsia="Arial" w:hAnsi="Arial"/>
          <w:sz w:val="25"/>
          <w:szCs w:val="25"/>
          <w:color w:val="auto"/>
          <w:vertAlign w:val="superscript"/>
        </w:rPr>
      </w:pPr>
    </w:p>
    <w:p>
      <w:pPr>
        <w:ind w:left="310" w:hanging="310"/>
        <w:spacing w:after="0" w:line="186" w:lineRule="auto"/>
        <w:tabs>
          <w:tab w:leader="none" w:pos="31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Fair value of this investment was determined using significant unobservable inputs.</w:t>
      </w:r>
    </w:p>
    <w:p>
      <w:pPr>
        <w:spacing w:after="0" w:line="2" w:lineRule="exact"/>
        <w:rPr>
          <w:rFonts w:ascii="Arial" w:cs="Arial" w:eastAsia="Arial" w:hAnsi="Arial"/>
          <w:sz w:val="24"/>
          <w:szCs w:val="24"/>
          <w:color w:val="auto"/>
          <w:vertAlign w:val="superscript"/>
        </w:rPr>
      </w:pPr>
    </w:p>
    <w:p>
      <w:pPr>
        <w:ind w:left="310" w:right="200" w:hanging="310"/>
        <w:spacing w:after="0" w:line="232" w:lineRule="auto"/>
        <w:tabs>
          <w:tab w:leader="none" w:pos="310" w:val="left"/>
        </w:tabs>
        <w:numPr>
          <w:ilvl w:val="0"/>
          <w:numId w:val="25"/>
        </w:numPr>
        <w:rPr>
          <w:rFonts w:ascii="Arial" w:cs="Arial" w:eastAsia="Arial" w:hAnsi="Arial"/>
          <w:sz w:val="26"/>
          <w:szCs w:val="26"/>
          <w:color w:val="auto"/>
          <w:vertAlign w:val="superscript"/>
        </w:rPr>
      </w:pPr>
      <w:r>
        <w:rPr>
          <w:rFonts w:ascii="Arial" w:cs="Arial" w:eastAsia="Arial" w:hAnsi="Arial"/>
          <w:sz w:val="16"/>
          <w:szCs w:val="16"/>
          <w:color w:val="auto"/>
        </w:rPr>
        <w:t>As of December 31,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1" w:lineRule="exact"/>
        <w:rPr>
          <w:rFonts w:ascii="Arial" w:cs="Arial" w:eastAsia="Arial" w:hAnsi="Arial"/>
          <w:sz w:val="26"/>
          <w:szCs w:val="26"/>
          <w:color w:val="auto"/>
          <w:vertAlign w:val="superscript"/>
        </w:rPr>
      </w:pPr>
    </w:p>
    <w:p>
      <w:pPr>
        <w:ind w:left="310" w:right="20" w:hanging="310"/>
        <w:spacing w:after="0" w:line="204" w:lineRule="auto"/>
        <w:tabs>
          <w:tab w:leader="none" w:pos="31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3" w:lineRule="exact"/>
        <w:rPr>
          <w:rFonts w:ascii="Arial" w:cs="Arial" w:eastAsia="Arial" w:hAnsi="Arial"/>
          <w:sz w:val="30"/>
          <w:szCs w:val="30"/>
          <w:color w:val="auto"/>
          <w:vertAlign w:val="superscript"/>
        </w:rPr>
      </w:pPr>
    </w:p>
    <w:p>
      <w:pPr>
        <w:ind w:left="310" w:right="100" w:hanging="310"/>
        <w:spacing w:after="0" w:line="214" w:lineRule="auto"/>
        <w:tabs>
          <w:tab w:leader="none" w:pos="31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204" w:lineRule="exact"/>
        <w:rPr>
          <w:rFonts w:ascii="Arial" w:cs="Arial" w:eastAsia="Arial" w:hAnsi="Arial"/>
          <w:sz w:val="30"/>
          <w:szCs w:val="30"/>
          <w:color w:val="auto"/>
          <w:vertAlign w:val="superscript"/>
        </w:rPr>
      </w:pPr>
    </w:p>
    <w:p>
      <w:pPr>
        <w:ind w:left="310" w:hanging="310"/>
        <w:spacing w:after="0" w:line="209" w:lineRule="auto"/>
        <w:tabs>
          <w:tab w:leader="none" w:pos="31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203"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0"/>
          </w:cols>
          <w:pgMar w:left="270" w:top="840"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PORTMAN RIDGE FINANCE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line="251" w:lineRule="exact"/>
              <w:rPr>
                <w:sz w:val="20"/>
                <w:szCs w:val="20"/>
                <w:color w:val="auto"/>
              </w:rPr>
            </w:pPr>
            <w:r>
              <w:rPr>
                <w:rFonts w:ascii="Arial" w:cs="Arial" w:eastAsia="Arial" w:hAnsi="Arial"/>
                <w:sz w:val="18"/>
                <w:szCs w:val="18"/>
                <w:b w:val="1"/>
                <w:bCs w:val="1"/>
                <w:color w:val="auto"/>
              </w:rPr>
              <w:t>2019</w:t>
            </w:r>
            <w:r>
              <w:rPr>
                <w:rFonts w:ascii="Arial" w:cs="Arial" w:eastAsia="Arial" w:hAnsi="Arial"/>
                <w:sz w:val="29"/>
                <w:szCs w:val="29"/>
                <w:b w:val="1"/>
                <w:bCs w:val="1"/>
                <w:color w:val="auto"/>
                <w:vertAlign w:val="superscript"/>
              </w:rPr>
              <w:t>4</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line="251"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9"/>
                <w:szCs w:val="29"/>
                <w:b w:val="1"/>
                <w:bCs w:val="1"/>
                <w:color w:val="auto"/>
                <w:vertAlign w:val="superscript"/>
              </w:rPr>
              <w:t>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4.23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(loss) income</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 gains from investments</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(0.36)</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38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appreciation on investments</w:t>
            </w:r>
            <w:r>
              <w:rPr>
                <w:rFonts w:ascii="Arial" w:cs="Arial" w:eastAsia="Arial" w:hAnsi="Arial"/>
                <w:sz w:val="30"/>
                <w:szCs w:val="30"/>
                <w:color w:val="auto"/>
                <w:vertAlign w:val="superscript"/>
              </w:rPr>
              <w:t>1</w:t>
            </w: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0.13</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Net (decrease) increase in net assets resulting from operations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relating to stock-based transactions: Stock based compensation</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37,331,709</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37,354,479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143,686,028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181,002,087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6</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101,476,204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106,795,129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Asset coverage ratio</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(loss) income to average net assets</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2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340" w:hanging="332"/>
        <w:spacing w:after="0" w:line="226" w:lineRule="auto"/>
        <w:tabs>
          <w:tab w:leader="none" w:pos="34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2" w:lineRule="exact"/>
        <w:rPr>
          <w:sz w:val="20"/>
          <w:szCs w:val="20"/>
          <w:color w:val="auto"/>
        </w:rPr>
      </w:pPr>
    </w:p>
    <w:p>
      <w:pPr>
        <w:ind w:left="340" w:right="120" w:hanging="332"/>
        <w:spacing w:after="0" w:line="187"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distributions, divided by the beginning net asset value per share.</w:t>
      </w:r>
    </w:p>
    <w:p>
      <w:pPr>
        <w:spacing w:after="0" w:line="1" w:lineRule="exact"/>
        <w:rPr>
          <w:sz w:val="20"/>
          <w:szCs w:val="20"/>
          <w:color w:val="auto"/>
        </w:rPr>
      </w:pPr>
    </w:p>
    <w:p>
      <w:pPr>
        <w:ind w:left="340" w:right="60" w:hanging="332"/>
        <w:spacing w:after="0" w:line="187" w:lineRule="auto"/>
        <w:tabs>
          <w:tab w:leader="none" w:pos="340"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distributions, divided by the beginning market price.</w:t>
      </w:r>
    </w:p>
    <w:p>
      <w:pPr>
        <w:ind w:left="340" w:hanging="332"/>
        <w:spacing w:after="0" w:line="182"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ind w:left="340" w:hanging="332"/>
        <w:spacing w:after="0" w:line="180"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spacing w:after="0" w:line="2" w:lineRule="exact"/>
        <w:rPr>
          <w:sz w:val="20"/>
          <w:szCs w:val="20"/>
          <w:color w:val="auto"/>
        </w:rPr>
      </w:pPr>
    </w:p>
    <w:p>
      <w:pPr>
        <w:ind w:left="3500" w:right="2560" w:hanging="3492"/>
        <w:spacing w:after="0" w:line="398" w:lineRule="auto"/>
        <w:tabs>
          <w:tab w:leader="none" w:pos="340" w:val="left"/>
        </w:tabs>
        <w:numPr>
          <w:ilvl w:val="0"/>
          <w:numId w:val="31"/>
        </w:numPr>
        <w:rPr>
          <w:rFonts w:ascii="Arial" w:cs="Arial" w:eastAsia="Arial" w:hAnsi="Arial"/>
          <w:sz w:val="28"/>
          <w:szCs w:val="28"/>
          <w:color w:val="auto"/>
          <w:vertAlign w:val="superscript"/>
        </w:rPr>
      </w:pPr>
      <w:r>
        <w:rPr>
          <w:rFonts w:ascii="Arial" w:cs="Arial" w:eastAsia="Arial" w:hAnsi="Arial"/>
          <w:sz w:val="17"/>
          <w:szCs w:val="17"/>
          <w:color w:val="auto"/>
        </w:rPr>
        <w:t>Portfolio turnover rate equals the year-to-date sales and paydowns over the average of the invested assets at fair value. See accompanying notes to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PORTMAN RIDGE FINANCE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Portman Ridge Finance Corporation (“Portman Ridge” or the “Company”), formerly known as KCAP Financial, Inc., is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w:t>
      </w:r>
    </w:p>
    <w:p>
      <w:pPr>
        <w:spacing w:after="0" w:line="15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 $25 million, respectively, in assets to the Joint Venture, which in turn used the assets to capitalize a new fund (KCAP FC3 Senior Funding, L.L.C. or the "Fund") managed by KCAP Management, LLC, one of the Company's indirectly wholly-owned Asset Manager Affiliate subsidiaries.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18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1"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1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has elected to be treated and intends to continue to qualify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29, 2018, the Company’s Board of Directors,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changed from 200% to 150%, effective as of March 29, 2019. However, despite the SBCA, we will continue to be prohibited by the indentures governing our 6.125% Notes (each, as defined and discussed in Note 6 - “Borrowings” below) from making distributions on our common stock if our asset coverage, as defined in the 1940 Act, falls below 200%. In any such event, we would be prohibited from making distributions required in order to maintain our status as a RIC.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LibreMax Transaction</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On November 8, 2018, the Company entered into an agreement with LibreMax Intermediate Holdings, LP (“LibreMax”) under which Commodore Holdings, LLC (“Commodore”), a wholly-owned subsidiary of the Company, sold the Company’s wholly-owned asset manager subsidiaries Katonah Debt Advisors, LLC (“Katonah Debt Advisors”), Trimaran Advisors, L.L.C. (“Trimaran Advisors”), and Trimaran Advisors Management, L.L.C. (“Trimaran Advisors Management” and, together with Katonah Debt Advisors and Trimaran Advisors, the “Disposed Manager Affiliates”), for a cash purchase price of approximately $37.9 million (the “LibreMax Transaction”). The LibreMax Transaction closed on December 31, 2018. As of March 31, 2019, the Company’s remaining wholly-owned asset management subsidiaries (the “Asset Manager Affiliates”) were comprised of Commodore, Katonah Management Holdings, LLC, Katonah X Management LLC, Katonah 2007-1 Management, LLC and KCAP Management, LLC. Prior to their sale in the LibreMax Transaction, the Disposed Manager Affiliates represented substantially all of the Company’s investment in the Asset Manager Affiliates.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December 14, 2018, the Company entered into a stock purchase and transaction agreement (the “Externalization Agreement”) with BC Partners Advisors L.P. (“BCP”), an affiliate of BC Partners, through which Sierra Crest Investment Management LLC (the “Adviser”), an affiliate of BC Partners LLP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Pursuant to the Externalization Agreement with BCP, the Adviser became the Company’s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the Company’s common stock at the most recently determined net asset value per share of the Company’s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the Company, to the extent necessary in order to achieve aggregate net investment income per common share of the Company for such one-year period to be at least equal to $0.40 per share, subject to certain adjustments.</w:t>
      </w:r>
    </w:p>
    <w:p>
      <w:pPr>
        <w:spacing w:after="0" w:line="19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the date of the Closing, the Company changed its name from KCAP Financial, Inc. to Portman Ridge Finance Corporation and on April 2, 2019, began trading on the NASDAQ Global Select Market under the symbol “PTMN.”</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April 1, 2019, in connection with the Closing, all of the Company’s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Adviser is an affiliate of BC Partners. LibreMax owns a minority stake in the Adviser. Subject to the overall supervision of the Board, the Adviser is responsible for managing the Company’s business and activities, including sourcing investment opportunities, conducting research, performing diligence on potential investments, structuring the Company’s investments, and monitoring the Company’s portfolio companies on an ongoing basis through a team of investment professionals.</w:t>
      </w:r>
    </w:p>
    <w:p>
      <w:pPr>
        <w:spacing w:after="0" w:line="18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Adviser seeks to invest on behalf of the Company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firstLine="324"/>
        <w:spacing w:after="0" w:line="270" w:lineRule="auto"/>
        <w:rPr>
          <w:sz w:val="20"/>
          <w:szCs w:val="20"/>
          <w:color w:val="auto"/>
        </w:rPr>
      </w:pPr>
      <w:r>
        <w:rPr>
          <w:rFonts w:ascii="Arial" w:cs="Arial" w:eastAsia="Arial" w:hAnsi="Arial"/>
          <w:sz w:val="17"/>
          <w:szCs w:val="17"/>
          <w:color w:val="auto"/>
        </w:rPr>
        <w:t>The Adviser is affiliated with BC Partners, a leading buyout firm with a 30-year history investing across Europe and North America which has more than $24 billion in assets under management in private equity, private credit and real estate strategies. The assets under management for BC Partners are based on actively managed commitments of its managed funds and relevant vehicles formed for the purpose of co-investing alongside such funds. BC Partners operates a private equity investment platform (“BCP PE”) a credit investment platform (“BCP Credit”) and a real estate investment platform (“BCP RE”) as fully integrated businesses. The investment activity of the Company will take place primarily within the BCP Credit platform. Integration with the broader BC Partners platform allows BCP Credit to leverage a team of investment professionals across its private equity platform including its operations team. The BCP Credit Investment Team (the “Investment Team”) is led by Ted Goldthorpe who sits on both the BCP Credit and BCP PE investment committees. BCP Credit currently manages a private fund in the BCP Credit platform along with several separate managed accounts focused on credit investments and BC Partners Lending Corporation, a private BDC.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Adviser provides management services to the Company pursuant to the Advisory Agreement. Under the terms of the Advisory Agreement,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21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managing the Company’s assets in accordance with our investment objective, policies and restrictions;</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determining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the Company’s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monitoring the Company’s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determining the securities and other assets that the Company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assisting the Board with its valuation of the Company’s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the Company’s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225"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the Company with such other investment advisory, research and related services as we may, from time to time, reasonably require for the investment of capital.</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the outstanding shares, and, in each case, a majority of the independent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20" w:firstLine="324"/>
        <w:spacing w:after="0" w:line="273" w:lineRule="auto"/>
        <w:rPr>
          <w:sz w:val="20"/>
          <w:szCs w:val="20"/>
          <w:color w:val="auto"/>
        </w:rPr>
      </w:pPr>
      <w:r>
        <w:rPr>
          <w:rFonts w:ascii="Arial" w:cs="Arial" w:eastAsia="Arial" w:hAnsi="Arial"/>
          <w:sz w:val="17"/>
          <w:szCs w:val="17"/>
          <w:color w:val="auto"/>
        </w:rPr>
        <w:t>The Advisory Agreement will automatically terminate within the meaning of the 1940 Act and related Securities and Exchange Commission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of the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Adviser</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Adviser may be removed by the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of Adviser</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Pursuant to the terms of the Advisory Agreement, the Company pays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the Company’s gross assets, excluding cash and cash equivalents, but including assets purchased with borrowed amounts, as of the end of such calendar quarter. Subsequently, the Base Management Fee will be 1.50% of the Company’s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Incentive Fee consists of two parts: (1) a portion based on the Company’s pre-incentive fee net investment income (the “Income-Based Fee”) and (2) a portion based on the net capital gains received on the Company’s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69"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Pre-incentive fee net investment income means dividends (including reinvested dividends), interest and fee income accrued by the Company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the Company may not have received in cash. The Adviser is not obligated to return the incentive fee it receives on PIK interest that is later determined to be uncollectible in cash. Pre-incentive fee net investment income does not include any realized capital gains, realized capital losses or unrealized capital appreciation or depreciation.</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the Company may pay an incentive fee in a calendar quarter in which the Company incurs a loss. For example, if the Company receives pre-incentive fee net investment income in excess of the quarterly hurdle rate, the Company will pay the applicable incentive fee even if the Company has incurred a loss in that calendar quarter due to realized capital losses and unrealized capital depreciation. In addition, because the quarterly hurdle rate is calculated based on our net assets, decreases in the Company’s net assets due to realized capital losses or unrealized capital depreciation in any given calendar quarter may increase the likelihood that the hurdle rate is reached and therefore the likelihood of the Company paying an incentive fee for the subsequent quarter. The Company’s net investment income used to calculate this component of the incentive fee is also included in the amount of the Company’s gross assets used to calculate the management fee because gross assets are total assets (including cash received) before deducting liabilities (such as declared dividend payments).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firstLine="324"/>
        <w:spacing w:after="0" w:line="291" w:lineRule="auto"/>
        <w:rPr>
          <w:sz w:val="20"/>
          <w:szCs w:val="20"/>
          <w:color w:val="auto"/>
        </w:rPr>
      </w:pPr>
      <w:r>
        <w:rPr>
          <w:rFonts w:ascii="Arial" w:cs="Arial" w:eastAsia="Arial" w:hAnsi="Arial"/>
          <w:sz w:val="16"/>
          <w:szCs w:val="16"/>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The Company will accrue, but will not pay, a capital gains incentive fee with respect to unrealized appreciation because a capital gains incentive fee would be owed to the Adviser if the Company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the Company for acts or omissions performed in accordance with and pursuant to the Advisory Agreement, except those resulting from acts constituting criminal conduct, gross negligence, willful misfeasance, bad faith or reckless disregard of the duties that the Adviser owes to the Company under the Advisory Agreement. In addition, as part of the Advisory Agreement, the Company has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Approval of the Advisory Agreement</w:t>
      </w:r>
    </w:p>
    <w:p>
      <w:pPr>
        <w:spacing w:after="0" w:line="22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December 12, 2018, the then-current Board of the Company held an in-person meeting to consider and approve the Advisory Agreement and related matters. The Board of Directors was provided the information required to consider the Advisory Agreement, including: (a) the nature, quality and extent of the advisory and other services to be provided to the Company by the Adviser; (b) comparative data with respect to advisory fees or similar expenses paid by other BDCs with similar investment objectives; (c) the Company projected operating expenses and expense ratio compared to BDCs with similar investment objectives; (d) any existing and potential sources of indirect income to the Adviser from its relationship with the Company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67"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Board of Directors, including a majority of independent directors, will oversee and monitor the Company’s investment performance and, beginning with the second anniversary of the effective date of the Advisory Agreement, will annually review the compensation we pay to the Adviser.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Under the terms of the administration agreement (the “Administration Agreement”) between the Company and BC Partners Management LLC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The Company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the Company will reimburse the Administrator for any services performed for it by such affiliate or third party.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4" w:name="page35"/>
    <w:bookmarkEnd w:id="34"/>
    <w:p>
      <w:pPr>
        <w:ind w:firstLine="324"/>
        <w:spacing w:after="0" w:line="297" w:lineRule="auto"/>
        <w:rPr>
          <w:sz w:val="20"/>
          <w:szCs w:val="20"/>
          <w:color w:val="auto"/>
        </w:rPr>
      </w:pPr>
      <w:r>
        <w:rPr>
          <w:rFonts w:ascii="Arial" w:cs="Arial" w:eastAsia="Arial" w:hAnsi="Arial"/>
          <w:sz w:val="16"/>
          <w:szCs w:val="16"/>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an allocable portion of the compensation paid to the Company’s chief compliance officer and chief financial officer and their respective staff who provide services to the Company.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April 1, 2019, the Board approved the Administration Agreement with the Administrator. Unless earlier terminated as described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will remain in effect until April 1, 2021, a period of two years from the date it first became effective and will remain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 from year-to-year thereafter if approved annually by a majority of the Board or by the holders of a Majority of the Outstanding Shares, and, in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case, a majority of the independent directors.</w:t>
      </w:r>
    </w:p>
    <w:p>
      <w:pPr>
        <w:spacing w:after="0" w:line="21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Company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 under the Advisory and Administration Agreements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Except as specifically provided below, the Company anticipates that all investment professionals and staffs of the Adviser, when and to the extent engaged in providing investment advisory and management services to the Company, and the compensation and routine overhead expenses (including rent, office equipment and utilities), of such personnel allocable to such services, will be provided and paid for by the Adviser. The Company will bear an allocable portion of the compensation paid by the Adviser (or its affiliates) to the Company’s chief compliance officer and chief financial officer and their respective staffs (based on a percentage of time such individuals devote, on an estimated basis, to our business affairs). The Company will also bear all other costs and expenses of our operations, administration and transactions, including, but not limited to (i) investment advisory fees, including management fees and incentive fees, to the Adviser, pursuant to the Advisory Agreement; (ii) an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8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calculating the Company’s net asset value, including the cost of any third-party valuation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the Company’s common stock and other securities;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 and any sub-administration agreements, including related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 w:lineRule="exact"/>
        <w:rPr>
          <w:rFonts w:ascii="Arial" w:cs="Arial" w:eastAsia="Arial" w:hAnsi="Arial"/>
          <w:sz w:val="18"/>
          <w:szCs w:val="18"/>
          <w:color w:val="auto"/>
        </w:rPr>
      </w:pPr>
    </w:p>
    <w:p>
      <w:pPr>
        <w:ind w:left="660" w:right="70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9" w:lineRule="exact"/>
        <w:rPr>
          <w:rFonts w:ascii="Arial" w:cs="Arial" w:eastAsia="Arial" w:hAnsi="Arial"/>
          <w:sz w:val="18"/>
          <w:szCs w:val="18"/>
          <w:color w:val="auto"/>
        </w:rPr>
      </w:pPr>
    </w:p>
    <w:p>
      <w:pPr>
        <w:jc w:val="both"/>
        <w:ind w:left="660" w:right="220" w:hanging="328"/>
        <w:spacing w:after="0" w:line="250"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 w:lineRule="exact"/>
        <w:rPr>
          <w:rFonts w:ascii="Arial" w:cs="Arial" w:eastAsia="Arial" w:hAnsi="Arial"/>
          <w:sz w:val="18"/>
          <w:szCs w:val="18"/>
          <w:color w:val="auto"/>
        </w:rPr>
      </w:pPr>
    </w:p>
    <w:p>
      <w:pPr>
        <w:ind w:left="660" w:right="420" w:hanging="328"/>
        <w:spacing w:after="0" w:line="265"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340" w:right="7640" w:hanging="332"/>
        <w:spacing w:after="0" w:line="503" w:lineRule="auto"/>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accompanying unaudited consolidated financial statements have been prepared on the accrual basis of accounting in conformity with U.S. generally</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2018, as filed with the U.S. Securities and Exchange Commission (the “Commission” or the “SEC”).</w:t>
      </w:r>
    </w:p>
    <w:p>
      <w:pPr>
        <w:spacing w:after="0" w:line="19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Great Lakes KCAP Funding I LLC, Kolhberg Capital Funding LLC I, KCAP Senior Funding I, LLC and KCAP Funding I Holdings, LLC in its consolidated financial statements as they are operated solely for investment activities of the Company. The creditors of KCAP Senior Funding I, LLC received security interests in the assets which are owned by Great Lakes KCAP Funding I, LLC and such assets are not intended to be available to the creditors of KCAP Financial, Inc., or any other affiliate. All of the borrowings of Kolhberg Capital Funding LLC I, and KCAP Senior Funding I, LLC have been fully repaid.</w:t>
      </w:r>
    </w:p>
    <w:p>
      <w:pPr>
        <w:spacing w:after="0" w:line="173" w:lineRule="exact"/>
        <w:rPr>
          <w:sz w:val="20"/>
          <w:szCs w:val="20"/>
          <w:color w:val="auto"/>
        </w:rPr>
      </w:pPr>
    </w:p>
    <w:p>
      <w:pPr>
        <w:ind w:right="40" w:firstLine="369"/>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Asset Manager Affiliates previously qualified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 Summarized financial information regarding the Asset Manager Affiliates is set forth in Note 5 to these financial statements.</w:t>
      </w:r>
    </w:p>
    <w:p>
      <w:pPr>
        <w:spacing w:after="0" w:line="187" w:lineRule="exact"/>
        <w:rPr>
          <w:sz w:val="20"/>
          <w:szCs w:val="20"/>
          <w:color w:val="auto"/>
        </w:rPr>
      </w:pPr>
    </w:p>
    <w:p>
      <w:pPr>
        <w:ind w:right="480" w:firstLine="324"/>
        <w:spacing w:after="0" w:line="264"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quarter ended March 31, 2019, the Company provided approximately $35.2 million to portfolio companies to support their growth objectives. Approximately $2.7 million of this support was contractually obligated. See also Note 8 – Commitments and Contingencies. As of March 31, 2019, the Company held loans it has made to 51 investee companies with aggregate principal amounts of approximately $165.7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three months month period ended March 31, 2019, the Company did not engage in any such or similar activities.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March 2017, the FASB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The adoption of ASU 2017-08 did not have a material impact on the financial position or results of operations of the Company.</w:t>
      </w:r>
    </w:p>
    <w:p>
      <w:pPr>
        <w:spacing w:after="0" w:line="19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February 2016, the FASB issued ASU 2016-02, Leases, and several amendments (collectively, “ASU 2016-02”), which requires lessees to recognize assets and liabilities arising from most operating leases on the consolidated statements of financial condition. For operating leases, a lessee is required to do the following: (a) recognize a right-of-use asset and a lease liability, initially measured at the present value of the lease payments, in the statement of financial condition; (b) recognize a single lease cost, calculated so that the cost of the lease is allocated over the lease term on a generally straight-line basis and (c) classify all cash payments within operating activities in the statement of cash flows. The guidance is effective for fiscal periods beginning after December 15, 2018. Early application is permitted. The Company recorded a right of use asset (net of previously deferred rent expense) of approximately $3.3 million and a lease liability of approximately $3.7 million upon adoption of this standard.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Accounting Pronouncements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August 2018, the FASB issued Accounting Standards Update 2018-13, Fair Value Measurement (Topic 820): Disclosure Framework—Changes to the Disclosure Requirements for Fair Value Measurement (“ASU 2018-13”)</w:t>
      </w:r>
      <w:r>
        <w:rPr>
          <w:rFonts w:ascii="Arial" w:cs="Arial" w:eastAsia="Arial" w:hAnsi="Arial"/>
          <w:sz w:val="17"/>
          <w:szCs w:val="17"/>
          <w:i w:val="1"/>
          <w:iCs w:val="1"/>
          <w:color w:val="auto"/>
        </w:rPr>
        <w:t>.</w:t>
      </w:r>
      <w:r>
        <w:rPr>
          <w:rFonts w:ascii="Arial" w:cs="Arial" w:eastAsia="Arial" w:hAnsi="Arial"/>
          <w:sz w:val="17"/>
          <w:szCs w:val="17"/>
          <w:color w:val="auto"/>
        </w:rPr>
        <w:t xml:space="preserve"> The standard will modify the disclosure requirements for fair value measurements by removing, modifying, or adding certain disclosures. ASU 2018-13 is effective for annual reporting periods beginning after December 15, 2019, including interim periods within that reporting period. Early adoption is permitted upon issuance of this ASU 2018-13. We are permitted to early adopt any removed or modified disclosures upon issuance of ASU 2018-13 and delay adoption of the additional disclosures until their effective date. We are currently evaluating the impact of adopting ASU 2018-13 on our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1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ind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2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w:t>
      </w:r>
    </w:p>
    <w:p>
      <w:pPr>
        <w:spacing w:after="0" w:line="17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8" w:name="page39"/>
    <w:bookmarkEnd w:id="38"/>
    <w:p>
      <w:pPr>
        <w:ind w:right="2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 xml:space="preserve">Asset Manager Affiliates. </w:t>
      </w:r>
      <w:r>
        <w:rPr>
          <w:rFonts w:ascii="Arial" w:cs="Arial" w:eastAsia="Arial" w:hAnsi="Arial"/>
          <w:sz w:val="17"/>
          <w:szCs w:val="17"/>
          <w:color w:val="auto"/>
        </w:rPr>
        <w:t>The Company’s investments in its wholly-owned asset management companies, the Asset Manager Affiliates, are carried at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which is primarily determined utilizing the discounted cash flow approach,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 The Company sold substantially all of its investment in the Asset Manager Affiliates on December 31, 2018.</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The Company typically makes a minority investment in the most junior class of securities of CLO Funds. The investments held by</w:t>
      </w:r>
      <w:r>
        <w:rPr>
          <w:rFonts w:ascii="Arial" w:cs="Arial" w:eastAsia="Arial" w:hAnsi="Arial"/>
          <w:sz w:val="18"/>
          <w:szCs w:val="18"/>
          <w:i w:val="1"/>
          <w:iCs w:val="1"/>
          <w:color w:val="auto"/>
        </w:rPr>
        <w:t xml:space="preserve"> </w:t>
      </w:r>
      <w:r>
        <w:rPr>
          <w:rFonts w:ascii="Arial" w:cs="Arial" w:eastAsia="Arial" w:hAnsi="Arial"/>
          <w:sz w:val="18"/>
          <w:szCs w:val="18"/>
          <w:color w:val="auto"/>
        </w:rPr>
        <w:t>CLO Funds generally relate to non-investment grade credit instruments issued by corporations.</w:t>
      </w:r>
    </w:p>
    <w:p>
      <w:pPr>
        <w:spacing w:after="0" w:line="17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Joint Venture</w:t>
      </w:r>
      <w:r>
        <w:rPr>
          <w:rFonts w:ascii="Arial" w:cs="Arial" w:eastAsia="Arial" w:hAnsi="Arial"/>
          <w:sz w:val="18"/>
          <w:szCs w:val="18"/>
          <w:color w:val="auto"/>
        </w:rPr>
        <w:t>. The Company carries investments in joint ventures at fair value based upon the fair value of the investments held by the joint venture.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4 below, for more information regarding the Joint Venture.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right="600" w:firstLine="32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distribution (if any) to holders of notes issued by Great Lakes KCAP Funding I, LLC.</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investments</w:t>
      </w:r>
      <w:r>
        <w:rPr>
          <w:rFonts w:ascii="Arial" w:cs="Arial" w:eastAsia="Arial" w:hAnsi="Arial"/>
          <w:sz w:val="18"/>
          <w:szCs w:val="18"/>
          <w:color w:val="auto"/>
        </w:rPr>
        <w:t>. Short-term investments are generally comprised of money market accounts, time deposits, and U.S. treasury bills.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2019, six of our investments were on non-accrual status.</w:t>
      </w:r>
    </w:p>
    <w:p>
      <w:pPr>
        <w:spacing w:after="0" w:line="19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The Company records distributions from the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the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Investment Income on CLO Fund Securities</w:t>
      </w:r>
      <w:r>
        <w:rPr>
          <w:rFonts w:ascii="Arial" w:cs="Arial" w:eastAsia="Arial" w:hAnsi="Arial"/>
          <w:sz w:val="18"/>
          <w:szCs w:val="18"/>
          <w:color w:val="auto"/>
        </w:rPr>
        <w:t>. The Company generates investment income from its investments in the most junior class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CLO Funds (typically preferred shares or subordinated securities).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9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Great Lakes KCAP F3C Senior, LLC, (formerly known as KCAP F3C Senior Funding, L.L.C.), interest is earned at a fixed spread relative to the LIBOR index.</w:t>
      </w:r>
    </w:p>
    <w:p>
      <w:pPr>
        <w:spacing w:after="0" w:line="17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i w:val="1"/>
          <w:iCs w:val="1"/>
          <w:color w:val="auto"/>
        </w:rPr>
        <w:t>Investment in Joint Venture</w:t>
      </w:r>
      <w:r>
        <w:rPr>
          <w:rFonts w:ascii="Arial" w:cs="Arial" w:eastAsia="Arial" w:hAnsi="Arial"/>
          <w:sz w:val="16"/>
          <w:szCs w:val="16"/>
          <w:color w:val="auto"/>
        </w:rPr>
        <w:t>. For three months ended March 31, 2019 and 2018, the Company recognized $950,000 and $700,000 in investment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from its investment in the Joint Venture. As of March 31, 2019 and December 31, 2018, the fair value of the Company’s investment in the Joint Venture was approximately $23.7 million and $18.4 million, respectively. The Company recognizes investment income on its investment in the Joint Venture based upon its share of the estimated earnings and profits of the Joint Venture.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6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right="220" w:firstLine="32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and amortized using the effective interest method over the expected term of the borrowing.</w:t>
      </w:r>
    </w:p>
    <w:p>
      <w:pPr>
        <w:spacing w:after="0" w:line="17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 cash, delivery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i w:val="1"/>
          <w:iCs w:val="1"/>
          <w:color w:val="auto"/>
        </w:rPr>
        <w:t>Expenses</w:t>
      </w:r>
      <w:r>
        <w:rPr>
          <w:rFonts w:ascii="Arial" w:cs="Arial" w:eastAsia="Arial" w:hAnsi="Arial"/>
          <w:sz w:val="17"/>
          <w:szCs w:val="17"/>
          <w:color w:val="auto"/>
        </w:rPr>
        <w:t>. During the reporting period the Company was internally managed and expensed costs, as incurred, with regard to the running of its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operating expenses include employee salaries and benefits, the costs of identifying, evaluating, negotiating, closing, monitoring and servicing the Company’s investments and related overhead charges and expenses, including rental expense, and any interest expense incurred in connection with borrowings. Through December 31, 2018, the Company and the Asset Manager Affiliates shared office space and certain other operating expenses. The Company entered into an Overhead Allocation Agreement with the Asset Manager Affiliates which provided for the sharing of such expenses based on an allocation of office lease costs and the ratable usage of other shared resources. Following the Closing, the Company will continue to bear the costs associated with the office lease entered into by the Company prior to the Closing.</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(LOSSES) PER SHARE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months ended March 31,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(10,917,572)</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increase in net assets allocated to unvested share awards</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net assets available to common stockholders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(10,917,572)</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2,588,620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tcPr>
          <w:p>
            <w:pPr>
              <w:spacing w:after="0" w:line="201" w:lineRule="exact"/>
              <w:rPr>
                <w:sz w:val="20"/>
                <w:szCs w:val="20"/>
                <w:color w:val="auto"/>
              </w:rPr>
            </w:pPr>
            <w:r>
              <w:rPr>
                <w:rFonts w:ascii="Arial" w:cs="Arial" w:eastAsia="Arial" w:hAnsi="Arial"/>
                <w:sz w:val="18"/>
                <w:szCs w:val="18"/>
                <w:color w:val="auto"/>
                <w:w w:val="95"/>
              </w:rPr>
              <w:t>Weighted average number of common and common stock equivalent shares outstanding for diluted shares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120" w:type="dxa"/>
            <w:vAlign w:val="bottom"/>
            <w:gridSpan w:val="2"/>
          </w:tcPr>
          <w:p>
            <w:pPr>
              <w:spacing w:after="0"/>
              <w:rPr>
                <w:sz w:val="20"/>
                <w:szCs w:val="20"/>
                <w:color w:val="auto"/>
              </w:rPr>
            </w:pPr>
            <w:r>
              <w:rPr>
                <w:rFonts w:ascii="Arial" w:cs="Arial" w:eastAsia="Arial" w:hAnsi="Arial"/>
                <w:sz w:val="18"/>
                <w:szCs w:val="18"/>
                <w:color w:val="auto"/>
              </w:rPr>
              <w:t>computation</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37,335,094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37,350,411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from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from operations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right="240" w:firstLine="324"/>
        <w:spacing w:after="0" w:line="264" w:lineRule="auto"/>
        <w:rPr>
          <w:sz w:val="20"/>
          <w:szCs w:val="20"/>
          <w:color w:val="auto"/>
        </w:rPr>
      </w:pPr>
      <w:r>
        <w:rPr>
          <w:rFonts w:ascii="Arial" w:cs="Arial" w:eastAsia="Arial" w:hAnsi="Arial"/>
          <w:sz w:val="18"/>
          <w:szCs w:val="18"/>
          <w:color w:val="auto"/>
        </w:rPr>
        <w:t>There were 30,000 and 35,000 options to purchase shares of common stock considered for the computation of the diluted per share information for the three months ended March 31, 2019 and 2018. Since the effects are anti-dilutive for both periods, the options were not included in the computation. These stock options were cancelled in connection with the Externalization.</w:t>
      </w:r>
    </w:p>
    <w:p>
      <w:pPr>
        <w:spacing w:after="0" w:line="17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Company’s portfolio by security type at March 31,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4"/>
              </w:rPr>
              <w:t>March 31, 2019 (unaudited)</w:t>
            </w: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December 31, 2018</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72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20"/>
                <w:szCs w:val="20"/>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44,120,648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44,120,648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44,756,478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44,756,478</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75,534,527</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73,489,758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86,040,921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77,616,209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88,707,755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78,249,650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76,223,561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70,245,535</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Unsecured Bond</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456,974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54,299,958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45,605,015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55,480,626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44,325,000</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29,326,114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16,835,340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21,944,430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14,504,687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17,791,230</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17,791,230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23,707,969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18,390,440</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r>
      <w:tr>
        <w:trPr>
          <w:trHeight w:val="22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335,152,064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282,465,354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327,152,104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273,308,349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1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2019 and December 31, 2018, were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5"/>
              </w:rPr>
              <w:t>March 31, 2019 (unaudited)</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rPr>
              <w:t>December 31, 2018</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Cost/Amortized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vMerge w:val="restart"/>
          </w:tcPr>
          <w:p>
            <w:pPr>
              <w:jc w:val="right"/>
              <w:ind w:right="271"/>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Fair Value</w:t>
            </w:r>
          </w:p>
        </w:tc>
        <w:tc>
          <w:tcPr>
            <w:tcW w:w="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4,237,732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4,085,483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5,434,927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4,049,940</w:t>
            </w:r>
          </w:p>
        </w:tc>
        <w:tc>
          <w:tcPr>
            <w:tcW w:w="2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b w:val="1"/>
                <w:bCs w:val="1"/>
                <w:color w:val="auto"/>
                <w:vertAlign w:val="superscript"/>
              </w:rPr>
              <w:t>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17,791,230</w:t>
            </w:r>
          </w:p>
        </w:tc>
        <w:tc>
          <w:tcPr>
            <w:tcW w:w="80" w:type="dxa"/>
            <w:vAlign w:val="bottom"/>
          </w:tcPr>
          <w:p>
            <w:pPr>
              <w:spacing w:after="0"/>
              <w:rPr>
                <w:sz w:val="22"/>
                <w:szCs w:val="22"/>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17,791,230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7"/>
              </w:rPr>
              <w:t>Banking, Finance, Insurance &amp; Real Estate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5,878,184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5,795,824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8,831,841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8,733,933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5,955,812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5,760,262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5,963,334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5,796,506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10,881,878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9,712,562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10,888,431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9,831,391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4,846,678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4,745,681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4,862,063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4,801,645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54,299,958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45,605,015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55,480,626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44,325,000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1,529,905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1,524,392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1,400,223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1,394,163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1,434,568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1,440,525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6,633,298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3,007,500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Energy: Oil &amp; Gas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9,363,046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2,535,933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16,827,204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8,946,568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5,840,004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6,939,794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1,566,064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1,554,077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1,564,583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1,553,920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47,334,370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37,115,328</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38,638,822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32,287,288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High Tech Industries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24,470,324</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24,193,533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23,971,434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23,662,459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Joint Venture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23,707,969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24,914,858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18,390,440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15,185,556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14,966,706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12,466,667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12,466,667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3,152,760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2,647,664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6,113,852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5,590,863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10,325,983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9,119,357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10,398,713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9,213,417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Services: Consumer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10,605,382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10,603,568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8,351,914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8,322,151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8,343,919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Textiles and Leather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10,143,234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9,938,322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10,140,662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9,940,294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24,121,903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24,121,903</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34,757,129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34,757,129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Transportation: Cargo</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4,000,568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4,000,400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4,000,634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4,000,400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19,998,746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19,998,746</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9,999,349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9,999,349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335,152,064</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282,465,354</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327,152,104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273,308,349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0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At March 31, 2019 and December 31, 2018, the total amount of non-qualifying assets was approximately 29.7% and 28.0% of total assets, respectively. The majority of non-qualifying assets were foreign investments which were approximately 16.5% and 16.5%, respectively, of the Company’s total assets (including the Company’s investments in CLO Funds, which are typically domiciled outside the U.S. and represented approximately 15.6% and 15.5% of its total assets on such dates,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The Company has made minority investments in the most junior class of securities (typically preferred shares or subordinated securities) of CLO Funds.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September 2018, the Company purchased $10 million par value of the Subordinated Notes of Catamaran CLO 2018-1 at a cost of approximately $9.5 million.</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December 2018, the Company received $2.5 million of notional amount of subordinated notes of Catamaran 2013-1 with a fair value of $1.4 million and $3.4 million of notional amount of subordinated notes of Catamaran 2014-1 with a fair value of $1.9 million, as consideration for the repayment of a portion of the loans to Trimaran Advisors.</w:t>
      </w:r>
    </w:p>
    <w:p>
      <w:pPr>
        <w:spacing w:after="0" w:line="18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On December 19, 2017, the Company, in its capacity as the holder of all of the outstanding preferred shares of Katonah 2007-1 CLO Ltd. (“Katonah 2007-1”), exercised its right to cause Katonah 2007-1 to redeem all of its outstanding indebtedness through the sale of its investments and otherwise wind up its business. Katonah 2007-1 was fully liquidated and dissolved in the fourth quarter of 2018. Accordingly, the Company recorded a realized loss during the fourth quarter of 2018 of approximately $10.1 million on its investment in Katonah 2007-1 and a corresponding unrealized gain of the same amount in order to reverse the previously recorded unrealized depreciation with respect to the investment.</w:t>
      </w:r>
    </w:p>
    <w:p>
      <w:pPr>
        <w:spacing w:after="0" w:line="1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Similarly, during the fourth quarter of 2018, each of Grant Grove CLO, Ltd., Trimaran CLO VII, Ltd., and Catamaran CLO 2012-1 Ltd. were fully liquidated and dissolved, and the Company recorded a realized loss of approximately $6.4 million and a corresponding unrealized gain of the same amount in order to revere the previously recorded unrealized depreciation with respect to these investments.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2019, the Company sold $2.0 million notional amount of subordinated notes of Catamaran CLO 2014-1 for $800,000.</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With the exception of Katonah III, Ltd., as of December 31, 2018 all of the Company’s investments in CLO Fund securities were making distributions to the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Affiliate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investments in affiliates at March 31, 2019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at</w:t>
            </w:r>
          </w:p>
        </w:tc>
        <w:tc>
          <w:tcPr>
            <w:tcW w:w="6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Transfers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(Sales) of or</w:t>
            </w:r>
          </w:p>
        </w:tc>
        <w:tc>
          <w:tcPr>
            <w:tcW w:w="14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840" w:type="dxa"/>
            <w:vAlign w:val="bottom"/>
            <w:gridSpan w:val="3"/>
            <w:vMerge w:val="continue"/>
          </w:tcPr>
          <w:p>
            <w:pPr>
              <w:spacing w:after="0"/>
              <w:rPr>
                <w:sz w:val="12"/>
                <w:szCs w:val="12"/>
                <w:color w:val="auto"/>
              </w:rPr>
            </w:pPr>
          </w:p>
        </w:tc>
        <w:tc>
          <w:tcPr>
            <w:tcW w:w="8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Realized</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2"/>
                <w:szCs w:val="12"/>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10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of December</w:t>
            </w:r>
          </w:p>
        </w:tc>
        <w:tc>
          <w:tcPr>
            <w:tcW w:w="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Advances/</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5"/>
              </w:rPr>
              <w:t>In/(Out) of</w:t>
            </w: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of March 31,</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31, 2018</w:t>
            </w:r>
          </w:p>
        </w:tc>
        <w:tc>
          <w:tcPr>
            <w:tcW w:w="18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(Distributions)</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Accretion</w:t>
            </w: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w w:val="91"/>
              </w:rPr>
              <w:t>Affiliates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Gain/(Loss)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2"/>
              </w:rPr>
              <w:t>Asset Manager Affiliates</w:t>
            </w:r>
            <w:r>
              <w:rPr>
                <w:rFonts w:ascii="Arial" w:cs="Arial" w:eastAsia="Arial" w:hAnsi="Arial"/>
                <w:sz w:val="23"/>
                <w:szCs w:val="23"/>
                <w:color w:val="auto"/>
                <w:w w:val="92"/>
                <w:vertAlign w:val="superscript"/>
              </w:rPr>
              <w:t>(4)(5)(7)</w:t>
            </w:r>
          </w:p>
        </w:tc>
        <w:tc>
          <w:tcPr>
            <w:tcW w:w="148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Asset Management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vMerge w:val="continue"/>
            <w:shd w:val="clear" w:color="auto" w:fill="CCEEFF"/>
          </w:tcPr>
          <w:p>
            <w:pPr>
              <w:spacing w:after="0"/>
              <w:rPr>
                <w:sz w:val="14"/>
                <w:szCs w:val="14"/>
                <w:color w:val="auto"/>
              </w:rPr>
            </w:pP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Company</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3,470,000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(3,470,000)</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spacing w:after="0" w:line="140" w:lineRule="exact"/>
              <w:rPr>
                <w:sz w:val="20"/>
                <w:szCs w:val="20"/>
                <w:color w:val="auto"/>
              </w:rPr>
            </w:pPr>
            <w:r>
              <w:rPr>
                <w:rFonts w:ascii="Arial" w:cs="Arial" w:eastAsia="Arial" w:hAnsi="Arial"/>
                <w:sz w:val="14"/>
                <w:szCs w:val="14"/>
                <w:color w:val="auto"/>
                <w:w w:val="97"/>
              </w:rPr>
              <w:t>Great Lakes KCAP F3C Senior,</w:t>
            </w:r>
          </w:p>
        </w:tc>
        <w:tc>
          <w:tcPr>
            <w:tcW w:w="1480" w:type="dxa"/>
            <w:vAlign w:val="bottom"/>
            <w:gridSpan w:val="2"/>
          </w:tcPr>
          <w:p>
            <w:pPr>
              <w:ind w:left="80"/>
              <w:spacing w:after="0" w:line="140" w:lineRule="exact"/>
              <w:rPr>
                <w:sz w:val="20"/>
                <w:szCs w:val="20"/>
                <w:color w:val="auto"/>
              </w:rPr>
            </w:pPr>
            <w:r>
              <w:rPr>
                <w:rFonts w:ascii="Arial" w:cs="Arial" w:eastAsia="Arial" w:hAnsi="Arial"/>
                <w:sz w:val="14"/>
                <w:szCs w:val="14"/>
                <w:color w:val="auto"/>
              </w:rPr>
              <w:t>CLO Fund Securities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rPr>
              <w:t>LLC Rated Notes</w:t>
            </w:r>
            <w:r>
              <w:rPr>
                <w:rFonts w:ascii="Arial" w:cs="Arial" w:eastAsia="Arial" w:hAnsi="Arial"/>
                <w:sz w:val="22"/>
                <w:szCs w:val="22"/>
                <w:color w:val="auto"/>
                <w:vertAlign w:val="superscript"/>
              </w:rPr>
              <w:t>(2)(4)</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4,473,840</w:t>
            </w:r>
          </w:p>
        </w:tc>
        <w:tc>
          <w:tcPr>
            <w:tcW w:w="6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8,942</w:t>
            </w:r>
          </w:p>
        </w:tc>
        <w:tc>
          <w:tcPr>
            <w:tcW w:w="6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(82,569)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4,400,213</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123,249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BCP Great Lakes Fund LP</w:t>
            </w:r>
            <w:r>
              <w:rPr>
                <w:rFonts w:ascii="Arial" w:cs="Arial" w:eastAsia="Arial" w:hAnsi="Arial"/>
                <w:sz w:val="21"/>
                <w:szCs w:val="21"/>
                <w:color w:val="auto"/>
                <w:vertAlign w:val="superscript"/>
              </w:rPr>
              <w:t>(7)</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Limited Partnership</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4"/>
              </w:rPr>
              <w:t>12,466,667</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2,718,889</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(218,850)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14,966,706</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spacing w:after="0" w:line="189" w:lineRule="exact"/>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21"/>
                <w:szCs w:val="21"/>
                <w:color w:val="auto"/>
                <w:vertAlign w:val="superscript"/>
              </w:rPr>
              <w:t>(4)(6)</w:t>
            </w:r>
          </w:p>
        </w:tc>
        <w:tc>
          <w:tcPr>
            <w:tcW w:w="1480" w:type="dxa"/>
            <w:vAlign w:val="bottom"/>
            <w:gridSpan w:val="2"/>
          </w:tcPr>
          <w:p>
            <w:pPr>
              <w:ind w:left="80"/>
              <w:spacing w:after="0"/>
              <w:rPr>
                <w:sz w:val="20"/>
                <w:szCs w:val="20"/>
                <w:color w:val="auto"/>
              </w:rPr>
            </w:pPr>
            <w:r>
              <w:rPr>
                <w:rFonts w:ascii="Arial" w:cs="Arial" w:eastAsia="Arial" w:hAnsi="Arial"/>
                <w:sz w:val="14"/>
                <w:szCs w:val="14"/>
                <w:color w:val="auto"/>
              </w:rPr>
              <w:t>Joint Venture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18,390,440</w:t>
            </w:r>
          </w:p>
        </w:tc>
        <w:tc>
          <w:tcPr>
            <w:tcW w:w="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5,317,529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23,707,969</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w w:val="90"/>
              </w:rPr>
              <w:t>950,000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spacing w:after="0" w:line="181" w:lineRule="exact"/>
              <w:rPr>
                <w:sz w:val="20"/>
                <w:szCs w:val="20"/>
                <w:color w:val="auto"/>
              </w:rPr>
            </w:pPr>
            <w:r>
              <w:rPr>
                <w:rFonts w:ascii="Arial" w:cs="Arial" w:eastAsia="Arial" w:hAnsi="Arial"/>
                <w:sz w:val="13"/>
                <w:szCs w:val="13"/>
                <w:color w:val="auto"/>
              </w:rPr>
              <w:t>Tank Partners Holdings, LLC</w:t>
            </w:r>
            <w:r>
              <w:rPr>
                <w:rFonts w:ascii="Arial" w:cs="Arial" w:eastAsia="Arial" w:hAnsi="Arial"/>
                <w:sz w:val="20"/>
                <w:szCs w:val="20"/>
                <w:color w:val="auto"/>
                <w:vertAlign w:val="superscript"/>
              </w:rPr>
              <w:t>(4)</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Energy: Oil &amp; Gas</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6,228,000</w:t>
            </w: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(4,495,095)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(1,165,000)</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568,905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Total Affiliated Investments</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4"/>
              </w:rPr>
              <w:t>38,801,947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8,946,889</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8,942</w:t>
            </w:r>
          </w:p>
        </w:tc>
        <w:tc>
          <w:tcPr>
            <w:tcW w:w="620" w:type="dxa"/>
            <w:vAlign w:val="bottom"/>
            <w:shd w:val="clear" w:color="auto" w:fill="CCEEFF"/>
          </w:tcPr>
          <w:p>
            <w:pPr>
              <w:jc w:val="right"/>
              <w:ind w:right="493"/>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521,015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(4,635,000</w:t>
            </w:r>
            <w:r>
              <w:rPr>
                <w:rFonts w:ascii="Arial" w:cs="Arial" w:eastAsia="Arial" w:hAnsi="Arial"/>
                <w:sz w:val="20"/>
                <w:szCs w:val="20"/>
                <w:color w:val="auto"/>
                <w:vertAlign w:val="superscript"/>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43,643,793</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$ 123,249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950,000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investments in affiliates at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Fair Value at</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Purchases/</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Transfers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at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(Sales) of or</w:t>
            </w:r>
          </w:p>
        </w:tc>
        <w:tc>
          <w:tcPr>
            <w:tcW w:w="4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Realized</w:t>
            </w:r>
          </w:p>
        </w:tc>
        <w:tc>
          <w:tcPr>
            <w:tcW w:w="960" w:type="dxa"/>
            <w:vAlign w:val="bottom"/>
            <w:gridSpan w:val="3"/>
            <w:vMerge w:val="continue"/>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Industry Classification</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of December</w:t>
            </w:r>
          </w:p>
        </w:tc>
        <w:tc>
          <w:tcPr>
            <w:tcW w:w="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Advances/</w:t>
            </w: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In/(Out) of</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of December</w:t>
            </w: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31, 2017</w:t>
            </w:r>
          </w:p>
        </w:tc>
        <w:tc>
          <w:tcPr>
            <w:tcW w:w="1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(Distributions)</w:t>
            </w:r>
          </w:p>
        </w:tc>
        <w:tc>
          <w:tcPr>
            <w:tcW w:w="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Accretion</w:t>
            </w:r>
          </w:p>
        </w:tc>
        <w:tc>
          <w:tcPr>
            <w:tcW w:w="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Affiliates</w:t>
            </w:r>
          </w:p>
        </w:tc>
        <w:tc>
          <w:tcPr>
            <w:tcW w:w="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Gain/(Loss)</w:t>
            </w:r>
          </w:p>
        </w:tc>
        <w:tc>
          <w:tcPr>
            <w:tcW w:w="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Gain/(Loss)</w:t>
            </w:r>
          </w:p>
        </w:tc>
        <w:tc>
          <w:tcPr>
            <w:tcW w:w="1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31, 2018</w:t>
            </w:r>
          </w:p>
        </w:tc>
        <w:tc>
          <w:tcPr>
            <w:tcW w:w="1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Income</w:t>
            </w:r>
          </w:p>
        </w:tc>
        <w:tc>
          <w:tcPr>
            <w:tcW w:w="6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620" w:type="dxa"/>
            <w:vAlign w:val="bottom"/>
            <w:shd w:val="clear" w:color="auto" w:fill="CCEEFF"/>
          </w:tcPr>
          <w:p>
            <w:pPr>
              <w:spacing w:after="0" w:line="162" w:lineRule="exact"/>
              <w:rPr>
                <w:sz w:val="20"/>
                <w:szCs w:val="20"/>
                <w:color w:val="auto"/>
              </w:rPr>
            </w:pPr>
            <w:r>
              <w:rPr>
                <w:rFonts w:ascii="Arial" w:cs="Arial" w:eastAsia="Arial" w:hAnsi="Arial"/>
                <w:sz w:val="12"/>
                <w:szCs w:val="12"/>
                <w:color w:val="auto"/>
              </w:rPr>
              <w:t>Asset Manager Affiliates</w:t>
            </w:r>
            <w:r>
              <w:rPr>
                <w:rFonts w:ascii="Arial" w:cs="Arial" w:eastAsia="Arial" w:hAnsi="Arial"/>
                <w:sz w:val="18"/>
                <w:szCs w:val="18"/>
                <w:color w:val="auto"/>
                <w:vertAlign w:val="superscript"/>
              </w:rPr>
              <w:t>(4)</w:t>
            </w:r>
          </w:p>
        </w:tc>
        <w:tc>
          <w:tcPr>
            <w:tcW w:w="15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Asset Management</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(5)(7)</w:t>
            </w:r>
          </w:p>
        </w:tc>
        <w:tc>
          <w:tcPr>
            <w:tcW w:w="1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color w:val="auto"/>
              </w:rPr>
              <w:t>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38,849,000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(34,800,000)</w:t>
            </w: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(579,000)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3,470,000</w:t>
            </w:r>
          </w:p>
        </w:tc>
        <w:tc>
          <w:tcPr>
            <w:tcW w:w="68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7"/>
              </w:rPr>
              <w:t>$ 1,246,510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20" w:type="dxa"/>
            <w:vAlign w:val="bottom"/>
          </w:tcPr>
          <w:p>
            <w:pPr>
              <w:spacing w:after="0" w:line="130" w:lineRule="exact"/>
              <w:rPr>
                <w:sz w:val="20"/>
                <w:szCs w:val="20"/>
                <w:color w:val="auto"/>
              </w:rPr>
            </w:pPr>
            <w:r>
              <w:rPr>
                <w:rFonts w:ascii="Arial" w:cs="Arial" w:eastAsia="Arial" w:hAnsi="Arial"/>
                <w:sz w:val="14"/>
                <w:szCs w:val="14"/>
                <w:color w:val="auto"/>
              </w:rPr>
              <w:t>Trimaran Advisors, LLC</w:t>
            </w:r>
          </w:p>
        </w:tc>
        <w:tc>
          <w:tcPr>
            <w:tcW w:w="1520" w:type="dxa"/>
            <w:vAlign w:val="bottom"/>
            <w:gridSpan w:val="3"/>
          </w:tcPr>
          <w:p>
            <w:pPr>
              <w:ind w:left="40"/>
              <w:spacing w:after="0" w:line="130" w:lineRule="exact"/>
              <w:rPr>
                <w:sz w:val="20"/>
                <w:szCs w:val="20"/>
                <w:color w:val="auto"/>
              </w:rPr>
            </w:pPr>
            <w:r>
              <w:rPr>
                <w:rFonts w:ascii="Arial" w:cs="Arial" w:eastAsia="Arial" w:hAnsi="Arial"/>
                <w:sz w:val="14"/>
                <w:szCs w:val="14"/>
                <w:color w:val="auto"/>
              </w:rPr>
              <w:t>Related Party Loans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gridSpan w:val="2"/>
          </w:tcPr>
          <w:p>
            <w:pPr>
              <w:spacing w:after="0" w:line="159" w:lineRule="exact"/>
              <w:rPr>
                <w:sz w:val="20"/>
                <w:szCs w:val="20"/>
                <w:color w:val="auto"/>
              </w:rPr>
            </w:pPr>
            <w:r>
              <w:rPr>
                <w:rFonts w:ascii="Arial" w:cs="Arial" w:eastAsia="Arial" w:hAnsi="Arial"/>
                <w:sz w:val="14"/>
                <w:szCs w:val="14"/>
                <w:color w:val="auto"/>
              </w:rPr>
              <w:t>Revolving Credit</w:t>
            </w: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line="198" w:lineRule="exact"/>
              <w:rPr>
                <w:sz w:val="20"/>
                <w:szCs w:val="20"/>
                <w:color w:val="auto"/>
              </w:rPr>
            </w:pPr>
            <w:r>
              <w:rPr>
                <w:rFonts w:ascii="Arial" w:cs="Arial" w:eastAsia="Arial" w:hAnsi="Arial"/>
                <w:sz w:val="14"/>
                <w:szCs w:val="14"/>
                <w:color w:val="auto"/>
              </w:rPr>
              <w:t>Facility</w:t>
            </w:r>
            <w:r>
              <w:rPr>
                <w:rFonts w:ascii="Arial" w:cs="Arial" w:eastAsia="Arial" w:hAnsi="Arial"/>
                <w:sz w:val="22"/>
                <w:szCs w:val="22"/>
                <w:color w:val="auto"/>
                <w:vertAlign w:val="superscript"/>
              </w:rPr>
              <w:t>(4)(5)</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1,170,825</w:t>
            </w:r>
          </w:p>
        </w:tc>
        <w:tc>
          <w:tcPr>
            <w:tcW w:w="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Trimaran Advisors, LLC</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Related Party Loans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Related Party Loan </w:t>
            </w:r>
            <w:r>
              <w:rPr>
                <w:rFonts w:ascii="Arial" w:cs="Arial" w:eastAsia="Arial" w:hAnsi="Arial"/>
                <w:sz w:val="22"/>
                <w:szCs w:val="22"/>
                <w:color w:val="auto"/>
                <w:vertAlign w:val="superscript"/>
              </w:rPr>
              <w:t>(4)(5)</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8,359,051</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(8,359,051)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765,963</w:t>
            </w: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tcPr>
          <w:p>
            <w:pPr>
              <w:spacing w:after="0" w:line="140" w:lineRule="exact"/>
              <w:rPr>
                <w:sz w:val="20"/>
                <w:szCs w:val="20"/>
                <w:color w:val="auto"/>
              </w:rPr>
            </w:pPr>
            <w:r>
              <w:rPr>
                <w:rFonts w:ascii="Arial" w:cs="Arial" w:eastAsia="Arial" w:hAnsi="Arial"/>
                <w:sz w:val="14"/>
                <w:szCs w:val="14"/>
                <w:color w:val="auto"/>
              </w:rPr>
              <w:t>Trimaran Advisors, LLC</w:t>
            </w:r>
          </w:p>
        </w:tc>
        <w:tc>
          <w:tcPr>
            <w:tcW w:w="152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Related Party Loans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Related Party Loan </w:t>
            </w:r>
            <w:r>
              <w:rPr>
                <w:rFonts w:ascii="Arial" w:cs="Arial" w:eastAsia="Arial" w:hAnsi="Arial"/>
                <w:sz w:val="22"/>
                <w:szCs w:val="22"/>
                <w:color w:val="auto"/>
                <w:vertAlign w:val="superscript"/>
              </w:rPr>
              <w:t>(4)(5)</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4,418,232</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(4,418,232)</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229,380</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40" w:type="dxa"/>
            <w:vAlign w:val="bottom"/>
            <w:gridSpan w:val="4"/>
            <w:shd w:val="clear" w:color="auto" w:fill="CCEEFF"/>
          </w:tcPr>
          <w:p>
            <w:pPr>
              <w:spacing w:after="0" w:line="140" w:lineRule="exact"/>
              <w:rPr>
                <w:sz w:val="20"/>
                <w:szCs w:val="20"/>
                <w:color w:val="auto"/>
              </w:rPr>
            </w:pPr>
            <w:r>
              <w:rPr>
                <w:rFonts w:ascii="Arial" w:cs="Arial" w:eastAsia="Arial" w:hAnsi="Arial"/>
                <w:sz w:val="14"/>
                <w:szCs w:val="14"/>
                <w:color w:val="auto"/>
              </w:rPr>
              <w:t>Katonah 2007-I CLO, Ltd.  CLO Fund Securities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2"/>
                <w:szCs w:val="12"/>
                <w:color w:val="auto"/>
              </w:rPr>
              <w:t>(1)(2)(3)(4)</w:t>
            </w:r>
          </w:p>
        </w:tc>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10,770,486</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(10,676,556)</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271,658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9,754,423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3"/>
              </w:rPr>
              <w:t>(10,120,011)</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271,658</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140" w:type="dxa"/>
            <w:vAlign w:val="bottom"/>
            <w:gridSpan w:val="4"/>
          </w:tcPr>
          <w:p>
            <w:pPr>
              <w:spacing w:after="0" w:line="181" w:lineRule="exact"/>
              <w:rPr>
                <w:sz w:val="20"/>
                <w:szCs w:val="20"/>
                <w:color w:val="auto"/>
              </w:rPr>
            </w:pPr>
            <w:r>
              <w:rPr>
                <w:rFonts w:ascii="Arial" w:cs="Arial" w:eastAsia="Arial" w:hAnsi="Arial"/>
                <w:sz w:val="20"/>
                <w:szCs w:val="20"/>
                <w:color w:val="auto"/>
                <w:vertAlign w:val="subscript"/>
              </w:rPr>
              <w:t>Trimaran CLO VII, Ltd.</w:t>
            </w:r>
            <w:r>
              <w:rPr>
                <w:rFonts w:ascii="Arial" w:cs="Arial" w:eastAsia="Arial" w:hAnsi="Arial"/>
                <w:sz w:val="10"/>
                <w:szCs w:val="10"/>
                <w:color w:val="auto"/>
              </w:rPr>
              <w:t xml:space="preserve"> (1)  </w:t>
            </w:r>
            <w:r>
              <w:rPr>
                <w:rFonts w:ascii="Arial" w:cs="Arial" w:eastAsia="Arial" w:hAnsi="Arial"/>
                <w:sz w:val="11"/>
                <w:szCs w:val="11"/>
                <w:color w:val="auto"/>
              </w:rPr>
              <w:t>CLO Fund Securities</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Arial" w:cs="Arial" w:eastAsia="Arial" w:hAnsi="Arial"/>
                <w:sz w:val="12"/>
                <w:szCs w:val="12"/>
                <w:color w:val="auto"/>
              </w:rPr>
              <w:t>(2)(3)(4)</w:t>
            </w: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(6,725)</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369,831</w:t>
            </w: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(373,105)</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(6,725)</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 2012-1,</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(1)(2)(3)(4)</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2,320,783</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(2,596,571)</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264,746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3,527,018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(3,515,976)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264,746</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tcPr>
          <w:p>
            <w:pPr>
              <w:spacing w:after="0" w:line="140" w:lineRule="exact"/>
              <w:rPr>
                <w:sz w:val="20"/>
                <w:szCs w:val="20"/>
                <w:color w:val="auto"/>
              </w:rPr>
            </w:pPr>
            <w:r>
              <w:rPr>
                <w:rFonts w:ascii="Arial" w:cs="Arial" w:eastAsia="Arial" w:hAnsi="Arial"/>
                <w:sz w:val="14"/>
                <w:szCs w:val="14"/>
                <w:color w:val="auto"/>
              </w:rPr>
              <w:t>Catamaran CLO 2013-1,</w:t>
            </w:r>
          </w:p>
        </w:tc>
        <w:tc>
          <w:tcPr>
            <w:tcW w:w="152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(1)(2)(4)</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6,923,699</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147,497</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1,213,807</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(7,016,734)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(1,268,269)</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1,213,807</w:t>
            </w:r>
          </w:p>
        </w:tc>
        <w:tc>
          <w:tcPr>
            <w:tcW w:w="10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 2014-1,</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(1)(2)(4)</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8,230,178</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535,309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1,347,240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(9,777,251)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(335,476)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1,347,240</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tcPr>
          <w:p>
            <w:pPr>
              <w:spacing w:after="0" w:line="140" w:lineRule="exact"/>
              <w:rPr>
                <w:sz w:val="20"/>
                <w:szCs w:val="20"/>
                <w:color w:val="auto"/>
              </w:rPr>
            </w:pPr>
            <w:r>
              <w:rPr>
                <w:rFonts w:ascii="Arial" w:cs="Arial" w:eastAsia="Arial" w:hAnsi="Arial"/>
                <w:sz w:val="14"/>
                <w:szCs w:val="14"/>
                <w:color w:val="auto"/>
              </w:rPr>
              <w:t>Catamaran CLO 2014-2,</w:t>
            </w:r>
          </w:p>
        </w:tc>
        <w:tc>
          <w:tcPr>
            <w:tcW w:w="152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(1)(2)(4)</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4,500,962</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(985,241)</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656,919</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(2,158,200)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(2,014,440)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656,919</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 2015-1,</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(1)(2)(4)</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3,569,600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(573,089)</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507,789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(3,048,696)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(455,604)</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507,789</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tcPr>
          <w:p>
            <w:pPr>
              <w:spacing w:after="0" w:line="140" w:lineRule="exact"/>
              <w:rPr>
                <w:sz w:val="20"/>
                <w:szCs w:val="20"/>
                <w:color w:val="auto"/>
              </w:rPr>
            </w:pPr>
            <w:r>
              <w:rPr>
                <w:rFonts w:ascii="Arial" w:cs="Arial" w:eastAsia="Arial" w:hAnsi="Arial"/>
                <w:sz w:val="14"/>
                <w:szCs w:val="14"/>
                <w:color w:val="auto"/>
              </w:rPr>
              <w:t>Catamaran CLO 2016-1,</w:t>
            </w:r>
          </w:p>
        </w:tc>
        <w:tc>
          <w:tcPr>
            <w:tcW w:w="152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(1)(2)(4)</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8,530,685</w:t>
            </w: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(1,282,923)</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913,272</w:t>
            </w:r>
          </w:p>
        </w:tc>
        <w:tc>
          <w:tcPr>
            <w:tcW w:w="940" w:type="dxa"/>
            <w:vAlign w:val="bottom"/>
            <w:gridSpan w:val="3"/>
          </w:tcPr>
          <w:p>
            <w:pPr>
              <w:jc w:val="right"/>
              <w:ind w:right="60"/>
              <w:spacing w:after="0"/>
              <w:rPr>
                <w:sz w:val="20"/>
                <w:szCs w:val="20"/>
                <w:color w:val="auto"/>
              </w:rPr>
            </w:pPr>
            <w:r>
              <w:rPr>
                <w:rFonts w:ascii="Arial" w:cs="Arial" w:eastAsia="Arial" w:hAnsi="Arial"/>
                <w:sz w:val="14"/>
                <w:szCs w:val="14"/>
                <w:color w:val="auto"/>
              </w:rPr>
              <w:t>(7,067,073)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(1,093,961)</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913,272</w:t>
            </w: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Catamaran CLO 2018-1,</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10"/>
                <w:szCs w:val="10"/>
                <w:color w:val="auto"/>
              </w:rPr>
              <w:t xml:space="preserve"> (1)(2)(4)</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9,500,000</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343,450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(8,500,000)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(1,343,450)</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343,450</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tcPr>
          <w:p>
            <w:pPr>
              <w:spacing w:after="0" w:line="140" w:lineRule="exact"/>
              <w:rPr>
                <w:sz w:val="20"/>
                <w:szCs w:val="20"/>
                <w:color w:val="auto"/>
              </w:rPr>
            </w:pPr>
            <w:r>
              <w:rPr>
                <w:rFonts w:ascii="Arial" w:cs="Arial" w:eastAsia="Arial" w:hAnsi="Arial"/>
                <w:sz w:val="14"/>
                <w:szCs w:val="14"/>
                <w:color w:val="auto"/>
                <w:w w:val="95"/>
              </w:rPr>
              <w:t>KCAP F3C Senior Funding</w:t>
            </w:r>
          </w:p>
        </w:tc>
        <w:tc>
          <w:tcPr>
            <w:tcW w:w="1520" w:type="dxa"/>
            <w:vAlign w:val="bottom"/>
            <w:gridSpan w:val="3"/>
          </w:tcPr>
          <w:p>
            <w:pPr>
              <w:ind w:left="40"/>
              <w:spacing w:after="0" w:line="140" w:lineRule="exact"/>
              <w:rPr>
                <w:sz w:val="20"/>
                <w:szCs w:val="20"/>
                <w:color w:val="auto"/>
              </w:rPr>
            </w:pPr>
            <w:r>
              <w:rPr>
                <w:rFonts w:ascii="Arial" w:cs="Arial" w:eastAsia="Arial" w:hAnsi="Arial"/>
                <w:sz w:val="14"/>
                <w:szCs w:val="14"/>
                <w:color w:val="auto"/>
              </w:rPr>
              <w:t>CLO Fund 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40" w:type="dxa"/>
            <w:vAlign w:val="bottom"/>
            <w:gridSpan w:val="2"/>
          </w:tcPr>
          <w:p>
            <w:pPr>
              <w:spacing w:after="0" w:line="198" w:lineRule="exact"/>
              <w:rPr>
                <w:sz w:val="20"/>
                <w:szCs w:val="20"/>
                <w:color w:val="auto"/>
              </w:rPr>
            </w:pPr>
            <w:r>
              <w:rPr>
                <w:rFonts w:ascii="Arial" w:cs="Arial" w:eastAsia="Arial" w:hAnsi="Arial"/>
                <w:sz w:val="14"/>
                <w:szCs w:val="14"/>
                <w:color w:val="auto"/>
              </w:rPr>
              <w:t>Rated Notes</w:t>
            </w:r>
            <w:r>
              <w:rPr>
                <w:rFonts w:ascii="Arial" w:cs="Arial" w:eastAsia="Arial" w:hAnsi="Arial"/>
                <w:sz w:val="22"/>
                <w:szCs w:val="22"/>
                <w:color w:val="auto"/>
                <w:vertAlign w:val="superscript"/>
              </w:rPr>
              <w:t>(2)(4)</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4,632,000</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37,298</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(195,458)</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4,473,840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468,755</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BCP Great Lakes Fund</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Limited Partnership</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20" w:type="dxa"/>
            <w:vAlign w:val="bottom"/>
            <w:shd w:val="clear" w:color="auto" w:fill="CCEEFF"/>
          </w:tcPr>
          <w:p>
            <w:pPr>
              <w:spacing w:after="0" w:line="198" w:lineRule="exact"/>
              <w:rPr>
                <w:sz w:val="20"/>
                <w:szCs w:val="20"/>
                <w:color w:val="auto"/>
              </w:rPr>
            </w:pPr>
            <w:r>
              <w:rPr>
                <w:rFonts w:ascii="Arial" w:cs="Arial" w:eastAsia="Arial" w:hAnsi="Arial"/>
                <w:sz w:val="22"/>
                <w:szCs w:val="22"/>
                <w:color w:val="auto"/>
                <w:vertAlign w:val="subscript"/>
              </w:rPr>
              <w:t>LP</w:t>
            </w:r>
            <w:r>
              <w:rPr>
                <w:rFonts w:ascii="Arial" w:cs="Arial" w:eastAsia="Arial" w:hAnsi="Arial"/>
                <w:sz w:val="10"/>
                <w:szCs w:val="10"/>
                <w:color w:val="auto"/>
              </w:rPr>
              <w:t>(7)</w:t>
            </w:r>
          </w:p>
        </w:tc>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12,466,667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12,466,667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20" w:type="dxa"/>
            <w:vAlign w:val="bottom"/>
          </w:tcPr>
          <w:p>
            <w:pPr>
              <w:spacing w:after="0" w:line="181" w:lineRule="exact"/>
              <w:rPr>
                <w:sz w:val="20"/>
                <w:szCs w:val="20"/>
                <w:color w:val="auto"/>
              </w:rPr>
            </w:pPr>
            <w:r>
              <w:rPr>
                <w:rFonts w:ascii="Arial" w:cs="Arial" w:eastAsia="Arial" w:hAnsi="Arial"/>
                <w:sz w:val="13"/>
                <w:szCs w:val="13"/>
                <w:color w:val="auto"/>
              </w:rPr>
              <w:t xml:space="preserve">KCAP Freedom 3, LLC </w:t>
            </w:r>
            <w:r>
              <w:rPr>
                <w:rFonts w:ascii="Arial" w:cs="Arial" w:eastAsia="Arial" w:hAnsi="Arial"/>
                <w:sz w:val="20"/>
                <w:szCs w:val="20"/>
                <w:color w:val="auto"/>
                <w:vertAlign w:val="superscript"/>
              </w:rPr>
              <w:t>(4)</w:t>
            </w:r>
          </w:p>
        </w:tc>
        <w:tc>
          <w:tcPr>
            <w:tcW w:w="1520" w:type="dxa"/>
            <w:vAlign w:val="bottom"/>
            <w:gridSpan w:val="3"/>
          </w:tcPr>
          <w:p>
            <w:pPr>
              <w:ind w:left="40"/>
              <w:spacing w:after="0"/>
              <w:rPr>
                <w:sz w:val="20"/>
                <w:szCs w:val="20"/>
                <w:color w:val="auto"/>
              </w:rPr>
            </w:pPr>
            <w:r>
              <w:rPr>
                <w:rFonts w:ascii="Arial" w:cs="Arial" w:eastAsia="Arial" w:hAnsi="Arial"/>
                <w:sz w:val="14"/>
                <w:szCs w:val="14"/>
                <w:color w:val="auto"/>
              </w:rPr>
              <w:t>Joint Venture</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21,516,000</w:t>
            </w: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(3,125,560)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18,390,440</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color w:val="auto"/>
              </w:rPr>
              <w:t>3,100,000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Tank Partners Holdings,</w:t>
            </w:r>
          </w:p>
        </w:tc>
        <w:tc>
          <w:tcPr>
            <w:tcW w:w="1520" w:type="dxa"/>
            <w:vAlign w:val="bottom"/>
            <w:gridSpan w:val="3"/>
            <w:shd w:val="clear" w:color="auto" w:fill="CCEEFF"/>
          </w:tcPr>
          <w:p>
            <w:pPr>
              <w:ind w:left="40"/>
              <w:spacing w:after="0" w:line="140" w:lineRule="exact"/>
              <w:rPr>
                <w:sz w:val="20"/>
                <w:szCs w:val="20"/>
                <w:color w:val="auto"/>
              </w:rPr>
            </w:pPr>
            <w:r>
              <w:rPr>
                <w:rFonts w:ascii="Arial" w:cs="Arial" w:eastAsia="Arial" w:hAnsi="Arial"/>
                <w:sz w:val="14"/>
                <w:szCs w:val="14"/>
                <w:color w:val="auto"/>
              </w:rPr>
              <w:t>Unit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620" w:type="dxa"/>
            <w:vAlign w:val="bottom"/>
            <w:shd w:val="clear" w:color="auto" w:fill="CCEEFF"/>
          </w:tcPr>
          <w:p>
            <w:pPr>
              <w:spacing w:after="0" w:line="211" w:lineRule="exact"/>
              <w:rPr>
                <w:sz w:val="20"/>
                <w:szCs w:val="20"/>
                <w:color w:val="auto"/>
              </w:rPr>
            </w:pPr>
            <w:r>
              <w:rPr>
                <w:rFonts w:ascii="Arial" w:cs="Arial" w:eastAsia="Arial" w:hAnsi="Arial"/>
                <w:sz w:val="24"/>
                <w:szCs w:val="24"/>
                <w:color w:val="auto"/>
                <w:vertAlign w:val="subscript"/>
              </w:rPr>
              <w:t>LLC</w:t>
            </w:r>
            <w:r>
              <w:rPr>
                <w:rFonts w:ascii="Arial" w:cs="Arial" w:eastAsia="Arial" w:hAnsi="Arial"/>
                <w:sz w:val="11"/>
                <w:szCs w:val="11"/>
                <w:color w:val="auto"/>
              </w:rPr>
              <w:t>(4)(5)</w:t>
            </w:r>
          </w:p>
        </w:tc>
        <w:tc>
          <w:tcPr>
            <w:tcW w:w="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980,000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(979,000)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Affiliated</w:t>
            </w:r>
          </w:p>
        </w:tc>
        <w:tc>
          <w:tcPr>
            <w:tcW w:w="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122,630,676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2"/>
                <w:szCs w:val="12"/>
                <w:color w:val="auto"/>
              </w:rPr>
              <w:t>(41,042,190</w:t>
            </w:r>
            <w:r>
              <w:rPr>
                <w:rFonts w:ascii="Arial" w:cs="Arial" w:eastAsia="Arial" w:hAnsi="Arial"/>
                <w:sz w:val="22"/>
                <w:szCs w:val="22"/>
                <w:color w:val="auto"/>
                <w:vertAlign w:val="superscript"/>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w w:val="94"/>
              </w:rPr>
              <w:t>$ 5,549,454</w:t>
            </w:r>
          </w:p>
        </w:tc>
        <w:tc>
          <w:tcPr>
            <w:tcW w:w="940" w:type="dxa"/>
            <w:vAlign w:val="bottom"/>
            <w:gridSpan w:val="3"/>
            <w:shd w:val="clear" w:color="auto" w:fill="CCEEFF"/>
          </w:tcPr>
          <w:p>
            <w:pPr>
              <w:jc w:val="right"/>
              <w:ind w:right="60"/>
              <w:spacing w:after="0" w:line="194" w:lineRule="exact"/>
              <w:rPr>
                <w:sz w:val="20"/>
                <w:szCs w:val="20"/>
                <w:color w:val="auto"/>
              </w:rPr>
            </w:pPr>
            <w:r>
              <w:rPr>
                <w:rFonts w:ascii="Arial" w:cs="Arial" w:eastAsia="Arial" w:hAnsi="Arial"/>
                <w:sz w:val="12"/>
                <w:szCs w:val="12"/>
                <w:color w:val="auto"/>
              </w:rPr>
              <w:t>$ (36,587,954</w:t>
            </w:r>
            <w:r>
              <w:rPr>
                <w:rFonts w:ascii="Arial" w:cs="Arial" w:eastAsia="Arial" w:hAnsi="Arial"/>
                <w:sz w:val="22"/>
                <w:szCs w:val="22"/>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2,261,054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2"/>
                <w:szCs w:val="12"/>
                <w:color w:val="auto"/>
              </w:rPr>
              <w:t>(14,009,092</w:t>
            </w:r>
            <w:r>
              <w:rPr>
                <w:rFonts w:ascii="Arial" w:cs="Arial" w:eastAsia="Arial" w:hAnsi="Arial"/>
                <w:sz w:val="22"/>
                <w:szCs w:val="22"/>
                <w:color w:val="auto"/>
                <w:vertAlign w:val="superscript"/>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6"/>
              </w:rPr>
              <w:t>38,801,947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$ 8,147,079</w:t>
            </w:r>
          </w:p>
        </w:tc>
        <w:tc>
          <w:tcPr>
            <w:tcW w:w="1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7"/>
              </w:rPr>
              <w:t>$ 4,346,510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security.</w:t>
      </w:r>
    </w:p>
    <w:p>
      <w:pPr>
        <w:ind w:left="340" w:hanging="332"/>
        <w:spacing w:after="0" w:line="181"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6"/>
          <w:szCs w:val="16"/>
          <w:color w:val="auto"/>
        </w:rPr>
        <w:t>Fair value of this investment was determined using significant unobservable inputs.</w:t>
      </w: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340" w:right="40" w:hanging="332"/>
        <w:spacing w:after="0" w:line="232" w:lineRule="auto"/>
        <w:tabs>
          <w:tab w:leader="none" w:pos="340"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control over this portfolio company.</w:t>
      </w:r>
    </w:p>
    <w:p>
      <w:pPr>
        <w:spacing w:after="0" w:line="9" w:lineRule="exact"/>
        <w:rPr>
          <w:sz w:val="20"/>
          <w:szCs w:val="20"/>
          <w:color w:val="auto"/>
        </w:rPr>
      </w:pPr>
    </w:p>
    <w:p>
      <w:pPr>
        <w:ind w:left="340" w:right="40" w:hanging="332"/>
        <w:spacing w:after="0" w:line="204" w:lineRule="auto"/>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707" w:gutter="0" w:footer="0" w:header="0"/>
        </w:sectPr>
      </w:pPr>
    </w:p>
    <w:bookmarkStart w:id="45" w:name="page46"/>
    <w:bookmarkEnd w:id="45"/>
    <w:p>
      <w:pPr>
        <w:ind w:left="340"/>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19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8"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is a reduction in the fair value of the Asset Manager Affiliates and increase the fair value of the Company’s investment in the Joint Venture. The reduction in the fair value of the Asset Manager Affiliates was recognized as a realized loss on the Statement of Operations. The increase in the fair value of the Company’s investment in the Joint Venture was recognized as an unrealized gain in the Statement of Operations.</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March 31, 2019</w:t>
            </w:r>
          </w:p>
        </w:tc>
        <w:tc>
          <w:tcPr>
            <w:tcW w:w="2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at fair value</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37,519,094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410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37,519,094</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Liabilities</w:t>
            </w:r>
          </w:p>
        </w:tc>
        <w:tc>
          <w:tcPr>
            <w:tcW w:w="4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1,541,539</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1,970,455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35,977,555</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30,650,733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37,519,094</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620" w:type="dxa"/>
            <w:vAlign w:val="bottom"/>
            <w:gridSpan w:val="3"/>
          </w:tcPr>
          <w:p>
            <w:pPr>
              <w:jc w:val="center"/>
              <w:ind w:right="350"/>
              <w:spacing w:after="0"/>
              <w:rPr>
                <w:sz w:val="20"/>
                <w:szCs w:val="20"/>
                <w:color w:val="auto"/>
              </w:rPr>
            </w:pPr>
            <w:r>
              <w:rPr>
                <w:rFonts w:ascii="Arial" w:cs="Arial" w:eastAsia="Arial" w:hAnsi="Arial"/>
                <w:sz w:val="18"/>
                <w:szCs w:val="18"/>
                <w:b w:val="1"/>
                <w:bCs w:val="1"/>
                <w:color w:val="auto"/>
                <w:w w:val="95"/>
              </w:rPr>
              <w:t>KCAP Freedom 3 LLC</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620" w:type="dxa"/>
            <w:vAlign w:val="bottom"/>
            <w:gridSpan w:val="3"/>
          </w:tcPr>
          <w:p>
            <w:pPr>
              <w:jc w:val="center"/>
              <w:ind w:right="350"/>
              <w:spacing w:after="0"/>
              <w:rPr>
                <w:sz w:val="20"/>
                <w:szCs w:val="20"/>
                <w:color w:val="auto"/>
              </w:rPr>
            </w:pPr>
            <w:r>
              <w:rPr>
                <w:rFonts w:ascii="Arial" w:cs="Arial" w:eastAsia="Arial" w:hAnsi="Arial"/>
                <w:sz w:val="18"/>
                <w:szCs w:val="18"/>
                <w:color w:val="auto"/>
                <w:w w:val="89"/>
              </w:rPr>
              <w:t>Summarized Statement of Operations</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1"/>
              </w:rPr>
              <w:t>For the three months</w:t>
            </w:r>
          </w:p>
        </w:tc>
        <w:tc>
          <w:tcPr>
            <w:tcW w:w="180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For the 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00" w:type="dxa"/>
            <w:vAlign w:val="bottom"/>
            <w:gridSpan w:val="4"/>
          </w:tcPr>
          <w:p>
            <w:pPr>
              <w:spacing w:after="0"/>
              <w:rPr>
                <w:sz w:val="20"/>
                <w:szCs w:val="20"/>
                <w:color w:val="auto"/>
              </w:rPr>
            </w:pPr>
            <w:r>
              <w:rPr>
                <w:rFonts w:ascii="Arial" w:cs="Arial" w:eastAsia="Arial" w:hAnsi="Arial"/>
                <w:sz w:val="18"/>
                <w:szCs w:val="18"/>
                <w:b w:val="1"/>
                <w:bCs w:val="1"/>
                <w:color w:val="auto"/>
              </w:rPr>
              <w:t>ended March 31, 2019</w:t>
            </w:r>
          </w:p>
        </w:tc>
        <w:tc>
          <w:tcPr>
            <w:tcW w:w="1800" w:type="dxa"/>
            <w:vAlign w:val="bottom"/>
            <w:gridSpan w:val="4"/>
          </w:tcPr>
          <w:p>
            <w:pPr>
              <w:spacing w:after="0"/>
              <w:rPr>
                <w:sz w:val="20"/>
                <w:szCs w:val="20"/>
                <w:color w:val="auto"/>
              </w:rPr>
            </w:pPr>
            <w:r>
              <w:rPr>
                <w:rFonts w:ascii="Arial" w:cs="Arial" w:eastAsia="Arial" w:hAnsi="Arial"/>
                <w:sz w:val="18"/>
                <w:szCs w:val="18"/>
                <w:b w:val="1"/>
                <w:bCs w:val="1"/>
                <w:color w:val="auto"/>
                <w:w w:val="95"/>
              </w:rPr>
              <w:t>ended 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1,151,386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expenses</w:t>
            </w:r>
          </w:p>
        </w:tc>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17,512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1,133,874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4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5,326,822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503,920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6,460,696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89"/>
              </w:rPr>
              <w:t>47</w:t>
            </w: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2380" w:type="dxa"/>
            <w:vAlign w:val="bottom"/>
            <w:gridSpan w:val="2"/>
          </w:tcPr>
          <w:p>
            <w:pPr>
              <w:ind w:left="7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Great Lakes KCAP F3C Senior, LLC</w:t>
            </w:r>
            <w:r>
              <w:rPr>
                <w:rFonts w:ascii="Arial" w:cs="Arial" w:eastAsia="Arial" w:hAnsi="Arial"/>
                <w:sz w:val="22"/>
                <w:szCs w:val="22"/>
                <w:color w:val="auto"/>
                <w:vertAlign w:val="superscript"/>
              </w:rPr>
              <w:t>(1)(2)(3)</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effective interest 11.4%, 12/29</w:t>
            </w: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42,207,464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37,519,094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42,207,464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37,519,094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50" w:lineRule="auto"/>
        <w:tabs>
          <w:tab w:leader="none" w:pos="2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Formerly known as KCAP F3C Senior Funding,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2380" w:type="dxa"/>
            <w:vAlign w:val="bottom"/>
            <w:gridSpan w:val="2"/>
          </w:tcPr>
          <w:p>
            <w:pPr>
              <w:ind w:left="7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KCAP F3C Senior Funding, LLC </w:t>
            </w:r>
            <w:r>
              <w:rPr>
                <w:rFonts w:ascii="Arial" w:cs="Arial" w:eastAsia="Arial" w:hAnsi="Arial"/>
                <w:sz w:val="22"/>
                <w:szCs w:val="22"/>
                <w:color w:val="auto"/>
                <w:vertAlign w:val="superscript"/>
              </w:rPr>
              <w:t>(1)(2)</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7"/>
              </w:rPr>
              <w:t>effective interest 11.5%, 12/29</w:t>
            </w:r>
          </w:p>
        </w:tc>
        <w:tc>
          <w:tcPr>
            <w:tcW w:w="1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25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42,636,380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32,621,188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42,636,380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32,621,188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right="18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340" w:right="26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2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March 31, 2019 (unaudited) and December 31, 2018, respectively: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80" w:type="dxa"/>
            <w:vAlign w:val="bottom"/>
            <w:gridSpan w:val="7"/>
          </w:tcPr>
          <w:p>
            <w:pPr>
              <w:jc w:val="right"/>
              <w:ind w:right="65"/>
              <w:spacing w:after="0"/>
              <w:rPr>
                <w:sz w:val="20"/>
                <w:szCs w:val="20"/>
                <w:color w:val="auto"/>
              </w:rPr>
            </w:pPr>
            <w:r>
              <w:rPr>
                <w:rFonts w:ascii="Arial" w:cs="Arial" w:eastAsia="Arial" w:hAnsi="Arial"/>
                <w:sz w:val="18"/>
                <w:szCs w:val="18"/>
                <w:b w:val="1"/>
                <w:bCs w:val="1"/>
                <w:color w:val="auto"/>
              </w:rPr>
              <w:t>As of March 31, 2019 (unaudited)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II</w:t>
            </w:r>
          </w:p>
        </w:tc>
        <w:tc>
          <w:tcPr>
            <w:tcW w:w="24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III</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NAV</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19,998,746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24,121,902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44,120,648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Debt securities</w:t>
            </w:r>
          </w:p>
        </w:tc>
        <w:tc>
          <w:tcPr>
            <w:tcW w:w="2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36,187,061</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116,009,321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152,196,382</w:t>
            </w: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45,605,015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45,605,015</w:t>
            </w:r>
          </w:p>
        </w:tc>
        <w:tc>
          <w:tcPr>
            <w:tcW w:w="8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1,868,634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14,966,706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16,835,340</w:t>
            </w:r>
          </w:p>
        </w:tc>
        <w:tc>
          <w:tcPr>
            <w:tcW w:w="80" w:type="dxa"/>
            <w:vAlign w:val="bottom"/>
          </w:tcPr>
          <w:p>
            <w:pPr>
              <w:spacing w:after="0"/>
              <w:rPr>
                <w:sz w:val="18"/>
                <w:szCs w:val="18"/>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23,707,969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23,707,969</w:t>
            </w:r>
          </w:p>
        </w:tc>
        <w:tc>
          <w:tcPr>
            <w:tcW w:w="80" w:type="dxa"/>
            <w:vAlign w:val="bottom"/>
            <w:shd w:val="clear" w:color="auto" w:fill="CCEEFF"/>
          </w:tcPr>
          <w:p>
            <w:pPr>
              <w:spacing w:after="0"/>
              <w:rPr>
                <w:sz w:val="19"/>
                <w:szCs w:val="19"/>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19,998,746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60,308,963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187,190,939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14,966,706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282,465,354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5"/>
          </w:tcPr>
          <w:p>
            <w:pPr>
              <w:ind w:left="1200"/>
              <w:spacing w:after="0"/>
              <w:rPr>
                <w:sz w:val="20"/>
                <w:szCs w:val="20"/>
                <w:color w:val="auto"/>
              </w:rPr>
            </w:pPr>
            <w:r>
              <w:rPr>
                <w:rFonts w:ascii="Arial" w:cs="Arial" w:eastAsia="Arial" w:hAnsi="Arial"/>
                <w:sz w:val="18"/>
                <w:szCs w:val="18"/>
                <w:b w:val="1"/>
                <w:bCs w:val="1"/>
                <w:color w:val="auto"/>
                <w:w w:val="89"/>
              </w:rPr>
              <w:t>As of December 31, 2018</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0"/>
                <w:szCs w:val="20"/>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II</w:t>
            </w:r>
          </w:p>
        </w:tc>
        <w:tc>
          <w:tcPr>
            <w:tcW w:w="24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III</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NAV</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9,999,349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34,757,129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44,756,478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Debt securities</w:t>
            </w:r>
          </w:p>
        </w:tc>
        <w:tc>
          <w:tcPr>
            <w:tcW w:w="2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41,120,073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106,741,671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147,861,744</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44,325,000</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44,325,000</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2,038,020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12,466,667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14,504,687</w:t>
            </w: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3,470,000</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Joint Venture</w:t>
            </w:r>
          </w:p>
        </w:tc>
        <w:tc>
          <w:tcPr>
            <w:tcW w:w="28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18,390,440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18,390,440</w:t>
            </w:r>
          </w:p>
        </w:tc>
      </w:tr>
      <w:tr>
        <w:trPr>
          <w:trHeight w:val="223"/>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9,999,349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75,877,202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174,965,131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12,466,667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273,308,349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BCP Great Lakes Partnership LP (the “BCP Great Lakes Partnership”) has invested in BCP Great Lakes Holdings LP, a vehicle formed as a co-investment vehicle to facilitate the participation of certain co-investors to invest, directly or indirectly, in Great Lakes Funding LLC.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18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fair value of the Company’s investment in the BCP Great Lakes Partnership at March 31, 2019 and December 31, 2018 was $15.0 million and $12.5 million. Fair value has been determined utilizing the practical expedient pursuant to ASC 820-10. Pursuant to the terms of the BGP Great Lakes Fund LP Amended and Restated Exempted Limited Partnership Agreement (the “BCP Great Lakes Partnership Agreement”) ,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15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March 2019,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March 31, 2019 and December 31, 2018, the Company has a $34.8 million and $12.5 million, respectively unfunded commitment to the BCP Great Lakes Partnership.</w:t>
      </w:r>
    </w:p>
    <w:p>
      <w:pPr>
        <w:spacing w:after="0" w:line="18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Subject to the limitations noted above, 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5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Year Ended March 31, 2019</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Debt</w:t>
            </w:r>
          </w:p>
        </w:tc>
        <w:tc>
          <w:tcPr>
            <w:tcW w:w="124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6"/>
                <w:szCs w:val="16"/>
                <w:color w:val="auto"/>
              </w:rPr>
            </w:pPr>
          </w:p>
        </w:tc>
        <w:tc>
          <w:tcPr>
            <w:tcW w:w="112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Equity</w:t>
            </w:r>
          </w:p>
        </w:tc>
        <w:tc>
          <w:tcPr>
            <w:tcW w:w="13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Joint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Affiliate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Venture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106,741,671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44,325,000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2,038,020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18,390,440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174,965,131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(6,470,154)</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(6,470,154)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27,653,032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27,653,032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34,347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1,690,216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1,724,563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136,501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6,364,501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(8,012,847)</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(2,282,948)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(10,295,795)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loss included in earnings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(7,852,198)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(587,936)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(1,565,205)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(13,475,339)</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3"/>
              </w:rPr>
              <w:t>Change in unrealized gain (loss) included in earnings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3,778,969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2,460,683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(4,832,181)</w:t>
            </w: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5,317,529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116,009,321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45,605,015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1,868,634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23,707,969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187,190,939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5"/>
              </w:rPr>
              <w:t>earnings related to investments still held at reporting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(9,306,669)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2,460,683</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(4,832,181)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5,317,529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(6,360,638)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¹Transfers out of Level III represent a transfer of $6,470,154 relating to debt securities for which pricing inputs, other than their quoted prices in active markets were observable as of March 31, 2019.</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²Transfers into Level III represent a transfer of $27,653,032 relating to debt securities for which pricing inputs, other than their quoted prices in active markets were unobservable as of March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5"/>
              </w:rPr>
              <w:t>Year Ended December 31, 2018</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Debt</w:t>
            </w:r>
          </w:p>
        </w:tc>
        <w:tc>
          <w:tcPr>
            <w:tcW w:w="1240" w:type="dxa"/>
            <w:vAlign w:val="bottom"/>
            <w:gridSpan w:val="3"/>
          </w:tcPr>
          <w:p>
            <w:pPr>
              <w:jc w:val="right"/>
              <w:ind w:right="320"/>
              <w:spacing w:after="0" w:line="191" w:lineRule="exact"/>
              <w:rPr>
                <w:sz w:val="20"/>
                <w:szCs w:val="20"/>
                <w:color w:val="auto"/>
              </w:rPr>
            </w:pPr>
            <w:r>
              <w:rPr>
                <w:rFonts w:ascii="Arial" w:cs="Arial" w:eastAsia="Arial" w:hAnsi="Arial"/>
                <w:sz w:val="18"/>
                <w:szCs w:val="18"/>
                <w:b w:val="1"/>
                <w:bCs w:val="1"/>
                <w:color w:val="auto"/>
              </w:rPr>
              <w:t>CLO Fund</w:t>
            </w:r>
          </w:p>
        </w:tc>
        <w:tc>
          <w:tcPr>
            <w:tcW w:w="100" w:type="dxa"/>
            <w:vAlign w:val="bottom"/>
          </w:tcPr>
          <w:p>
            <w:pPr>
              <w:spacing w:after="0"/>
              <w:rPr>
                <w:sz w:val="16"/>
                <w:szCs w:val="16"/>
                <w:color w:val="auto"/>
              </w:rPr>
            </w:pPr>
          </w:p>
        </w:tc>
        <w:tc>
          <w:tcPr>
            <w:tcW w:w="11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13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rPr>
              <w:t>Joint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2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Affiliate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Venture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69,885,455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51,678,673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21,516,000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186,343,812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(230,732)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(230,732)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III²</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16,474,663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16,474,663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accretion</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125,614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5,878,260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6,003,874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38,099,644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12,781,528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50,881,172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(11,116,360)</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(19,033,322)</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(1,093,244)</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(34,800,000)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(66,042,926)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included in earnings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(51,674)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(16,484,872)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(16,536,546)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(6,444,939)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9,504,733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(1,283,420)</w:t>
            </w: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(3,125,560)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(1,928,186)</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106,741,671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44,325,000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18,390,440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174,965,131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w w:val="95"/>
              </w:rPr>
              <w:t>earnings related to investments still held at reporting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980" w:type="dxa"/>
            <w:vAlign w:val="bottom"/>
          </w:tcPr>
          <w:p>
            <w:pPr>
              <w:spacing w:after="0"/>
              <w:rPr>
                <w:sz w:val="20"/>
                <w:szCs w:val="20"/>
                <w:color w:val="auto"/>
              </w:rPr>
            </w:pPr>
            <w:r>
              <w:rPr>
                <w:rFonts w:ascii="Arial" w:cs="Arial" w:eastAsia="Arial" w:hAnsi="Arial"/>
                <w:sz w:val="18"/>
                <w:szCs w:val="18"/>
                <w:color w:val="auto"/>
              </w:rPr>
              <w:t>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(5,197,940)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6,631,424</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(1,283,420)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(579,000)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(3,125,560)</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(3,554,496)</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¹Transfers out of Level III represent a transfer of $230,732 relating to debt securities for which pricing inputs, other than their quoted prices in active markets were observable as of December 31, 2018.</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²Transfers into Level III represent a transfer of $16,474,663 relating to debt securities for which pricing inputs, other than their quoted prices in active markets were unobservable as of December 31, 2018.</w:t>
      </w:r>
    </w:p>
    <w:p>
      <w:pPr>
        <w:spacing w:after="0" w:line="18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of March 31, 2019 and December 31, 2018,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w:t>
      </w:r>
    </w:p>
    <w:p>
      <w:pPr>
        <w:ind w:left="5620" w:right="2720" w:hanging="5612"/>
        <w:spacing w:after="0" w:line="762" w:lineRule="auto"/>
        <w:tabs>
          <w:tab w:leader="none" w:pos="169"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portfolio investments was $60.3 million and $75.9 million as of March 31, 2019 and December 31, 2018, respectively.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color w:val="auto"/>
        </w:rPr>
        <w:t>As of March 31, 2019,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4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800" w:type="dxa"/>
            <w:vAlign w:val="bottom"/>
            <w:tcBorders>
              <w:top w:val="single" w:sz="8" w:color="auto"/>
              <w:right w:val="single" w:sz="8" w:color="auto"/>
            </w:tcBorders>
            <w:vMerge w:val="restart"/>
            <w:shd w:val="clear" w:color="auto" w:fill="DAEEF3"/>
          </w:tcPr>
          <w:p>
            <w:pPr>
              <w:jc w:val="right"/>
              <w:ind w:right="410"/>
              <w:spacing w:after="0"/>
              <w:rPr>
                <w:sz w:val="20"/>
                <w:szCs w:val="20"/>
                <w:color w:val="auto"/>
              </w:rPr>
            </w:pPr>
            <w:r>
              <w:rPr>
                <w:rFonts w:ascii="Arial" w:cs="Arial" w:eastAsia="Arial" w:hAnsi="Arial"/>
                <w:sz w:val="18"/>
                <w:szCs w:val="18"/>
                <w:b w:val="1"/>
                <w:bCs w:val="1"/>
                <w:color w:val="auto"/>
              </w:rPr>
              <w:t>Fair Value</w:t>
            </w:r>
          </w:p>
        </w:tc>
        <w:tc>
          <w:tcPr>
            <w:tcW w:w="2500" w:type="dxa"/>
            <w:vAlign w:val="bottom"/>
            <w:tcBorders>
              <w:top w:val="single" w:sz="8" w:color="auto"/>
              <w:right w:val="single" w:sz="8" w:color="auto"/>
            </w:tcBorders>
            <w:shd w:val="clear" w:color="auto" w:fill="DAEEF3"/>
          </w:tcPr>
          <w:p>
            <w:pPr>
              <w:ind w:left="500"/>
              <w:spacing w:after="0"/>
              <w:rPr>
                <w:sz w:val="20"/>
                <w:szCs w:val="20"/>
                <w:color w:val="auto"/>
              </w:rPr>
            </w:pPr>
            <w:r>
              <w:rPr>
                <w:rFonts w:ascii="Arial" w:cs="Arial" w:eastAsia="Arial" w:hAnsi="Arial"/>
                <w:sz w:val="18"/>
                <w:szCs w:val="18"/>
                <w:b w:val="1"/>
                <w:bCs w:val="1"/>
                <w:color w:val="auto"/>
              </w:rPr>
              <w:t>Primary Valuation</w:t>
            </w:r>
          </w:p>
        </w:tc>
        <w:tc>
          <w:tcPr>
            <w:tcW w:w="1600" w:type="dxa"/>
            <w:vAlign w:val="bottom"/>
            <w:tcBorders>
              <w:top w:val="single" w:sz="8" w:color="auto"/>
              <w:right w:val="single" w:sz="8" w:color="auto"/>
            </w:tcBorders>
            <w:shd w:val="clear" w:color="auto" w:fill="DAEEF3"/>
          </w:tcPr>
          <w:p>
            <w:pPr>
              <w:ind w:left="260"/>
              <w:spacing w:after="0"/>
              <w:rPr>
                <w:sz w:val="20"/>
                <w:szCs w:val="20"/>
                <w:color w:val="auto"/>
              </w:rPr>
            </w:pPr>
            <w:r>
              <w:rPr>
                <w:rFonts w:ascii="Arial" w:cs="Arial" w:eastAsia="Arial" w:hAnsi="Arial"/>
                <w:sz w:val="18"/>
                <w:szCs w:val="18"/>
                <w:b w:val="1"/>
                <w:bCs w:val="1"/>
                <w:color w:val="auto"/>
              </w:rPr>
              <w:t>Unobservable</w:t>
            </w:r>
          </w:p>
        </w:tc>
        <w:tc>
          <w:tcPr>
            <w:tcW w:w="2720" w:type="dxa"/>
            <w:vAlign w:val="bottom"/>
            <w:tcBorders>
              <w:top w:val="single" w:sz="8" w:color="auto"/>
              <w:right w:val="single" w:sz="8" w:color="auto"/>
            </w:tcBorders>
            <w:shd w:val="clear" w:color="auto" w:fill="DAEEF3"/>
          </w:tcPr>
          <w:p>
            <w:pPr>
              <w:ind w:left="74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64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1800" w:type="dxa"/>
            <w:vAlign w:val="bottom"/>
            <w:tcBorders>
              <w:right w:val="single" w:sz="8" w:color="auto"/>
            </w:tcBorders>
            <w:vMerge w:val="continue"/>
            <w:shd w:val="clear" w:color="auto" w:fill="DAEEF3"/>
          </w:tcPr>
          <w:p>
            <w:pPr>
              <w:spacing w:after="0"/>
              <w:rPr>
                <w:sz w:val="10"/>
                <w:szCs w:val="10"/>
                <w:color w:val="auto"/>
              </w:rPr>
            </w:pPr>
          </w:p>
        </w:tc>
        <w:tc>
          <w:tcPr>
            <w:tcW w:w="2500" w:type="dxa"/>
            <w:vAlign w:val="bottom"/>
            <w:tcBorders>
              <w:right w:val="single" w:sz="8" w:color="auto"/>
            </w:tcBorders>
            <w:vMerge w:val="restart"/>
            <w:shd w:val="clear" w:color="auto" w:fill="DAEEF3"/>
          </w:tcPr>
          <w:p>
            <w:pPr>
              <w:ind w:left="740"/>
              <w:spacing w:after="0"/>
              <w:rPr>
                <w:sz w:val="20"/>
                <w:szCs w:val="20"/>
                <w:color w:val="auto"/>
              </w:rPr>
            </w:pPr>
            <w:r>
              <w:rPr>
                <w:rFonts w:ascii="Arial" w:cs="Arial" w:eastAsia="Arial" w:hAnsi="Arial"/>
                <w:sz w:val="18"/>
                <w:szCs w:val="18"/>
                <w:b w:val="1"/>
                <w:bCs w:val="1"/>
                <w:color w:val="auto"/>
              </w:rPr>
              <w:t>Methodology</w:t>
            </w:r>
          </w:p>
        </w:tc>
        <w:tc>
          <w:tcPr>
            <w:tcW w:w="1600" w:type="dxa"/>
            <w:vAlign w:val="bottom"/>
            <w:tcBorders>
              <w:right w:val="single" w:sz="8" w:color="auto"/>
            </w:tcBorders>
            <w:vMerge w:val="restart"/>
            <w:shd w:val="clear" w:color="auto" w:fill="DAEEF3"/>
          </w:tcPr>
          <w:p>
            <w:pPr>
              <w:ind w:left="540"/>
              <w:spacing w:after="0"/>
              <w:rPr>
                <w:sz w:val="20"/>
                <w:szCs w:val="20"/>
                <w:color w:val="auto"/>
              </w:rPr>
            </w:pPr>
            <w:r>
              <w:rPr>
                <w:rFonts w:ascii="Arial" w:cs="Arial" w:eastAsia="Arial" w:hAnsi="Arial"/>
                <w:sz w:val="18"/>
                <w:szCs w:val="18"/>
                <w:b w:val="1"/>
                <w:bCs w:val="1"/>
                <w:color w:val="auto"/>
              </w:rPr>
              <w:t>Inputs</w:t>
            </w:r>
          </w:p>
        </w:tc>
        <w:tc>
          <w:tcPr>
            <w:tcW w:w="2720" w:type="dxa"/>
            <w:vAlign w:val="bottom"/>
            <w:tcBorders>
              <w:right w:val="single" w:sz="8" w:color="auto"/>
            </w:tcBorders>
            <w:vMerge w:val="restart"/>
            <w:shd w:val="clear" w:color="auto" w:fill="DAEEF3"/>
          </w:tcPr>
          <w:p>
            <w:pPr>
              <w:ind w:left="5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1800" w:type="dxa"/>
            <w:vAlign w:val="bottom"/>
            <w:tcBorders>
              <w:bottom w:val="single" w:sz="8" w:color="auto"/>
              <w:right w:val="single" w:sz="8" w:color="auto"/>
            </w:tcBorders>
            <w:shd w:val="clear" w:color="auto" w:fill="DAEEF3"/>
          </w:tcPr>
          <w:p>
            <w:pPr>
              <w:spacing w:after="0"/>
              <w:rPr>
                <w:sz w:val="9"/>
                <w:szCs w:val="9"/>
                <w:color w:val="auto"/>
              </w:rPr>
            </w:pPr>
          </w:p>
        </w:tc>
        <w:tc>
          <w:tcPr>
            <w:tcW w:w="25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16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72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  459,448</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Average EBITDA</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6.75x (0.04x)</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Multiple</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640" w:type="dxa"/>
            <w:vAlign w:val="bottom"/>
            <w:tcBorders>
              <w:left w:val="single" w:sz="8" w:color="auto"/>
              <w:right w:val="single" w:sz="8" w:color="auto"/>
            </w:tcBorders>
            <w:vMerge w:val="continue"/>
          </w:tcPr>
          <w:p>
            <w:pPr>
              <w:spacing w:after="0"/>
              <w:rPr>
                <w:sz w:val="7"/>
                <w:szCs w:val="7"/>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115,549,873</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Income Approach</w:t>
            </w:r>
          </w:p>
        </w:tc>
        <w:tc>
          <w:tcPr>
            <w:tcW w:w="160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Implied Discount</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6.7% – 27.5% (11.5)%</w:t>
            </w:r>
          </w:p>
        </w:tc>
        <w:tc>
          <w:tcPr>
            <w:tcW w:w="0" w:type="dxa"/>
            <w:vAlign w:val="bottom"/>
          </w:tcPr>
          <w:p>
            <w:pPr>
              <w:spacing w:after="0"/>
              <w:rPr>
                <w:sz w:val="1"/>
                <w:szCs w:val="1"/>
                <w:color w:val="auto"/>
              </w:rPr>
            </w:pPr>
          </w:p>
        </w:tc>
      </w:tr>
      <w:tr>
        <w:trPr>
          <w:trHeight w:val="107"/>
        </w:trPr>
        <w:tc>
          <w:tcPr>
            <w:tcW w:w="264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Rate</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1,811,634</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Average EBITDA</w:t>
            </w:r>
          </w:p>
        </w:tc>
        <w:tc>
          <w:tcPr>
            <w:tcW w:w="27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3.9x – 8.5x (6.1x)</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Multiple / WACC</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57,000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w w:val="97"/>
              </w:rPr>
              <w:t>Qualitative Inputs</w:t>
            </w:r>
            <w:r>
              <w:rPr>
                <w:rFonts w:ascii="Arial" w:cs="Arial" w:eastAsia="Arial" w:hAnsi="Arial"/>
                <w:sz w:val="28"/>
                <w:szCs w:val="28"/>
                <w:color w:val="auto"/>
                <w:w w:val="97"/>
                <w:vertAlign w:val="superscript"/>
              </w:rPr>
              <w:t>(1)</w:t>
            </w: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13.4%-13.9% (13.720%)</w:t>
            </w: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Probability of</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1%-2% (1.5%)</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36,285,735</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Default</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800" w:type="dxa"/>
            <w:vAlign w:val="bottom"/>
            <w:tcBorders>
              <w:right w:val="single" w:sz="8" w:color="auto"/>
            </w:tcBorders>
            <w:vMerge w:val="continue"/>
          </w:tcPr>
          <w:p>
            <w:pPr>
              <w:spacing w:after="0"/>
              <w:rPr>
                <w:sz w:val="8"/>
                <w:szCs w:val="8"/>
                <w:color w:val="auto"/>
              </w:rPr>
            </w:pPr>
          </w:p>
        </w:tc>
        <w:tc>
          <w:tcPr>
            <w:tcW w:w="25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Loss Severity</w:t>
            </w:r>
          </w:p>
        </w:tc>
        <w:tc>
          <w:tcPr>
            <w:tcW w:w="2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20%-34% (27.1%)</w:t>
            </w:r>
          </w:p>
        </w:tc>
        <w:tc>
          <w:tcPr>
            <w:tcW w:w="0" w:type="dxa"/>
            <w:vAlign w:val="bottom"/>
          </w:tcPr>
          <w:p>
            <w:pPr>
              <w:spacing w:after="0"/>
              <w:rPr>
                <w:sz w:val="1"/>
                <w:szCs w:val="1"/>
                <w:color w:val="auto"/>
              </w:rPr>
            </w:pPr>
          </w:p>
        </w:tc>
      </w:tr>
      <w:tr>
        <w:trPr>
          <w:trHeight w:val="113"/>
        </w:trPr>
        <w:tc>
          <w:tcPr>
            <w:tcW w:w="264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64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Recovery Rate</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66%-80% (72.9%)</w:t>
            </w:r>
          </w:p>
        </w:tc>
        <w:tc>
          <w:tcPr>
            <w:tcW w:w="0" w:type="dxa"/>
            <w:vAlign w:val="bottom"/>
          </w:tcPr>
          <w:p>
            <w:pPr>
              <w:spacing w:after="0"/>
              <w:rPr>
                <w:sz w:val="1"/>
                <w:szCs w:val="1"/>
                <w:color w:val="auto"/>
              </w:rPr>
            </w:pPr>
          </w:p>
        </w:tc>
      </w:tr>
      <w:tr>
        <w:trPr>
          <w:trHeight w:val="100"/>
        </w:trPr>
        <w:tc>
          <w:tcPr>
            <w:tcW w:w="264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500" w:type="dxa"/>
            <w:vAlign w:val="bottom"/>
            <w:tcBorders>
              <w:right w:val="single" w:sz="8" w:color="auto"/>
            </w:tcBorders>
          </w:tcPr>
          <w:p>
            <w:pPr>
              <w:spacing w:after="0"/>
              <w:rPr>
                <w:sz w:val="8"/>
                <w:szCs w:val="8"/>
                <w:color w:val="auto"/>
              </w:rPr>
            </w:pPr>
          </w:p>
        </w:tc>
        <w:tc>
          <w:tcPr>
            <w:tcW w:w="1600" w:type="dxa"/>
            <w:vAlign w:val="bottom"/>
            <w:tcBorders>
              <w:bottom w:val="single" w:sz="8" w:color="auto"/>
              <w:right w:val="single" w:sz="8" w:color="auto"/>
            </w:tcBorders>
            <w:vMerge w:val="continue"/>
          </w:tcPr>
          <w:p>
            <w:pPr>
              <w:spacing w:after="0"/>
              <w:rPr>
                <w:sz w:val="8"/>
                <w:szCs w:val="8"/>
                <w:color w:val="auto"/>
              </w:rPr>
            </w:pPr>
          </w:p>
        </w:tc>
        <w:tc>
          <w:tcPr>
            <w:tcW w:w="27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 Rate</w:t>
            </w:r>
          </w:p>
        </w:tc>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10%-20% (15%)</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369,280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Liquidation Value</w:t>
            </w:r>
          </w:p>
        </w:tc>
        <w:tc>
          <w:tcPr>
            <w:tcW w:w="16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w w:val="97"/>
              </w:rPr>
              <w:t>Qualitative Inputs</w:t>
            </w:r>
            <w:r>
              <w:rPr>
                <w:rFonts w:ascii="Arial" w:cs="Arial" w:eastAsia="Arial" w:hAnsi="Arial"/>
                <w:sz w:val="28"/>
                <w:szCs w:val="28"/>
                <w:color w:val="auto"/>
                <w:w w:val="97"/>
                <w:vertAlign w:val="superscript"/>
              </w:rPr>
              <w:t>(2)</w:t>
            </w: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8,950,000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Market Approach</w:t>
            </w: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Third Party Quote</w:t>
            </w:r>
          </w:p>
        </w:tc>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23,707,969</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Underlying NAV of</w:t>
            </w:r>
          </w:p>
        </w:tc>
        <w:tc>
          <w:tcPr>
            <w:tcW w:w="2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CLO</w:t>
            </w:r>
          </w:p>
        </w:tc>
        <w:tc>
          <w:tcPr>
            <w:tcW w:w="2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80"/>
              <w:spacing w:after="0"/>
              <w:rPr>
                <w:sz w:val="20"/>
                <w:szCs w:val="20"/>
                <w:color w:val="auto"/>
              </w:rPr>
            </w:pPr>
            <w:r>
              <w:rPr>
                <w:rFonts w:ascii="Arial" w:cs="Arial" w:eastAsia="Arial" w:hAnsi="Arial"/>
                <w:sz w:val="18"/>
                <w:szCs w:val="18"/>
                <w:b w:val="1"/>
                <w:bCs w:val="1"/>
                <w:color w:val="auto"/>
                <w:w w:val="94"/>
              </w:rPr>
              <w:t>Total Level III Investments</w:t>
            </w: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$ 187,190,939</w:t>
            </w:r>
          </w:p>
        </w:tc>
        <w:tc>
          <w:tcPr>
            <w:tcW w:w="2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6" w:lineRule="auto"/>
        <w:tabs>
          <w:tab w:leader="none" w:pos="9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As of December 31, 2018,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4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800" w:type="dxa"/>
            <w:vAlign w:val="bottom"/>
            <w:tcBorders>
              <w:top w:val="single" w:sz="8" w:color="auto"/>
              <w:right w:val="single" w:sz="8" w:color="auto"/>
            </w:tcBorders>
            <w:vMerge w:val="restart"/>
            <w:shd w:val="clear" w:color="auto" w:fill="DAEEF3"/>
          </w:tcPr>
          <w:p>
            <w:pPr>
              <w:jc w:val="right"/>
              <w:ind w:right="410"/>
              <w:spacing w:after="0"/>
              <w:rPr>
                <w:sz w:val="20"/>
                <w:szCs w:val="20"/>
                <w:color w:val="auto"/>
              </w:rPr>
            </w:pPr>
            <w:r>
              <w:rPr>
                <w:rFonts w:ascii="Arial" w:cs="Arial" w:eastAsia="Arial" w:hAnsi="Arial"/>
                <w:sz w:val="18"/>
                <w:szCs w:val="18"/>
                <w:b w:val="1"/>
                <w:bCs w:val="1"/>
                <w:color w:val="auto"/>
              </w:rPr>
              <w:t>Fair Value</w:t>
            </w:r>
          </w:p>
        </w:tc>
        <w:tc>
          <w:tcPr>
            <w:tcW w:w="2500" w:type="dxa"/>
            <w:vAlign w:val="bottom"/>
            <w:tcBorders>
              <w:top w:val="single" w:sz="8" w:color="auto"/>
              <w:right w:val="single" w:sz="8" w:color="auto"/>
            </w:tcBorders>
            <w:shd w:val="clear" w:color="auto" w:fill="DAEEF3"/>
          </w:tcPr>
          <w:p>
            <w:pPr>
              <w:ind w:left="500"/>
              <w:spacing w:after="0"/>
              <w:rPr>
                <w:sz w:val="20"/>
                <w:szCs w:val="20"/>
                <w:color w:val="auto"/>
              </w:rPr>
            </w:pPr>
            <w:r>
              <w:rPr>
                <w:rFonts w:ascii="Arial" w:cs="Arial" w:eastAsia="Arial" w:hAnsi="Arial"/>
                <w:sz w:val="18"/>
                <w:szCs w:val="18"/>
                <w:b w:val="1"/>
                <w:bCs w:val="1"/>
                <w:color w:val="auto"/>
              </w:rPr>
              <w:t>Primary Valuation</w:t>
            </w:r>
          </w:p>
        </w:tc>
        <w:tc>
          <w:tcPr>
            <w:tcW w:w="1600" w:type="dxa"/>
            <w:vAlign w:val="bottom"/>
            <w:tcBorders>
              <w:top w:val="single" w:sz="8" w:color="auto"/>
              <w:right w:val="single" w:sz="8" w:color="auto"/>
            </w:tcBorders>
            <w:shd w:val="clear" w:color="auto" w:fill="DAEEF3"/>
          </w:tcPr>
          <w:p>
            <w:pPr>
              <w:ind w:left="240"/>
              <w:spacing w:after="0"/>
              <w:rPr>
                <w:sz w:val="20"/>
                <w:szCs w:val="20"/>
                <w:color w:val="auto"/>
              </w:rPr>
            </w:pPr>
            <w:r>
              <w:rPr>
                <w:rFonts w:ascii="Arial" w:cs="Arial" w:eastAsia="Arial" w:hAnsi="Arial"/>
                <w:sz w:val="18"/>
                <w:szCs w:val="18"/>
                <w:b w:val="1"/>
                <w:bCs w:val="1"/>
                <w:color w:val="auto"/>
              </w:rPr>
              <w:t>Unobservable</w:t>
            </w:r>
          </w:p>
        </w:tc>
        <w:tc>
          <w:tcPr>
            <w:tcW w:w="2720" w:type="dxa"/>
            <w:vAlign w:val="bottom"/>
            <w:tcBorders>
              <w:top w:val="single" w:sz="8" w:color="auto"/>
              <w:right w:val="single" w:sz="8" w:color="auto"/>
            </w:tcBorders>
            <w:shd w:val="clear" w:color="auto" w:fill="DAEEF3"/>
          </w:tcPr>
          <w:p>
            <w:pPr>
              <w:ind w:left="74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64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1800" w:type="dxa"/>
            <w:vAlign w:val="bottom"/>
            <w:tcBorders>
              <w:right w:val="single" w:sz="8" w:color="auto"/>
            </w:tcBorders>
            <w:vMerge w:val="continue"/>
            <w:shd w:val="clear" w:color="auto" w:fill="DAEEF3"/>
          </w:tcPr>
          <w:p>
            <w:pPr>
              <w:spacing w:after="0"/>
              <w:rPr>
                <w:sz w:val="10"/>
                <w:szCs w:val="10"/>
                <w:color w:val="auto"/>
              </w:rPr>
            </w:pPr>
          </w:p>
        </w:tc>
        <w:tc>
          <w:tcPr>
            <w:tcW w:w="2500" w:type="dxa"/>
            <w:vAlign w:val="bottom"/>
            <w:tcBorders>
              <w:right w:val="single" w:sz="8" w:color="auto"/>
            </w:tcBorders>
            <w:vMerge w:val="restart"/>
            <w:shd w:val="clear" w:color="auto" w:fill="DAEEF3"/>
          </w:tcPr>
          <w:p>
            <w:pPr>
              <w:ind w:left="740"/>
              <w:spacing w:after="0"/>
              <w:rPr>
                <w:sz w:val="20"/>
                <w:szCs w:val="20"/>
                <w:color w:val="auto"/>
              </w:rPr>
            </w:pPr>
            <w:r>
              <w:rPr>
                <w:rFonts w:ascii="Arial" w:cs="Arial" w:eastAsia="Arial" w:hAnsi="Arial"/>
                <w:sz w:val="18"/>
                <w:szCs w:val="18"/>
                <w:b w:val="1"/>
                <w:bCs w:val="1"/>
                <w:color w:val="auto"/>
              </w:rPr>
              <w:t>Methodology</w:t>
            </w:r>
          </w:p>
        </w:tc>
        <w:tc>
          <w:tcPr>
            <w:tcW w:w="1600" w:type="dxa"/>
            <w:vAlign w:val="bottom"/>
            <w:tcBorders>
              <w:right w:val="single" w:sz="8" w:color="auto"/>
            </w:tcBorders>
            <w:vMerge w:val="restart"/>
            <w:shd w:val="clear" w:color="auto" w:fill="DAEEF3"/>
          </w:tcPr>
          <w:p>
            <w:pPr>
              <w:ind w:left="540"/>
              <w:spacing w:after="0"/>
              <w:rPr>
                <w:sz w:val="20"/>
                <w:szCs w:val="20"/>
                <w:color w:val="auto"/>
              </w:rPr>
            </w:pPr>
            <w:r>
              <w:rPr>
                <w:rFonts w:ascii="Arial" w:cs="Arial" w:eastAsia="Arial" w:hAnsi="Arial"/>
                <w:sz w:val="18"/>
                <w:szCs w:val="18"/>
                <w:b w:val="1"/>
                <w:bCs w:val="1"/>
                <w:color w:val="auto"/>
              </w:rPr>
              <w:t>Inputs</w:t>
            </w:r>
          </w:p>
        </w:tc>
        <w:tc>
          <w:tcPr>
            <w:tcW w:w="2720" w:type="dxa"/>
            <w:vAlign w:val="bottom"/>
            <w:tcBorders>
              <w:right w:val="single" w:sz="8" w:color="auto"/>
            </w:tcBorders>
            <w:vMerge w:val="restart"/>
            <w:shd w:val="clear" w:color="auto" w:fill="DAEEF3"/>
          </w:tcPr>
          <w:p>
            <w:pPr>
              <w:ind w:left="5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1800" w:type="dxa"/>
            <w:vAlign w:val="bottom"/>
            <w:tcBorders>
              <w:bottom w:val="single" w:sz="8" w:color="auto"/>
              <w:right w:val="single" w:sz="8" w:color="auto"/>
            </w:tcBorders>
            <w:shd w:val="clear" w:color="auto" w:fill="DAEEF3"/>
          </w:tcPr>
          <w:p>
            <w:pPr>
              <w:spacing w:after="0"/>
              <w:rPr>
                <w:sz w:val="9"/>
                <w:szCs w:val="9"/>
                <w:color w:val="auto"/>
              </w:rPr>
            </w:pPr>
          </w:p>
        </w:tc>
        <w:tc>
          <w:tcPr>
            <w:tcW w:w="25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16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72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  8,661,114</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160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8"/>
                <w:szCs w:val="18"/>
                <w:color w:val="auto"/>
              </w:rPr>
              <w:t>Average EBITDA</w:t>
            </w:r>
          </w:p>
        </w:tc>
        <w:tc>
          <w:tcPr>
            <w:tcW w:w="2720" w:type="dxa"/>
            <w:vAlign w:val="bottom"/>
            <w:tcBorders>
              <w:bottom w:val="single" w:sz="8" w:color="808080"/>
              <w:right w:val="single" w:sz="8" w:color="auto"/>
            </w:tcBorders>
          </w:tcPr>
          <w:p>
            <w:pPr>
              <w:ind w:left="40"/>
              <w:spacing w:after="0"/>
              <w:rPr>
                <w:sz w:val="20"/>
                <w:szCs w:val="20"/>
                <w:color w:val="auto"/>
              </w:rPr>
            </w:pPr>
            <w:r>
              <w:rPr>
                <w:rFonts w:ascii="Arial" w:cs="Arial" w:eastAsia="Arial" w:hAnsi="Arial"/>
                <w:sz w:val="18"/>
                <w:szCs w:val="18"/>
                <w:color w:val="auto"/>
              </w:rPr>
              <w:t>5.0x – 8.0x (5.2x)</w:t>
            </w:r>
          </w:p>
        </w:tc>
        <w:tc>
          <w:tcPr>
            <w:tcW w:w="0" w:type="dxa"/>
            <w:vAlign w:val="bottom"/>
          </w:tcPr>
          <w:p>
            <w:pPr>
              <w:spacing w:after="0"/>
              <w:rPr>
                <w:sz w:val="1"/>
                <w:szCs w:val="1"/>
                <w:color w:val="auto"/>
              </w:rPr>
            </w:pPr>
          </w:p>
        </w:tc>
      </w:tr>
      <w:tr>
        <w:trPr>
          <w:trHeight w:val="88"/>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1800" w:type="dxa"/>
            <w:vAlign w:val="bottom"/>
            <w:tcBorders>
              <w:right w:val="single" w:sz="8" w:color="auto"/>
            </w:tcBorders>
            <w:vMerge w:val="continue"/>
          </w:tcPr>
          <w:p>
            <w:pPr>
              <w:spacing w:after="0"/>
              <w:rPr>
                <w:sz w:val="7"/>
                <w:szCs w:val="7"/>
                <w:color w:val="auto"/>
              </w:rPr>
            </w:pPr>
          </w:p>
        </w:tc>
        <w:tc>
          <w:tcPr>
            <w:tcW w:w="250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Multiple / WACC</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2500" w:type="dxa"/>
            <w:vAlign w:val="bottom"/>
            <w:tcBorders>
              <w:bottom w:val="single" w:sz="8" w:color="auto"/>
              <w:right w:val="single" w:sz="8" w:color="auto"/>
            </w:tcBorders>
          </w:tcPr>
          <w:p>
            <w:pPr>
              <w:spacing w:after="0"/>
              <w:rPr>
                <w:sz w:val="10"/>
                <w:szCs w:val="10"/>
                <w:color w:val="auto"/>
              </w:rPr>
            </w:pPr>
          </w:p>
        </w:tc>
        <w:tc>
          <w:tcPr>
            <w:tcW w:w="1600" w:type="dxa"/>
            <w:vAlign w:val="bottom"/>
            <w:tcBorders>
              <w:bottom w:val="single" w:sz="8" w:color="808080"/>
              <w:right w:val="single" w:sz="8" w:color="auto"/>
            </w:tcBorders>
            <w:vMerge w:val="continue"/>
          </w:tcPr>
          <w:p>
            <w:pPr>
              <w:spacing w:after="0"/>
              <w:rPr>
                <w:sz w:val="10"/>
                <w:szCs w:val="10"/>
                <w:color w:val="auto"/>
              </w:rPr>
            </w:pPr>
          </w:p>
        </w:tc>
        <w:tc>
          <w:tcPr>
            <w:tcW w:w="2720" w:type="dxa"/>
            <w:vAlign w:val="bottom"/>
            <w:tcBorders>
              <w:bottom w:val="single" w:sz="8" w:color="808080"/>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640" w:type="dxa"/>
            <w:vAlign w:val="bottom"/>
            <w:tcBorders>
              <w:left w:val="single" w:sz="8" w:color="auto"/>
              <w:right w:val="single" w:sz="8" w:color="auto"/>
            </w:tcBorders>
            <w:vMerge w:val="continue"/>
          </w:tcPr>
          <w:p>
            <w:pPr>
              <w:spacing w:after="0"/>
              <w:rPr>
                <w:sz w:val="7"/>
                <w:szCs w:val="7"/>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98,080,557</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Income Approach</w:t>
            </w:r>
          </w:p>
        </w:tc>
        <w:tc>
          <w:tcPr>
            <w:tcW w:w="1600" w:type="dxa"/>
            <w:vAlign w:val="bottom"/>
            <w:tcBorders>
              <w:right w:val="single" w:sz="8" w:color="auto"/>
            </w:tcBorders>
            <w:vMerge w:val="restart"/>
          </w:tcPr>
          <w:p>
            <w:pPr>
              <w:ind w:left="60"/>
              <w:spacing w:after="0" w:line="195" w:lineRule="exact"/>
              <w:rPr>
                <w:sz w:val="20"/>
                <w:szCs w:val="20"/>
                <w:color w:val="auto"/>
              </w:rPr>
            </w:pPr>
            <w:r>
              <w:rPr>
                <w:rFonts w:ascii="Arial" w:cs="Arial" w:eastAsia="Arial" w:hAnsi="Arial"/>
                <w:sz w:val="18"/>
                <w:szCs w:val="18"/>
                <w:color w:val="auto"/>
              </w:rPr>
              <w:t>Implied Discount</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6.3% - 26.8% (11.8%)</w:t>
            </w:r>
          </w:p>
        </w:tc>
        <w:tc>
          <w:tcPr>
            <w:tcW w:w="0" w:type="dxa"/>
            <w:vAlign w:val="bottom"/>
          </w:tcPr>
          <w:p>
            <w:pPr>
              <w:spacing w:after="0"/>
              <w:rPr>
                <w:sz w:val="1"/>
                <w:szCs w:val="1"/>
                <w:color w:val="auto"/>
              </w:rPr>
            </w:pPr>
          </w:p>
        </w:tc>
      </w:tr>
      <w:tr>
        <w:trPr>
          <w:trHeight w:val="107"/>
        </w:trPr>
        <w:tc>
          <w:tcPr>
            <w:tcW w:w="264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1600" w:type="dxa"/>
            <w:vAlign w:val="bottom"/>
            <w:tcBorders>
              <w:right w:val="single" w:sz="8" w:color="auto"/>
            </w:tcBorders>
            <w:vMerge w:val="continue"/>
          </w:tcPr>
          <w:p>
            <w:pPr>
              <w:spacing w:after="0"/>
              <w:rPr>
                <w:sz w:val="9"/>
                <w:szCs w:val="9"/>
                <w:color w:val="auto"/>
              </w:rPr>
            </w:pPr>
          </w:p>
        </w:tc>
        <w:tc>
          <w:tcPr>
            <w:tcW w:w="27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Rate</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1,979,020</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Average EBITDA</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4.5x – 11.0x (9.5x)</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Multiple</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59,000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16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w w:val="97"/>
              </w:rPr>
              <w:t>Qualitative Inputs</w:t>
            </w:r>
            <w:r>
              <w:rPr>
                <w:rFonts w:ascii="Arial" w:cs="Arial" w:eastAsia="Arial" w:hAnsi="Arial"/>
                <w:sz w:val="28"/>
                <w:szCs w:val="28"/>
                <w:color w:val="auto"/>
                <w:w w:val="97"/>
                <w:vertAlign w:val="superscript"/>
              </w:rPr>
              <w:t>(1)</w:t>
            </w: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13.5%-14.0% (13.9%)</w:t>
            </w: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25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Probability of</w:t>
            </w:r>
          </w:p>
        </w:tc>
        <w:tc>
          <w:tcPr>
            <w:tcW w:w="2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0.75%-2% (1.4%)</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35,455,720</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Default</w:t>
            </w:r>
          </w:p>
        </w:tc>
        <w:tc>
          <w:tcPr>
            <w:tcW w:w="2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right w:val="single" w:sz="8" w:color="auto"/>
            </w:tcBorders>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continue"/>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800" w:type="dxa"/>
            <w:vAlign w:val="bottom"/>
            <w:tcBorders>
              <w:right w:val="single" w:sz="8" w:color="auto"/>
            </w:tcBorders>
            <w:vMerge w:val="continue"/>
          </w:tcPr>
          <w:p>
            <w:pPr>
              <w:spacing w:after="0"/>
              <w:rPr>
                <w:sz w:val="8"/>
                <w:szCs w:val="8"/>
                <w:color w:val="auto"/>
              </w:rPr>
            </w:pPr>
          </w:p>
        </w:tc>
        <w:tc>
          <w:tcPr>
            <w:tcW w:w="2500" w:type="dxa"/>
            <w:vAlign w:val="bottom"/>
            <w:tcBorders>
              <w:right w:val="single" w:sz="8" w:color="auto"/>
            </w:tcBorders>
            <w:vMerge w:val="continue"/>
          </w:tcPr>
          <w:p>
            <w:pPr>
              <w:spacing w:after="0"/>
              <w:rPr>
                <w:sz w:val="8"/>
                <w:szCs w:val="8"/>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Loss Severity</w:t>
            </w:r>
          </w:p>
        </w:tc>
        <w:tc>
          <w:tcPr>
            <w:tcW w:w="27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20%-36 % (28.3%)</w:t>
            </w:r>
          </w:p>
        </w:tc>
        <w:tc>
          <w:tcPr>
            <w:tcW w:w="0" w:type="dxa"/>
            <w:vAlign w:val="bottom"/>
          </w:tcPr>
          <w:p>
            <w:pPr>
              <w:spacing w:after="0"/>
              <w:rPr>
                <w:sz w:val="1"/>
                <w:szCs w:val="1"/>
                <w:color w:val="auto"/>
              </w:rPr>
            </w:pPr>
          </w:p>
        </w:tc>
      </w:tr>
      <w:tr>
        <w:trPr>
          <w:trHeight w:val="113"/>
        </w:trPr>
        <w:tc>
          <w:tcPr>
            <w:tcW w:w="264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500" w:type="dxa"/>
            <w:vAlign w:val="bottom"/>
            <w:tcBorders>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Recovery Rate</w:t>
            </w:r>
          </w:p>
        </w:tc>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63.5%-80% (71.7%)</w:t>
            </w: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 Rate</w:t>
            </w:r>
          </w:p>
        </w:tc>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10%-20% (15%)</w:t>
            </w:r>
          </w:p>
        </w:tc>
        <w:tc>
          <w:tcPr>
            <w:tcW w:w="0" w:type="dxa"/>
            <w:vAlign w:val="bottom"/>
          </w:tcPr>
          <w:p>
            <w:pPr>
              <w:spacing w:after="0"/>
              <w:rPr>
                <w:sz w:val="1"/>
                <w:szCs w:val="1"/>
                <w:color w:val="auto"/>
              </w:rPr>
            </w:pPr>
          </w:p>
        </w:tc>
      </w:tr>
      <w:tr>
        <w:trPr>
          <w:trHeight w:val="250"/>
        </w:trPr>
        <w:tc>
          <w:tcPr>
            <w:tcW w:w="2640" w:type="dxa"/>
            <w:vAlign w:val="bottom"/>
            <w:tcBorders>
              <w:left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369,280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Liquidation Value</w:t>
            </w:r>
          </w:p>
        </w:tc>
        <w:tc>
          <w:tcPr>
            <w:tcW w:w="16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w w:val="97"/>
              </w:rPr>
              <w:t>Qualitative Inputs</w:t>
            </w:r>
            <w:r>
              <w:rPr>
                <w:rFonts w:ascii="Arial" w:cs="Arial" w:eastAsia="Arial" w:hAnsi="Arial"/>
                <w:sz w:val="28"/>
                <w:szCs w:val="28"/>
                <w:color w:val="auto"/>
                <w:w w:val="97"/>
                <w:vertAlign w:val="superscript"/>
              </w:rPr>
              <w:t>(2)</w:t>
            </w:r>
          </w:p>
        </w:tc>
        <w:tc>
          <w:tcPr>
            <w:tcW w:w="2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8,500,000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Market Approach</w:t>
            </w: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Third Party Quote</w:t>
            </w:r>
          </w:p>
        </w:tc>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0"/>
        </w:trPr>
        <w:tc>
          <w:tcPr>
            <w:tcW w:w="2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3,470,000</w:t>
            </w:r>
          </w:p>
        </w:tc>
        <w:tc>
          <w:tcPr>
            <w:tcW w:w="25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Discounted Cash Flow</w:t>
            </w:r>
          </w:p>
        </w:tc>
        <w:tc>
          <w:tcPr>
            <w:tcW w:w="1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7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4.0% - 10.0% (7.77%)</w:t>
            </w:r>
          </w:p>
        </w:tc>
        <w:tc>
          <w:tcPr>
            <w:tcW w:w="0" w:type="dxa"/>
            <w:vAlign w:val="bottom"/>
          </w:tcPr>
          <w:p>
            <w:pPr>
              <w:spacing w:after="0"/>
              <w:rPr>
                <w:sz w:val="1"/>
                <w:szCs w:val="1"/>
                <w:color w:val="auto"/>
              </w:rPr>
            </w:pPr>
          </w:p>
        </w:tc>
      </w:tr>
      <w:tr>
        <w:trPr>
          <w:trHeight w:val="195"/>
        </w:trPr>
        <w:tc>
          <w:tcPr>
            <w:tcW w:w="2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Joint Venture</w:t>
            </w:r>
          </w:p>
        </w:tc>
        <w:tc>
          <w:tcPr>
            <w:tcW w:w="1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18,390,440</w:t>
            </w:r>
          </w:p>
        </w:tc>
        <w:tc>
          <w:tcPr>
            <w:tcW w:w="25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160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Underlying NAV of</w:t>
            </w:r>
          </w:p>
        </w:tc>
        <w:tc>
          <w:tcPr>
            <w:tcW w:w="2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500" w:type="dxa"/>
            <w:vAlign w:val="bottom"/>
            <w:tcBorders>
              <w:right w:val="single" w:sz="8" w:color="auto"/>
            </w:tcBorders>
            <w:vMerge w:val="continue"/>
          </w:tcPr>
          <w:p>
            <w:pPr>
              <w:spacing w:after="0"/>
              <w:rPr>
                <w:sz w:val="10"/>
                <w:szCs w:val="10"/>
                <w:color w:val="auto"/>
              </w:rPr>
            </w:pPr>
          </w:p>
        </w:tc>
        <w:tc>
          <w:tcPr>
            <w:tcW w:w="1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the CLO</w:t>
            </w:r>
          </w:p>
        </w:tc>
        <w:tc>
          <w:tcPr>
            <w:tcW w:w="2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4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vMerge w:val="continue"/>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80"/>
              <w:spacing w:after="0"/>
              <w:rPr>
                <w:sz w:val="20"/>
                <w:szCs w:val="20"/>
                <w:color w:val="auto"/>
              </w:rPr>
            </w:pPr>
            <w:r>
              <w:rPr>
                <w:rFonts w:ascii="Arial" w:cs="Arial" w:eastAsia="Arial" w:hAnsi="Arial"/>
                <w:sz w:val="18"/>
                <w:szCs w:val="18"/>
                <w:b w:val="1"/>
                <w:bCs w:val="1"/>
                <w:color w:val="auto"/>
                <w:w w:val="94"/>
              </w:rPr>
              <w:t>Total Level III Investments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174,965,131</w:t>
            </w:r>
          </w:p>
        </w:tc>
        <w:tc>
          <w:tcPr>
            <w:tcW w:w="25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6" w:lineRule="auto"/>
        <w:tabs>
          <w:tab w:leader="none" w:pos="9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Portman Ridge’s analysis ascribes no residual value to a portfolio company’s equity, Portman Ridge typically elects to mark its position at a nominal amount to account for the investment’s option value.</w:t>
      </w:r>
    </w:p>
    <w:p>
      <w:pPr>
        <w:spacing w:after="0"/>
        <w:rPr>
          <w:rFonts w:ascii="Arial" w:cs="Arial" w:eastAsia="Arial" w:hAnsi="Arial"/>
          <w:sz w:val="18"/>
          <w:szCs w:val="18"/>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113"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 respectively.</w:t>
      </w:r>
    </w:p>
    <w:p>
      <w:pPr>
        <w:spacing w:after="0" w:line="14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respectively.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right="80" w:firstLine="324"/>
        <w:spacing w:after="0" w:line="255"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 respectively.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investment in the Joint Venture is carried at fair value based upon the fair value of the investments held by the Joint Venture.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On December 31, 2018, the Company’s wholly-owned subsidiary Commodore Holdings, LLC (“Commodore”) sold its wholly-owned asset management subsidiaries Katonah Debt Advisors, Trimaran Advisors and Trimaran Advisors Management, representing substantially all of the Company’s investment in the Asset Manager Affiliates. Commodore received cash proceeds of $37.9 million from the sale and distributed $33.8 million in cash to the Company. All of this cash distribution was recorded as a return of capital. No realized gain or loss was recognized due to this transaction.</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Asset Manager Affiliates manage CLO Funds primarily for third party investors that invest primarily in broadly syndicated loans, high yield bonds and other credit instruments issued by corporations. At March 31, 2019 and December 31, 2018, the Asset Manager Affiliates had approximately $300 million and $300 million of par value of assets under management, respectively, and the Company’s 100% equity interest in the Asset Manager Affiliates had a fair value of approximately $0 and $3.5 million, respectively.</w:t>
      </w:r>
    </w:p>
    <w:p>
      <w:pPr>
        <w:spacing w:after="0" w:line="187"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Certain investments, and the future management fees of certain managed CLO Funds, had been pledged by the Asset Manager Affiliates to third-party lenders under borrowing arrangements undertaken to satisfy the risk retention requirements of the Dodd-Frank Act applicable to asset managers. In addition, certain of the Asset Manager Affiliates had provided a make-whole guaranty to these lenders in the event that the pledged assets and management fees were insufficient to satisfy the repayment of these borrowings. These borrowing arrangements were all satisfied prior to the sale of the Asset Manager Affiliates.</w:t>
      </w:r>
    </w:p>
    <w:p>
      <w:pPr>
        <w:spacing w:after="0" w:line="15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No distributions were declared during the three months ended March 31, 2019. For the three months ended March 31, 2018, the Asset Manager Affiliates declared cash distributions of $820,000 to the Company. Any distributions from the Asset Manager Affiliates out of their estimated tax-basis earnings and profits are recorded as “Dividends from Asset Manager Affiliates” on the Company’s statement of operations. The Company recognized $320,000 of Dividends from Asset Manager Affiliates, as reflected in the Company’s statement of operations in the first quarter of 2018, respectively. The difference between cash distributions received and the tax-basis earnings and profits of the distributing affiliate are recorded as an adjustment to the cost basis in the Asset Manager Affiliate (i.e., tax-basis return of capital). For the quarter ended March 31, 2018 the difference of $500,000, between cash distributions received and the tax-basis earnings and profits of the distributing affiliate, were recorded as an adjustment to the cost basis in the Asset Manager Affiliate (i.e. tax-basis return of capital). Distributions receivable, if any, are reflected in the “due from affiliates” account on the consolidated balance sheets.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sectPr>
      </w:pPr>
    </w:p>
    <w:bookmarkStart w:id="54" w:name="page55"/>
    <w:bookmarkEnd w:id="54"/>
    <w:p>
      <w:pPr>
        <w:ind w:right="8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is required to be included in the Company’s SEC filings. The additional information regarding the Asset Manager Affiliates is set forth below. This additional financial information regarding the Asset Manager Affiliates does not directly impact the financial position, results of operations, or cash flows of the Company.</w:t>
      </w:r>
    </w:p>
    <w:p>
      <w:pPr>
        <w:spacing w:after="0" w:line="18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Summarized Balance Sheet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March 31, 2019</w:t>
            </w:r>
          </w:p>
        </w:tc>
        <w:tc>
          <w:tcPr>
            <w:tcW w:w="80" w:type="dxa"/>
            <w:vAlign w:val="bottom"/>
          </w:tcPr>
          <w:p>
            <w:pPr>
              <w:spacing w:after="0"/>
              <w:rPr>
                <w:sz w:val="19"/>
                <w:szCs w:val="19"/>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1,335,004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12,680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129,880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1,464,884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443,536</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443,536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995,270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vMerge w:val="restart"/>
          </w:tcPr>
          <w:p>
            <w:pPr>
              <w:jc w:val="center"/>
              <w:ind w:left="3250"/>
              <w:spacing w:after="0"/>
              <w:rPr>
                <w:sz w:val="20"/>
                <w:szCs w:val="20"/>
                <w:color w:val="auto"/>
              </w:rPr>
            </w:pPr>
            <w:r>
              <w:rPr>
                <w:rFonts w:ascii="Arial" w:cs="Arial" w:eastAsia="Arial" w:hAnsi="Arial"/>
                <w:sz w:val="18"/>
                <w:szCs w:val="18"/>
                <w:b w:val="1"/>
                <w:bCs w:val="1"/>
                <w:color w:val="auto"/>
                <w:w w:val="90"/>
              </w:rPr>
              <w:t>Asset Manager Affiliates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jc w:val="center"/>
              <w:ind w:left="3270"/>
              <w:spacing w:after="0"/>
              <w:rPr>
                <w:sz w:val="20"/>
                <w:szCs w:val="20"/>
                <w:color w:val="auto"/>
              </w:rPr>
            </w:pPr>
            <w:r>
              <w:rPr>
                <w:rFonts w:ascii="Arial" w:cs="Arial" w:eastAsia="Arial" w:hAnsi="Arial"/>
                <w:sz w:val="18"/>
                <w:szCs w:val="18"/>
                <w:color w:val="auto"/>
                <w:w w:val="90"/>
              </w:rPr>
              <w:t>Summarized Statements of Operations Information (unaudited)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For the 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870"/>
              <w:spacing w:after="0"/>
              <w:rPr>
                <w:sz w:val="20"/>
                <w:szCs w:val="20"/>
                <w:color w:val="auto"/>
              </w:rPr>
            </w:pPr>
            <w:r>
              <w:rPr>
                <w:rFonts w:ascii="Arial" w:cs="Arial" w:eastAsia="Arial" w:hAnsi="Arial"/>
                <w:sz w:val="18"/>
                <w:szCs w:val="18"/>
                <w:b w:val="1"/>
                <w:bCs w:val="1"/>
                <w:color w:val="auto"/>
                <w:w w:val="96"/>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686,586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38,877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2,526,085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1,177,518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3,703,603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unrealized gains on investments and income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Unrealized gains on investments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820,270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(126,954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GAAP purposes, such exchange was considered an asset purchase under Section 351(a) of the Code. At the time of the transfer, Katonah Debt Advisors had equity of approximately $1 million resulting in tax goodwill of approximately $32 million which was being amortized for tax purposes on a straight-line basis over 15 years.</w:t>
      </w:r>
    </w:p>
    <w:p>
      <w:pPr>
        <w:spacing w:after="0" w:line="18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the Company’s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both of which were being amortized for tax purposes on a straight-line basis over 15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which expired on November 20, 2017 and bore interest at an annual rate of 9.0%. On April 15, 2013, the Trimaran Credit Facility was amended and upsized from $20 million to $23 million. Outstanding borrowings on the Trimaran Credit Facility were callable by the Company at any time. The Trimaran Credit Facility was fully repaid and terminated in the fourth quarter of 2018. At March 31, 2019 and December 31, 2018, there were no loans outstanding under the Trimaran Credit Facility. For the three months ended March 31, 2018 the Company recognized interest income of approximately $115,000, related to the Trimaran Credit Facility.</w:t>
      </w:r>
    </w:p>
    <w:p>
      <w:pPr>
        <w:spacing w:after="0" w:line="19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October 30, 2017, the Company entered into a new term loan agreement with Trimaran Advisors, one of the Asset Manager Affiliates. Trimaran Advisors borrowed $8.4 million under this agreement, which bore interest at a rate of 10.5% annually, payable quarterly. The loan matures on April 30, 2030, can be repaid at any time, and must be repaid upon the occurrence of certain events. During the third quarter 2018 $2.1 million of the principal on this loan was repaid by Trimaran Advisors. During the fourth quarter of 2018, Trimaran Advisors repaid this loan in full. Repayment was comprised of $3.0 million of cash and $2.5 million notional amount of subordinated notes of Catamaran 2013-1 with a fair value of $1.4 million and $3.4 million of notional amount of subordinated notes of Catamaran 2014-1 with a fair value of $1.9 million.</w:t>
      </w:r>
    </w:p>
    <w:p>
      <w:pPr>
        <w:spacing w:after="0" w:line="19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II, LLC purchased $34.8 million notional amount of notes issued by Catamaran CLO 2014-1, Ltd. for aggregate consideration of $35.5 million. On December 21, 2017, the Company entered into another new term loan agreement with Trimaran Advisors, under which Trimaran Advisors borrowed $4.4 million, which also bore interest at a rate of 10.5% annually, payable quarterly. During the second quarter of 2018, this loan was repaid in full by Trimaran Advisors.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21, 2017, Trimaran Advisors contributed $4.4 million of equity capital to Trimaran Risk Retention Holdings, LLC. In turn, Trimaran Risk Retention Holdings contributed $4.4 million of equity capital to Trimaran RR II. With this equity contribution and other borrowed funds, Trimaran RR I, LLC purchased $27.4 million notional amount of notes issued by Catamaran CLO 2015-1, Ltd. for aggregate consideration of $27.4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6" w:name="page57"/>
    <w:bookmarkEnd w:id="56"/>
    <w:p>
      <w:pPr>
        <w:ind w:firstLine="324"/>
        <w:spacing w:after="0" w:line="259" w:lineRule="auto"/>
        <w:rPr>
          <w:sz w:val="20"/>
          <w:szCs w:val="20"/>
          <w:color w:val="auto"/>
        </w:rPr>
      </w:pPr>
      <w:r>
        <w:rPr>
          <w:rFonts w:ascii="Arial" w:cs="Arial" w:eastAsia="Arial" w:hAnsi="Arial"/>
          <w:sz w:val="18"/>
          <w:szCs w:val="18"/>
          <w:color w:val="auto"/>
        </w:rPr>
        <w:t>On June 4, 2018, Trimaran RR I, LLC sold $31.4 million and $24.9 million, of notional amount of notes issued by Catamaran CLO 2014-1, Ltd and Catamaran 2013-1, Ltd, respectively. In December 2018, Trimaran RR I, LLC. distributed to Trimaran $2.5 million notional amount of subordinated notes issued by Catamaran 2013-1 with a fair value of $1.4 million, and a notional amount of $3.4 million of subordinated notes issued by Catamaran 2014-1 with a fair value of $1.9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April 1, 2019, the Company entered into the Administration Agreement with the Administrator. Under the terms of the Administration Agreement, the Administrator will perform the administrative services necessary for the operation of the Company, which includes office facilities, equipment, bookkeeping and recordkeeping services and such other services as the Administrator, subject to review by the Board, shall from time to time determine to be necessary or useful to perform its obligations under this Administration Agreement. See “Organization - Administration Agreement” in Note 1, above, for additional information about the Administration Agreement.</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Administrator (or its affiliates) for an allocable portion of the compensation paid by the Administrator (or its affiliates) to the Company’s Chief Compliance Officer and Chief Financial Officer and their respective staffs (based on a percentage of time such individuals devote, on an estimated basis, to the business affairs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Administration Agreement was not in effect during the quarter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On April 1, 2019, the Company entered into the Advisory Agreement with the Adviser. Under the terms of the Advisory Agreement, the Adviser is responsible for managing the Company’s business and activities, including sourcing investment opportunities, conducting research, performing due diligence on potential investments, structuring its investments, monitoring its portfolio companies and provide managerial assistance to portfolio companies. See “Organization - Advisory Agreement” in Note 1, above, for additional information about the Advisory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Advisory Agreement was not in effect during the quarter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Co-investment Exemptive Relief</w:t>
      </w:r>
    </w:p>
    <w:p>
      <w:pPr>
        <w:spacing w:after="0" w:line="225"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w:t>
      </w:r>
    </w:p>
    <w:p>
      <w:pPr>
        <w:spacing w:after="0" w:line="16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Advisers or its affiliates, including BCP Special Opportunities Fund I LP, BC Partners Lending Corporation and any future funds that are advised by the Adviser or its affiliated investment advisers. Under the terms of the exemptive order, in order for the Company to participate in a co-investment transaction a “required majority” (as defined in Section 57(o)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6.125% Notes Due 2022 (net of offering costs of: 2019-$2,071,220; 2018 - $2,207,342)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75,335,980</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75,199,858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spacing w:after="0" w:line="201" w:lineRule="exact"/>
              <w:rPr>
                <w:sz w:val="20"/>
                <w:szCs w:val="20"/>
                <w:color w:val="auto"/>
              </w:rPr>
            </w:pPr>
            <w:r>
              <w:rPr>
                <w:rFonts w:ascii="Arial" w:cs="Arial" w:eastAsia="Arial" w:hAnsi="Arial"/>
                <w:sz w:val="18"/>
                <w:szCs w:val="18"/>
                <w:color w:val="auto"/>
                <w:w w:val="95"/>
              </w:rPr>
              <w:t>Great Lakes KCAP Funding I, LLC Revolving Credit Facility (net of offering costs of: 2019 - $1,327,960;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900" w:type="dxa"/>
            <w:vAlign w:val="bottom"/>
            <w:gridSpan w:val="2"/>
          </w:tcPr>
          <w:p>
            <w:pPr>
              <w:spacing w:after="0"/>
              <w:rPr>
                <w:sz w:val="20"/>
                <w:szCs w:val="20"/>
                <w:color w:val="auto"/>
              </w:rPr>
            </w:pPr>
            <w:r>
              <w:rPr>
                <w:rFonts w:ascii="Arial" w:cs="Arial" w:eastAsia="Arial" w:hAnsi="Arial"/>
                <w:sz w:val="18"/>
                <w:szCs w:val="18"/>
                <w:color w:val="auto"/>
              </w:rPr>
              <w:t>2018 - $1,555,754)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42,543,122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25,200,331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117,879,102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100,400,189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March 31, 2019 were 6.0% and 3.3 years, respectively, and as of December 31, 2018 were 6.0% and 3.6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6.125% Notes Due 2022</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March 31, 2019, the Company was in compliance with all of its debt covenants.</w:t>
      </w:r>
    </w:p>
    <w:p>
      <w:pPr>
        <w:spacing w:after="0" w:line="16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For the three months ended March 31, 2019 and 2018, interest expense related to the 6.125% Notes Due 2022 was approximately $1.2 million and $1.2 million, respectively.</w:t>
      </w:r>
    </w:p>
    <w:p>
      <w:pPr>
        <w:spacing w:after="0" w:line="170"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In connection with the issuance of the 6.125% Notes Due 2022, the Company incurred approximately $2.9 million of debt offering costs which are being amortized over the expected term of the facility on an effective yield method, of which approximately $2.1 million and $2.2 million remains to be amortized as of March 31, 2019 and December 31, 2018, respectively, and is included on the consolidated balance sheets as a reduction in the related debt liability.</w:t>
      </w:r>
    </w:p>
    <w:p>
      <w:pPr>
        <w:spacing w:after="0" w:line="147"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i w:val="1"/>
          <w:iCs w:val="1"/>
          <w:color w:val="auto"/>
        </w:rPr>
        <w:t xml:space="preserve">Fair Value of 6.125% Notes Due 2022. </w:t>
      </w:r>
      <w:r>
        <w:rPr>
          <w:rFonts w:ascii="Arial" w:cs="Arial" w:eastAsia="Arial" w:hAnsi="Arial"/>
          <w:sz w:val="16"/>
          <w:szCs w:val="16"/>
          <w:color w:val="auto"/>
        </w:rPr>
        <w:t>The 6.125% Notes Due 2022 were issued via public offering during the third quarter of 2017 and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cost, net of offering costs of $2.1 million and $2.2 million at March 31, 2019 and December 31, 2018. The fair value of the Company’s outstanding 6.125% Notes Due 2022 was approximately $78.6 million and $76.6 million at March 31, 2019 and December 31, 2018. The fair value was determined based on the closing price on March 31, 2019 for the 6.125% Notes Due 2022. The 6.125% Notes Due 2022 are categorized as Level I under the ASC 820 Fair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Great Lakes KCAP Funding I, LLC</w:t>
      </w:r>
    </w:p>
    <w:p>
      <w:pPr>
        <w:spacing w:after="0" w:line="225"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March 1, 2018, Great Lakes KCAP Funding I, LLC (“Funding”), a wholly-owned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ind w:right="20" w:firstLine="324"/>
        <w:spacing w:after="0" w:line="302" w:lineRule="auto"/>
        <w:rPr>
          <w:sz w:val="20"/>
          <w:szCs w:val="20"/>
          <w:color w:val="auto"/>
        </w:rPr>
      </w:pPr>
      <w:r>
        <w:rPr>
          <w:rFonts w:ascii="Arial" w:cs="Arial" w:eastAsia="Arial" w:hAnsi="Arial"/>
          <w:sz w:val="16"/>
          <w:szCs w:val="16"/>
          <w:color w:val="auto"/>
        </w:rPr>
        <w:t>On March 31, 2019, the maximum commitment amount of the Revolving Credit Facility was increased to $57.5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154"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maturity date is the earlier of: (a) March 1, 2022 and (b) the date upon which all loans shall become due and payable in full, whether by acceleration or otherwise, as a result of a default by the Company, as defined in the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 under the Revolving Credit Facility are repayable by the Company at any time.</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March 31, 2019 and December 31, 2018, Funding was in compliance with all of its debt covenants.</w:t>
      </w:r>
    </w:p>
    <w:p>
      <w:pPr>
        <w:spacing w:after="0" w:line="18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As of March 31, 2019 and December 31, 2018, $43.9 million and $26.4 million principal amount of borrowings was outstanding under the Revolving Credit Facility.</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Interest on borrowings under the Revolving Credit Facility is paid monthly. Borrowings under the Revolving Credit Facility are subject to redemption in whole or in part at any time or from time to time, at the option of the Funding.</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three months ended March 31, 2019 and 2018, interest and fees expense related to the Revolving Credit Facility was approximately $0.4 million and $0.1 million.</w:t>
      </w:r>
    </w:p>
    <w:p>
      <w:pPr>
        <w:spacing w:after="0" w:line="170"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Company incurred approximately $1.7 million of debt offering costs in connection with the Revolving Credit Facility, which are being amortized over the expected term of the Revolving Credit Facility on an effective yield method, of which approximately $1.3 million remains to be amortized as of March 31, 2019, and is included on the consolidated balance sheets as a reduction in the related debt liability.</w:t>
      </w:r>
    </w:p>
    <w:p>
      <w:pPr>
        <w:spacing w:after="0" w:line="16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Fair Value of the Revolving Credit Facility. </w:t>
      </w:r>
      <w:r>
        <w:rPr>
          <w:rFonts w:ascii="Arial" w:cs="Arial" w:eastAsia="Arial" w:hAnsi="Arial"/>
          <w:sz w:val="18"/>
          <w:szCs w:val="18"/>
          <w:color w:val="auto"/>
        </w:rPr>
        <w:t>Borrowings under the Revolving Credit Facility are carried at cost, net of unamortized debt offering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$1.3 million at March 31, 2019. The fair value of the Revolving Credit Facility borrowings was approximately $43.9 million and $26.4 million at March 31, 2019 and December 31,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As of December 31, 2018, there were no 7.375% Notes Due 2019 outstanding. Interest on the 7.375% Notes Due 2019 was paid quarterly in arrears on March 30, June 30, September 30 and December 30, at a rate of 7.375%, commencing December 30, 2012. The 7.375% Notes Due 2019 had a maturity date of September, 30, 2019 and were unsecured obligations of the Company. The 7.375% Notes Due 2019 were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was limited in its ability to make distributions in certain circumstances. The indenture governing the 7.375% Notes Due 2019 contains certain restrictive covenants, including compliance with certain provisions of the 1940 Act relating to borrowing and dividends.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For the three months ended March 31, 2018, interest expense related to the 7.375% Notes Due 2019 was approximately, $436,000.</w:t>
      </w:r>
    </w:p>
    <w:p>
      <w:pPr>
        <w:spacing w:after="0" w:line="225"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124"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24"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During the fourth quarter of 2018, all of the remaining $7 million par value of the 7.375% Notes Due 2019 was redeemed by the Company, resulting in a realized loss on extinguishment of approximately $28,000. The Company subsequently surrendered these notes to the Trustee for cancellation.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2019).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three months ended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(10,917,572)</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change in unrealized appreciation from investments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(4,627,045)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(314,624)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losses over capital gains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13,349,430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(198,326)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(787,949)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663,298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457,219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Taxable (loss) income before deductions for distributions</w:t>
            </w:r>
          </w:p>
        </w:tc>
        <w:tc>
          <w:tcPr>
            <w:tcW w:w="1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(1,730,215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2,130,012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Taxable (loss) income before deductions for distributions per weighted average basic shares for the period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Arial" w:cs="Arial" w:eastAsia="Arial" w:hAnsi="Arial"/>
                <w:sz w:val="18"/>
                <w:szCs w:val="18"/>
                <w:color w:val="auto"/>
                <w:w w:val="92"/>
              </w:rPr>
              <w:t>Taxable (loss) income before deductions for distributions per weighted average diluted shares for the period</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792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0" w:name="page61"/>
    <w:bookmarkEnd w:id="60"/>
    <w:p>
      <w:pPr>
        <w:ind w:firstLine="324"/>
        <w:spacing w:after="0" w:line="271" w:lineRule="auto"/>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three months ended March 31, 2019 and 2018, the Asset Manager Affiliates declared cash distributions of $0 and $820,000, respectively, to the Company. The Company recognized $0 and $320,000 of dividends from the Asset Manager Affiliates, as reflected in the Company’s statement of operations in the first quarter of 2019 and 2018, respectively. For the quarter ended March 31, 2018 the difference of $500,000 between cash distributions received and the tax-basis earnings and profits of the distributing affiliate, are recorded as an adjustment to the cost basis in the Asset Manager Affiliate (i.e. tax-basis return of capital).</w:t>
      </w:r>
    </w:p>
    <w:p>
      <w:pPr>
        <w:spacing w:after="0" w:line="179"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At March 31, 2019, the Company had a net capital loss carryforward of $96.6 million to offset net capital gains. This net capital loss carryforward is not subject to expiration.</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On March 20, 2019 the Company’s Board of Directors declared a distribution to shareholders of $0.10 per share for a total of $3.7 million. The record date was April 5, 2019 and the distribution was paid on April 26, 2019.</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2019 and December 31, 2018, the Company had $35.9 million and $12.9 million outstanding commitments, respectively.</w:t>
      </w:r>
    </w:p>
    <w:p>
      <w:pPr>
        <w:spacing w:after="0" w:line="173"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Company has made an aggregate commitment to the BCP Great Lakes Partnership of $50 million, subject to certain limitations (including that the Company is not obligated to fund capital calls if such funding would cause the Company to be out of compliance with certain provisions of the Investment Company Act of 1940). As of March 31, 2019 and December 31, 2018, the Company had a $34.8 million and $12.5 million, respectively unfunded commitment to the BCP Great Lakes Partnership, subject to the limitations noted above. In the fourth quarter of 2018, the Company undertook the commitments under a lease obligation for its office space. Such obligation was previously with Katonah Debt Advisors. During 2018, the Company and the Asset Manager Affiliates shared the cost of such lease pursuant to an Overhead Allocation agreement. The Company’s portion of rent expense was approximately $193,000, and $94,000 for the quarter ended March 31, 2019 and 2018,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left="340"/>
        <w:spacing w:after="0"/>
        <w:rPr>
          <w:sz w:val="20"/>
          <w:szCs w:val="20"/>
          <w:color w:val="auto"/>
        </w:rPr>
      </w:pPr>
      <w:r>
        <w:rPr>
          <w:rFonts w:ascii="Arial" w:cs="Arial" w:eastAsia="Arial" w:hAnsi="Arial"/>
          <w:sz w:val="18"/>
          <w:szCs w:val="18"/>
          <w:color w:val="auto"/>
        </w:rPr>
        <w:t>The following table summarizes the future minimum lease payments as of March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590,065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800,436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333,515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Stockholders’ Equity for the three months ended March 31, 2019 and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4"/>
              </w:rPr>
              <w:t>Three Months Ended March 31, 2019</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9"/>
              </w:rPr>
              <w:t>Capital in Excess of</w:t>
            </w:r>
          </w:p>
        </w:tc>
        <w:tc>
          <w:tcPr>
            <w:tcW w:w="16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Total Distributable</w:t>
            </w:r>
          </w:p>
        </w:tc>
        <w:tc>
          <w:tcPr>
            <w:tcW w:w="15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Total Stockholders'</w:t>
            </w:r>
          </w:p>
        </w:tc>
        <w:tc>
          <w:tcPr>
            <w:tcW w:w="100" w:type="dxa"/>
            <w:vAlign w:val="bottom"/>
            <w:gridSpan w:val="2"/>
          </w:tcPr>
          <w:p>
            <w:pPr>
              <w:spacing w:after="0"/>
              <w:rPr>
                <w:sz w:val="16"/>
                <w:szCs w:val="16"/>
                <w:color w:val="auto"/>
              </w:rPr>
            </w:pPr>
          </w:p>
        </w:tc>
      </w:tr>
      <w:tr>
        <w:trPr>
          <w:trHeight w:val="234"/>
        </w:trPr>
        <w:tc>
          <w:tcPr>
            <w:tcW w:w="498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Common Stock</w:t>
            </w:r>
          </w:p>
        </w:tc>
        <w:tc>
          <w:tcPr>
            <w:tcW w:w="18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Par Value</w:t>
            </w:r>
          </w:p>
        </w:tc>
        <w:tc>
          <w:tcPr>
            <w:tcW w:w="14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(loss) earnings</w:t>
            </w:r>
          </w:p>
        </w:tc>
        <w:tc>
          <w:tcPr>
            <w:tcW w:w="300" w:type="dxa"/>
            <w:vAlign w:val="bottom"/>
          </w:tcPr>
          <w:p>
            <w:pPr>
              <w:spacing w:after="0"/>
              <w:rPr>
                <w:sz w:val="20"/>
                <w:szCs w:val="20"/>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Equity</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2019</w:t>
            </w: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373,268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306,784,387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(149,136,644)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158,021,011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investment loss</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(2,195,187)</w:t>
            </w:r>
          </w:p>
        </w:tc>
        <w:tc>
          <w:tcPr>
            <w:tcW w:w="30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(2,195,187)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(13,349,430)</w:t>
            </w: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(13,349,430)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change in unrealized appreciation on investments</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4,627,045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4,627,045</w:t>
            </w:r>
          </w:p>
        </w:tc>
        <w:tc>
          <w:tcPr>
            <w:tcW w:w="8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Stockholders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(3,732,836)</w:t>
            </w:r>
          </w:p>
        </w:tc>
        <w:tc>
          <w:tcPr>
            <w:tcW w:w="3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(3,732,836)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Reinvested Dividends</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56,334</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56,489</w:t>
            </w:r>
          </w:p>
        </w:tc>
        <w:tc>
          <w:tcPr>
            <w:tcW w:w="80" w:type="dxa"/>
            <w:vAlign w:val="bottom"/>
          </w:tcPr>
          <w:p>
            <w:pPr>
              <w:spacing w:after="0"/>
              <w:rPr>
                <w:sz w:val="18"/>
                <w:szCs w:val="18"/>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259,042</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258,936</w:t>
            </w:r>
          </w:p>
        </w:tc>
        <w:tc>
          <w:tcPr>
            <w:tcW w:w="80" w:type="dxa"/>
            <w:vAlign w:val="bottom"/>
            <w:shd w:val="clear" w:color="auto" w:fill="CCEEFF"/>
          </w:tcPr>
          <w:p>
            <w:pPr>
              <w:spacing w:after="0"/>
              <w:rPr>
                <w:sz w:val="19"/>
                <w:szCs w:val="19"/>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March 31, 2019</w:t>
            </w:r>
          </w:p>
        </w:tc>
        <w:tc>
          <w:tcPr>
            <w:tcW w:w="3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373,317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307,099,763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(163,787,052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143,686,028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4"/>
              </w:rPr>
              <w:t>Three Months Ended March 31, 2018</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9"/>
              </w:rPr>
              <w:t>Capital in Excess of</w:t>
            </w:r>
          </w:p>
        </w:tc>
        <w:tc>
          <w:tcPr>
            <w:tcW w:w="16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Total Distributable</w:t>
            </w:r>
          </w:p>
        </w:tc>
        <w:tc>
          <w:tcPr>
            <w:tcW w:w="15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Total Stockholders'</w:t>
            </w:r>
          </w:p>
        </w:tc>
        <w:tc>
          <w:tcPr>
            <w:tcW w:w="100" w:type="dxa"/>
            <w:vAlign w:val="bottom"/>
          </w:tcPr>
          <w:p>
            <w:pPr>
              <w:spacing w:after="0"/>
              <w:rPr>
                <w:sz w:val="16"/>
                <w:szCs w:val="16"/>
                <w:color w:val="auto"/>
              </w:rPr>
            </w:pPr>
          </w:p>
        </w:tc>
      </w:tr>
      <w:tr>
        <w:trPr>
          <w:trHeight w:val="234"/>
        </w:trPr>
        <w:tc>
          <w:tcPr>
            <w:tcW w:w="498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0"/>
              </w:rPr>
              <w:t>Common Stock</w:t>
            </w:r>
          </w:p>
        </w:tc>
        <w:tc>
          <w:tcPr>
            <w:tcW w:w="18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Par Value</w:t>
            </w:r>
          </w:p>
        </w:tc>
        <w:tc>
          <w:tcPr>
            <w:tcW w:w="14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(loss) earnings</w:t>
            </w:r>
          </w:p>
        </w:tc>
        <w:tc>
          <w:tcPr>
            <w:tcW w:w="3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Equity</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2018</w:t>
            </w:r>
          </w:p>
        </w:tc>
        <w:tc>
          <w:tcPr>
            <w:tcW w:w="38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373,392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329,789,716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(148,358,532)</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181,804,576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2,460,742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2,460,742</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3,101</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Realized loss from extinguishment of debt</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(169,074)</w:t>
            </w:r>
          </w:p>
        </w:tc>
        <w:tc>
          <w:tcPr>
            <w:tcW w:w="3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(169,074)</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314,624</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314,624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Distributions to Stockholders</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(3,716,297)</w:t>
            </w:r>
          </w:p>
        </w:tc>
        <w:tc>
          <w:tcPr>
            <w:tcW w:w="3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(3,716,297)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Reinvested Dividends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51,407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51,560</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252,855</w:t>
            </w:r>
          </w:p>
        </w:tc>
        <w:tc>
          <w:tcPr>
            <w:tcW w:w="1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252,855</w:t>
            </w:r>
          </w:p>
        </w:tc>
      </w:tr>
      <w:tr>
        <w:trPr>
          <w:trHeight w:val="223"/>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330,093,978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(149,465,436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181,002,087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During the three months ended March 31, 2019 and 2018, the Company issued 15,434 and 15,255 shares, respectively, of common stock under its dividend reinvestment plan. For the three months ended March 31, 2019, there were no grants of restricted stock, 10,571 shares were forfeited, and 113,382 shares vested. The total number of shares of the Company’s common stock outstanding as of March 31, 2019 and December 31, 2018 was 37,331,709 and 37,326,846,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COMPENSATION PLANS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had an equity incentive plan, established in 2006 and most recently amended, following approval by the Company’s Board of Directors and shareholders, on May 4, 2017 (the “Equity Incentive Plan”). The Company reserved 2,000,000 shares of common stock for issuance under the Equity Incentive Plan. In connection with the Closing, the Company terminated the Equity Incentive Plan and will no longer make grants pursuant to the plan. Prior to the Closing, restricted stock granted under the Equity Incentive Plan was granted at a price equal to the fair market value (market closing price) of the shares on the day such restricted stock is granted. Options granted under the Equity Incentive Plan were exercisable at a price equal to the fair market value (market closing price) of the shares on the day the option is granted.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In connection with the Closing, the Company terminated the 2008 Plan and will no longer make grants pursuant to the plan.</w:t>
      </w:r>
    </w:p>
    <w:p>
      <w:pPr>
        <w:spacing w:after="0" w:line="19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Immediately prior to the Closing, by virtue of the Externalization and subject to the execution of an option cancellation agreement, each option to purchase shares of the Company’s common stock granted under the 2008 Plan that was outstanding immediately prior to the Externalization was cancelled in exchange for a payment in cash to the holder thereof.</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2018 through March 31, 2019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Aggregate Intrinsic</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tcPr>
          <w:p>
            <w:pPr>
              <w:jc w:val="right"/>
              <w:ind w:right="460"/>
              <w:spacing w:after="0" w:line="181" w:lineRule="exact"/>
              <w:rPr>
                <w:sz w:val="20"/>
                <w:szCs w:val="20"/>
                <w:color w:val="auto"/>
              </w:rPr>
            </w:pPr>
            <w:r>
              <w:rPr>
                <w:rFonts w:ascii="Arial" w:cs="Arial" w:eastAsia="Arial" w:hAnsi="Arial"/>
                <w:sz w:val="18"/>
                <w:szCs w:val="18"/>
                <w:b w:val="1"/>
                <w:bCs w:val="1"/>
                <w:color w:val="auto"/>
                <w:w w:val="91"/>
              </w:rPr>
              <w:t>Weighted Average</w:t>
            </w:r>
          </w:p>
        </w:tc>
        <w:tc>
          <w:tcPr>
            <w:tcW w:w="168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218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Exercise Price per Share</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(years)</w:t>
            </w:r>
          </w:p>
        </w:tc>
        <w:tc>
          <w:tcPr>
            <w:tcW w:w="300" w:type="dxa"/>
            <w:vAlign w:val="bottom"/>
          </w:tcPr>
          <w:p>
            <w:pPr>
              <w:spacing w:after="0"/>
              <w:rPr>
                <w:sz w:val="23"/>
                <w:szCs w:val="23"/>
                <w:color w:val="auto"/>
              </w:rPr>
            </w:pPr>
          </w:p>
        </w:tc>
        <w:tc>
          <w:tcPr>
            <w:tcW w:w="1300" w:type="dxa"/>
            <w:vAlign w:val="bottom"/>
            <w:gridSpan w:val="2"/>
          </w:tcPr>
          <w:p>
            <w:pPr>
              <w:ind w:left="200"/>
              <w:spacing w:after="0" w:line="269"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2018</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Expired unexercised</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2018</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9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16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vested at March 31, 2019</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March 31, 2019 and the exercise price of the options.</w:t>
      </w:r>
    </w:p>
    <w:p>
      <w:pPr>
        <w:spacing w:after="0" w:line="202"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three months ended March 31, 2019 and 2018, the Company did not recognize any non-cash compensation expense related to stock options. At March 31, 2019, the Company had no remaining compensation costs related to unvested stock based awards.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540" w:hanging="208"/>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4, 2017,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2018, 6,000 shares of restricted stock were awarded to the Company’s Board of Directors.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Immediately prior to the Closing, 3,000 shares of restricted stock outstanding and not previously forfeited under the Non-Employee Director Plan, all restrictions with respect to such restricted stock lapsed, and the holders of such restricted stock became entitled to receive a pro rata share of the payment due to stockholders of the Company pursuant to the Externalization Agreement.</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 ended December 31, 2018, the Company repurchased 26,681 shares, of common stock at an aggregate cost of approximately $86,000, in connection with the vesting of employee’s restricted stock, which is reflected as a reduction in Stockholders’ Equity at cost. These shares are not available to be reissued under the Company’s Equity Incentive Plan.</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On September 19, 2017, the Company’s Board of Directors approved the grant of 133,620 shares of restricted stock to the employees of the Company as partial compensation for their services. 50% of such awards were scheduled to vest on the third anniversary of the grant date and the remaining 50% of the shares were scheduled to vest on the fourth anniversary of the grant date.</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Immediately prior to the Closing, 110,382 shares of restricted stock outstanding and not previously forfeited under the Equity Incentive Plan and the 2008 Plan (as defined below) became fully vested, all restrictions with respect to such restricted stock lapsed, and the holders of such restricted stock became entitled to receive a pro rata share of the payment due to stockholders of the Company pursuant to the Externalization Agreement.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64" w:name="page65"/>
    <w:bookmarkEnd w:id="64"/>
    <w:p>
      <w:pPr>
        <w:ind w:right="20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2018 through March 31, 2019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4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Non-vested</w:t>
            </w:r>
          </w:p>
        </w:tc>
      </w:tr>
      <w:tr>
        <w:trPr>
          <w:trHeight w:val="216"/>
        </w:trPr>
        <w:tc>
          <w:tcPr>
            <w:tcW w:w="984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Restricted</w:t>
            </w:r>
          </w:p>
        </w:tc>
      </w:tr>
      <w:tr>
        <w:trPr>
          <w:trHeight w:val="234"/>
        </w:trPr>
        <w:tc>
          <w:tcPr>
            <w:tcW w:w="984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0"/>
        </w:trPr>
        <w:tc>
          <w:tcPr>
            <w:tcW w:w="9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2018</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(122,878)</w:t>
            </w: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(56,368)</w:t>
            </w:r>
          </w:p>
        </w:tc>
      </w:tr>
      <w:tr>
        <w:trPr>
          <w:trHeight w:val="210"/>
        </w:trPr>
        <w:tc>
          <w:tcPr>
            <w:tcW w:w="9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2018</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84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(113,382)</w:t>
            </w:r>
          </w:p>
        </w:tc>
      </w:tr>
      <w:tr>
        <w:trPr>
          <w:trHeight w:val="230"/>
        </w:trPr>
        <w:tc>
          <w:tcPr>
            <w:tcW w:w="984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(10,571)</w:t>
            </w:r>
          </w:p>
        </w:tc>
      </w:tr>
      <w:tr>
        <w:trPr>
          <w:trHeight w:val="223"/>
        </w:trPr>
        <w:tc>
          <w:tcPr>
            <w:tcW w:w="9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March 31, 2019</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8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 March 31, 2019, all of the remaining restricted shares vested. For the three months ended March 31, 2019, non-cash compensation expense related to restricted stock was approximately $259,000; all of which was expensed at the Company. For the three months ended March 31, 2018, non-cash compensation expense related to restricted stock was approximately $253,000; of this amount approximately $108,000 was expensed at the Company, and approximately was $145,000 was a reimbursable expense allocated to the Asset Manager Affiliates.</w:t>
      </w:r>
    </w:p>
    <w:p>
      <w:pPr>
        <w:spacing w:after="0" w:line="17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Distributions are paid on all outstanding shares of restricted stock, whether or not vested. In general, shares of unvested restricted stock were forfeited upon the recipient’s termination of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adopted a 401(k) plan (“401K Plan”) effective January 1, 2007. The 401K Plan was open to all full time employees. The 401K Plan permits an employee to defer a portion of their total annual compensation up to the Internal Revenue Service annual maximum based on age and eligibility. The Company made contributions to the 401K Plan of up to 2% of the Internal Revenue Service’s annual maximum eligible compensation, which fully vests at the time of contribution. Approximately $9,000 and $10,000 was expensed during the three months ended March 31, 2019 and 2018, respectively, related to the 401K Plan. This Plan was terminated effective March 31, 2019.</w:t>
      </w:r>
    </w:p>
    <w:p>
      <w:pPr>
        <w:spacing w:after="0" w:line="188"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$25,000 was expensed during the three months ended March 31, 2018, related to the Profit-Sharing Plan. This Plan was terminated effective March 31, 2019, and no expense was recognized during the three months ended March 31,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April 1, 2019, the maximum commitment amount of the Revolving Credit Facility was increased from $57.5 million to $67.5 million.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December 14, 2018, the Company entered into a stock purchase and transaction agreement (the “Externalization Agreement”) with BC Partners Advisors L.P. (“BCP”), an affiliate of BC Partners, through which Sierra Crest Investment Management LLC (the “Adviser”), an affiliate of BC Partners LLP (“BC Partners”), became the Company’s investment adviser pursuant to an investment advisory Agreement (the “Advisory Agreement”) with the Company. At a special meeting of the Company’s stockholders (the “Special Meeting”) held on February 19, 2019, the Company’s stockholders approved the Advisory Agreement. The transactions contemplated by the Externalization Agreement closed on April 1, 2019 (the “Closing”), and the Company commenced operations as an externally managed BDC managed by the Adviser on that date.</w:t>
      </w:r>
    </w:p>
    <w:p>
      <w:pPr>
        <w:spacing w:after="0" w:line="19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March 31, 2019 for items that should potentially be recognized or disclosed in these financial statements. Other than described above, management has determined that there are no other material subsequent events that would require adjustment to, or disclosure in, these consolidated financial statements.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the Portman Ridge Finance Corporation’s condensed and consolidated financial statements and related notes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Effective April 1, 2019, we are an externally managed, non-diversified closed-end investment company that has elected to be regulated as a business development company (“BDC”) under the Investment Company Act of 1940, as amended (the “1940 Act”).</w:t>
      </w:r>
    </w:p>
    <w:p>
      <w:pPr>
        <w:spacing w:after="0" w:line="170" w:lineRule="exact"/>
        <w:rPr>
          <w:sz w:val="20"/>
          <w:szCs w:val="20"/>
          <w:color w:val="auto"/>
        </w:rPr>
      </w:pPr>
    </w:p>
    <w:p>
      <w:pPr>
        <w:ind w:right="100" w:firstLine="414"/>
        <w:spacing w:after="0" w:line="276" w:lineRule="auto"/>
        <w:rPr>
          <w:sz w:val="20"/>
          <w:szCs w:val="20"/>
          <w:color w:val="auto"/>
        </w:rPr>
      </w:pPr>
      <w:r>
        <w:rPr>
          <w:rFonts w:ascii="Arial" w:cs="Arial" w:eastAsia="Arial" w:hAnsi="Arial"/>
          <w:sz w:val="17"/>
          <w:szCs w:val="17"/>
          <w:color w:val="auto"/>
        </w:rPr>
        <w:t>The Company originates, structures, and invests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The Company also invests in joint ventures and debt and subordinated securities issued by collateralized loan obligation funds (“CLO Fund Securities”). In addition, from time to time the Company may invest in the equity securities of privately held middle market companies and may also receive warrants or options to purchase common stock in connection with its debt investments.</w:t>
      </w:r>
    </w:p>
    <w:p>
      <w:pPr>
        <w:spacing w:after="0" w:line="17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November 8, 2018, we entered into an agreement with LibreMax Intermediate Holdings, LP (“LibreMax”) under which our wholly-owned subsidiary Commodore Holdings, LLC (“Commodore”) agreed to sell Katonah Debt Advisors, L.L.C. (“Katonah Debt Advisors”), Trimaran Advisors, L.L.C. (“Trimaran Advisors”), and Trimaran Advisors Management, L.L.C. (“Trimaran Advisors Management” and, together with Katonah Debt Advisors and Trimaran Advisors, the “Disposed Manager Affiliates”) to LibreMax for a cash purchase price of approximately $37.9 million (the “LibreMax Transaction”). In connection with the closing of the LibreMax Transaction on December 31, 2018, Commodore sold the Disposed Manager Affiliates, which manage collateralized loan obligation funds (“CLO Funds”), to LibreMax for a cash purchase price of approximately $37.9 million.</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March 31, 2019, our remaining asset management subsidiaries (the “Asset Manager Affiliates”) were comprised of Commodore, Katonah Management Holdings, LLC, Katonah X Management LLC (“Katonah X Management”), Katonah 2007-1 Management, LLC (“Katonah 2007-I Management”) and KCAP Management, LLC. Commodore, Katonah X Management and Katonah 2007-1 Management have no operations and are expected to be liquidated in the normal course.</w:t>
      </w:r>
    </w:p>
    <w:p>
      <w:pPr>
        <w:spacing w:after="0" w:line="18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On December 14, 2018, we entered into a stock purchase and transaction agreement (the “Externalization Agreement”) with BC Partners Advisors L.P. (“BCP”), an affiliate of BC Partners LLP (“BC Partners”), pursuant to which our management function would be externalized (the “Externalization”) and Sierra Crest Investment Management LLC, an affiliate of BC Partners (the “Adviser”) would be appointed as our investment adviser, subject to our stockholders’ approval of the proposed investment advisory agreement between us and the Adviser (the “Advisory Agreement”). At a special meeting of our stockholders (the “Special Meeting”) held on February 19, 2019, our stockholders approved the Advisory Agreement. Upon closing of the Externalization (the “Closing”) on April 1, 2019, the Company commenced operations as an externally managed BDC managed by the Adviser.</w:t>
      </w:r>
    </w:p>
    <w:p>
      <w:pPr>
        <w:spacing w:after="0" w:line="16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Our investment in CLO Fund Securities are primarily managed by its formerly wholly-owned asset management subsidiaries Trimaran Advisors and Trimaran Advisors Management, L.L.C. From time-to-time we have also made investments in CLO Fund Securities managed by other asset managers. The CLO Funds typically invest in broadly syndicated loans, high-yield bonds and other credit instruments. Our investments in CLO Fund Securities are anticipated to provide us with recurring cash distributions.</w:t>
      </w:r>
    </w:p>
    <w:p>
      <w:pPr>
        <w:spacing w:after="0" w:line="187"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6" w:name="page67"/>
    <w:bookmarkEnd w:id="66"/>
    <w:p>
      <w:pPr>
        <w:ind w:right="180" w:firstLine="324"/>
        <w:spacing w:after="0" w:line="276" w:lineRule="auto"/>
        <w:rPr>
          <w:sz w:val="20"/>
          <w:szCs w:val="20"/>
          <w:color w:val="auto"/>
        </w:rPr>
      </w:pPr>
      <w:r>
        <w:rPr>
          <w:rFonts w:ascii="Arial" w:cs="Arial" w:eastAsia="Arial" w:hAnsi="Arial"/>
          <w:sz w:val="17"/>
          <w:szCs w:val="17"/>
          <w:color w:val="auto"/>
        </w:rPr>
        <w:t>Subject to market conditions, we intend to grow our portfolio of assets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(or the 150% asset coverage ratio effective as of March 29, 2019) after such borrowing. We will continue to be prohibited by the indentures governing our 6.125% Notes (each, as defined and discussed in Note 6- “Borrowings”) from making distributions on our common stock if our asset coverage, as defined in the 1940 Act, falls below 200%.</w:t>
      </w:r>
    </w:p>
    <w:p>
      <w:pPr>
        <w:spacing w:after="0" w:line="173"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We have elected to be treated for U.S. federal income tax purposes as a regulated investment company (“RIC”) under the Internal Revenue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As a RIC, we generally will not have to pay corporate-level U.S. federal income taxes on any income that we timely distribute to our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Externalization Agreement</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Pursuant to the Externalization Agreement with BCP, the Adviser became our investment adviser in exchange for a cash payment from BCP, or its affiliate, of $25 million, or $0.669672 per share of the Company’s common stock, directly to the Company’s stockholders. In addition, the Adviser (or its affiliate) will use up to $10 million of the incentive fee actually paid to the Adviser prior to the second anniversary of the Closing to buy newly issued shares of our common stock at the most recently determined net asset value per share of our common stock at the time of such purchase. For the period of one year from the first day of the first quarter following the quarter in which the Closing occurred, the Adviser will permanently forego up to the full amount of the incentive fees earned by the Adviser without recourse against or reimbursement by us, to the extent necessary in order to achieve aggregate net investment income per common share of the Company for such one-year period to be at least equal to $0.40 per share, subject to certain adjustments.</w:t>
      </w:r>
    </w:p>
    <w:p>
      <w:pPr>
        <w:spacing w:after="0" w:line="16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the date of the Closing, we changed our name from KCAP Financial, Inc. to Portman Ridge Finance Corporation and on April 2, 2019, began trading on the NASDAQ Global Select Market under the symbol “PTMN.”</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April 1, 2019, in connection with the Closing, all of our then-current directors resigned from their positions on the Board, with the exceptions of Dean Kehler and Christopher Lacovara. Prior to their resignations, the Board approved an increase in the size of the Board from seven members to eight members and appointed the following new individuals to serve on the Board: Graeme Dell; Alexander Duka; Ted Goldthorpe; George Grunebaum; David Moffitt; and Robert Warshauer. Additionally, in connection with the Closing all of the Company’s then-current officers resigned from their positions with the exceptions of Edward Gilpin and Daniel Gilligan. Effective as of the Closing, Ted Goldthorpe was appointed as President and Chief Executive Officer and Patrick Schafer was appointed as Chief Investment Officer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Adviser</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The Adviser is an affiliate of BC Partners. LibreMax owns a minority stake in the Adviser. Subject to the overall supervision of the Board,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w:t>
      </w:r>
    </w:p>
    <w:p>
      <w:pPr>
        <w:spacing w:after="0" w:line="147"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the Company’s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firstLine="324"/>
        <w:spacing w:after="0" w:line="270" w:lineRule="auto"/>
        <w:rPr>
          <w:sz w:val="20"/>
          <w:szCs w:val="20"/>
          <w:color w:val="auto"/>
        </w:rPr>
      </w:pPr>
      <w:r>
        <w:rPr>
          <w:rFonts w:ascii="Arial" w:cs="Arial" w:eastAsia="Arial" w:hAnsi="Arial"/>
          <w:sz w:val="17"/>
          <w:szCs w:val="17"/>
          <w:color w:val="auto"/>
        </w:rPr>
        <w:t>The Adviser is affiliated with BC Partners, a leading buyout firm with a 30-year history investing across Europe and North America which has more than $24 billion in assets under management in private equity, private credit and real estate strategies as of March 31, 2019. The assets under management for BC Partners are based on actively managed commitments of its managed funds and relevant vehicles formed for the purpose of co-investing alongside such funds. BC Partners operates a private equity investment platform (“BCP PE”) a credit investment platform (“BCP Credit”) and a real estate investment platform (“BCP RE”) as fully integrated businesses. Our investment activity of the Company will take place primarily within the BCP Credit platform. Integration with the broader BC Partners platform allows BCP Credit to leverage a team of investment professionals across its private equity platform including its operations team. The BCP Credit Investment Team (the “Investment Team”) is led by our Chief Investment Officer, Ted Goldthorpe who sits on both the BCP Credit and BCP PE investment committees. BCP Credit currently manages a private fund in the BCP Credit platform along with several separate managed accounts focused on credit investments and BC Partners Lending Corporation, a private BDC.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Adviser provides management services to us pursuant to the Advisory Agreement. Under the terms of the Investment Advisory Agreement,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Adviser is responsible for the following:</w:t>
      </w:r>
    </w:p>
    <w:p>
      <w:pPr>
        <w:spacing w:after="0" w:line="211"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managing our assets in accordance with our investment objective, policies and restrictions;</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determining the composition of our portfolio, the nature and timing of the changes to our portfolio and the manner of implementing such changes;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identifying, evaluating and negotiating the structure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monitoring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determining the securities and other assets we will purchase, retain or sell;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assisting the Board with its valuation of our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directing investment professionals of the Adviser to provide managerial assistance to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performing due diligence on prospective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exercising voting rights in respect of portfolio securities and other investments for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serving on, and exercising observer rights for, boards of directors and similar committees of our portfolio companies; and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providing us with such other investment advisory, research and related services as we may, from time to time, reasonably require for the investment of capital.</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services to other entities so long as its services to us are not impaired.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Term</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April 1, 2019, the Company entered into the Advisory Agreement with the Adviser. Unless earlier terminated as described below, the Investment Advisory Agreement will remain in effect until April 1, 2021, a period of two years from the date it first became effective and will remain in effect from year-to-year thereafter if approved annually by a majority of the Board or by the holders of a majority of our outstanding shares, and, in each case, a majority of the independent directors.</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Advisory Agreement will automatically terminate within the meaning of the 1940 Act and related SEC guidance and interpretations in the event of its assignment. In accordance with the 1940 Act, without payment of any penalty, we may terminate the Advisory Agreement with the Adviser upon 60 days’ written notice. The decision to terminate the agreement may be made by a majority our Board or the stockholders holding a majority of the outstanding shares of our common stock. See “Advisory Agreement—Removal of Adviser” below. In addition, without payment of any penalty, the Adviser may generally terminate the Advisory Agreement upon 60 days’ written notice and, in certain circumstances, the Adviser may only be able to terminate the Advisory Agreement upon 120 days’ written notice.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ind w:left="980"/>
        <w:spacing w:after="0"/>
        <w:rPr>
          <w:sz w:val="20"/>
          <w:szCs w:val="20"/>
          <w:color w:val="auto"/>
        </w:rPr>
      </w:pPr>
      <w:r>
        <w:rPr>
          <w:rFonts w:ascii="Arial" w:cs="Arial" w:eastAsia="Arial" w:hAnsi="Arial"/>
          <w:sz w:val="18"/>
          <w:szCs w:val="18"/>
          <w:b w:val="1"/>
          <w:bCs w:val="1"/>
          <w:i w:val="1"/>
          <w:iCs w:val="1"/>
          <w:color w:val="auto"/>
        </w:rPr>
        <w:t>Removal of Adviser</w:t>
      </w:r>
    </w:p>
    <w:p>
      <w:pPr>
        <w:spacing w:after="0" w:line="225"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The Adviser may be removed our Board or by the affirmative vote of a Majority of the Outstanding Shares. “Majority of the Outstanding Shares” means the lesser of (1) 67% or more of the outstanding shares of our common stock present at a meeting, if the holders of more than 50% of the outstanding shares of our common stock are present or represented by proxy or (2) a majority of outstanding shares of our common stock.</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Compensation of Adviser</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Pursuant to the terms of the Advisory Agreement, we pay the Adviser (i) a base management fee (the “Base Management Fee”) and (ii) an incentive fee (the “Incentive Fee”). For the period from the date of the Advisory Agreement (the “Effective Date”) through the end of the first calendar quarter after the Effective Date, the Base Management Fee will be calculated at an annual rate of 1.50% of our gross assets, excluding cash and cash equivalents, but including assets purchased with borrowed amounts, as of the end of such calendar quarter. Subsequently, the Base Management Fee will be 1.50% of our average gross assets, excluding cash and cash equivalents, but including assets purchased with borrowed amounts, at the end of the two most recently completed calendar quarters; provided, however, that the Base Management Fee will be 1.00% of the Company’s average gross assets, excluding cash and cash equivalents, but including assets purchased with borrowed amounts, that exceed the product of (i) 200% and (ii) the value of our net asset value at the end of the most recently completed calendar quarter. The Incentive Fee consists of two parts: (1) a portion based on the Company’s pre-incentive fee net investment income (the “Income-Based Fee”) and (2) a portion based on the net capital gains received on our portfolio of securities on a cumulative basis for each calendar year, net of all realized capital losses and all unrealized capital depreciation on a cumulative basis, in each case calculated from the Effective Date, less the aggregate amount of any previously paid capital gains Incentive Fee (the “Capital Gains Fee”). The Income-Based Fee is 17.50% of pre-incentive fee net investment income with a 7.00% hurdle rate. The Capital Gains Fee is 17.50%.</w:t>
      </w:r>
    </w:p>
    <w:p>
      <w:pPr>
        <w:spacing w:after="0" w:line="16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Pre-incentive fee net investment income means dividends (including reinvested dividends), interest and fee income accrued by us during the calendar quarter, minus operating expenses for the quarter (including the management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payment-in-kind(“PIK”) interest and zero coupon securities), accrued income that we may not have received in cash. The Adviser is not obligated to return the incentive fee it receives on PIK interest that is later determined to be uncollectible in cash. See “Item 1A. Risk Factors— Risks Related to the Adviser and its Affiliates.” Pre-incentive fee net investment income does not include any realized capital gains, realized capital losses or unrealized capital appreciation or depreciation.</w:t>
      </w:r>
    </w:p>
    <w:p>
      <w:pPr>
        <w:spacing w:after="0" w:line="16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To determine the income incentive fee, pre-incentive fee net investment income is expressed as a rate of return on the value of our net assets at the end of the immediately preceding calendar quarter. Because of the structure of the incentive fee, it is possible that we may pay an incentive fee in a calendar quarter in which we incur a loss. For example, if we receive pre-incentive fee net investment income in excess of the quarterly hurdle rate, we will pay the applicable incentive fee even if we have incurred a loss in that calendar quarter due to realized capital losses and unrealized capital depreciation. In addition, because the quarterly hurdle rate is calculated based on our net assets, decreases in our net assets due to realized capital losses or unrealized capital depreciation in any given calendar quarter may increase the likelihood that the hurdle rate is reached and therefore the likelihood of us paying an incentive fee for the subsequent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9" w:name="page70"/>
    <w:bookmarkEnd w:id="69"/>
    <w:p>
      <w:pPr>
        <w:ind w:left="34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Quarterly Subordinated Incentive Fee on</w:t>
            </w:r>
          </w:p>
        </w:tc>
        <w:tc>
          <w:tcPr>
            <w:tcW w:w="3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Pre-Incentive Fee Net Investment Income</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86"/>
              </w:rPr>
              <w:t>(expressed as a percentage of the value of net assets)</w:t>
            </w: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vMerge w:val="restart"/>
          </w:tcPr>
          <w:p>
            <w:pPr>
              <w:jc w:val="right"/>
              <w:ind w:right="2350"/>
              <w:spacing w:after="0"/>
              <w:rPr>
                <w:sz w:val="20"/>
                <w:szCs w:val="20"/>
                <w:color w:val="auto"/>
              </w:rPr>
            </w:pPr>
            <w:r>
              <w:rPr>
                <w:rFonts w:ascii="Arial" w:cs="Arial" w:eastAsia="Arial" w:hAnsi="Arial"/>
                <w:sz w:val="18"/>
                <w:szCs w:val="18"/>
                <w:color w:val="auto"/>
              </w:rPr>
              <w:t>0%</w:t>
            </w:r>
          </w:p>
        </w:tc>
        <w:tc>
          <w:tcPr>
            <w:tcW w:w="82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vMerge w:val="restart"/>
          </w:tcPr>
          <w:p>
            <w:pPr>
              <w:jc w:val="right"/>
              <w:ind w:right="3050"/>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3580" w:type="dxa"/>
            <w:vAlign w:val="bottom"/>
            <w:vMerge w:val="restart"/>
          </w:tcPr>
          <w:p>
            <w:pPr>
              <w:jc w:val="right"/>
              <w:ind w:right="2790"/>
              <w:spacing w:after="0"/>
              <w:rPr>
                <w:sz w:val="20"/>
                <w:szCs w:val="20"/>
                <w:color w:val="auto"/>
              </w:rPr>
            </w:pPr>
            <w:r>
              <w:rPr>
                <w:rFonts w:ascii="Arial" w:cs="Arial" w:eastAsia="Arial" w:hAnsi="Arial"/>
                <w:sz w:val="18"/>
                <w:szCs w:val="18"/>
                <w:color w:val="auto"/>
              </w:rPr>
              <w:t>2.121 %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29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358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shd w:val="clear" w:color="auto" w:fill="000000"/>
          </w:tcPr>
          <w:p>
            <w:pPr>
              <w:spacing w:after="0"/>
              <w:rPr>
                <w:sz w:val="24"/>
                <w:szCs w:val="24"/>
                <w:color w:val="auto"/>
              </w:rPr>
            </w:pPr>
          </w:p>
        </w:tc>
        <w:tc>
          <w:tcPr>
            <w:tcW w:w="2940" w:type="dxa"/>
            <w:vAlign w:val="bottom"/>
          </w:tcPr>
          <w:p>
            <w:pPr>
              <w:jc w:val="right"/>
              <w:ind w:right="670"/>
              <w:spacing w:after="0"/>
              <w:rPr>
                <w:sz w:val="20"/>
                <w:szCs w:val="20"/>
                <w:color w:val="auto"/>
              </w:rPr>
            </w:pPr>
            <w:r>
              <w:rPr>
                <w:rFonts w:ascii="Arial" w:cs="Arial" w:eastAsia="Arial" w:hAnsi="Arial"/>
                <w:sz w:val="18"/>
                <w:szCs w:val="18"/>
                <w:color w:val="auto"/>
              </w:rPr>
              <w:t>¬ 0% ®</w:t>
            </w:r>
          </w:p>
        </w:tc>
        <w:tc>
          <w:tcPr>
            <w:tcW w:w="8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rPr>
              <w:t>¬ 100% ®</w:t>
            </w: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color w:val="auto"/>
              </w:rPr>
              <w:t>¬ 17.5% ®</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20" w:type="dxa"/>
            <w:vAlign w:val="bottom"/>
            <w:shd w:val="clear" w:color="auto" w:fill="000000"/>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second component of the incentive fee, the capital gains incentive fee, payable at the end of each calendar year in arrears, equals 17.50% of cumulative realized capital gains through the end of such calendar year commencing with the calendar year ending December 31, 2019, computed net of all realized capital losses and unrealized capital depreciation on a cumulative basis, in each case calculated from the Effective Date, less the aggregate amount of any previously paid capital gains incentive fee for prior periods. We will accrue, but will not pay, a capital gains incentive fee with respect to unrealized appreciation because a capital gains incentive fee would be owed to the Adviser if we were to sell the relevant investment and realize a capital gain. In no event will the capital gains incentive fee payable pursuant to the Investment Advisory Agreement be in excess of the amount permitted by the Investment Advisers Act of 1940, as amended (the “Advisers Act”) including Section 205 thereof.</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fees that are payable under the Investment Advisory Agreement for any partial period will be appropriately prorated.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Under the Advisory Agreement, the Adviser, its officers, managers, partners, agents, employees, controlling persons, members and any other person or entity affiliated with the Adviser, including without limitation its managing member, will not be liable to us for acts or omissions performed in accordance with and pursuant to the Advisory Agreement, except those resulting from acts constituting criminal conduct, gross negligence, willful misfeasance, bad faith or reckless disregard of the duties that the Adviser owes to us under the Advisory Agreement. In addition, as part of the Advisory Agreement, we have agreed to indemnify the Adviser and each of its officers, managers, partners, agents, employees, controlling persons, members and any other person or entity affiliated with the Adviser, including without limitation its general partner, and the Administrator from and against any damages, liabilities, costs and expenses, including reasonable legal fees and other expenses reasonably incurred, in or by reason of any pending, threatened or completed action, suit, investigation or other proceeding (including an action or suit by or in the right of the Company or its security holders) arising out of or otherwise based upon the performance of any of the Adviser’s duties or obligations under the Advisory Agreement or otherwise as an investment adviser of the Company, except where attributable to criminal conduct, gross negligence, willful misfeasance, bad faith or reckless disregard of such person’s duties under the Advisory Agreement.</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Board Approval of the Advisory Agreement</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December 12, 2018, our then-current Board held an in-person meeting to consider and approve the Advisory Agreement and related matters. The Board of Directors was provided the information required to consider the Advisory Agreement, including: (a) the nature, quality and extent of the advisory and other services to be provided to us by the Adviser; (b) comparative data with respect to advisory fees or similar expenses paid by other BDCs with similar investment objectives; (c) our projected operating expenses and expense ratio compared to BDCs with similar investment objectives; (d) any existing and potential sources of indirect income to the Adviser from its relationship with us and the profitability of that relationship; (e) information about the services to be performed and the personnel performing such services under the Advisory Agreement; (f) the organizational capability and financial condition of the Adviser and its affiliates; (g) the Adviser’s practices regarding the selection and compensation of brokers that may execute our portfolio transactions and the brokers’ provision of brokerage and research services to the Adviser; and (h) the possibility of obtaining similar services from other third-party service providers or continuing to operate as an internally managed BDC.</w:t>
      </w:r>
    </w:p>
    <w:p>
      <w:pPr>
        <w:spacing w:after="0" w:line="182" w:lineRule="exact"/>
        <w:rPr>
          <w:sz w:val="20"/>
          <w:szCs w:val="20"/>
          <w:color w:val="auto"/>
        </w:rPr>
      </w:pPr>
    </w:p>
    <w:p>
      <w:pPr>
        <w:ind w:right="360" w:firstLine="324"/>
        <w:spacing w:after="0" w:line="308" w:lineRule="auto"/>
        <w:rPr>
          <w:sz w:val="20"/>
          <w:szCs w:val="20"/>
          <w:color w:val="auto"/>
        </w:rPr>
      </w:pPr>
      <w:r>
        <w:rPr>
          <w:rFonts w:ascii="Arial" w:cs="Arial" w:eastAsia="Arial" w:hAnsi="Arial"/>
          <w:sz w:val="17"/>
          <w:szCs w:val="17"/>
          <w:color w:val="auto"/>
        </w:rPr>
        <w:t>The Board of Directors, including a majority of independent directors, will oversee and monitor our investment performance and, beginning with the second anniversary of the effective date of the Advisory Agreement, will annually review the compensation we pay to the Adviser.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auto"/>
        </w:rPr>
        <w:t>Administration Agreement</w:t>
      </w:r>
    </w:p>
    <w:p>
      <w:pPr>
        <w:spacing w:after="0" w:line="246" w:lineRule="exact"/>
        <w:rPr>
          <w:sz w:val="20"/>
          <w:szCs w:val="20"/>
          <w:color w:val="auto"/>
        </w:rPr>
      </w:pPr>
    </w:p>
    <w:p>
      <w:pPr>
        <w:ind w:right="420" w:firstLine="324"/>
        <w:spacing w:after="0" w:line="293" w:lineRule="auto"/>
        <w:rPr>
          <w:sz w:val="20"/>
          <w:szCs w:val="20"/>
          <w:color w:val="auto"/>
        </w:rPr>
      </w:pPr>
      <w:r>
        <w:rPr>
          <w:rFonts w:ascii="Arial" w:cs="Arial" w:eastAsia="Arial" w:hAnsi="Arial"/>
          <w:sz w:val="16"/>
          <w:szCs w:val="16"/>
          <w:color w:val="auto"/>
        </w:rPr>
        <w:t>Under the terms of the Administration Agreement between the Company and the Administrator, the Administrator will perform, or oversee the performance of, required administrative services, which includes providing office space, equipment and office services, maintaining financial records, preparing 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w:t>
      </w:r>
    </w:p>
    <w:p>
      <w:pPr>
        <w:spacing w:after="0" w:line="16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Payments under the Administration Agreement are equal to an amount that reimburses the Administrator for its costs and expenses in performing its obligations and providing personnel and facilities (including rent, office equipment and utilities) for the Company’s use under the Administration Agreement, including our allocable portion of the compensation paid to our chief compliance officer and chief financial officer and their respective staff who provide services to us. The Board, including the independent directors, will review the general nature of the services provided by the Administrator as well as the related cost to the Company for those services and consider whether the cost is reasonable in light of the services provided.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April 1, 2019, the Board approved the Administration Agreement with the Administrator. Unless earlier terminated as described below,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will remain in effect until April 1, 2021, a period of two years from the date it first became effective and will remain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 from year-to-year thereafter if approved annually by a majority of the Board or by the holders of a Majority of the Outstanding Shares, and, in 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case, a majority of the independent directors.</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may terminate the Administration Agreement, without payment of any penalty, upon 60 days’ written notice. The decision to terminate the agreement may be made by a majority of the Board or the stockholders holding a Majority of the Outstanding Shares. In addition, the Adviser may terminate the Administration Agreement, without payment of any penalty, upon 60 days’ written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 under the Advisory and Administration Agreements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Except as specifically provided below, we anticipate that all investment professionals and staffs of the Adviser, when and to the extent engaged in providing investment advisory and management services to us, and the compensation and routine overhead expenses (including rent, office equipment and utilities), of such personnel allocable to such services, will be provided and paid for by the Adviser. We will bear our allocable portion of the compensation paid by the Adviser (or its affiliates) to our chief compliance officer and chief financial officer and their respective staffs (based on a percentage of time such individuals devote, on an estimated basis, to our business affairs). We will also bear all other costs and expenses of our operations, administration and transactions, including, but not limited to (i) investment advisory fees, including management fees and incentive fees, to the Adviser, pursuant to the Advisory Agreement; (ii) our allocable portion of overhead and other expenses incurred by the Adviser (or its affiliates) in performing its administrative obligations under the Advisory Agreement, and (iii) all other expenses of our operations and transactions including, without limitation, those relating to:</w:t>
      </w:r>
    </w:p>
    <w:p>
      <w:pPr>
        <w:spacing w:after="0" w:line="166" w:lineRule="exact"/>
        <w:rPr>
          <w:sz w:val="20"/>
          <w:szCs w:val="20"/>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cost of effecting any sales and repurchases of our common stock and other securities;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and expenses payable under any dealer manager or placement agent agreements, if any;</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administration fees payable under the Administration Agreement and any sub-administration agreements, including related expenses;</w:t>
      </w:r>
    </w:p>
    <w:p>
      <w:pPr>
        <w:spacing w:after="0" w:line="236" w:lineRule="exact"/>
        <w:rPr>
          <w:rFonts w:ascii="Arial" w:cs="Arial" w:eastAsia="Arial" w:hAnsi="Arial"/>
          <w:sz w:val="17"/>
          <w:szCs w:val="17"/>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225" w:lineRule="exact"/>
        <w:rPr>
          <w:rFonts w:ascii="Arial" w:cs="Arial" w:eastAsia="Arial" w:hAnsi="Arial"/>
          <w:sz w:val="18"/>
          <w:szCs w:val="18"/>
          <w:color w:val="auto"/>
        </w:rPr>
      </w:pPr>
    </w:p>
    <w:p>
      <w:pPr>
        <w:ind w:left="1040" w:right="320" w:hanging="262"/>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70"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1" w:name="page72"/>
    <w:bookmarkEnd w:id="71"/>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 and fees payable to rating agencies;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independent directors’ fees and expenses including certain travel expenses;</w:t>
      </w:r>
    </w:p>
    <w:p>
      <w:pPr>
        <w:spacing w:after="0" w:line="225" w:lineRule="exact"/>
        <w:rPr>
          <w:rFonts w:ascii="Arial" w:cs="Arial" w:eastAsia="Arial" w:hAnsi="Arial"/>
          <w:sz w:val="18"/>
          <w:szCs w:val="18"/>
          <w:color w:val="auto"/>
        </w:rPr>
      </w:pPr>
    </w:p>
    <w:p>
      <w:pPr>
        <w:ind w:left="1040" w:right="400" w:hanging="262"/>
        <w:spacing w:after="0" w:line="264"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181" w:lineRule="exact"/>
        <w:rPr>
          <w:rFonts w:ascii="Arial" w:cs="Arial" w:eastAsia="Arial" w:hAnsi="Arial"/>
          <w:sz w:val="18"/>
          <w:szCs w:val="18"/>
          <w:color w:val="auto"/>
        </w:rPr>
      </w:pPr>
    </w:p>
    <w:p>
      <w:pPr>
        <w:ind w:left="1040" w:hanging="262"/>
        <w:spacing w:after="0" w:line="308" w:lineRule="auto"/>
        <w:tabs>
          <w:tab w:leader="none" w:pos="10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costs of any reports, proxy statements or other notices to stockholders (including printing and mailing costs), the costs of any stockholder or director meetings and the compensation of personnel responsible for the preparation of the foregoing and related matters;</w:t>
      </w:r>
    </w:p>
    <w:p>
      <w:pPr>
        <w:spacing w:after="0" w:line="146" w:lineRule="exact"/>
        <w:rPr>
          <w:rFonts w:ascii="Arial" w:cs="Arial" w:eastAsia="Arial" w:hAnsi="Arial"/>
          <w:sz w:val="17"/>
          <w:szCs w:val="17"/>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research and market data;</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outside legal and consulting costs;</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of winding up our affairs;</w:t>
      </w:r>
    </w:p>
    <w:p>
      <w:pPr>
        <w:spacing w:after="0" w:line="225" w:lineRule="exact"/>
        <w:rPr>
          <w:rFonts w:ascii="Arial" w:cs="Arial" w:eastAsia="Arial" w:hAnsi="Arial"/>
          <w:sz w:val="18"/>
          <w:szCs w:val="18"/>
          <w:color w:val="auto"/>
        </w:rPr>
      </w:pPr>
    </w:p>
    <w:p>
      <w:pPr>
        <w:ind w:left="1040" w:right="240" w:hanging="262"/>
        <w:spacing w:after="0" w:line="277" w:lineRule="auto"/>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incurred by either the Administrator or us in connection with administering our business, including payments under the Administration Agreement;</w:t>
      </w:r>
    </w:p>
    <w:p>
      <w:pPr>
        <w:spacing w:after="0" w:line="170"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extraordinary expenses (such as litigation or indemnification); and</w:t>
      </w:r>
    </w:p>
    <w:p>
      <w:pPr>
        <w:spacing w:after="0" w:line="225" w:lineRule="exact"/>
        <w:rPr>
          <w:rFonts w:ascii="Arial" w:cs="Arial" w:eastAsia="Arial" w:hAnsi="Arial"/>
          <w:sz w:val="18"/>
          <w:szCs w:val="18"/>
          <w:color w:val="auto"/>
        </w:rPr>
      </w:pPr>
    </w:p>
    <w:p>
      <w:pPr>
        <w:ind w:left="1040" w:hanging="262"/>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costs associated with reporting and compliance obligations under the 1940 Act and applicable federal and state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U.S. treasury bills and money market investments) for the three months ended March 31, 2019 (unaudited) and for the year ended December 31, 2018 was as follows: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CLO Fund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Asset Manager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60" w:type="dxa"/>
            <w:vAlign w:val="bottom"/>
            <w:gridSpan w:val="4"/>
          </w:tcPr>
          <w:p>
            <w:pPr>
              <w:ind w:left="260"/>
              <w:spacing w:after="0"/>
              <w:rPr>
                <w:sz w:val="20"/>
                <w:szCs w:val="20"/>
                <w:color w:val="auto"/>
              </w:rPr>
            </w:pPr>
            <w:r>
              <w:rPr>
                <w:rFonts w:ascii="Arial" w:cs="Arial" w:eastAsia="Arial" w:hAnsi="Arial"/>
                <w:sz w:val="18"/>
                <w:szCs w:val="18"/>
                <w:b w:val="1"/>
                <w:bCs w:val="1"/>
                <w:color w:val="auto"/>
                <w:w w:val="97"/>
              </w:rPr>
              <w:t>Debt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w w:val="97"/>
              </w:rPr>
              <w:t>Equity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Affiliates</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Joint Venture</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Total Portfolio</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6"/>
              </w:rPr>
              <w:t>Fair Value at December 31, 2017 2018</w:t>
            </w: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Activity:</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118,197,479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51,678,673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4,414,684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38,849,000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21,516,000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234,655,836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Purchases / originations /draws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92,911,178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12,781,528</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12,466,667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118,159,373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Pay-downs / pay-offs / sales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(57,125,611)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(19,033,322)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(1,093,244)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(34,800,000)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(112,052,177)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Net accretion of interest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1,289,512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5,878,260</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7,167,772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losses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(16,484,872)</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(16,474,939)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Increase (decrease) in fair value</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(7,420,747)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9,504,733</w:t>
            </w:r>
          </w:p>
        </w:tc>
        <w:tc>
          <w:tcPr>
            <w:tcW w:w="3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(1,283,420)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(579,000)</w:t>
            </w: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(3,125,560)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(2,903,994)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ind w:left="160"/>
              <w:spacing w:after="0" w:line="201" w:lineRule="exact"/>
              <w:rPr>
                <w:sz w:val="20"/>
                <w:szCs w:val="20"/>
                <w:color w:val="auto"/>
              </w:rPr>
            </w:pPr>
            <w:r>
              <w:rPr>
                <w:rFonts w:ascii="Arial" w:cs="Arial" w:eastAsia="Arial" w:hAnsi="Arial"/>
                <w:sz w:val="18"/>
                <w:szCs w:val="18"/>
                <w:color w:val="auto"/>
                <w:w w:val="96"/>
              </w:rPr>
              <w:t>Fair Value at December 31, 2018 2019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ind w:left="320"/>
              <w:spacing w:after="0"/>
              <w:rPr>
                <w:sz w:val="20"/>
                <w:szCs w:val="20"/>
                <w:color w:val="auto"/>
              </w:rPr>
            </w:pPr>
            <w:r>
              <w:rPr>
                <w:rFonts w:ascii="Arial" w:cs="Arial" w:eastAsia="Arial" w:hAnsi="Arial"/>
                <w:sz w:val="18"/>
                <w:szCs w:val="18"/>
                <w:color w:val="auto"/>
              </w:rPr>
              <w:t>Activity:</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147,861,744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44,325,000</w:t>
            </w:r>
          </w:p>
        </w:tc>
        <w:tc>
          <w:tcPr>
            <w:tcW w:w="3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14,504,687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3,470,000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18,390,440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228,551,871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26,242,682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8,946,889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35,189,571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(16,135,735)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(2,282,948)</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(18,418,683)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1,690,216</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(7,726,289)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(587,936)</w:t>
            </w: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(1,565,205)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(3,470,000)</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(13,349,430)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1,899,864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2,460,683</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(5,051,031)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5,317,529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4,627,045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March 31, 2019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152,196,382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45,605,015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16,835,340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23,707,969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238,344,706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March 31,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w w:val="94"/>
              </w:rPr>
              <w:t>March 31, 2019 (unaudited)</w:t>
            </w: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December 31, 2018</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%¹</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Fair Value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investments²</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44,120,648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44,120,648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44,756,478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44,756,478</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Secured Loan</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75,534,527</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73,489,758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86,040,921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77,616,209</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88,707,755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78,249,650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76,223,561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70,245,535</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Senior Unsecured Bond</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456,974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456,974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54,299,958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45,605,015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55,480,626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44,325,000</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29,326,114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16,835,340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21,944,430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14,504,687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Affiliates³</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17,791,230</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17,791,230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Joint Venture</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23,707,969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18,390,440</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335,152,064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282,465,354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327,152,104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273,308,349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money market accounts and U.S. treasury bills.</w:t>
      </w:r>
    </w:p>
    <w:p>
      <w:pPr>
        <w:spacing w:after="0" w:line="9"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right="460" w:firstLine="41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March 31, 2019 and December 31, 2018,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ind w:left="540"/>
              <w:spacing w:after="0"/>
              <w:rPr>
                <w:sz w:val="20"/>
                <w:szCs w:val="20"/>
                <w:color w:val="auto"/>
              </w:rPr>
            </w:pPr>
            <w:r>
              <w:rPr>
                <w:rFonts w:ascii="Arial" w:cs="Arial" w:eastAsia="Arial" w:hAnsi="Arial"/>
                <w:sz w:val="18"/>
                <w:szCs w:val="18"/>
                <w:b w:val="1"/>
                <w:bCs w:val="1"/>
                <w:color w:val="auto"/>
                <w:w w:val="94"/>
              </w:rPr>
              <w:t>March 31, 2019 (unaudited)</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rPr>
              <w:t>December 31, 2018</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Cost/Amortized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vMerge w:val="restart"/>
          </w:tcPr>
          <w:p>
            <w:pPr>
              <w:jc w:val="right"/>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7"/>
              </w:rPr>
              <w:t>Cost/Amortized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Fair Value</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4,237,732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4,085,483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5,434,927</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4,049,940</w:t>
            </w:r>
          </w:p>
        </w:tc>
        <w:tc>
          <w:tcPr>
            <w:tcW w:w="2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2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b w:val="1"/>
                <w:bCs w:val="1"/>
                <w:color w:val="auto"/>
                <w:vertAlign w:val="superscript"/>
              </w:rPr>
              <w:t>2</w:t>
            </w: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17,791,230</w:t>
            </w:r>
          </w:p>
        </w:tc>
        <w:tc>
          <w:tcPr>
            <w:tcW w:w="100" w:type="dxa"/>
            <w:vAlign w:val="bottom"/>
          </w:tcPr>
          <w:p>
            <w:pPr>
              <w:spacing w:after="0"/>
              <w:rPr>
                <w:sz w:val="22"/>
                <w:szCs w:val="22"/>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17,791,230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5,795,824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8,831,841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8,733,933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5,955,812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5,760,262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5,963,334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5,796,506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10,881,878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9,712,562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10,888,431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9,831,391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4,846,678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4,745,681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4,862,063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4,801,645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54,299,958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45,605,015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55,480,626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44,325,000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1,529,905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1,524,392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1,400,223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1,394,163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1,189,062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1,140,499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364,239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1,434,568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1,440,525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3,007,500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9,363,046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2,535,933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16,827,204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8,946,568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5,840,004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8,371,180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6,939,794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1,566,064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1,554,077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1,564,583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1,553,920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47,334,370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37,115,328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38,638,822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32,287,288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24,470,324</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24,193,533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23,971,434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23,662,459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Joint Venture</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23,707,969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24,914,858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18,390,440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Limited Partnership</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15,185,556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14,966,706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12,466,667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12,466,667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3,152,760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2,647,664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6,113,852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5,590,863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10,325,983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9,119,357</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10,398,713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9,213,417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10,605,382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10,603,568</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8,351,914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8,322,151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8,343,919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Textiles and Leather</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10,143,234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9,938,322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10,140,662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9,940,294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24,121,903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24,121,903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34,757,129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34,757,129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4,000,568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4,000,400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4,000,634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4,000,400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19,998,746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19,998,746</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9,999,349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9,999,349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335,152,064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282,465,354</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327,152,104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273,308,349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64"/>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60" w:firstLine="414"/>
        <w:spacing w:after="0" w:line="264" w:lineRule="auto"/>
        <w:rPr>
          <w:sz w:val="20"/>
          <w:szCs w:val="20"/>
          <w:color w:val="auto"/>
        </w:rPr>
      </w:pPr>
      <w:r>
        <w:rPr>
          <w:rFonts w:ascii="Arial" w:cs="Arial" w:eastAsia="Arial" w:hAnsi="Arial"/>
          <w:sz w:val="18"/>
          <w:szCs w:val="18"/>
          <w:color w:val="auto"/>
        </w:rPr>
        <w:t>At March 31, 2019 and December 31, 2018, the weighted average contractual interest rate on our loans and debt securities was approximately 9.5% and 10.0%, respectively. At March 31, 2019 and December 31, 2018, the weighted average contractual interest rate on our loans and debt securities, excluding non-accrual and partial non-accrual investments, was approximately 9.1% and 9.1%, respectively.</w:t>
      </w:r>
    </w:p>
    <w:p>
      <w:pPr>
        <w:spacing w:after="0" w:line="18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The investment portfolio (excluding the Company’s investment in Asset Manager Affiliates, CLO Fund Securities, and Joint Venture) at March 31, 2019 was spread across 20 different industries and 51 different entities with an average balance per entity of approximately $2.7 million. As of March 31, 2019 six of our investments were on non-accrual status. As of December 31, 2018 five of our investments were on non-accrual status.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right="60"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large cap public companies. At March 31, 2019 and December 31, 2018, the total amount of non-qualifying assets was approximately 29.7% and 28.0%, respectively. The majority of non-qualifying assets were foreign investments which were approximately 16.5% and 16.5%, respectively, of the Company’s total assets (including the Company’s investments in CLO Funds, which are typically domiciled outside the U.S. and represented approximately 15.6% and 15.5%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Disposed Manager Affiliates manage CLO Funds that invest in broadly syndicated loans, high yield bonds and other credit instruments. The CLO Funds managed by the Disposed Asset Manager Affiliates consist primarily of credit instruments issued by corporations. In connection with the LibreMax Transaction, on December 31, 2018, our wholly-owned subsidiary Commodore Holdings, LLC sold the Disposed Manager Affiliates, which represented substantially all of our investment in the Asset Manager Affiliates, to LibreMax for a cash purchase price of approximately $37.9 million. Accordingly, certain CLO Fund investments were reclassified from CLO Funds managed by affiliates to CLO funds managed by non-affiliates on December 31, 2018. As of March 31, 2019, our Asset Manager Affiliates had approximately $300 million of par value of assets under management, and which management fees were waived and thus were deemed to have no value. As of December 31, 2018, our Asset Manager Affiliates had approximately $300 million of par value of assets under management on which they earned management fees, and were valued at approximately $3.5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made minority investments in the subordinated securities or preferred shares of CLO Funds managed by the Disposed Manager Affiliates and may selectively invest in securities issued by CLO Funds managed by other asset management companies. As of March 31, 2019 and December 31, 2018, we had approximately $46 million and $44 million, respectively, invested in CLO Fund Securities, issued primarily by CLO Funds managed by the Disposed Manager Affiliates.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w:t>
      </w:r>
    </w:p>
    <w:p>
      <w:pPr>
        <w:spacing w:after="0" w:line="2" w:lineRule="exact"/>
        <w:rPr>
          <w:sz w:val="20"/>
          <w:szCs w:val="20"/>
          <w:color w:val="auto"/>
        </w:rPr>
      </w:pPr>
    </w:p>
    <w:p>
      <w:pPr>
        <w:ind w:left="5620" w:right="2620" w:hanging="5616"/>
        <w:spacing w:after="0" w:line="762" w:lineRule="auto"/>
        <w:rPr>
          <w:sz w:val="20"/>
          <w:szCs w:val="20"/>
          <w:color w:val="auto"/>
        </w:rPr>
      </w:pPr>
      <w:r>
        <w:rPr>
          <w:rFonts w:ascii="Arial" w:cs="Arial" w:eastAsia="Arial" w:hAnsi="Arial"/>
          <w:sz w:val="18"/>
          <w:szCs w:val="18"/>
          <w:color w:val="auto"/>
        </w:rPr>
        <w:t>— Risks Related to Our Investments — Our investments may be risky, and you could lose all or part of your investment.”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color w:val="auto"/>
        </w:rPr>
        <w:t>Our CLO Fund Securities as of March 31, 2019 and December 31, 2018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2480" w:type="dxa"/>
            <w:vAlign w:val="bottom"/>
            <w:gridSpan w:val="2"/>
          </w:tcPr>
          <w:p>
            <w:pPr>
              <w:ind w:left="760"/>
              <w:spacing w:after="0"/>
              <w:rPr>
                <w:sz w:val="20"/>
                <w:szCs w:val="20"/>
                <w:color w:val="auto"/>
              </w:rPr>
            </w:pPr>
            <w:r>
              <w:rPr>
                <w:rFonts w:ascii="Arial" w:cs="Arial" w:eastAsia="Arial" w:hAnsi="Arial"/>
                <w:sz w:val="18"/>
                <w:szCs w:val="18"/>
                <w:b w:val="1"/>
                <w:bCs w:val="1"/>
                <w:color w:val="auto"/>
              </w:rPr>
              <w:t>Investment</w:t>
            </w:r>
          </w:p>
        </w:tc>
        <w:tc>
          <w:tcPr>
            <w:tcW w:w="9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Katonah III, Ltd.</w:t>
            </w:r>
          </w:p>
        </w:tc>
        <w:tc>
          <w:tcPr>
            <w:tcW w:w="12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Notes</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369,280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Catamaran CLO 2013- 1 Ltd.</w:t>
            </w:r>
          </w:p>
        </w:tc>
        <w:tc>
          <w:tcPr>
            <w:tcW w:w="24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6,371,659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7,506,434</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6,378,611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7,016,733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Catamaran CLO 2014-1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10,316,641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9,112,278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11,740,622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9,777,251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line="206" w:lineRule="exact"/>
              <w:rPr>
                <w:sz w:val="20"/>
                <w:szCs w:val="20"/>
                <w:color w:val="auto"/>
              </w:rPr>
            </w:pPr>
            <w:r>
              <w:rPr>
                <w:rFonts w:ascii="Arial" w:cs="Arial" w:eastAsia="Arial" w:hAnsi="Arial"/>
                <w:sz w:val="18"/>
                <w:szCs w:val="18"/>
                <w:color w:val="auto"/>
              </w:rPr>
              <w:t>Great Lakes KCAP F3C Senior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540" w:type="dxa"/>
            <w:vAlign w:val="bottom"/>
            <w:gridSpan w:val="2"/>
          </w:tcPr>
          <w:p>
            <w:pPr>
              <w:ind w:left="180"/>
              <w:spacing w:after="0" w:line="266" w:lineRule="exact"/>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2</w:t>
            </w:r>
          </w:p>
        </w:tc>
        <w:tc>
          <w:tcPr>
            <w:tcW w:w="2480" w:type="dxa"/>
            <w:vAlign w:val="bottom"/>
            <w:gridSpan w:val="2"/>
          </w:tcPr>
          <w:p>
            <w:pPr>
              <w:spacing w:after="0"/>
              <w:rPr>
                <w:sz w:val="20"/>
                <w:szCs w:val="20"/>
                <w:color w:val="auto"/>
              </w:rPr>
            </w:pPr>
            <w:r>
              <w:rPr>
                <w:rFonts w:ascii="Arial" w:cs="Arial" w:eastAsia="Arial" w:hAnsi="Arial"/>
                <w:sz w:val="18"/>
                <w:szCs w:val="18"/>
                <w:color w:val="auto"/>
              </w:rPr>
              <w:t>Class E Notes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4,416,048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4,400,213</w:t>
            </w:r>
          </w:p>
        </w:tc>
        <w:tc>
          <w:tcPr>
            <w:tcW w:w="2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4,407,106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4,473,840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2,014,262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1,438,701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Catamaran CLO 2014-2 Ltd.</w:t>
            </w:r>
          </w:p>
        </w:tc>
        <w:tc>
          <w:tcPr>
            <w:tcW w:w="24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6,316,361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2,591,820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6,314,484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2,158,200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4,303,600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3,157,769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4,353,347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3,048,698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Catamaran CLO 2016-1 Ltd.</w:t>
            </w:r>
          </w:p>
        </w:tc>
        <w:tc>
          <w:tcPr>
            <w:tcW w:w="248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9,620,439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7,502,959</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9,717,150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7,067,073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Catamaran CLO 2018-1 Ltd.</w:t>
            </w: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10,199,316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8,950,000</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9,843,450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54,299,958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45,605,015</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55,480,626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44,325,000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percentage of class held at March 31, 2019.</w:t>
      </w:r>
    </w:p>
    <w:p>
      <w:pPr>
        <w:spacing w:after="0" w:line="23"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Other than KCAP F3C Senior Funding LLC, none of our CLO Fund securities investments were managed by affiliates as of December 31, 2018.</w:t>
      </w:r>
    </w:p>
    <w:p>
      <w:pPr>
        <w:spacing w:after="0" w:line="218"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Great Lakes KCAP F3C Senior Funding, L.L.C. (formerly known as KCAP F3C Senior Funding, L.L.C.) (the “Fund”) managed by KCAP Management, LLC, one of the Asset Manager Affiliates. In addition, the Fund used cash on hand and borrowings under a credit facility to purchase approximately $184 million of primarily middle-market loans from the Company and the Company used the proceeds from such sale to redeem approximately $147 million in debt issued by KCAP Senior Funding I, LLC (“KCAP Senior Funding”). The Fund invests primarily in middle-market loans and the Joint Venture partners may source middle-market loans from time-to-time for the Fund.</w:t>
      </w:r>
    </w:p>
    <w:p>
      <w:pPr>
        <w:spacing w:after="0" w:line="192"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58"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The Company owns a 60% equity investment in the Joint Venture. 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58" w:lineRule="exact"/>
        <w:rPr>
          <w:sz w:val="20"/>
          <w:szCs w:val="20"/>
          <w:color w:val="auto"/>
        </w:rPr>
      </w:pPr>
    </w:p>
    <w:p>
      <w:pPr>
        <w:jc w:val="both"/>
        <w:ind w:right="80" w:firstLine="324"/>
        <w:spacing w:after="0" w:line="255" w:lineRule="auto"/>
        <w:rPr>
          <w:sz w:val="20"/>
          <w:szCs w:val="20"/>
          <w:color w:val="auto"/>
        </w:rPr>
      </w:pPr>
      <w:r>
        <w:rPr>
          <w:rFonts w:ascii="Arial" w:cs="Arial" w:eastAsia="Arial" w:hAnsi="Arial"/>
          <w:sz w:val="18"/>
          <w:szCs w:val="18"/>
          <w:color w:val="auto"/>
        </w:rPr>
        <w:t>In connection with the Externalization, during the first quarter of 2019, KCAP Management agreed to waive management fees it is otherwise entitled to receive for managing the Fund. In addition, the Joint Venture was restructured such that the Company is now entitled to receive a preferred distribution in an amount equal to the fees waived by KCAP Management. The impact of these transactions is a reduction in the fair value of the Asset Manager Affiliates and increase the fair value of the Company’s investment in the Joint Venture. The reduction in the fair value of the Asset Manager Affiliates was recognized as a realized loss on the Statement of Operations. The increase in the fair value of the Company’s investment in the Joint Venture was recognized as an unrealized gain in the Statement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right="80" w:firstLine="324"/>
        <w:spacing w:after="0" w:line="257" w:lineRule="auto"/>
        <w:rPr>
          <w:sz w:val="20"/>
          <w:szCs w:val="20"/>
          <w:color w:val="auto"/>
        </w:rPr>
      </w:pPr>
      <w:r>
        <w:rPr>
          <w:rFonts w:ascii="Arial" w:cs="Arial" w:eastAsia="Arial" w:hAnsi="Arial"/>
          <w:sz w:val="18"/>
          <w:szCs w:val="18"/>
          <w:color w:val="auto"/>
        </w:rPr>
        <w:t>The Company has determined that the Joint Venture is an investment company under Accounting Standards Codification (“ASC”), Financial 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As of</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March 31, 2019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4"/>
          </w:tcPr>
          <w:p>
            <w:pPr>
              <w:ind w:left="60"/>
              <w:spacing w:after="0"/>
              <w:rPr>
                <w:sz w:val="20"/>
                <w:szCs w:val="20"/>
                <w:color w:val="auto"/>
              </w:rPr>
            </w:pPr>
            <w:r>
              <w:rPr>
                <w:rFonts w:ascii="Arial" w:cs="Arial" w:eastAsia="Arial" w:hAnsi="Arial"/>
                <w:sz w:val="18"/>
                <w:szCs w:val="18"/>
                <w:b w:val="1"/>
                <w:bCs w:val="1"/>
                <w:color w:val="auto"/>
                <w:w w:val="94"/>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at fair value</w:t>
            </w:r>
          </w:p>
        </w:tc>
        <w:tc>
          <w:tcPr>
            <w:tcW w:w="4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37,519,094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4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37,519,094</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Liabilities</w:t>
            </w:r>
          </w:p>
        </w:tc>
        <w:tc>
          <w:tcPr>
            <w:tcW w:w="49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50"/>
              <w:spacing w:after="0"/>
              <w:rPr>
                <w:sz w:val="20"/>
                <w:szCs w:val="20"/>
                <w:color w:val="auto"/>
              </w:rPr>
            </w:pPr>
            <w:r>
              <w:rPr>
                <w:rFonts w:ascii="Arial" w:cs="Arial" w:eastAsia="Arial" w:hAnsi="Arial"/>
                <w:sz w:val="18"/>
                <w:szCs w:val="18"/>
                <w:color w:val="auto"/>
              </w:rPr>
              <w:t>1,541,539</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1,970,455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4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35,977,555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30,650,733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37,519,094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32,621,188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980" w:type="dxa"/>
            <w:vAlign w:val="bottom"/>
            <w:gridSpan w:val="3"/>
          </w:tcPr>
          <w:p>
            <w:pPr>
              <w:jc w:val="center"/>
              <w:ind w:right="710"/>
              <w:spacing w:after="0"/>
              <w:rPr>
                <w:sz w:val="20"/>
                <w:szCs w:val="20"/>
                <w:color w:val="auto"/>
              </w:rPr>
            </w:pPr>
            <w:r>
              <w:rPr>
                <w:rFonts w:ascii="Arial" w:cs="Arial" w:eastAsia="Arial" w:hAnsi="Arial"/>
                <w:sz w:val="18"/>
                <w:szCs w:val="18"/>
                <w:b w:val="1"/>
                <w:bCs w:val="1"/>
                <w:color w:val="auto"/>
                <w:w w:val="95"/>
              </w:rPr>
              <w:t>KCAP Freedom 3 LLC</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980" w:type="dxa"/>
            <w:vAlign w:val="bottom"/>
            <w:gridSpan w:val="3"/>
          </w:tcPr>
          <w:p>
            <w:pPr>
              <w:jc w:val="center"/>
              <w:ind w:right="710"/>
              <w:spacing w:after="0"/>
              <w:rPr>
                <w:sz w:val="20"/>
                <w:szCs w:val="20"/>
                <w:color w:val="auto"/>
              </w:rPr>
            </w:pPr>
            <w:r>
              <w:rPr>
                <w:rFonts w:ascii="Arial" w:cs="Arial" w:eastAsia="Arial" w:hAnsi="Arial"/>
                <w:sz w:val="18"/>
                <w:szCs w:val="18"/>
                <w:color w:val="auto"/>
                <w:w w:val="89"/>
              </w:rPr>
              <w:t>Summarized Statement of Operations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00" w:type="dxa"/>
            <w:vAlign w:val="bottom"/>
            <w:gridSpan w:val="4"/>
          </w:tcPr>
          <w:p>
            <w:pPr>
              <w:ind w:left="40"/>
              <w:spacing w:after="0"/>
              <w:rPr>
                <w:sz w:val="20"/>
                <w:szCs w:val="20"/>
                <w:color w:val="auto"/>
              </w:rPr>
            </w:pPr>
            <w:r>
              <w:rPr>
                <w:rFonts w:ascii="Arial" w:cs="Arial" w:eastAsia="Arial" w:hAnsi="Arial"/>
                <w:sz w:val="18"/>
                <w:szCs w:val="18"/>
                <w:b w:val="1"/>
                <w:bCs w:val="1"/>
                <w:color w:val="auto"/>
              </w:rPr>
              <w:t>For the three months</w:t>
            </w:r>
          </w:p>
        </w:tc>
        <w:tc>
          <w:tcPr>
            <w:tcW w:w="4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18"/>
                <w:szCs w:val="18"/>
                <w:b w:val="1"/>
                <w:bCs w:val="1"/>
                <w:color w:val="auto"/>
                <w:w w:val="96"/>
              </w:rPr>
              <w:t>For the three months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00" w:type="dxa"/>
            <w:vAlign w:val="bottom"/>
            <w:gridSpan w:val="4"/>
          </w:tcPr>
          <w:p>
            <w:pPr>
              <w:spacing w:after="0"/>
              <w:rPr>
                <w:sz w:val="20"/>
                <w:szCs w:val="20"/>
                <w:color w:val="auto"/>
              </w:rPr>
            </w:pPr>
            <w:r>
              <w:rPr>
                <w:rFonts w:ascii="Arial" w:cs="Arial" w:eastAsia="Arial" w:hAnsi="Arial"/>
                <w:sz w:val="18"/>
                <w:szCs w:val="18"/>
                <w:b w:val="1"/>
                <w:bCs w:val="1"/>
                <w:color w:val="auto"/>
              </w:rPr>
              <w:t>ended March 31, 2019</w:t>
            </w: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w w:val="95"/>
              </w:rPr>
              <w:t>ended 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1,151,386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Operating expenses</w:t>
            </w:r>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17,512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1,133,874</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Unrealized appreciation on investments</w:t>
            </w:r>
          </w:p>
        </w:tc>
        <w:tc>
          <w:tcPr>
            <w:tcW w:w="4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5,326,822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503,920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6,460,696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100" w:type="dxa"/>
            <w:vAlign w:val="bottom"/>
            <w:vMerge w:val="restart"/>
          </w:tcPr>
          <w:p>
            <w:pPr>
              <w:jc w:val="center"/>
              <w:spacing w:after="0"/>
              <w:rPr>
                <w:sz w:val="20"/>
                <w:szCs w:val="20"/>
                <w:color w:val="auto"/>
              </w:rPr>
            </w:pPr>
            <w:r>
              <w:rPr>
                <w:rFonts w:ascii="Arial" w:cs="Arial" w:eastAsia="Arial" w:hAnsi="Arial"/>
                <w:sz w:val="18"/>
                <w:szCs w:val="18"/>
                <w:color w:val="auto"/>
                <w:w w:val="89"/>
              </w:rPr>
              <w:t>77</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by Joint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Venture</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3"/>
              </w:rPr>
              <w:t>Great Lakes KCAP F3C Senior, LLC</w:t>
            </w:r>
            <w:r>
              <w:rPr>
                <w:rFonts w:ascii="Arial" w:cs="Arial" w:eastAsia="Arial" w:hAnsi="Arial"/>
                <w:sz w:val="30"/>
                <w:szCs w:val="30"/>
                <w:color w:val="auto"/>
                <w:w w:val="93"/>
                <w:vertAlign w:val="superscript"/>
              </w:rPr>
              <w:t>(1)(2)(3)</w:t>
            </w:r>
          </w:p>
        </w:tc>
        <w:tc>
          <w:tcPr>
            <w:tcW w:w="120" w:type="dxa"/>
            <w:vAlign w:val="bottom"/>
            <w:tcBorders>
              <w:top w:val="single" w:sz="8" w:color="CCEEFF"/>
            </w:tcBorders>
            <w:vMerge w:val="restart"/>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11.4%, 12/29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42,207,464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37,519,094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42,207,464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37,519,094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50"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Formerly known as KCAP F3C Senior Funding,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Ownership</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by Joint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Venture</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 xml:space="preserve">KCAP F3C Senior Funding, LLC </w:t>
            </w:r>
            <w:r>
              <w:rPr>
                <w:rFonts w:ascii="Arial" w:cs="Arial" w:eastAsia="Arial" w:hAnsi="Arial"/>
                <w:sz w:val="30"/>
                <w:szCs w:val="30"/>
                <w:color w:val="auto"/>
                <w:vertAlign w:val="superscript"/>
              </w:rPr>
              <w:t>(1)(2)</w:t>
            </w:r>
          </w:p>
        </w:tc>
        <w:tc>
          <w:tcPr>
            <w:tcW w:w="120" w:type="dxa"/>
            <w:vAlign w:val="bottom"/>
            <w:tcBorders>
              <w:top w:val="single" w:sz="8" w:color="CCEEFF"/>
            </w:tcBorders>
            <w:vMerge w:val="restart"/>
            <w:shd w:val="clear" w:color="auto" w:fill="CCEEFF"/>
          </w:tcPr>
          <w:p>
            <w:pPr>
              <w:spacing w:after="0"/>
              <w:rPr>
                <w:sz w:val="19"/>
                <w:szCs w:val="19"/>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420" w:type="dxa"/>
            <w:vAlign w:val="bottom"/>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 12/29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42,636,380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32,621,188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3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42,636,380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32,621,188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months ended March 31, 2019 and 2018.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Investment Income on Investments in CLO Fund Securities</w:t>
      </w:r>
      <w:r>
        <w:rPr>
          <w:rFonts w:ascii="Arial" w:cs="Arial" w:eastAsia="Arial" w:hAnsi="Arial"/>
          <w:sz w:val="17"/>
          <w:szCs w:val="17"/>
          <w:color w:val="auto"/>
        </w:rPr>
        <w:t>. We generate investment income from our investments in the securities (typically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subordinated securities) of CLO Funds. We distinguish CLO Funds managed by its Asset Manager Affiliates as “CLO Fund Securities Managed by Affiliates”, in our consolidated financial statements. Since the Asset Manager Affiliates were owned throughout 2018 and sold on December 31, 2018, investment income on these CLO Fund securities is reflected on the statement of operations for the year of 2018 as “managed by affiliates”, while on the consolidated balance sheet at December 31, 2018 these investments are reflected as “managed by non-affiliates”. CLO Funds invest primarily in broadly syndicated non-investment grade loans, high-yield bonds and other credit instruments of corporate issuers.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Great Lakes KCAP F3C Senior Funding, LLC, interest is earned at a fixed spread relative to the LIBOR index.</w:t>
      </w:r>
    </w:p>
    <w:p>
      <w:pPr>
        <w:spacing w:after="0" w:line="170"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i w:val="1"/>
          <w:iCs w:val="1"/>
          <w:color w:val="auto"/>
        </w:rPr>
        <w:t xml:space="preserve">Distributions from Asset Manager Affiliates. </w:t>
      </w:r>
      <w:r>
        <w:rPr>
          <w:rFonts w:ascii="Arial" w:cs="Arial" w:eastAsia="Arial" w:hAnsi="Arial"/>
          <w:sz w:val="18"/>
          <w:szCs w:val="18"/>
          <w:color w:val="auto"/>
        </w:rPr>
        <w:t>Substantially all of the investment in the Asset Manager Affiliates was sold on December 31, 2018. Prior</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we have received cash distributions from the Asset Manager Affiliates, which manage CLO Funds that invest primarily in broadly syndicated non-investment grade loans, high yield bonds and other credit instruments issued by corporations. As managers of CLO Funds, the Asset Manager Affiliates receive contractual and recurring management fees from the CLO Funds for their management and advisory services. In addition, the Asset Manager Affiliates may also earn income related to net interest on assets accumulated for future CLO issuances on which they have taken a first loss position in connection with loan warehouse arrangements for their future CLO Funds.</w:t>
      </w:r>
    </w:p>
    <w:p>
      <w:pPr>
        <w:spacing w:after="0" w:line="193"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As a result of tax-basis goodwill amortization and certain other tax-related adjustments, portions of distributions received may be deemed return of capital. The fair value of our investment in our Asset Manager Affiliates was de minims at March 31, 2019. There were no distributions from the Asset Manager Affiliates during the first quarter of 2019.For the three months ended March 31, 2018, we recognized dividend income of $320,000 from the Asset Manager Affiliates, while cash distributions received were approximately $820,000. The difference between cash distributions received and the tax-basis earnings and profits is recorded as an adjustment to the cost basis of the Asset Manager Affiliates investments.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The aggregate of par value of assets under management by our Asset Manager Affiliates was $300 million as of March 31, 2019 and December 31, 2018.</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9" w:name="page80"/>
    <w:bookmarkEnd w:id="79"/>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Investment in Joint Venture. </w:t>
      </w:r>
      <w:r>
        <w:rPr>
          <w:rFonts w:ascii="Arial" w:cs="Arial" w:eastAsia="Arial" w:hAnsi="Arial"/>
          <w:sz w:val="18"/>
          <w:szCs w:val="18"/>
          <w:color w:val="auto"/>
        </w:rPr>
        <w:t>For the three months ended March 31, 2019 and 2018, the Company recognized $950,000 and $700,000, respectively, in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income from its investment in the Joint Venture. As of March 31, 2019 and December 31, 2018, the fair value of the Company’s investment in the Joint Venture was approximately $23.7 million and $18.4 million, respectively. For interim periods, the Company recognizes investment income on its investment in the Joint Venture based upon its share of the estimated earnings and profits of the Joint Venture.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8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460" w:firstLine="324"/>
        <w:spacing w:after="0" w:line="312" w:lineRule="auto"/>
        <w:rPr>
          <w:sz w:val="20"/>
          <w:szCs w:val="20"/>
          <w:color w:val="auto"/>
        </w:rPr>
      </w:pPr>
      <w:r>
        <w:rPr>
          <w:rFonts w:ascii="Arial" w:cs="Arial" w:eastAsia="Arial" w:hAnsi="Arial"/>
          <w:sz w:val="16"/>
          <w:szCs w:val="16"/>
          <w:color w:val="auto"/>
        </w:rPr>
        <w:t>Investment income for the three months ended March 31, 2019 and 2018 was approximately $5.8 million and $6.8 million, respectively. Of these amounts, approximately $2.9 million and $3.8 million, respectively was attributable to interest income on our Debt Securities Portfolio. The decrease in interest income on our Debt Securities Portfolio was primarily the result of additional investments placed on non-accrual status since the prior period.</w:t>
      </w:r>
    </w:p>
    <w:p>
      <w:pPr>
        <w:spacing w:after="0" w:line="147"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At March 31, 2019 and December 31, 2018, the weighted average contractual interest rate on our loans and debt securities was approximately 9.5% and 10.0%, respectively. At March 31, 2019 and December 31, 2018, the weighted average contractual interest rate on our loans and debt securities, excluding non-accrual and partial non-accrual investments, was approximately 9.1% and 9.1%, respectively.</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For the three months ended March 31, 2019 and 2018, approximately $1.8 million and $1.9 million, respectively, of investment income was attributable to investments in CLO Fund Securities. On a tax basis, the Company recognized $1.6 million and $1.1 million of taxable distributable income on distributions from our CLO Fund Securities during the three month periods ended March 31, 2019 and 2018,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Through March 31, 2019 we were internally managed, and directly incurred the cost of management and operations. As a result, we paid no investment management fees or other fees to an external advisor. Our expenses consisted primarily of interest expense on outstanding borrowings, compensation expense and general and administrative expenses, including professional fees. Interest and compensation expense are typically our largest expenses each period. Subsequent to the Closing, we will be externally managed and will no longer have any employees. However, in connection with the Advisory Agreement, we will pay the Adviser certain investment advisory fees and will reimburse the Adviser and Administrator for certain expenses incurred in connection with the services they provide. See “Payment of Our Expenses under the Advisory and Administration Agreements” for further information.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i w:val="1"/>
          <w:iCs w:val="1"/>
          <w:color w:val="auto"/>
        </w:rPr>
        <w:t>Compensation Expense</w:t>
      </w:r>
      <w:r>
        <w:rPr>
          <w:rFonts w:ascii="Arial" w:cs="Arial" w:eastAsia="Arial" w:hAnsi="Arial"/>
          <w:sz w:val="16"/>
          <w:szCs w:val="16"/>
          <w:color w:val="auto"/>
        </w:rPr>
        <w:t>. Compensation expense includes base salaries, bonuses, stock compensation, employee benefits and employer-related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Following the Closing, we will no longer have any employees and therefore will not have any related expenses.</w:t>
      </w:r>
    </w:p>
    <w:p>
      <w:pPr>
        <w:spacing w:after="0" w:line="154"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Total expenses for the three months ended March 31, 2019 and 2018 were approximately $8.0 million and $4.4 million, respectively. For the three months ended March 31, 2019, the Company incurred approximately $3.4 million in total expenses in connection with the Externalization. For the three months ended March 31, 2019 and 2018, interest expense and amortization on debt issuance costs for the period was approximately $1.8 million and $1.9 million, respectively, on average debt outstanding of $101 million and $107 million, respectively.</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For the three months ended March 31, 2019 and 2018, approximately $3.7 million and $1.2 million of expenses were attributable to employee compensation, including salaries, bonuses, employee benefits, payroll taxes and stock-based compensation expense, respectively. For the three months ended March 31, 2019, the Company incurred approximately $2.2 million in compensation expense (primarily severance) in connection with the Externalization. For the three months ended March 31, 2019 and 2018, respectively, professional fees and insurance expenses totaled approximately $1.8 million and $792,000. For the three months ended March 31, 2019, the Company incurred approximately $1.0 million in professional fees in connection with the Externalization. Administrative costs, which include occupancy expense, technology and other office expenses, totaled approximately $748,000 and $502,000 for the three months ended March 31, 2019 and 2018, respectively. For the three months ended March 31, 2019, the Company incurred approximately $187,000 in administrative costs in connection with the Externalization.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 and Net Realized Gains (Losses)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Net (loss) investment income and net realized gains (losses) represents the change in stockholder’s equity before net unrealized appreciation or depreciation on investments. For the three months ended March 31, 2019, net investment loss and net realized losses were approximately $(15.5) million, or $(0.42) per share. For the three months ended March 31, 2018, net investment income and net realized gains were approximately $2.5 million, or $0.07 per share. Net investment (loss)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the three months ended March 31, 2019, U.S. GAAP-basis net investment loss was approximately $(2.2) million or $(0.06) per share, while tax-basis distributable income was approximately $(1.7 million) or $(0.05) per share. For the three months ended March 31, 2018, U.S. GAAP-basis net investment income was approximately $2.5 million or $0.07 per basic share, while tax-basis distributable income was approximately $2.1 million or $0.06 per share.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three months ended March 31, 2019, our total investments had net unrealized appreciation of approximately $4.6 million. Included in the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 for the three months ended March 31, 2019, are unrealized appreciation on CLO Fund Securities of approximately $2.5 million, net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unrealized depreciation on equity securities of approximately $5.1 million, no unrealized on the Asset Manager Affiliates, as well as an unrealized gain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 million on our Joint Venture investment and unrealized appreciation on our debt securities of approximately $1.9 million. During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31, 2018, our total investments had net unrealized appreciation of approximately $315,000. Included in the net unrealized gain in 2018 are unrealized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appreciation on CLO Fund Securities of approximately $129,000 unrealized appreciation and on equity securities of approximately $64,000, as well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unrealized appreciation of the Asset Manager Affiliates of $314,000, an unrealized gain of $251,000 on our Joint Venture investment and unrealized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depreciation on our debt securities of $443,000.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net decrease in stockholders’ equity resulting from operations for the three months ended March 31, 2019 was $10.9 million, or $(0.29) per basic share. Net increase in stockholders’ equity resulting from operations for the three months ended March 31, 2018 was $2.6 million, or $0.07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w w:val="97"/>
              </w:rPr>
              <w:t>As of March 31, 2019 and December 31, 2018 the fair value of investments and cash were as follows: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7"/>
          </w:tcPr>
          <w:p>
            <w:pPr>
              <w:ind w:left="26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00" w:type="dxa"/>
            <w:vAlign w:val="bottom"/>
          </w:tcPr>
          <w:p>
            <w:pPr>
              <w:spacing w:after="0"/>
              <w:rPr>
                <w:sz w:val="19"/>
                <w:szCs w:val="19"/>
                <w:color w:val="auto"/>
              </w:rPr>
            </w:pPr>
          </w:p>
        </w:tc>
        <w:tc>
          <w:tcPr>
            <w:tcW w:w="14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March 31, 2019</w:t>
            </w:r>
          </w:p>
        </w:tc>
        <w:tc>
          <w:tcPr>
            <w:tcW w:w="14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December 31, 2018</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3,288,010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1,466,002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3,907,341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44,120,648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44,756,478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Senior Secured Loan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73,489,758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77,616,209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78,249,650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70,245,535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Senior Unsecured Bond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456,974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45,605,015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16,835,340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14,504,687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23,707,969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18,390,440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3,470,000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287,219,366</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282,632,815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March 31, 2019, we had approximately $121 of par value of outstanding borrowings and our asset coverage ratio of total assets to total borrowings was 216%,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recently enacted Small Business Credit Availability Act (the “SBCA”) has modified the 1940 Act by allowing a BDC to increase the maximum amount of leverage it may incur from an asset coverage ratio of 200% to an asset coverage ratio of 150%, if certain requirements are met. On March 29, 2018, the Company’s Board of Directors, including a “required majority” (as such term is defined in Section 57(o) of the 1940 Act) of its Board of Directors, approved the modified asset coverage requirements set forth in Section 61(a)(2) of the 1940 Act, as amended by the SBCA. As a result, the Company’s asset coverage requirements for senior securities changed from 200% to 150%, effective as of March 29, 2019. We will continue to be prohibited by the indentures governing our 6.125% Notes (each, as defined and discussed in Note 6- “Borrowings”) from making distributions on our common stock if our asset coverage, as defined in the 1940 Act, falls below 200%.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ind w:right="380" w:firstLine="324"/>
        <w:spacing w:after="0" w:line="291" w:lineRule="auto"/>
        <w:rPr>
          <w:sz w:val="20"/>
          <w:szCs w:val="20"/>
          <w:color w:val="auto"/>
        </w:rPr>
      </w:pPr>
      <w:r>
        <w:rPr>
          <w:rFonts w:ascii="Arial" w:cs="Arial" w:eastAsia="Arial" w:hAnsi="Arial"/>
          <w:sz w:val="16"/>
          <w:szCs w:val="16"/>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w:t>
      </w:r>
    </w:p>
    <w:p>
      <w:pPr>
        <w:ind w:right="180"/>
        <w:spacing w:after="0" w:line="281" w:lineRule="auto"/>
        <w:rPr>
          <w:sz w:val="20"/>
          <w:szCs w:val="20"/>
          <w:color w:val="auto"/>
        </w:rPr>
      </w:pPr>
      <w:r>
        <w:rPr>
          <w:rFonts w:ascii="Arial" w:cs="Arial" w:eastAsia="Arial" w:hAnsi="Arial"/>
          <w:sz w:val="16"/>
          <w:szCs w:val="16"/>
          <w:color w:val="auto"/>
        </w:rPr>
        <w:t>6.125% Notes Due 2022 is paid quarterly in arrears on March 30, June 30, September 30 and December 30, at a rate of 6.125% commencing September 30, 2017. The 6.125% Notes Due 2022 mature on September 30, 2022, and are senior unsecured obligations of the Company. In addition, due to the asset coverage requirement currently applicable to the Company as a BDC and a covenant that the Company agreed to in connection with the issuance of the</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6.125% Notes Due 2022, the Company is limited in its ability to make distributions if its asset coverage, as defined in the 1940 Act, is below 200% at the time of the declaration of the distribution. As a result, despite the SBCA, the Company will continue to be prohibited by the indenture governing the 6.125% Notes Due 2022 from making distributions on its common stock if its asset coverage, as defined in the 1940 Act, falls below 200%. At March 31, 2019,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179"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On March 1, 2018, Great Lakes KCAP Funding I, LLC (“Funding”), our wholly owned subsidiary, entered into a senior secured revolving credit facility (the “Revolving Credit Facility”) with certain institutional lenders, State Bank and Trust Company, as the administrative agent, lead arranger and bookrunner, CIBC Bank USA, as documentation agent and us, as the servicer. The maximum commitment amount of the Revolving Credit Facility was increased on March 27, 2019 to $57.5 million, and on April 1, 2019 to $67.5 million, subject to availability under the borrowing base. Borrowings under the Revolving Credit Facility bear interest at a rate per annum equal to (i) in the case of LIBOR rate loans, an adjusted LIBOR rate for the applicable interest period plus</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3.25% or (ii) in the case of base rate loans, the prime rate plus 3.25%. Funding will pay a fee on any undrawn amounts of 0.375% per annum; provided that if 50% or less of the Revolving Credit Facility is drawn, the fee will be 0.50% per annum. We intend to use the proceeds from borrowings under the Revolving Credit Facility for general corporate purposes, including to acquire certain qualifying loans, and such other uses as permitted under the Loan and Security Agreement.</w:t>
      </w:r>
    </w:p>
    <w:p>
      <w:pPr>
        <w:spacing w:after="0" w:line="19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maturity date is the earliest of: (a) March 1, 2022 and (b) the date upon which all loans shall become due and payable in full, whether by acceleration or otherwise. The Revolving Credit Facility is secured by all of the assets held by Funding, and we have pledged our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March 31, 2019, Funding was in compliance with all of its debt covenants. As of March 31, 2019, $43.9 million principal amount of borrowings was outstanding under the Revolving Credit Facility. Interest on borrowings under the Revolving Credit Facility is paid monthly. Borrowings under the Revolving Credit Facility are subject to redemption in whole or in part at any time or from time to time, at the option of the Funding.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During the third quarter of 2017, we entered into an agreement with Freedom 3 Opportunities, an affiliate of Freedom 3 Capital LLC, entered into an agreement to create the Joint Venture See “Investment in Joint Venture,” above for further information.</w:t>
      </w:r>
    </w:p>
    <w:p>
      <w:pPr>
        <w:spacing w:after="0" w:line="170"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In connection with the Externalization, during the first quarter of 2019, KCAP Management agreed to waive management fees it is otherwise entitled to receive for managing Great Lakes KCAP FC3 Senior, LLC (formerly known as KCAP F3C Senior Funding, LLC). In addition, the Joint Venture was restructured such that the Company is now entitled to receive a preferred distribution in an amount equal to the fees waived by KCAP Management. The impact of these transactions is a reduction in the fair value of the Asset Manager Affiliates and increase the fair value of the Company’s investment in the Joint Venture. The reduction in the fair value of the Asset Manager Affiliates was recognized as a realized loss on the Statement of Operations. The increase in the fair value of the Company’s investment in the Joint Venture was recognized as an unrealized gain in the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Great Lakes and Asset Purchase Letter Agreement</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Company has invested in BCP Great Lakes Fund LP (the “BCP Great Lakes Partnership”), which in turn has invested in BCP Great Lakes Holdings LP, a vehicle formed as a co-investment vehicle to facilitate the participation of certain co-investors to invest, directly or indirectly, in Great Lakes Funding LLC. The investment strategy of BCP Great Lakes Funding, LLC is to underwrite and hold senior, secured unitranche loans made to middle-market companies. The Company does not pay any advisory fees in connection with its investment in the BCP Great Lakes Partnership.</w:t>
      </w:r>
    </w:p>
    <w:p>
      <w:pPr>
        <w:spacing w:after="0" w:line="17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fair value of the Company’s investment in the BCP Great Lakes Partnership at March 31, 2019 was $15.2 million. Fair value has been determined utilizing the practical expedient pursuant to ASC 820-10. Pursuant to the terms of the BGP Great Lakes Fund LP Amended and Restated Exempted Limited Partnership Agreement (the “BCP Great Lakes Partnership Agreement”), the Company generally may not sell, exchange, assign, pledge or otherwise transfer its interest, in whole or in part, without the prior written consent of the General Partner which consent may be given or withheld in its sole and absolute discretion, and may be conditioned upon repayment of its share of indebtedness incurred by the Partnership.</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right="20" w:firstLine="324"/>
        <w:spacing w:after="0" w:line="259" w:lineRule="auto"/>
        <w:rPr>
          <w:sz w:val="20"/>
          <w:szCs w:val="20"/>
          <w:color w:val="auto"/>
        </w:rPr>
      </w:pPr>
      <w:r>
        <w:rPr>
          <w:rFonts w:ascii="Arial" w:cs="Arial" w:eastAsia="Arial" w:hAnsi="Arial"/>
          <w:sz w:val="18"/>
          <w:szCs w:val="18"/>
          <w:color w:val="auto"/>
        </w:rPr>
        <w:t>In March 2019, the Company increased its aggregate commitment to the BCP Great Lakes Partnership to $50 million, subject to certain limitations (including that the Company is not obligated to fund capital calls if such funding would cause the Company to be out of compliance with certain provisions of the Investment Company Act of 1940). As of March 31, 2019, the Company had a $34.8 million unfunded commitment to the BCP Great Lakes Partnership, subject to the limitations noted above.</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December 12, 2018, we and BCP entered into a letter agreement (the “Asset Purchase Letter Agreement”) pursuant to which we and BCP each agreed to use commercially reasonable efforts to effect the sale by BCP (or its affiliates or advisory clients of its affiliates), in one or more transactions, of certain assets held by BCP (or its affiliates or advisory clients thereof) that, taken together, have an aggregate principal amount of approximately $75 million, less $25 million of aggregate amount of capital contributions made by us to The BCP Great Lakes Partnership. As of March 31, 2019, we had purchased or entered into agreements to purchase loans for an aggregate purchase price of approximately $51.5 million.</w:t>
      </w:r>
    </w:p>
    <w:p>
      <w:pPr>
        <w:spacing w:after="0" w:line="17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“Part I. Item 1. Business — Regulation — Common Stock”.” of our Annual Report on Form 10-K for the year ended December 31, 2018. 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divestures, spin-offs, joint ventures and other similar transactions from time to time.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98.2% of our capital gains, if any, in excess of capital losses for the one-year period ending on October 31 of the calendar year; and</w:t>
      </w:r>
    </w:p>
    <w:p>
      <w:pPr>
        <w:spacing w:after="0" w:line="236"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170"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changed from 200% to 150%, effective as of March 29, 2019. However, despite the SBCA, we will continue to be prohibited by the indentures governing our 6.125% Notes Due 2022 from making distributions on our common stock if our asset coverage, as defined in the 1940 Act, falls below 200%. In any such event, we would be prohibited from making distributions required in order to maintain our status as a RIC.</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Declaration</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Distribution</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Date</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3/20/2019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4/5/2019</w:t>
            </w:r>
          </w:p>
        </w:tc>
        <w:tc>
          <w:tcPr>
            <w:tcW w:w="1240" w:type="dxa"/>
            <w:vAlign w:val="bottom"/>
          </w:tcPr>
          <w:p>
            <w:pPr>
              <w:jc w:val="right"/>
              <w:spacing w:after="0"/>
              <w:rPr>
                <w:sz w:val="20"/>
                <w:szCs w:val="20"/>
                <w:color w:val="auto"/>
              </w:rPr>
            </w:pPr>
            <w:r>
              <w:rPr>
                <w:rFonts w:ascii="Arial" w:cs="Arial" w:eastAsia="Arial" w:hAnsi="Arial"/>
                <w:sz w:val="18"/>
                <w:szCs w:val="18"/>
                <w:color w:val="auto"/>
              </w:rPr>
              <w:t>4/26/2019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2019</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12/12/2018</w:t>
            </w:r>
          </w:p>
        </w:tc>
        <w:tc>
          <w:tcPr>
            <w:tcW w:w="136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1/7/2019</w:t>
            </w:r>
            <w:r>
              <w:rPr>
                <w:rFonts w:ascii="Arial" w:cs="Arial" w:eastAsia="Arial" w:hAnsi="Arial"/>
                <w:sz w:val="29"/>
                <w:szCs w:val="29"/>
                <w:color w:val="auto"/>
                <w:vertAlign w:val="superscript"/>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9/18/2018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6/19/2018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7/6/2018</w:t>
            </w:r>
          </w:p>
        </w:tc>
        <w:tc>
          <w:tcPr>
            <w:tcW w:w="1240" w:type="dxa"/>
            <w:vAlign w:val="bottom"/>
          </w:tcPr>
          <w:p>
            <w:pPr>
              <w:jc w:val="right"/>
              <w:spacing w:after="0"/>
              <w:rPr>
                <w:sz w:val="20"/>
                <w:szCs w:val="20"/>
                <w:color w:val="auto"/>
              </w:rPr>
            </w:pPr>
            <w:r>
              <w:rPr>
                <w:rFonts w:ascii="Arial" w:cs="Arial" w:eastAsia="Arial" w:hAnsi="Arial"/>
                <w:sz w:val="18"/>
                <w:szCs w:val="18"/>
                <w:color w:val="auto"/>
              </w:rPr>
              <w:t>7/27/2018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3/20/2018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2018</w:t>
            </w:r>
          </w:p>
        </w:tc>
        <w:tc>
          <w:tcPr>
            <w:tcW w:w="16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2017:</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12/13/2017</w:t>
            </w:r>
          </w:p>
        </w:tc>
        <w:tc>
          <w:tcPr>
            <w:tcW w:w="136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9/22/2017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10/10/2017</w:t>
            </w:r>
          </w:p>
        </w:tc>
        <w:tc>
          <w:tcPr>
            <w:tcW w:w="1240" w:type="dxa"/>
            <w:vAlign w:val="bottom"/>
          </w:tcPr>
          <w:p>
            <w:pPr>
              <w:jc w:val="right"/>
              <w:spacing w:after="0"/>
              <w:rPr>
                <w:sz w:val="20"/>
                <w:szCs w:val="20"/>
                <w:color w:val="auto"/>
              </w:rPr>
            </w:pPr>
            <w:r>
              <w:rPr>
                <w:rFonts w:ascii="Arial" w:cs="Arial" w:eastAsia="Arial" w:hAnsi="Arial"/>
                <w:sz w:val="18"/>
                <w:szCs w:val="18"/>
                <w:color w:val="auto"/>
              </w:rPr>
              <w:t>10/26/2017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6/20/2017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3/21/2017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4/7/2017</w:t>
            </w:r>
          </w:p>
        </w:tc>
        <w:tc>
          <w:tcPr>
            <w:tcW w:w="1240" w:type="dxa"/>
            <w:vAlign w:val="bottom"/>
          </w:tcPr>
          <w:p>
            <w:pPr>
              <w:jc w:val="right"/>
              <w:spacing w:after="0"/>
              <w:rPr>
                <w:sz w:val="20"/>
                <w:szCs w:val="20"/>
                <w:color w:val="auto"/>
              </w:rPr>
            </w:pPr>
            <w:r>
              <w:rPr>
                <w:rFonts w:ascii="Arial" w:cs="Arial" w:eastAsia="Arial" w:hAnsi="Arial"/>
                <w:sz w:val="18"/>
                <w:szCs w:val="18"/>
                <w:color w:val="auto"/>
              </w:rPr>
              <w:t>4/28/2017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2017</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¹Since the record date of this distribution is subsequent to year-end, it is a subsequent year tax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March 31, 2019 and December 31, 2018, the Company had approximately $35.9 million and $12.9 million commitments to fund investments,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March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460" w:type="dxa"/>
            <w:vAlign w:val="bottom"/>
            <w:gridSpan w:val="3"/>
          </w:tcPr>
          <w:p>
            <w:pPr>
              <w:jc w:val="right"/>
              <w:ind w:right="545"/>
              <w:spacing w:after="0"/>
              <w:rPr>
                <w:sz w:val="20"/>
                <w:szCs w:val="20"/>
                <w:color w:val="auto"/>
              </w:rPr>
            </w:pPr>
            <w:r>
              <w:rPr>
                <w:rFonts w:ascii="Arial" w:cs="Arial" w:eastAsia="Arial" w:hAnsi="Arial"/>
                <w:sz w:val="18"/>
                <w:szCs w:val="18"/>
                <w:b w:val="1"/>
                <w:bCs w:val="1"/>
                <w:color w:val="auto"/>
                <w:w w:val="93"/>
              </w:rPr>
              <w:t>1 - 3 years</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121,278,283</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121,278,283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Obligations under long-term lease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4,192,027</w:t>
            </w:r>
          </w:p>
        </w:tc>
        <w:tc>
          <w:tcPr>
            <w:tcW w:w="240" w:type="dxa"/>
            <w:vAlign w:val="bottom"/>
          </w:tcPr>
          <w:p>
            <w:pPr>
              <w:spacing w:after="0"/>
              <w:rPr>
                <w:sz w:val="20"/>
                <w:szCs w:val="20"/>
                <w:color w:val="auto"/>
              </w:rPr>
            </w:pPr>
          </w:p>
        </w:tc>
        <w:tc>
          <w:tcPr>
            <w:tcW w:w="280" w:type="dxa"/>
            <w:vAlign w:val="bottom"/>
          </w:tcPr>
          <w:p>
            <w:pPr>
              <w:jc w:val="right"/>
              <w:ind w:right="12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590,065</w:t>
            </w:r>
          </w:p>
        </w:tc>
        <w:tc>
          <w:tcPr>
            <w:tcW w:w="260" w:type="dxa"/>
            <w:vAlign w:val="bottom"/>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1,600,872</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1,600,872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400,218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We follow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660" w:hanging="328"/>
        <w:spacing w:after="0" w:line="286"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65" w:lineRule="exact"/>
        <w:rPr>
          <w:rFonts w:ascii="Arial" w:cs="Arial" w:eastAsia="Arial" w:hAnsi="Arial"/>
          <w:sz w:val="17"/>
          <w:szCs w:val="17"/>
          <w:color w:val="auto"/>
        </w:rPr>
      </w:pPr>
    </w:p>
    <w:p>
      <w:pPr>
        <w:ind w:left="660" w:right="100" w:hanging="328"/>
        <w:spacing w:after="0" w:line="276"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6" w:name="page87"/>
    <w:bookmarkEnd w:id="86"/>
    <w:p>
      <w:pPr>
        <w:ind w:left="660" w:right="80" w:hanging="328"/>
        <w:spacing w:after="0" w:line="293"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We assess of the significance of a particular input to the fair value measurement in its entirety requires judgment, and the Company considers factors specific to the investment. The majority of our investments are classified as Level III. We evaluate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Our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carry investments in joint ventures at fair value based upon the fair value of the investments held by the joint venture.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right="6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March 31, 2019, six of our investments were on non-accrual status.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82"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right="16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Great Lakes KCAP F3C Senior, L.L.C.,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from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 a result of the Closing we will no longer issue stock options or restricted stock under the Equity Incentive Plan or the 2008 Non-Employee Director Plan. The 1940 Act does not permit externally managed investment companies and BDCs to issue or have outstanding options or restricted stock granted to directors and employees. Immediately prior to the Closing, by virtue of the Externalization and subject to the execution of an option cancellation agreement, each option to purchase shares of the Company’s common stock granted under the Company’s 2008 Non-Employee Director Plan that was outstanding immediately prior to the Externalization (each, a “Company Stock Option”) was cancelled in exchange for the payment in cash to the holder thereof.</w:t>
      </w:r>
    </w:p>
    <w:p>
      <w:pPr>
        <w:spacing w:after="0" w:line="158"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Immediately prior to the Closing, each restricted share of the Company (the “Company Restricted Share”) outstanding and not previously forfeited under the Company’s Equity Incentive Plan and the Company’s Non-Employee Director Plan became fully vested, all restrictions with respect to such Company Restricted Shares lapsed, and the holders of such Company Restricted Shares became entitled to receive a pro rata share of the Stockholder Payment.</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 The following table sets forth the quarterly distributions declared by us for the 2019, 2018 and 2017 calendar years.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9" w:name="page90"/>
    <w:bookmarkEnd w:id="89"/>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Declaration</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Record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Distribution</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Date</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3/20/2019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4/5/2019</w:t>
            </w:r>
          </w:p>
        </w:tc>
        <w:tc>
          <w:tcPr>
            <w:tcW w:w="1240" w:type="dxa"/>
            <w:vAlign w:val="bottom"/>
          </w:tcPr>
          <w:p>
            <w:pPr>
              <w:jc w:val="right"/>
              <w:spacing w:after="0"/>
              <w:rPr>
                <w:sz w:val="20"/>
                <w:szCs w:val="20"/>
                <w:color w:val="auto"/>
              </w:rPr>
            </w:pPr>
            <w:r>
              <w:rPr>
                <w:rFonts w:ascii="Arial" w:cs="Arial" w:eastAsia="Arial" w:hAnsi="Arial"/>
                <w:sz w:val="18"/>
                <w:szCs w:val="18"/>
                <w:color w:val="auto"/>
              </w:rPr>
              <w:t>4/26/2019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2019</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12/12/2018</w:t>
            </w:r>
          </w:p>
        </w:tc>
        <w:tc>
          <w:tcPr>
            <w:tcW w:w="136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1/7/2019</w:t>
            </w:r>
            <w:r>
              <w:rPr>
                <w:rFonts w:ascii="Arial" w:cs="Arial" w:eastAsia="Arial" w:hAnsi="Arial"/>
                <w:sz w:val="29"/>
                <w:szCs w:val="29"/>
                <w:color w:val="auto"/>
                <w:vertAlign w:val="superscript"/>
              </w:rPr>
              <w: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1/31/2019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9/18/2018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6/19/2018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7/6/2018</w:t>
            </w:r>
          </w:p>
        </w:tc>
        <w:tc>
          <w:tcPr>
            <w:tcW w:w="1240" w:type="dxa"/>
            <w:vAlign w:val="bottom"/>
          </w:tcPr>
          <w:p>
            <w:pPr>
              <w:jc w:val="right"/>
              <w:spacing w:after="0"/>
              <w:rPr>
                <w:sz w:val="20"/>
                <w:szCs w:val="20"/>
                <w:color w:val="auto"/>
              </w:rPr>
            </w:pPr>
            <w:r>
              <w:rPr>
                <w:rFonts w:ascii="Arial" w:cs="Arial" w:eastAsia="Arial" w:hAnsi="Arial"/>
                <w:sz w:val="18"/>
                <w:szCs w:val="18"/>
                <w:color w:val="auto"/>
              </w:rPr>
              <w:t>7/27/2018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3/20/2018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2018</w:t>
            </w:r>
          </w:p>
        </w:tc>
        <w:tc>
          <w:tcPr>
            <w:tcW w:w="16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2017:</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18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12/13/2017</w:t>
            </w:r>
          </w:p>
        </w:tc>
        <w:tc>
          <w:tcPr>
            <w:tcW w:w="1360" w:type="dxa"/>
            <w:vAlign w:val="bottom"/>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9/22/2017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10/10/2017</w:t>
            </w:r>
          </w:p>
        </w:tc>
        <w:tc>
          <w:tcPr>
            <w:tcW w:w="1240" w:type="dxa"/>
            <w:vAlign w:val="bottom"/>
          </w:tcPr>
          <w:p>
            <w:pPr>
              <w:jc w:val="right"/>
              <w:spacing w:after="0"/>
              <w:rPr>
                <w:sz w:val="20"/>
                <w:szCs w:val="20"/>
                <w:color w:val="auto"/>
              </w:rPr>
            </w:pPr>
            <w:r>
              <w:rPr>
                <w:rFonts w:ascii="Arial" w:cs="Arial" w:eastAsia="Arial" w:hAnsi="Arial"/>
                <w:sz w:val="18"/>
                <w:szCs w:val="18"/>
                <w:color w:val="auto"/>
              </w:rPr>
              <w:t>10/26/2017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6/20/2017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18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3/21/2017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4/7/2017</w:t>
            </w:r>
          </w:p>
        </w:tc>
        <w:tc>
          <w:tcPr>
            <w:tcW w:w="1240" w:type="dxa"/>
            <w:vAlign w:val="bottom"/>
          </w:tcPr>
          <w:p>
            <w:pPr>
              <w:jc w:val="right"/>
              <w:spacing w:after="0"/>
              <w:rPr>
                <w:sz w:val="20"/>
                <w:szCs w:val="20"/>
                <w:color w:val="auto"/>
              </w:rPr>
            </w:pPr>
            <w:r>
              <w:rPr>
                <w:rFonts w:ascii="Arial" w:cs="Arial" w:eastAsia="Arial" w:hAnsi="Arial"/>
                <w:sz w:val="18"/>
                <w:szCs w:val="18"/>
                <w:color w:val="auto"/>
              </w:rPr>
              <w:t>4/28/2017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2017</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¹Since the record date of this distribution is subsequent to year-end, it is a subsequent year tax event.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March 31, 2019, approximately 78% of our Debt Securities Portfolio were either floating rate with a spread to an interest rate index such as LIBOR or the prime rate. Most of these floating rate loans contain LIBOR floors ranging between 1.00% and 1.50%. We generally expect that future portfolio investments will predominately be floating rate investments. As of March 31, 2019, we had $121.3 million (par value) of borrowings outstanding at a current weighted average rate of 6.0%, of which $77.4 million par value had a fixed rate and $43.9 million par value has a floating rate.</w:t>
      </w:r>
    </w:p>
    <w:p>
      <w:pPr>
        <w:spacing w:after="0" w:line="17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6.125% Notes Due 2022 would remain the same, given that this debt is at a fixed rate, while the interest rate on borrowings under the Great Lakes KCAP Funding I, LLC Revolving Credit Facility would fluctuate with changes in interest rates.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0" w:name="page91"/>
    <w:bookmarkEnd w:id="90"/>
    <w:p>
      <w:pPr>
        <w:ind w:right="6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March 31, 2019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gridSpan w:val="12"/>
          </w:tcPr>
          <w:p>
            <w:pPr>
              <w:ind w:left="2240"/>
              <w:spacing w:after="0"/>
              <w:rPr>
                <w:sz w:val="20"/>
                <w:szCs w:val="20"/>
                <w:color w:val="auto"/>
              </w:rPr>
            </w:pPr>
            <w:r>
              <w:rPr>
                <w:rFonts w:ascii="Arial" w:cs="Arial" w:eastAsia="Arial" w:hAnsi="Arial"/>
                <w:sz w:val="18"/>
                <w:szCs w:val="18"/>
                <w:b w:val="1"/>
                <w:bCs w:val="1"/>
                <w:color w:val="auto"/>
                <w:w w:val="89"/>
              </w:rPr>
              <w:t>Impact on net investment income from a change in interest rates at</w:t>
            </w:r>
            <w:r>
              <w:rPr>
                <w:rFonts w:ascii="Arial" w:cs="Arial" w:eastAsia="Arial" w:hAnsi="Arial"/>
                <w:sz w:val="18"/>
                <w:szCs w:val="18"/>
                <w:color w:val="auto"/>
                <w:w w:val="89"/>
              </w:rPr>
              <w:t>:</w:t>
            </w:r>
          </w:p>
        </w:tc>
      </w:tr>
      <w:tr>
        <w:trPr>
          <w:trHeight w:val="223"/>
        </w:trPr>
        <w:tc>
          <w:tcPr>
            <w:tcW w:w="396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2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2,226,337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3,303,983</w:t>
            </w:r>
          </w:p>
        </w:tc>
        <w:tc>
          <w:tcPr>
            <w:tcW w:w="100" w:type="dxa"/>
            <w:vAlign w:val="bottom"/>
            <w:shd w:val="clear" w:color="auto" w:fill="CCEEFF"/>
          </w:tcPr>
          <w:p>
            <w:pPr>
              <w:spacing w:after="0"/>
              <w:rPr>
                <w:sz w:val="18"/>
                <w:szCs w:val="18"/>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Decrease in interest rate</w:t>
            </w:r>
          </w:p>
        </w:tc>
        <w:tc>
          <w:tcPr>
            <w:tcW w:w="2600" w:type="dxa"/>
            <w:vAlign w:val="bottom"/>
            <w:gridSpan w:val="2"/>
          </w:tcPr>
          <w:p>
            <w:pPr>
              <w:ind w:left="2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(1,074,575)</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(1,595,136)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(1,542,088)</w:t>
            </w:r>
          </w:p>
        </w:tc>
      </w:tr>
    </w:tbl>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As shown above, net investment income assuming a 1% increase in interest rates would increase by approximately $1.1 million on an annualized basis. If the increase in rates was more significant, such as 2% or 3%, the net effect on net investment income would be an increase of approximately $2.2 million and $3.3 million, respectively.</w:t>
      </w:r>
    </w:p>
    <w:p>
      <w:pPr>
        <w:spacing w:after="0" w:line="18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On an annualized basis, a decrease in interest rates of 1%, 2% and 3% would result in a decrease in net investment income of approximately $1.1 million, $1.6 million and $1.5 million, respectively. The negative impact of a 3% decline in interest rates is less severe than the impact of a 2% decline in interest rates due to the impact of interest rate floors on certain of our floating rate investments, as there is no floor on our floating rate debt facility</w:t>
      </w:r>
    </w:p>
    <w:p>
      <w:pPr>
        <w:spacing w:after="0" w:line="1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March 31, 2019.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to ensure that information required to be disclosed by us in reports that we file or submit under the Exchange Acts recorded, processed, summarized, and reported within the time periods specified in the SEC’s rules and forms, and that information required to be disclosed by us in the reports that we file or submit under the Exchange Act is accumulated and communicated to our management, including our CEO and CFO, as appropriate to allow timely decisions regarding required disclosures of the end of the period covered by this report..</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since our last Annual Report filed on Form 10-K for the period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2018,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legislation may allow us to incur additional leverage.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1940 Act generally prohibits us from incurring indebtedness unless immediately after such borrowing we have an asset coverage for total borrowings of at least 200% (i.e., the amount of debt may not exceed 50% of the value of our assets). However, recent legislation has modified the 1940 Act by allowing a BDC to increase the maximum amount of leverage it may incur from an asset coverage ratio of 200% to an asset coverage ratio of 150%, if certain requirements are met. Under the legislation, we are allowed to increase our leverage capacity if shareholders representing at least a majority of the votes cast, when quorum is met, approve a proposal to do so. If we receive shareholder approval, we would be allowed to increase our leverage capacity on the first day after such approval. Alternatively, the legislation allows the “required majority” of our independent directors, as defined in Section 57(o) of the 1940 Act,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182"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As a result of this legislation, we may be able to increase our leverage up to an amount that reduces our asset coverage ratio from 200% to 150%. In accordance with the legislation, on March 29, 2018, our Board of Directors, including a “required majority,” approved the modified asset coverage requirements set forth in Section 61(a)(2) of the 1940 Act. As a result, our asset coverage requirements for senior securities changed from 200% to 150%, effective as of March 29, 2019.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Adviser has limited prior experience managing a BDC or a RIC.</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Adviser has limited experience managing a BDC or a RIC and may not be able to successfully operate our business or achieve our investment objective. As a result, an investment in our shares of common stock may entail more risk than the shares of common stock of a comparable company with a substantial operating history.</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1940 Act and the Code impose numerous constraints on the operations of BDCs and RICs that do not apply to the other types of investment vehicles previously managed by the Adviser’s management team. For example, under the 1940 Act, BDCs are required to invest at least 70% of their total assets primarily in securities of qualifying U.S. private or thinly-traded public companies. Moreover, qualification for RIC tax treatment under Subchapter M of the Code requires, among other things, satisfaction of source-of-income, asset diversification and other requirements. The failure to comply with these provisions in a timely manner could prevent us from qualifying as a BDC or RIC or could force us to pay unexpected taxes and penalties, which could be material. The Adviser’s limited experience in managing a portfolio of assets under such constraints may hinder its ability to take advantage of attractive investment opportunities and, as a result, achieve our investment objective.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ind w:right="260"/>
        <w:spacing w:after="0" w:line="277" w:lineRule="auto"/>
        <w:rPr>
          <w:sz w:val="20"/>
          <w:szCs w:val="20"/>
          <w:color w:val="auto"/>
        </w:rPr>
      </w:pPr>
      <w:r>
        <w:rPr>
          <w:rFonts w:ascii="Arial" w:cs="Arial" w:eastAsia="Arial" w:hAnsi="Arial"/>
          <w:sz w:val="18"/>
          <w:szCs w:val="18"/>
          <w:b w:val="1"/>
          <w:bCs w:val="1"/>
          <w:i w:val="1"/>
          <w:iCs w:val="1"/>
          <w:color w:val="auto"/>
        </w:rPr>
        <w:t>The Adviser and its affiliates, including our officers and some of our directors, face conflicts of interest caused by compensation arrangements with us and our affiliates, which could result in actions that are not in the best interests of our stockholders.</w:t>
      </w:r>
    </w:p>
    <w:p>
      <w:pPr>
        <w:spacing w:after="0" w:line="170" w:lineRule="exact"/>
        <w:rPr>
          <w:sz w:val="20"/>
          <w:szCs w:val="20"/>
          <w:color w:val="auto"/>
        </w:rPr>
      </w:pPr>
    </w:p>
    <w:p>
      <w:pPr>
        <w:jc w:val="both"/>
        <w:ind w:right="20" w:firstLine="324"/>
        <w:spacing w:after="0" w:line="288" w:lineRule="auto"/>
        <w:rPr>
          <w:sz w:val="20"/>
          <w:szCs w:val="20"/>
          <w:color w:val="auto"/>
        </w:rPr>
      </w:pPr>
      <w:r>
        <w:rPr>
          <w:rFonts w:ascii="Arial" w:cs="Arial" w:eastAsia="Arial" w:hAnsi="Arial"/>
          <w:sz w:val="16"/>
          <w:szCs w:val="16"/>
          <w:color w:val="auto"/>
        </w:rPr>
        <w:t>The Adviser and its affiliates will receive substantial fees from us in return for their services, including certain incentive fees based on the performance of our investments. These fees could influence the advice provided to us. Generally, the more equity we sell in private offerings and the greater the risk assumed by us with respect to our investments, the greater the potential for growth in our assets and profits, and, correlatively, the fees payable by us to our Adviser.</w:t>
      </w:r>
    </w:p>
    <w:p>
      <w:pPr>
        <w:ind w:right="240"/>
        <w:spacing w:after="0" w:line="261" w:lineRule="auto"/>
        <w:rPr>
          <w:sz w:val="20"/>
          <w:szCs w:val="20"/>
          <w:color w:val="auto"/>
        </w:rPr>
      </w:pPr>
      <w:r>
        <w:rPr>
          <w:rFonts w:ascii="Arial" w:cs="Arial" w:eastAsia="Arial" w:hAnsi="Arial"/>
          <w:sz w:val="18"/>
          <w:szCs w:val="18"/>
          <w:color w:val="auto"/>
        </w:rPr>
        <w:t>These compensation arrangements could affect our Adviser’s or its affiliates’ judgment with respect to private offerings of equity and investments made by us, which allow our Adviser to earn increased asset management fees.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obligated to pay the Adviser incentive compensation even if we incur a net loss due to a decline in the value of our portfolio.</w:t>
      </w:r>
    </w:p>
    <w:p>
      <w:pPr>
        <w:spacing w:after="0" w:line="23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Advisory Agreement entitles the Adviser to receive incentive compensation on income regardless of any capital losses. In such case, we may be required to pay the Adviser incentive compensation for a fiscal quarter even if there is a decline in the value of our portfolio or if we incur a net loss for that quarter.</w:t>
      </w:r>
    </w:p>
    <w:p>
      <w:pPr>
        <w:spacing w:after="0" w:line="181"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Any incentive fee payable by us that relates to our net investment income may be computed and paid on income that may include interest that has been accrued, but not yet received, including original issue discount, which may arise if we receive fees in connection with the origination of a loan or possibly in other circumstances, or contractual “payment-in-kind,” or PIK, interest, which represents contractual interest added to the loan balance and due at the end of the loan term. To the extent we do not distribute accrued PIK interest, the deferral of PIK interest has the simultaneous effects of increasing the assets under management and increasing the base management fee at a compounding rate, while generating investment income and increasing the incentive fee at a compounding rate. In addition, the deferral of PIK interest would also increase the loan-to-value ratio at a compounding rate if the issuer’s assets do not increase in value, and investments with a deferred interest feature, such as PIK interest, may represent a higher credit risk than loans on which interest must be paid in full in cash on a regular basis.</w:t>
      </w:r>
    </w:p>
    <w:p>
      <w:pPr>
        <w:spacing w:after="0" w:line="17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For example, if a portfolio company defaults on a loan that is structured to provide accrued interest, it is possible that accrued interest previously included in the calculation of the incentive fee will become uncollectible. The Adviser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our paying an incentive fee on income we never received.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conflicts of interest related to obligations that the Adviser’s senior management and investment team has to other clients.</w:t>
      </w:r>
    </w:p>
    <w:p>
      <w:pPr>
        <w:spacing w:after="0" w:line="23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members of the senior management and investment team of the Adviser serve or may serve as officers, directors or principals of entities that operate in the same or a related line of business as we do, or of investment funds managed by the same personnel. In serving in these multiple capacities, they may have obligations to other clients or investors in those entities, the fulfillment of which may not be in our best interests or in the best interest of our stockholders. Our investment objective may overlap with the investment objectives of such investment funds, accounts or other investment vehicles. In particular, we rely on the Adviser to manage our day-to-day activities and to implement our investment strategy. The Adviser and certain of its affiliates are presently, and plan in the future to continue to be, involved with activities that are unrelated to us. As a result of these activities, the Adviser, its officers and employees and certain of its affiliates will have conflicts of interest in allocating their time between us and other activities in which they are or may become involved, including the management of its affiliated funds. The Adviser and its officers and employees will devote only as much of its or their time to our business as the Adviser and its officers and employees, in their judgment, determine is reasonably required, which may be substantially less than their full time.</w:t>
      </w:r>
    </w:p>
    <w:p>
      <w:pPr>
        <w:spacing w:after="0" w:line="178"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We rely, in part, on the Adviser to assist with identifying and executing upon investment opportunities and on the Board of Directors to review and approve the terms of our participation in co-investment transactions with the Adviser and its affiliates. The Adviser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Adviser, its affiliates and their officers and employees will not be devoted exclusively to our business, but will be allocated between us and such other business activities of the Adviser and its affiliates in a manner that the Adviser deems necessary and appropriate.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4" w:name="page95"/>
    <w:bookmarkEnd w:id="94"/>
    <w:p>
      <w:pPr>
        <w:ind w:firstLine="324"/>
        <w:spacing w:after="0" w:line="257" w:lineRule="auto"/>
        <w:rPr>
          <w:sz w:val="20"/>
          <w:szCs w:val="20"/>
          <w:color w:val="auto"/>
        </w:rPr>
      </w:pPr>
      <w:r>
        <w:rPr>
          <w:rFonts w:ascii="Arial" w:cs="Arial" w:eastAsia="Arial" w:hAnsi="Arial"/>
          <w:sz w:val="18"/>
          <w:szCs w:val="18"/>
          <w:color w:val="auto"/>
        </w:rPr>
        <w:t>An affiliate of the Adviser manages BC Partners Lending Corporation (“BCPL”), which is a BDC that will invest primarily in debt and equity of privately-held middle market companies, similar to those we target for investment. Therefore, there may be certain investment opportunities that satisfy the investment criteria for BCPL and us. BCPL operates as a distinct and separate company and any investment in our common stock will not be an investment in BCPL. In addition, certain of our executive officers serve in substantially similar capacities for BCPL and three of our independent directors serve as independent directors of BCPL.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Neither the Adviser nor individuals employed by the Adviser are generally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 On October 23, 2018, the SEC issued an order granting an application for exemptive relief to an affiliate of the Adviser that allows BDCs managed by the Adviser, including the Company, to co-invest, subject to the satisfaction of certain conditions, in certain private placement transactions, with other funds managed by the Adviser or its affiliates, including BCP Special Opportunities Fund I LP, BCPL and any future funds that are advised by the Adviser or its affiliated investment advisers. Affiliates of the Adviser, whose primary business includes the origination of investments, engage in investment advisory business with accounts that compete with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base management and incentive fees may induce the Adviser to make speculative investments or to incur leverage.</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incentive fee payable by us to the Adviser may create an incentive for our Adviser to make investments on our behalf that are risky or more speculative than would be the case in the absence of such compensation arrangement. The way in which the incentive fee payable to the Adviser is determined may encourage our Adviser to use leverage to increase the leveraged return on our investment portfolio. The part of the management and incentive fees payable to the Adviser that relates to our net investment income is computed and paid on income that may include interest income that has been accrued but not yet received in cash, such as market discount, debt instruments with PIK interest, preferred stock with PIK dividends and zero coupon securities. This fee structure may be considered to involve a conflict of interest for the Adviser to the extent that it may encourage the Adviser to favor debt financings that provide for deferred interest, rather than current cash payments of interest.</w:t>
      </w:r>
    </w:p>
    <w:p>
      <w:pPr>
        <w:spacing w:after="0" w:line="17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addition, the fact that our base management fee is payable based upon our gross assets, which would include any borrowings for investment purposes, may encourage the Adviser to use leverage to make additional investments. Under certain circumstances, the use of leverage may increase the likelihood of defaulting on our borrowings, which would disfavor holders of our common stock. Such a practice could result in our investing in more speculative securities than would otherwise be in our best interests, which could result in higher investment losses, particularly during cyclical economic downturns.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our common stock may be purchased by the Adviser or its affiliates.</w:t>
      </w:r>
    </w:p>
    <w:p>
      <w:pPr>
        <w:spacing w:after="0" w:line="22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Adviser and its affiliates may purchase shares of our common stock for any reason deemed appropriate; provided, however, that it is intended that neither the Adviser nor its respective affiliates will hold 5% or more of our outstanding shares of common stock. The Adviser and its affiliates will not acquire any shares of our common stock with the intention to resell or re-distribute such shares. The purchase of common stock by the Adviser and its affiliates could create certain risks, including, but not limited to, the following:</w:t>
      </w:r>
    </w:p>
    <w:p>
      <w:pPr>
        <w:spacing w:after="0" w:line="187" w:lineRule="exact"/>
        <w:rPr>
          <w:sz w:val="20"/>
          <w:szCs w:val="20"/>
          <w:color w:val="auto"/>
        </w:rPr>
      </w:pPr>
    </w:p>
    <w:p>
      <w:pPr>
        <w:ind w:left="980" w:right="24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Adviser and its affiliates may have an interest in disposing of our assets at an earlier date so as to recover their investment in our common stock;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substantial purchases of shares by the Adviser and its affiliates may limit the Adviser’s ability to fulfill any financial obligations that it may have to us or incurred on our behalf.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Adviser relies on key personnel, the loss of any of whom could impair its ability to successfully manage us.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95" w:name="page96"/>
    <w:bookmarkEnd w:id="95"/>
    <w:p>
      <w:pPr>
        <w:ind w:right="300" w:firstLine="324"/>
        <w:spacing w:after="0" w:line="264" w:lineRule="auto"/>
        <w:rPr>
          <w:sz w:val="20"/>
          <w:szCs w:val="20"/>
          <w:color w:val="auto"/>
        </w:rPr>
      </w:pPr>
      <w:r>
        <w:rPr>
          <w:rFonts w:ascii="Arial" w:cs="Arial" w:eastAsia="Arial" w:hAnsi="Arial"/>
          <w:sz w:val="18"/>
          <w:szCs w:val="18"/>
          <w:color w:val="auto"/>
        </w:rPr>
        <w:t>Our future success depends, to a significant extent, on the continued services of the officers and employees of the Adviser or its affiliates. The loss of services of one or more members of the Adviser’s management team, including members of our investment team, could adversely affect our financial condition, business and results of operations.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Adviser may retain additional consultants, advisors and/or operating partners to provide services to the Company, and such additional personnel will perform similar functions and duties for other organizations which may give rise to conflicts of interest.</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BC Partners LLP may work with or alongside one or more consultants, advisors (including senior advisors and CEOs) and/or operating partners who are retained by BC Partners LLP on a consultancy or retainer or other basis, to provide services to the Company and other entities sponsored by BC Partners LLP including the sourcing of investments and other investment-related and support services. The functions undertaken by such persons with respect to the Company and any of its investments will not be exclusive and such persons may perform similar functions and duties for other organizations which may give rise to conflicts of interest. Such persons may also be appointed to the board of directors of companies and have other business interests which give rise to conflicts of interest with the interests of the Company or a portfolio entity of the Company. Stockholders should note that such persons may retain compensation that will not offset the base management fee payable to the Adviser, including that: (i) such persons are permitted to retain all directors’ fees, monitoring fees and other compensation received by them in respect of acting as a director or officer of, or providing other services to, a portfolio entity and such amounts shall not be credited against the base management fee; and (ii) certain of such persons may be paid a deal fee, a consultancy fee or other compensation where they are involved in a specific project relating to the Company, which fee will be paid either by the Company or, if applicable, the relevant portfolio entity.</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compensation we pay to the Adviser was determined without independent assessment on our behalf, and these terms may be less advantageous to us than if such terms had been the subject of arm’s-length negotiations.</w:t>
      </w:r>
    </w:p>
    <w:p>
      <w:pPr>
        <w:spacing w:after="0" w:line="17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compensation we pay to the Adviser was not entered into on an arm’s-length basis with an unaffiliated third party. As a result, the form and amount of such compensation may be less favorable to us than they might have been had these been entered into through arm’s-length transactions with an unaffiliated third party.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Adviser’s influence on conducting our operations gives it the ability to increase its fees, which may reduce the amount of cash flow available for distribution to our stockholders.</w:t>
      </w:r>
    </w:p>
    <w:p>
      <w:pPr>
        <w:spacing w:after="0" w:line="170"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The Adviser is paid a base management fee calculated as a percentage of our gross assets and unrelated to net income or any other performance base or measure. The Adviser may advise us to consummate transactions or conduct our operations in a manner that, in the Adviser’s reasonable discretion, is in the best interests of our stockholders. These transactions, however, may increase the amount of fees paid to the Adviser. The Adviser’s ability to influence the base management fee paid to it by us could reduce the amount of cash flow available for distribution to our stockholders.</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March 31, 2019, we issued a total of 15,434 shares of common stock under our dividend reinvestment plan (“DRIP”). This issuance was not subject to the registration requirements of the Securities Act of 1933. For the three months ended March 31, 2019, the aggregate value of the shares of our common stock issued under our DRIP was approximately $56,000.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96" w:name="page97"/>
    <w:bookmarkEnd w:id="96"/>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On May 9, 2019 our Board of Directors set the date of our annual meeting of July 10, 2019. This date is more than 30 days after the anniversary of our 2018 annual meeting and so we have reopened the period for the furnishing of shareholder proposals to be included in the proxy statement under applicable SEC rules, and such period will now expire on May 20, 2019. The deadline for nominations or other proposals under the Company’s bylaws is now also May 20, 2019.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Effective May 9, 2019 (the “Effective Date”), Daniel P. Gilligan resigned from his position as Chief Compliance Officer of the Company.</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the Effective Date, Andrew Devine was appointed Chief Compliance Officer of the Company upon Mr. Gilligan’s resignation. Mr. Devine, 41, joined BC Partners LLP in 2015 as the Head of Compliance for BC Partners LLP in London and has served as Chief Compliance Officer of BC Partners Lending Corp., a business development company that is advised by an affiliate of BC Partners LLP, since April 2018. Mr. Devine started his career at the UK Financial Conduct Authority in their Enforcement Division, where he spent five years from 2001 to 2007. Mr. Devine then worked at Standard and Poor’s from 2007 to 2008, PwC Legal from 2008 to 2009, Apax Partners from 2010 to 2013 and Partners Capital from 2014 to 2015, before joining BC Partners. Mr. Devine holds a degree in law from Lancaster University and is a qualified UK regulatory lawyer.</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is no arrangement or understanding between Mr. Devine and any other person pursuant to which he was appointed Chief Compliance Officer, nor is there any family relationship between Mr. Devine and any of our directors or other executive officers. There are no transactions since the beginning of our last fiscal year, or any currently proposed transaction, in which we are a participant, the amount involved exceeds $120,000, and in which Mr. Devine had, or will have, a direct or indirect material interest.</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Arial" w:cs="Arial" w:eastAsia="Arial" w:hAnsi="Arial"/>
                <w:sz w:val="18"/>
                <w:szCs w:val="18"/>
                <w:color w:val="auto"/>
              </w:rPr>
              <w:t>PORTMAN RIDGE FINANCE CORPORATION</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May 10,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Edward Goldthorpe</w:t>
            </w:r>
          </w:p>
        </w:tc>
      </w:tr>
      <w:tr>
        <w:trPr>
          <w:trHeight w:val="195"/>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1"/>
              </w:rPr>
              <w:t>Edward Goldthorpe</w:t>
            </w:r>
          </w:p>
        </w:tc>
      </w:tr>
      <w:tr>
        <w:trPr>
          <w:trHeight w:val="216"/>
        </w:trPr>
        <w:tc>
          <w:tcPr>
            <w:tcW w:w="35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May 10, 2019</w:t>
            </w:r>
          </w:p>
        </w:tc>
        <w:tc>
          <w:tcPr>
            <w:tcW w:w="2700" w:type="dxa"/>
            <w:vAlign w:val="bottom"/>
          </w:tcPr>
          <w:p>
            <w:pPr>
              <w:ind w:left="214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380" w:type="dxa"/>
            <w:vAlign w:val="bottom"/>
            <w:gridSpan w:val="7"/>
          </w:tcPr>
          <w:p>
            <w:pPr>
              <w:spacing w:after="0"/>
              <w:rPr>
                <w:sz w:val="20"/>
                <w:szCs w:val="20"/>
                <w:color w:val="auto"/>
              </w:rPr>
            </w:pPr>
            <w:r>
              <w:rPr>
                <w:rFonts w:ascii="Arial" w:cs="Arial" w:eastAsia="Arial" w:hAnsi="Arial"/>
                <w:sz w:val="18"/>
                <w:szCs w:val="18"/>
                <w:b w:val="1"/>
                <w:bCs w:val="1"/>
                <w:color w:val="auto"/>
                <w:w w:val="89"/>
              </w:rPr>
              <w:t>Table of Contents</w:t>
            </w:r>
          </w:p>
        </w:tc>
        <w:tc>
          <w:tcPr>
            <w:tcW w:w="4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Borders>
              <w:top w:val="single" w:sz="8" w:color="auto"/>
            </w:tcBorders>
            <w:gridSpan w:val="6"/>
            <w:vMerge w:val="restart"/>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580" w:type="dxa"/>
            <w:vAlign w:val="bottom"/>
            <w:gridSpan w:val="22"/>
          </w:tcPr>
          <w:p>
            <w:pPr>
              <w:ind w:left="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84"/>
        </w:trPr>
        <w:tc>
          <w:tcPr>
            <w:tcW w:w="1360" w:type="dxa"/>
            <w:vAlign w:val="bottom"/>
            <w:gridSpan w:val="6"/>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80" w:type="dxa"/>
            <w:vAlign w:val="bottom"/>
            <w:gridSpan w:val="7"/>
          </w:tcPr>
          <w:p>
            <w:pPr>
              <w:spacing w:after="0"/>
              <w:rPr>
                <w:sz w:val="20"/>
                <w:szCs w:val="20"/>
                <w:color w:val="auto"/>
              </w:rPr>
            </w:pPr>
            <w:r>
              <w:rPr>
                <w:rFonts w:ascii="Arial" w:cs="Arial" w:eastAsia="Arial" w:hAnsi="Arial"/>
                <w:sz w:val="18"/>
                <w:szCs w:val="18"/>
                <w:b w:val="1"/>
                <w:bCs w:val="1"/>
                <w:color w:val="auto"/>
              </w:rPr>
              <w:t>Number</w:t>
            </w:r>
          </w:p>
        </w:tc>
        <w:tc>
          <w:tcPr>
            <w:tcW w:w="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580" w:type="dxa"/>
            <w:vAlign w:val="bottom"/>
            <w:gridSpan w:val="22"/>
          </w:tcPr>
          <w:p>
            <w:pPr>
              <w:ind w:left="6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372"/>
        </w:trPr>
        <w:tc>
          <w:tcPr>
            <w:tcW w:w="320" w:type="dxa"/>
            <w:vAlign w:val="bottom"/>
            <w:tcBorders>
              <w:top w:val="single" w:sz="8" w:color="auto"/>
            </w:tcBorders>
            <w:gridSpan w:val="2"/>
          </w:tcPr>
          <w:p>
            <w:pPr>
              <w:spacing w:after="0"/>
              <w:rPr>
                <w:rFonts w:ascii="Arial" w:cs="Arial" w:eastAsia="Arial" w:hAnsi="Arial"/>
                <w:sz w:val="18"/>
                <w:szCs w:val="18"/>
                <w:color w:val="0000EE"/>
              </w:rPr>
            </w:pPr>
            <w:hyperlink r:id="rId22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top w:val="single" w:sz="8" w:color="auto"/>
            </w:tcBorders>
            <w:gridSpan w:val="24"/>
          </w:tcPr>
          <w:p>
            <w:pPr>
              <w:spacing w:after="0"/>
              <w:rPr>
                <w:rFonts w:ascii="Arial" w:cs="Arial" w:eastAsia="Arial" w:hAnsi="Arial"/>
                <w:sz w:val="18"/>
                <w:szCs w:val="18"/>
                <w:color w:val="0000EE"/>
                <w:w w:val="92"/>
              </w:rPr>
            </w:pPr>
            <w:hyperlink r:id="rId222">
              <w:r>
                <w:rPr>
                  <w:rFonts w:ascii="Arial" w:cs="Arial" w:eastAsia="Arial" w:hAnsi="Arial"/>
                  <w:sz w:val="18"/>
                  <w:szCs w:val="18"/>
                  <w:color w:val="0000EE"/>
                  <w:w w:val="92"/>
                </w:rPr>
                <w:t>Form of Certificate of Incorporation of Company (incorporated by reference to the exhibit included in Pre-Effective Amendment No. 1 on</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222">
              <w:r>
                <w:rPr>
                  <w:rFonts w:ascii="Arial" w:cs="Arial" w:eastAsia="Arial" w:hAnsi="Arial"/>
                  <w:sz w:val="18"/>
                  <w:szCs w:val="18"/>
                  <w:color w:val="0000EE"/>
                </w:rPr>
                <w:t>Form N-2, as filed on October 6, 2006 (File No. 333-136714)).</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84"/>
              </w:rPr>
            </w:pPr>
            <w:hyperlink r:id="rId223">
              <w:r>
                <w:rPr>
                  <w:rFonts w:ascii="Arial" w:cs="Arial" w:eastAsia="Arial" w:hAnsi="Arial"/>
                  <w:sz w:val="18"/>
                  <w:szCs w:val="18"/>
                  <w:color w:val="0000EE"/>
                  <w:w w:val="84"/>
                </w:rPr>
                <w:t>3.</w:t>
              </w:r>
              <w:r>
                <w:rPr>
                  <w:rFonts w:ascii="Arial" w:cs="Arial" w:eastAsia="Arial" w:hAnsi="Arial"/>
                  <w:sz w:val="18"/>
                  <w:szCs w:val="18"/>
                  <w:u w:val="single" w:color="auto"/>
                  <w:color w:val="0000EE"/>
                  <w:w w:val="84"/>
                </w:rPr>
                <w:t>1.1</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Certificate of Amendment to Certificate of Incorporation of Portman Ridge Finance Corporation (incorporated by reference to Exhibit 3.1</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223">
              <w:r>
                <w:rPr>
                  <w:rFonts w:ascii="Arial" w:cs="Arial" w:eastAsia="Arial" w:hAnsi="Arial"/>
                  <w:sz w:val="18"/>
                  <w:szCs w:val="18"/>
                  <w:color w:val="0000EE"/>
                </w:rPr>
                <w:t>of the Current Report on Form 8-K, as filed on April 2, 2019 (File No. 814-00735)).</w:t>
              </w:r>
            </w:hyperlink>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20" w:type="dxa"/>
            <w:vAlign w:val="bottom"/>
            <w:gridSpan w:val="2"/>
          </w:tcPr>
          <w:p>
            <w:pPr>
              <w:spacing w:after="0"/>
              <w:rPr>
                <w:rFonts w:ascii="Arial" w:cs="Arial" w:eastAsia="Arial" w:hAnsi="Arial"/>
                <w:sz w:val="18"/>
                <w:szCs w:val="18"/>
                <w:color w:val="0000EE"/>
              </w:rPr>
            </w:pPr>
            <w:hyperlink r:id="rId22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1"/>
              </w:rPr>
            </w:pPr>
            <w:hyperlink r:id="rId224">
              <w:r>
                <w:rPr>
                  <w:rFonts w:ascii="Arial" w:cs="Arial" w:eastAsia="Arial" w:hAnsi="Arial"/>
                  <w:sz w:val="18"/>
                  <w:szCs w:val="18"/>
                  <w:color w:val="0000EE"/>
                  <w:w w:val="91"/>
                </w:rPr>
                <w:t>Second Amended and Restated Bylaws of KCAP Financial, Inc., dated as of December 12, 2018 (incorporated by reference to Exhibit 3.1</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224">
              <w:r>
                <w:rPr>
                  <w:rFonts w:ascii="Arial" w:cs="Arial" w:eastAsia="Arial" w:hAnsi="Arial"/>
                  <w:sz w:val="18"/>
                  <w:szCs w:val="18"/>
                  <w:color w:val="0000EE"/>
                </w:rPr>
                <w:t>of the Current Report on Form 8-K, as filed on December 14, 2018 (File No. 814-0735)).</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84"/>
              </w:rPr>
            </w:pPr>
            <w:hyperlink r:id="rId225">
              <w:r>
                <w:rPr>
                  <w:rFonts w:ascii="Arial" w:cs="Arial" w:eastAsia="Arial" w:hAnsi="Arial"/>
                  <w:sz w:val="18"/>
                  <w:szCs w:val="18"/>
                  <w:color w:val="0000EE"/>
                  <w:w w:val="84"/>
                </w:rPr>
                <w:t>3.</w:t>
              </w:r>
              <w:r>
                <w:rPr>
                  <w:rFonts w:ascii="Arial" w:cs="Arial" w:eastAsia="Arial" w:hAnsi="Arial"/>
                  <w:sz w:val="18"/>
                  <w:szCs w:val="18"/>
                  <w:u w:val="single" w:color="auto"/>
                  <w:color w:val="0000EE"/>
                  <w:w w:val="84"/>
                </w:rPr>
                <w:t>2.1</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3"/>
              </w:rPr>
            </w:pPr>
            <w:hyperlink r:id="rId225">
              <w:r>
                <w:rPr>
                  <w:rFonts w:ascii="Arial" w:cs="Arial" w:eastAsia="Arial" w:hAnsi="Arial"/>
                  <w:sz w:val="18"/>
                  <w:szCs w:val="18"/>
                  <w:color w:val="0000EE"/>
                  <w:w w:val="93"/>
                </w:rPr>
                <w:t>Amendment No. 1 to the Second Amended and Restated Bylaws of Portman Ridge Finance Corporation (incorporated by reference to</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2"/>
              </w:rPr>
            </w:pPr>
            <w:hyperlink r:id="rId225">
              <w:r>
                <w:rPr>
                  <w:rFonts w:ascii="Arial" w:cs="Arial" w:eastAsia="Arial" w:hAnsi="Arial"/>
                  <w:sz w:val="18"/>
                  <w:szCs w:val="18"/>
                  <w:color w:val="0000EE"/>
                  <w:w w:val="92"/>
                </w:rPr>
                <w:t>Exhibit 3.2 of the Current Report on Form 8-K, as filed on April 2, 2019 (File No. 814-00735)).</w:t>
              </w:r>
            </w:hyperlink>
          </w:p>
        </w:tc>
        <w:tc>
          <w:tcPr>
            <w:tcW w:w="27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96"/>
              </w:rPr>
            </w:pPr>
            <w:hyperlink r:id="rId226">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1</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6"/>
              </w:rPr>
            </w:pPr>
            <w:hyperlink r:id="rId226">
              <w:r>
                <w:rPr>
                  <w:rFonts w:ascii="Arial" w:cs="Arial" w:eastAsia="Arial" w:hAnsi="Arial"/>
                  <w:sz w:val="18"/>
                  <w:szCs w:val="18"/>
                  <w:color w:val="0000EE"/>
                  <w:w w:val="96"/>
                </w:rPr>
                <w:t>Investment Advisory Agreement, dated April 1, 2019, by and between the Company and Sierra Crest Investment Management LLC</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EE"/>
            </w:tcBorders>
            <w:gridSpan w:val="10"/>
          </w:tcPr>
          <w:p>
            <w:pPr>
              <w:spacing w:after="0" w:line="182" w:lineRule="exact"/>
              <w:rPr>
                <w:rFonts w:ascii="Arial" w:cs="Arial" w:eastAsia="Arial" w:hAnsi="Arial"/>
                <w:sz w:val="18"/>
                <w:szCs w:val="18"/>
                <w:color w:val="0000EE"/>
                <w:w w:val="96"/>
              </w:rPr>
            </w:pPr>
            <w:hyperlink r:id="rId226">
              <w:r>
                <w:rPr>
                  <w:rFonts w:ascii="Arial" w:cs="Arial" w:eastAsia="Arial" w:hAnsi="Arial"/>
                  <w:sz w:val="18"/>
                  <w:szCs w:val="18"/>
                  <w:color w:val="0000EE"/>
                  <w:w w:val="96"/>
                </w:rPr>
                <w:t>(incorporated by reference to Exhibit 10.1 of the Current Report on Form 8-K, as filed on April 2, 2019 (File No. 814-00735)).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12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96"/>
              </w:rPr>
            </w:pPr>
            <w:hyperlink r:id="rId227">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2</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2"/>
              </w:rPr>
            </w:pPr>
            <w:hyperlink r:id="rId227">
              <w:r>
                <w:rPr>
                  <w:rFonts w:ascii="Arial" w:cs="Arial" w:eastAsia="Arial" w:hAnsi="Arial"/>
                  <w:sz w:val="18"/>
                  <w:szCs w:val="18"/>
                  <w:color w:val="0000EE"/>
                  <w:w w:val="92"/>
                </w:rPr>
                <w:t>Incentive Fee Letter Agreement, dated April 1, 2019, by and between the Company and BC Partners Management LLC (incorporated by</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r:id="rId227">
              <w:r>
                <w:rPr>
                  <w:rFonts w:ascii="Arial" w:cs="Arial" w:eastAsia="Arial" w:hAnsi="Arial"/>
                  <w:sz w:val="18"/>
                  <w:szCs w:val="18"/>
                  <w:color w:val="0000EE"/>
                </w:rPr>
                <w:t>reference to Exhibit 10.2 of the Current Report on Form 8-K, as filed on April 2, 2019 (File No. 814-00735)).</w:t>
              </w:r>
            </w:hyperlink>
          </w:p>
        </w:tc>
        <w:tc>
          <w:tcPr>
            <w:tcW w:w="6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96"/>
              </w:rPr>
            </w:pPr>
            <w:hyperlink r:id="rId228">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3</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6"/>
              </w:rPr>
            </w:pPr>
            <w:hyperlink r:id="rId228">
              <w:r>
                <w:rPr>
                  <w:rFonts w:ascii="Arial" w:cs="Arial" w:eastAsia="Arial" w:hAnsi="Arial"/>
                  <w:sz w:val="18"/>
                  <w:szCs w:val="18"/>
                  <w:color w:val="0000EE"/>
                  <w:w w:val="96"/>
                </w:rPr>
                <w:t>Administration Agreement, dated April 1, 2019, by and between the Company and BC Partners Management LLC (incorporated by</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228">
              <w:r>
                <w:rPr>
                  <w:rFonts w:ascii="Arial" w:cs="Arial" w:eastAsia="Arial" w:hAnsi="Arial"/>
                  <w:sz w:val="18"/>
                  <w:szCs w:val="18"/>
                  <w:color w:val="0000EE"/>
                </w:rPr>
                <w:t>reference to Exhibit 10.3 of the Current Report on Form 8-K, as filed on April 2, 2019 (File No. 814-00735)).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96"/>
              </w:rPr>
            </w:pPr>
            <w:hyperlink r:id="rId229">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4</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4"/>
              </w:rPr>
            </w:pPr>
            <w:hyperlink r:id="rId229">
              <w:r>
                <w:rPr>
                  <w:rFonts w:ascii="Arial" w:cs="Arial" w:eastAsia="Arial" w:hAnsi="Arial"/>
                  <w:sz w:val="18"/>
                  <w:szCs w:val="18"/>
                  <w:color w:val="0000EE"/>
                  <w:w w:val="94"/>
                </w:rPr>
                <w:t>Second Amendment to Loan and Security Agreement, dated as of March 27, 2019, by and among Great Lakes KCAP Funding I, LLC,</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EE"/>
            </w:tcBorders>
            <w:gridSpan w:val="16"/>
          </w:tcPr>
          <w:p>
            <w:pPr>
              <w:spacing w:after="0" w:line="182" w:lineRule="exact"/>
              <w:rPr>
                <w:rFonts w:ascii="Arial" w:cs="Arial" w:eastAsia="Arial" w:hAnsi="Arial"/>
                <w:sz w:val="18"/>
                <w:szCs w:val="18"/>
                <w:color w:val="0000EE"/>
                <w:w w:val="92"/>
              </w:rPr>
            </w:pPr>
            <w:hyperlink r:id="rId229">
              <w:r>
                <w:rPr>
                  <w:rFonts w:ascii="Arial" w:cs="Arial" w:eastAsia="Arial" w:hAnsi="Arial"/>
                  <w:sz w:val="18"/>
                  <w:szCs w:val="18"/>
                  <w:color w:val="0000EE"/>
                  <w:w w:val="92"/>
                </w:rPr>
                <w:t>KCAP Financial, Inc., the financial institutions party to the Agreement from time to time as lenders, Cadence Bank, N.A., CIBC Bank</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EE"/>
            </w:tcBorders>
            <w:gridSpan w:val="14"/>
          </w:tcPr>
          <w:p>
            <w:pPr>
              <w:spacing w:after="0" w:line="182" w:lineRule="exact"/>
              <w:rPr>
                <w:rFonts w:ascii="Arial" w:cs="Arial" w:eastAsia="Arial" w:hAnsi="Arial"/>
                <w:sz w:val="18"/>
                <w:szCs w:val="18"/>
                <w:color w:val="0000EE"/>
                <w:w w:val="93"/>
              </w:rPr>
            </w:pPr>
            <w:hyperlink r:id="rId229">
              <w:r>
                <w:rPr>
                  <w:rFonts w:ascii="Arial" w:cs="Arial" w:eastAsia="Arial" w:hAnsi="Arial"/>
                  <w:sz w:val="18"/>
                  <w:szCs w:val="18"/>
                  <w:color w:val="0000EE"/>
                  <w:w w:val="93"/>
                </w:rPr>
                <w:t>USA (incorporated by reference to Exhibit 10.1 of the Current Report on Form 8-K, as filed on April 2, 2019 (File No. 814-00735)).</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5680" w:type="dxa"/>
            <w:vAlign w:val="bottom"/>
            <w:tcBorders>
              <w:right w:val="single" w:sz="8" w:color="0000EE"/>
            </w:tcBorders>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0" w:type="dxa"/>
            <w:vAlign w:val="bottom"/>
            <w:gridSpan w:val="3"/>
          </w:tcPr>
          <w:p>
            <w:pPr>
              <w:spacing w:after="0"/>
              <w:rPr>
                <w:rFonts w:ascii="Arial" w:cs="Arial" w:eastAsia="Arial" w:hAnsi="Arial"/>
                <w:sz w:val="18"/>
                <w:szCs w:val="18"/>
                <w:color w:val="0000EE"/>
                <w:w w:val="96"/>
              </w:rPr>
            </w:pPr>
            <w:hyperlink r:id="rId230">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5</w:t>
              </w:r>
            </w:hyperlink>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3"/>
              </w:rPr>
            </w:pPr>
            <w:hyperlink r:id="rId230">
              <w:r>
                <w:rPr>
                  <w:rFonts w:ascii="Arial" w:cs="Arial" w:eastAsia="Arial" w:hAnsi="Arial"/>
                  <w:sz w:val="18"/>
                  <w:szCs w:val="18"/>
                  <w:color w:val="0000EE"/>
                  <w:w w:val="93"/>
                </w:rPr>
                <w:t>Third Amendment to Loan and Security Agreement, dated as of April 1, 2019, by and among Great Lakes KCAP Funding I, LLC, KCAP</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EE"/>
            </w:tcBorders>
            <w:gridSpan w:val="20"/>
          </w:tcPr>
          <w:p>
            <w:pPr>
              <w:spacing w:after="0" w:line="182" w:lineRule="exact"/>
              <w:rPr>
                <w:rFonts w:ascii="Arial" w:cs="Arial" w:eastAsia="Arial" w:hAnsi="Arial"/>
                <w:sz w:val="18"/>
                <w:szCs w:val="18"/>
                <w:color w:val="0000EE"/>
                <w:w w:val="95"/>
              </w:rPr>
            </w:pPr>
            <w:hyperlink r:id="rId230">
              <w:r>
                <w:rPr>
                  <w:rFonts w:ascii="Arial" w:cs="Arial" w:eastAsia="Arial" w:hAnsi="Arial"/>
                  <w:sz w:val="18"/>
                  <w:szCs w:val="18"/>
                  <w:color w:val="0000EE"/>
                  <w:w w:val="95"/>
                </w:rPr>
                <w:t>Financial, Inc., the financial institutions party to the Agreement from time to time as lenders, Cadence Bank, N.A., CIBC Bank USA</w:t>
              </w:r>
            </w:hyperlink>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2"/>
              </w:rPr>
            </w:pPr>
            <w:hyperlink r:id="rId230">
              <w:r>
                <w:rPr>
                  <w:rFonts w:ascii="Arial" w:cs="Arial" w:eastAsia="Arial" w:hAnsi="Arial"/>
                  <w:sz w:val="18"/>
                  <w:szCs w:val="18"/>
                  <w:color w:val="0000EE"/>
                  <w:w w:val="92"/>
                </w:rPr>
                <w:t>(incorporated by reference to Exhibit 10.2 of the Current Report on Form 8-K, as filed on April 2, 2019 (File No. 814-00735))</w:t>
              </w:r>
            </w:hyperlink>
          </w:p>
        </w:tc>
        <w:tc>
          <w:tcPr>
            <w:tcW w:w="420" w:type="dxa"/>
            <w:vAlign w:val="bottom"/>
            <w:tcBorders>
              <w:top w:val="single" w:sz="8" w:color="0000EE"/>
            </w:tcBorders>
            <w:gridSpan w:val="4"/>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99"/>
        </w:trPr>
        <w:tc>
          <w:tcPr>
            <w:tcW w:w="1160" w:type="dxa"/>
            <w:vAlign w:val="bottom"/>
            <w:gridSpan w:val="5"/>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Certification of Chief Executive Officer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00">
              <w:r>
                <w:rPr>
                  <w:rFonts w:ascii="Arial" w:cs="Arial" w:eastAsia="Arial" w:hAnsi="Arial"/>
                  <w:sz w:val="18"/>
                  <w:szCs w:val="18"/>
                  <w:color w:val="0000EE"/>
                </w:rPr>
                <w:t>Section 302 of the Sarbanes-Oxley Act of 2002.</w:t>
              </w:r>
            </w:hyperlink>
          </w:p>
        </w:tc>
        <w:tc>
          <w:tcPr>
            <w:tcW w:w="20" w:type="dxa"/>
            <w:vAlign w:val="bottom"/>
          </w:tcPr>
          <w:p>
            <w:pPr>
              <w:spacing w:after="0"/>
              <w:rPr>
                <w:sz w:val="15"/>
                <w:szCs w:val="15"/>
                <w:color w:val="auto"/>
              </w:rPr>
            </w:pPr>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2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Certification of Chief Financial Officer Pursuant to Rule 13a-14(a) under the Securities Exchange Act of 1934, as adopted pursuant to</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Section 302 of the Sarbanes-Oxley Act of 2002.</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Certification of Chief Executive Officer Pursuant to 18 U. S. C. 1350, as adopted pursuant to Section 906 of the Sarbanes-Oxley Act of</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2002.</w:t>
              </w:r>
            </w:hyperlink>
          </w:p>
        </w:tc>
        <w:tc>
          <w:tcPr>
            <w:tcW w:w="30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gridSpan w:val="5"/>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24"/>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Certification of Chief Financial Officer Pursuant to 18 U. S. C. 1350, as adopted pursuant to Section 906 of the Sarbanes-Oxley Act of</w:t>
              </w:r>
            </w:hyperlink>
          </w:p>
        </w:tc>
        <w:tc>
          <w:tcPr>
            <w:tcW w:w="0" w:type="dxa"/>
            <w:vAlign w:val="bottom"/>
          </w:tcPr>
          <w:p>
            <w:pPr>
              <w:spacing w:after="0"/>
              <w:rPr>
                <w:sz w:val="1"/>
                <w:szCs w:val="1"/>
                <w:color w:val="auto"/>
              </w:rPr>
            </w:pPr>
          </w:p>
        </w:tc>
      </w:tr>
      <w:tr>
        <w:trPr>
          <w:trHeight w:val="183"/>
        </w:trPr>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8"/>
              </w:rPr>
            </w:pPr>
            <w:hyperlink w:anchor="page103">
              <w:r>
                <w:rPr>
                  <w:rFonts w:ascii="Arial" w:cs="Arial" w:eastAsia="Arial" w:hAnsi="Arial"/>
                  <w:sz w:val="18"/>
                  <w:szCs w:val="18"/>
                  <w:color w:val="0000EE"/>
                  <w:w w:val="88"/>
                </w:rPr>
                <w:t>2002.</w:t>
              </w:r>
            </w:hyperlink>
          </w:p>
        </w:tc>
        <w:tc>
          <w:tcPr>
            <w:tcW w:w="304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Goldthorpe, certify that:</w:t>
      </w:r>
    </w:p>
    <w:p>
      <w:pPr>
        <w:spacing w:after="0" w:line="225" w:lineRule="exact"/>
        <w:rPr>
          <w:sz w:val="20"/>
          <w:szCs w:val="20"/>
          <w:color w:val="auto"/>
        </w:rPr>
      </w:pPr>
    </w:p>
    <w:p>
      <w:pPr>
        <w:ind w:left="520" w:hanging="188"/>
        <w:spacing w:after="0"/>
        <w:tabs>
          <w:tab w:leader="none" w:pos="5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2019 of Portman Ridge Finance Corporation (the “registrant”);</w:t>
      </w:r>
    </w:p>
    <w:p>
      <w:pPr>
        <w:spacing w:after="0" w:line="248" w:lineRule="exact"/>
        <w:rPr>
          <w:rFonts w:ascii="Arial" w:cs="Arial" w:eastAsia="Arial" w:hAnsi="Arial"/>
          <w:sz w:val="16"/>
          <w:szCs w:val="16"/>
          <w:color w:val="auto"/>
        </w:rPr>
      </w:pPr>
    </w:p>
    <w:p>
      <w:pPr>
        <w:ind w:right="380" w:firstLine="332"/>
        <w:spacing w:after="0" w:line="342" w:lineRule="auto"/>
        <w:tabs>
          <w:tab w:leader="none" w:pos="504"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332"/>
        <w:spacing w:after="0" w:line="308" w:lineRule="auto"/>
        <w:tabs>
          <w:tab w:leader="none" w:pos="5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332"/>
        <w:spacing w:after="0" w:line="264" w:lineRule="auto"/>
        <w:tabs>
          <w:tab w:leader="none" w:pos="5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66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EDWARD GOLDTHORPE</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520" w:hanging="188"/>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2019 of Portman Ridge Finance Corporation (the “registrant”);</w:t>
      </w:r>
    </w:p>
    <w:p>
      <w:pPr>
        <w:spacing w:after="0" w:line="248" w:lineRule="exact"/>
        <w:rPr>
          <w:rFonts w:ascii="Arial" w:cs="Arial" w:eastAsia="Arial" w:hAnsi="Arial"/>
          <w:sz w:val="16"/>
          <w:szCs w:val="16"/>
          <w:color w:val="auto"/>
        </w:rPr>
      </w:pPr>
    </w:p>
    <w:p>
      <w:pPr>
        <w:ind w:right="380" w:firstLine="332"/>
        <w:spacing w:after="0" w:line="342" w:lineRule="auto"/>
        <w:tabs>
          <w:tab w:leader="none" w:pos="504"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80" w:firstLine="332"/>
        <w:spacing w:after="0" w:line="264" w:lineRule="auto"/>
        <w:tabs>
          <w:tab w:leader="none" w:pos="5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March 31, 2019 (the “Report”), I, Edward Goldthorpe,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66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EDWARD GOLDTHORPE</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In connection with the accompanying Quarterly Report of Portman Ridge Finance Corporation the “Company”) on Form 10-Q for the quarter ended March 31, 2019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x"/>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1"/>
      <w:numFmt w:val="bullet"/>
      <w:start w:val="1"/>
    </w:lvl>
  </w:abstractNum>
  <w:abstractNum w:abstractNumId="6">
    <w:nsid w:val="7A6D8D3C"/>
    <w:multiLevelType w:val="hybridMultilevel"/>
    <w:lvl w:ilvl="0">
      <w:lvlJc w:val="left"/>
      <w:lvlText w:val="2"/>
      <w:numFmt w:val="bullet"/>
      <w:start w:val="1"/>
    </w:lvl>
  </w:abstractNum>
  <w:abstractNum w:abstractNumId="7">
    <w:nsid w:val="4B588F54"/>
    <w:multiLevelType w:val="hybridMultilevel"/>
    <w:lvl w:ilvl="0">
      <w:lvlJc w:val="left"/>
      <w:lvlText w:val="3"/>
      <w:numFmt w:val="bullet"/>
      <w:start w:val="1"/>
    </w:lvl>
  </w:abstractNum>
  <w:abstractNum w:abstractNumId="8">
    <w:nsid w:val="542289EC"/>
    <w:multiLevelType w:val="hybridMultilevel"/>
    <w:lvl w:ilvl="0">
      <w:lvlJc w:val="left"/>
      <w:lvlText w:val="4"/>
      <w:numFmt w:val="bullet"/>
      <w:start w:val="1"/>
    </w:lvl>
  </w:abstractNum>
  <w:abstractNum w:abstractNumId="9">
    <w:nsid w:val="6DE91B18"/>
    <w:multiLevelType w:val="hybridMultilevel"/>
    <w:lvl w:ilvl="0">
      <w:lvlJc w:val="left"/>
      <w:lvlText w:val="5"/>
      <w:numFmt w:val="bullet"/>
      <w:start w:val="1"/>
    </w:lvl>
  </w:abstractNum>
  <w:abstractNum w:abstractNumId="10">
    <w:nsid w:val="38437FDB"/>
    <w:multiLevelType w:val="hybridMultilevel"/>
    <w:lvl w:ilvl="0">
      <w:lvlJc w:val="left"/>
      <w:lvlText w:val="6"/>
      <w:numFmt w:val="bullet"/>
      <w:start w:val="1"/>
    </w:lvl>
  </w:abstractNum>
  <w:abstractNum w:abstractNumId="11">
    <w:nsid w:val="7644A45C"/>
    <w:multiLevelType w:val="hybridMultilevel"/>
    <w:lvl w:ilvl="0">
      <w:lvlJc w:val="left"/>
      <w:lvlText w:val="7"/>
      <w:numFmt w:val="bullet"/>
      <w:start w:val="1"/>
    </w:lvl>
  </w:abstractNum>
  <w:abstractNum w:abstractNumId="12">
    <w:nsid w:val="32FFF902"/>
    <w:multiLevelType w:val="hybridMultilevel"/>
    <w:lvl w:ilvl="0">
      <w:lvlJc w:val="left"/>
      <w:lvlText w:val="8"/>
      <w:numFmt w:val="bullet"/>
      <w:start w:val="1"/>
    </w:lvl>
  </w:abstractNum>
  <w:abstractNum w:abstractNumId="13">
    <w:nsid w:val="684A481A"/>
    <w:multiLevelType w:val="hybridMultilevel"/>
    <w:lvl w:ilvl="0">
      <w:lvlJc w:val="left"/>
      <w:lvlText w:val="9"/>
      <w:numFmt w:val="bullet"/>
      <w:start w:val="1"/>
    </w:lvl>
  </w:abstractNum>
  <w:abstractNum w:abstractNumId="14">
    <w:nsid w:val="579478FE"/>
    <w:multiLevelType w:val="hybridMultilevel"/>
    <w:lvl w:ilvl="0">
      <w:lvlJc w:val="left"/>
      <w:lvlText w:val="%1"/>
      <w:numFmt w:val="decimal"/>
      <w:start w:val="10"/>
    </w:lvl>
  </w:abstractNum>
  <w:abstractNum w:abstractNumId="15">
    <w:nsid w:val="749ABB43"/>
    <w:multiLevelType w:val="hybridMultilevel"/>
    <w:lvl w:ilvl="0">
      <w:lvlJc w:val="left"/>
      <w:lvlText w:val="1"/>
      <w:numFmt w:val="bullet"/>
      <w:start w:val="1"/>
    </w:lvl>
  </w:abstractNum>
  <w:abstractNum w:abstractNumId="16">
    <w:nsid w:val="3DC240FB"/>
    <w:multiLevelType w:val="hybridMultilevel"/>
    <w:lvl w:ilvl="0">
      <w:lvlJc w:val="left"/>
      <w:lvlText w:val="2"/>
      <w:numFmt w:val="bullet"/>
      <w:start w:val="1"/>
    </w:lvl>
  </w:abstractNum>
  <w:abstractNum w:abstractNumId="17">
    <w:nsid w:val="1BA026FA"/>
    <w:multiLevelType w:val="hybridMultilevel"/>
    <w:lvl w:ilvl="0">
      <w:lvlJc w:val="left"/>
      <w:lvlText w:val="3"/>
      <w:numFmt w:val="bullet"/>
      <w:start w:val="1"/>
    </w:lvl>
  </w:abstractNum>
  <w:abstractNum w:abstractNumId="18">
    <w:nsid w:val="79A1DEAA"/>
    <w:multiLevelType w:val="hybridMultilevel"/>
    <w:lvl w:ilvl="0">
      <w:lvlJc w:val="left"/>
      <w:lvlText w:val="4"/>
      <w:numFmt w:val="bullet"/>
      <w:start w:val="1"/>
    </w:lvl>
  </w:abstractNum>
  <w:abstractNum w:abstractNumId="19">
    <w:nsid w:val="75C6C33A"/>
    <w:multiLevelType w:val="hybridMultilevel"/>
    <w:lvl w:ilvl="0">
      <w:lvlJc w:val="left"/>
      <w:lvlText w:val="5"/>
      <w:numFmt w:val="bullet"/>
      <w:start w:val="1"/>
    </w:lvl>
  </w:abstractNum>
  <w:abstractNum w:abstractNumId="20">
    <w:nsid w:val="12E685FB"/>
    <w:multiLevelType w:val="hybridMultilevel"/>
    <w:lvl w:ilvl="0">
      <w:lvlJc w:val="left"/>
      <w:lvlText w:val="6"/>
      <w:numFmt w:val="bullet"/>
      <w:start w:val="1"/>
    </w:lvl>
  </w:abstractNum>
  <w:abstractNum w:abstractNumId="21">
    <w:nsid w:val="70C6A529"/>
    <w:multiLevelType w:val="hybridMultilevel"/>
    <w:lvl w:ilvl="0">
      <w:lvlJc w:val="left"/>
      <w:lvlText w:val="7"/>
      <w:numFmt w:val="bullet"/>
      <w:start w:val="1"/>
    </w:lvl>
  </w:abstractNum>
  <w:abstractNum w:abstractNumId="22">
    <w:nsid w:val="520EEDD1"/>
    <w:multiLevelType w:val="hybridMultilevel"/>
    <w:lvl w:ilvl="0">
      <w:lvlJc w:val="left"/>
      <w:lvlText w:val="8"/>
      <w:numFmt w:val="bullet"/>
      <w:start w:val="1"/>
    </w:lvl>
  </w:abstractNum>
  <w:abstractNum w:abstractNumId="23">
    <w:nsid w:val="374A3FE6"/>
    <w:multiLevelType w:val="hybridMultilevel"/>
    <w:lvl w:ilvl="0">
      <w:lvlJc w:val="left"/>
      <w:lvlText w:val="9"/>
      <w:numFmt w:val="bullet"/>
      <w:start w:val="1"/>
    </w:lvl>
  </w:abstractNum>
  <w:abstractNum w:abstractNumId="24">
    <w:nsid w:val="4F4EF005"/>
    <w:multiLevelType w:val="hybridMultilevel"/>
    <w:lvl w:ilvl="0">
      <w:lvlJc w:val="left"/>
      <w:lvlText w:val="%1"/>
      <w:numFmt w:val="decimal"/>
      <w:start w:val="10"/>
    </w:lvl>
  </w:abstractNum>
  <w:abstractNum w:abstractNumId="25">
    <w:nsid w:val="23F9C13C"/>
    <w:multiLevelType w:val="hybridMultilevel"/>
    <w:lvl w:ilvl="0">
      <w:lvlJc w:val="left"/>
      <w:lvlText w:val="1"/>
      <w:numFmt w:val="bullet"/>
      <w:start w:val="1"/>
    </w:lvl>
  </w:abstractNum>
  <w:abstractNum w:abstractNumId="26">
    <w:nsid w:val="649BB77C"/>
    <w:multiLevelType w:val="hybridMultilevel"/>
    <w:lvl w:ilvl="0">
      <w:lvlJc w:val="left"/>
      <w:lvlText w:val="2"/>
      <w:numFmt w:val="bullet"/>
      <w:start w:val="1"/>
    </w:lvl>
  </w:abstractNum>
  <w:abstractNum w:abstractNumId="27">
    <w:nsid w:val="275AC794"/>
    <w:multiLevelType w:val="hybridMultilevel"/>
    <w:lvl w:ilvl="0">
      <w:lvlJc w:val="left"/>
      <w:lvlText w:val="3"/>
      <w:numFmt w:val="bullet"/>
      <w:start w:val="1"/>
    </w:lvl>
  </w:abstractNum>
  <w:abstractNum w:abstractNumId="28">
    <w:nsid w:val="39386575"/>
    <w:multiLevelType w:val="hybridMultilevel"/>
    <w:lvl w:ilvl="0">
      <w:lvlJc w:val="left"/>
      <w:lvlText w:val="4"/>
      <w:numFmt w:val="bullet"/>
      <w:start w:val="1"/>
    </w:lvl>
  </w:abstractNum>
  <w:abstractNum w:abstractNumId="29">
    <w:nsid w:val="1CF10FD8"/>
    <w:multiLevelType w:val="hybridMultilevel"/>
    <w:lvl w:ilvl="0">
      <w:lvlJc w:val="left"/>
      <w:lvlText w:val="5"/>
      <w:numFmt w:val="bullet"/>
      <w:start w:val="1"/>
    </w:lvl>
  </w:abstractNum>
  <w:abstractNum w:abstractNumId="30">
    <w:nsid w:val="180115BE"/>
    <w:multiLevelType w:val="hybridMultilevel"/>
    <w:lvl w:ilvl="0">
      <w:lvlJc w:val="left"/>
      <w:lvlText w:val="6"/>
      <w:numFmt w:val="bullet"/>
      <w:start w:val="1"/>
    </w:lvl>
  </w:abstractNum>
  <w:abstractNum w:abstractNumId="31">
    <w:nsid w:val="235BA861"/>
    <w:multiLevelType w:val="hybridMultilevel"/>
    <w:lvl w:ilvl="0">
      <w:lvlJc w:val="left"/>
      <w:lvlText w:val="%1."/>
      <w:numFmt w:val="decimal"/>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1"/>
    </w:lvl>
    <w:lvl w:ilvl="1">
      <w:lvlJc w:val="left"/>
      <w:lvlText w:val="•"/>
      <w:numFmt w:val="bullet"/>
      <w:start w:val="1"/>
    </w:lvl>
  </w:abstractNum>
  <w:abstractNum w:abstractNumId="35">
    <w:nsid w:val="741226BB"/>
    <w:multiLevelType w:val="hybridMultilevel"/>
    <w:lvl w:ilvl="0">
      <w:lvlJc w:val="left"/>
      <w:lvlText w:val="%1."/>
      <w:numFmt w:val="decimal"/>
      <w:start w:val="3"/>
    </w:lvl>
  </w:abstractNum>
  <w:abstractNum w:abstractNumId="36">
    <w:nsid w:val="D34B6A8"/>
    <w:multiLevelType w:val="hybridMultilevel"/>
    <w:lvl w:ilvl="0">
      <w:lvlJc w:val="left"/>
      <w:lvlText w:val="%1."/>
      <w:numFmt w:val="decimal"/>
      <w:start w:val="4"/>
    </w:lvl>
  </w:abstractNum>
  <w:abstractNum w:abstractNumId="37">
    <w:nsid w:val="10233C99"/>
    <w:multiLevelType w:val="hybridMultilevel"/>
    <w:lvl w:ilvl="0">
      <w:lvlJc w:val="left"/>
      <w:lvlText w:val="¹"/>
      <w:numFmt w:val="bullet"/>
      <w:start w:val="1"/>
    </w:lvl>
  </w:abstractNum>
  <w:abstractNum w:abstractNumId="38">
    <w:nsid w:val="3F6AB60F"/>
    <w:multiLevelType w:val="hybridMultilevel"/>
    <w:lvl w:ilvl="0">
      <w:lvlJc w:val="left"/>
      <w:lvlText w:val="²"/>
      <w:numFmt w:val="bullet"/>
      <w:start w:val="1"/>
    </w:lvl>
  </w:abstractNum>
  <w:abstractNum w:abstractNumId="39">
    <w:nsid w:val="61574095"/>
    <w:multiLevelType w:val="hybridMultilevel"/>
    <w:lvl w:ilvl="0">
      <w:lvlJc w:val="left"/>
      <w:lvlText w:val="³"/>
      <w:numFmt w:val="bullet"/>
      <w:start w:val="1"/>
    </w:lvl>
  </w:abstractNum>
  <w:abstractNum w:abstractNumId="40">
    <w:nsid w:val="7E0C57B1"/>
    <w:multiLevelType w:val="hybridMultilevel"/>
    <w:lvl w:ilvl="0">
      <w:lvlJc w:val="left"/>
      <w:lvlText w:val="1"/>
      <w:numFmt w:val="bullet"/>
      <w:start w:val="1"/>
    </w:lvl>
  </w:abstractNum>
  <w:abstractNum w:abstractNumId="41">
    <w:nsid w:val="77AE35EB"/>
    <w:multiLevelType w:val="hybridMultilevel"/>
    <w:lvl w:ilvl="0">
      <w:lvlJc w:val="left"/>
      <w:lvlText w:val="2"/>
      <w:numFmt w:val="bullet"/>
      <w:start w:val="1"/>
    </w:lvl>
  </w:abstractNum>
  <w:abstractNum w:abstractNumId="42">
    <w:nsid w:val="579BE4F1"/>
    <w:multiLevelType w:val="hybridMultilevel"/>
    <w:lvl w:ilvl="0">
      <w:lvlJc w:val="left"/>
      <w:lvlText w:val="1"/>
      <w:numFmt w:val="bullet"/>
      <w:start w:val="1"/>
    </w:lvl>
  </w:abstractNum>
  <w:abstractNum w:abstractNumId="43">
    <w:nsid w:val="310C50B3"/>
    <w:multiLevelType w:val="hybridMultilevel"/>
    <w:lvl w:ilvl="0">
      <w:lvlJc w:val="left"/>
      <w:lvlText w:val="2"/>
      <w:numFmt w:val="bullet"/>
      <w:start w:val="1"/>
    </w:lvl>
  </w:abstractNum>
  <w:abstractNum w:abstractNumId="44">
    <w:nsid w:val="5FF87E05"/>
    <w:multiLevelType w:val="hybridMultilevel"/>
    <w:lvl w:ilvl="0">
      <w:lvlJc w:val="left"/>
      <w:lvlText w:val="3"/>
      <w:numFmt w:val="bullet"/>
      <w:start w:val="1"/>
    </w:lvl>
  </w:abstractNum>
  <w:abstractNum w:abstractNumId="45">
    <w:nsid w:val="2F305DEF"/>
    <w:multiLevelType w:val="hybridMultilevel"/>
    <w:lvl w:ilvl="0">
      <w:lvlJc w:val="left"/>
      <w:lvlText w:val="4"/>
      <w:numFmt w:val="bullet"/>
      <w:start w:val="1"/>
    </w:lvl>
  </w:abstractNum>
  <w:abstractNum w:abstractNumId="46">
    <w:nsid w:val="25A70BF7"/>
    <w:multiLevelType w:val="hybridMultilevel"/>
    <w:lvl w:ilvl="0">
      <w:lvlJc w:val="left"/>
      <w:lvlText w:val="5"/>
      <w:numFmt w:val="bullet"/>
      <w:start w:val="1"/>
    </w:lvl>
  </w:abstractNum>
  <w:abstractNum w:abstractNumId="47">
    <w:nsid w:val="1DBABF00"/>
    <w:multiLevelType w:val="hybridMultilevel"/>
    <w:lvl w:ilvl="0">
      <w:lvlJc w:val="left"/>
      <w:lvlText w:val="6"/>
      <w:numFmt w:val="bullet"/>
      <w:start w:val="1"/>
    </w:lvl>
  </w:abstractNum>
  <w:abstractNum w:abstractNumId="48">
    <w:nsid w:val="4AD084E9"/>
    <w:multiLevelType w:val="hybridMultilevel"/>
    <w:lvl w:ilvl="0">
      <w:lvlJc w:val="left"/>
      <w:lvlText w:val="7"/>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upperLetter"/>
      <w:start w:val="35"/>
    </w:lvl>
  </w:abstractNum>
  <w:abstractNum w:abstractNumId="52">
    <w:nsid w:val="100F8FCA"/>
    <w:multiLevelType w:val="hybridMultilevel"/>
    <w:lvl w:ilvl="0">
      <w:lvlJc w:val="left"/>
      <w:lvlText w:val="¹"/>
      <w:numFmt w:val="bullet"/>
      <w:start w:val="1"/>
    </w:lvl>
  </w:abstractNum>
  <w:abstractNum w:abstractNumId="53">
    <w:nsid w:val="6590700B"/>
    <w:multiLevelType w:val="hybridMultilevel"/>
    <w:lvl w:ilvl="0">
      <w:lvlJc w:val="left"/>
      <w:lvlText w:val="¹"/>
      <w:numFmt w:val="bullet"/>
      <w:start w:val="1"/>
    </w:lvl>
  </w:abstractNum>
  <w:abstractNum w:abstractNumId="54">
    <w:nsid w:val="15014ACB"/>
    <w:multiLevelType w:val="hybridMultilevel"/>
    <w:lvl w:ilvl="0">
      <w:lvlJc w:val="left"/>
      <w:lvlText w:val="1"/>
      <w:numFmt w:val="bullet"/>
      <w:start w:val="1"/>
    </w:lvl>
  </w:abstractNum>
  <w:abstractNum w:abstractNumId="55">
    <w:nsid w:val="5F5E7FD0"/>
    <w:multiLevelType w:val="hybridMultilevel"/>
    <w:lvl w:ilvl="0">
      <w:lvlJc w:val="left"/>
      <w:lvlText w:val="(%1)"/>
      <w:numFmt w:val="lowerRoman"/>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¹"/>
      <w:numFmt w:val="bullet"/>
      <w:start w:val="1"/>
    </w:lvl>
  </w:abstractNum>
  <w:abstractNum w:abstractNumId="60">
    <w:nsid w:val="168E121F"/>
    <w:multiLevelType w:val="hybridMultilevel"/>
    <w:lvl w:ilvl="0">
      <w:lvlJc w:val="left"/>
      <w:lvlText w:val="²"/>
      <w:numFmt w:val="bullet"/>
      <w:start w:val="1"/>
    </w:lvl>
  </w:abstractNum>
  <w:abstractNum w:abstractNumId="61">
    <w:nsid w:val="1EBA5D23"/>
    <w:multiLevelType w:val="hybridMultilevel"/>
    <w:lvl w:ilvl="0">
      <w:lvlJc w:val="left"/>
      <w:lvlText w:val="³"/>
      <w:numFmt w:val="bullet"/>
      <w:start w:val="1"/>
    </w:lvl>
  </w:abstractNum>
  <w:abstractNum w:abstractNumId="62">
    <w:nsid w:val="661E3F1E"/>
    <w:multiLevelType w:val="hybridMultilevel"/>
    <w:lvl w:ilvl="0">
      <w:lvlJc w:val="left"/>
      <w:lvlText w:val="1"/>
      <w:numFmt w:val="bullet"/>
      <w:start w:val="1"/>
    </w:lvl>
  </w:abstractNum>
  <w:abstractNum w:abstractNumId="63">
    <w:nsid w:val="5DC79EA8"/>
    <w:multiLevelType w:val="hybridMultilevel"/>
    <w:lvl w:ilvl="0">
      <w:lvlJc w:val="left"/>
      <w:lvlText w:val="2"/>
      <w:numFmt w:val="bullet"/>
      <w:start w:val="1"/>
    </w:lvl>
  </w:abstractNum>
  <w:abstractNum w:abstractNumId="64">
    <w:nsid w:val="540A471C"/>
    <w:multiLevelType w:val="hybridMultilevel"/>
    <w:lvl w:ilvl="0">
      <w:lvlJc w:val="left"/>
      <w:lvlText w:val="\emdash "/>
      <w:numFmt w:val="bullet"/>
      <w:start w:val="1"/>
    </w:lvl>
  </w:abstractNum>
  <w:abstractNum w:abstractNumId="65">
    <w:nsid w:val="7BD3EE7B"/>
    <w:multiLevelType w:val="hybridMultilevel"/>
    <w:lvl w:ilvl="0">
      <w:lvlJc w:val="left"/>
      <w:lvlText w:val="1"/>
      <w:numFmt w:val="bullet"/>
      <w:start w:val="1"/>
    </w:lvl>
  </w:abstractNum>
  <w:abstractNum w:abstractNumId="66">
    <w:nsid w:val="51D9C564"/>
    <w:multiLevelType w:val="hybridMultilevel"/>
    <w:lvl w:ilvl="0">
      <w:lvlJc w:val="left"/>
      <w:lvlText w:val="2"/>
      <w:numFmt w:val="bullet"/>
      <w:start w:val="1"/>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
      <w:numFmt w:val="bullet"/>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1."/>
      <w:numFmt w:val="decimal"/>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decimal"/>
      <w:start w:val="5"/>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decimal"/>
      <w:start w:val="5"/>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22" Type="http://schemas.openxmlformats.org/officeDocument/2006/relationships/hyperlink" Target="http://www.sec.gov/Archives/edgar/data/1372807/000119312506204545/dex99a.htm" TargetMode="External"/><Relationship Id="rId223" Type="http://schemas.openxmlformats.org/officeDocument/2006/relationships/hyperlink" Target="http://www.sec.gov/Archives/edgar/data/1372807/000114420419017514/tv517653_ex3-1.htm" TargetMode="External"/><Relationship Id="rId224" Type="http://schemas.openxmlformats.org/officeDocument/2006/relationships/hyperlink" Target="http://www.sec.gov/Archives/edgar/data/1372807/000114420418064543/tv509148_ex3-1.htm" TargetMode="External"/><Relationship Id="rId225" Type="http://schemas.openxmlformats.org/officeDocument/2006/relationships/hyperlink" Target="http://www.sec.gov/Archives/edgar/data/1372807/000114420419017514/tv517653_ex3-2.htm" TargetMode="External"/><Relationship Id="rId226" Type="http://schemas.openxmlformats.org/officeDocument/2006/relationships/hyperlink" Target="http://www.sec.gov/Archives/edgar/data/1372807/000114420419017514/tv517653_ex10-1.htm" TargetMode="External"/><Relationship Id="rId227" Type="http://schemas.openxmlformats.org/officeDocument/2006/relationships/hyperlink" Target="http://www.sec.gov/Archives/edgar/data/1372807/000114420419017514/tv517653_ex10-2.htm" TargetMode="External"/><Relationship Id="rId228" Type="http://schemas.openxmlformats.org/officeDocument/2006/relationships/hyperlink" Target="http://www.sec.gov/Archives/edgar/data/1372807/000114420419017514/tv517653_ex10-3.htm" TargetMode="External"/><Relationship Id="rId229" Type="http://schemas.openxmlformats.org/officeDocument/2006/relationships/hyperlink" Target="http://www.sec.gov/Archives/edgar/data/1372807/000114420419017577/tv517531_ex10-1.htm" TargetMode="External"/><Relationship Id="rId230" Type="http://schemas.openxmlformats.org/officeDocument/2006/relationships/hyperlink" Target="http://www.sec.gov/Archives/edgar/data/1372807/000114420419017577/tv51753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2019-12-28T11:58:30Z</dcterms:created>
  <dcterms:modified xsi:type="dcterms:W3CDTF">2019-12-28T11:58:30Z</dcterms:modified>
</cp:coreProperties>
</file>