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Portman Ridge Finance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814-00735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20-5951150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650 Madison Avenue, 3rd Floor</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10022</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891-2880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29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Exchange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PTMN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On January 29, 2025, Portman Ridge Finance Corporation, a Delaware corporation (“PTMN”), entered into an Agreement and Plan of Merger (the “Merger Agreement”) with Logan Ridge Finance Corporation, a Maryland corporation (“LRFC” and, together with PTMN, the “Funds” and each, a “Fund”); Portman Ridge Merger Sub, Inc., a Maryland corporation and a direct wholly-owned subsidiary of PTMN (“Merger Sub”); solely for the limited purposes set forth therein, Mount Logan Management LLC, a Delaware limited liability company and the external investment adviser to LRFC (“Mount Logan”); and, solely for the limited purposes set forth therein, Sierra Crest Investment Management LLC, a Delaware limited liability company and the external investment adviser to PTMN (“SCIM”). The Merger Agreement provides that, subject to the conditions set forth in the Merger Agreement, at the effective time of the First Merger (the “Effective Time”), Merger Sub will be merged with and into LRFC (the “First Merger”), with LRFC continuing as the surviving company and as a wholly-owned subsidiary of PTMN. Immediately after the Effective Time, LRFC will merge with and into PTMN (the “Second Merger” and, together with the First Merger, the “Mergers”), with PTMN continuing as the surviving company. The boards of directors of both PTMN (the “PTMN Board”) and LRFC (the “LRFC Board” and, together with the PTMN Board, the “Boards”), including all of the respective directors (the “Independent Directors”) who are not “interested persons” of either Fund or its respective external investment adviser, as defined in Section 2(a)(19) of the Investment Company Act of 1940, as amended (the “1940 Act”), in each case, on the recommendation of a special committee (a “Special Committee”) comprised solely of the Independent Directors of PTMN or LRFC, as applicable, have approved, among other things, the Merger Agreement and the transactions contemplated thereby (the “Transactions”). The parties to the Merger Agreement intend for the Mergers, taken together, to be treated as a “reorganization” within the meaning of Section 368(a) of the Internal Review Code of 1986, as amended (the “Code”).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Consideration</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each share of common stock, par value $0.01 per share, of LRFC (“LRFC Common Stock”) issued and outstanding immediately prior to the Effective Time (other than shares owned by PTMN or any of its consolidated subsidiaries, including Merger Sub) will be converted into the right to receive 1.500 newly-issued shares of common stock, par value $0.01 per share, of PTMN (“PTMN Common Stock”), with cash to be paid (without interest) in lieu of fractional shares (the “Merger Consideration”). LRFC has no preferred stock outstanding, and no preferred stock will be issued by PTMN as a result of the Mergers.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Distribution</w:t>
      </w:r>
    </w:p>
    <w:p>
      <w:pPr>
        <w:spacing w:after="0" w:line="121"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Prior to the closing of the Mergers, LRFC will declare and pay to LRFC stockholders one or more dividends in order for LRFC to maintain its qualification as a “regulated investment company” under the Code and to avoid the imposition of material income tax on LRFC’s undistributed income under Section 852(b) of the Code for any taxable year ending before the closing of the Mergers, which amount is required to be no less than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As of the date of the execution of the Merger Agreement, LRFC estimated this amount to be less than approximately $1.5 million.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Rights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Merger Agreement contains customary termination rights for each of the PTMN and LRFC, including the requirement that shareholders of PTMN and LRFC approve the First Merger. Further, the Merger Agreement provides each Special Committee a termination right that allows for the applicable party (on the recommendation of the applicable Special Committee) to terminate the Merger Agreement if the applicable Special Committee has determined, reasonably and in good faith, after consultation with its outside legal counsel and, with respect to financial matters, its financial advisor, as a result of events or other circumstances occurring or arising after the date of the signing of the Merger Agreement that were not known to the applicable Board, that the interests of their respective stockholders would be diluted within the meaning of Rule 17a-8 under the 1940 Act as a result of the Transactions.</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Representations, Warranties and Covenants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by each of PTMN, LRFC, Mount Logan and SCIM, subject to specific exceptions and qualifications. The Merger Agreement also contains customary covenants, including, among others, covenants relating to the operation of each of PTMN’s and LRFC’s businesses during the period prior to closing of the Mergers, the preparation of a registration statement on Form N-14 (the “Registration Statement”), the holding of special meetings of the stockholders of PTMN and LRFC, and obtaining certain regulatory and third party consents, if any. PTMN and LRFC have agreed to convene and hold stockholder meetings for the purposes of obtaining the approvals required of PTMN’s and LRFC’s stockholders, respectively, and have agreed to recommend that the stockholders approve the applicable proposals.</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Merger Agreement includes restrictions on the ability of PTMN and LRFC to solicit proposals for alternative transactions or engage in discussions regarding such proposals, subject to exceptions and termination provisions, which could have the effect of discouraging such proposals from being made or pursued. However, either of the Boards may, subject to certain conditions, change its recommendation to its respective Fund’s stockholders, terminate the Merger Agreement and enter into an agreement with respect to a superior proposal if its Special Committee determines in its reasonable good faith judgement, after consultation with its outside legal counsel and, with respect to financial matters, its financial advisor, that the failure to take such action would be a breach of the Board’s statutory or fiduciary duties under applicable law (taking into account, among other factors, any changes to the Merger Agreement proposed by the other Fund).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Mergers</w:t>
      </w:r>
    </w:p>
    <w:p>
      <w:pPr>
        <w:spacing w:after="0" w:line="121"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Consummation of the Mergers, which is currently anticipated to occur during the second quarter of calendar year 2025, is subject to certain closing conditions, including, but not limited to, (1) requisite approvals of PTMN’s and LRFC’s stockholders, (2) effectiveness of the Registration Statement for the PTMN Common Stock to be issued as consideration in the First Merger, (3) the authorization for listing on the NASDAQ Global Select Market of the PTMN Common Stock to be issued as consideration in the First Merger, (4) the absence of litigation or certain legal impediments to the consummation of the Mergers, (5) required regulatory approvals, (6) subject to certain exceptions, the accuracy of the representations and warranties and compliance with the covenants of each party to the Merger Agreement, (7) the receipt of any approvals required in connection with LRFC’s indebtedness and (8) the shares of the PTMN Common Stock to be issued as consideration in the First Merger being sold at a price equal to or greater than the net asset value per share.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foregoing summary description of the Merger Agreement and the transactions contemplated thereby is subject to and qualified in its entirety by reference to the Merger Agreement, a copy of which is filed as Exhibit 2.1 to this Current Report on Form 8-K and the terms of which are incorporated herein by reference.</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has been filed as Exhibit 2.1 to this Current Report on Form 8-K in order to provide investors and security holders with information regarding its terms. It is not intended to provide any other information about the parties thereto or their respective subsidiaries and affiliates. The Merger Agreement contains representations, warranties, covenants and agreements that were made only for purposes of the Merger Agreement and as of specific dates; were solely for the benefit of the parties to the Merger Agreement (except as may be expressly set forth in the Merger Agreement); may be subject to limitations agreed upon by the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and security holders should not rely on such representations, warranties, covenants or agreements, or any descriptions thereof, as characterizations of the actual state of facts or condition of any of the parties to the Merger Agreement or any of their respective subsidiaries or affiliates. Moreover, information concerning the subject matter of the representations, warranties, covenants and agreements may change after the date of the Merger Agreement, which subsequent information may or may not be fully reflected in public disclosures by the parties to the Merger Agreement.</w:t>
      </w:r>
    </w:p>
    <w:p>
      <w:pPr>
        <w:sectPr>
          <w:pgSz w:w="11900" w:h="16838" w:orient="portrait"/>
          <w:cols w:equalWidth="0" w:num="1">
            <w:col w:w="10980"/>
          </w:cols>
          <w:pgMar w:left="440" w:top="293"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Fee Waiver Agreement</w:t>
      </w:r>
    </w:p>
    <w:p>
      <w:pPr>
        <w:spacing w:after="0" w:line="121"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Pursuant to a fee waiver letter executed on January 29, 2025 between PTMN and SCIM (the “Fee Waiver Agreement”), SCIM, as external investment adviser to PTMN, has agreed to waive up to $1.5 million of the incentive fees otherwise payable to it by PTMN over the eight consecutive quarters following the closing of the Mergers, subject to the closing of the Mergers. Such waiver will be structured as follows: (1) for the fiscal quarter of PTMN in which closing of the Mergers occurs, SCIM will waive $187,500 of its incentive fees and (2) for the subsequent seven fiscal quarters of PTMN, SCIM will waive an amount of its incentive fees equal to the lesser of (a) the quarterly incentive fee earned by SCIM in such quarter less $1,250,000 and (b) $187,500 (“Waiver Cap”). If the incentive fees waived under the foregoing clause (2) are less than the Waiver Cap, then each subsequent Waiver Cap will be increased by the difference between the Waiver Cap and the waived incentive fees until the earlier of (i) the end of the seventh full fiscal quarter, and (ii) the time that the incentive fees equal to the amount of the difference are waived by SCIM.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380" w:firstLine="440"/>
        <w:spacing w:after="0" w:line="312" w:lineRule="auto"/>
        <w:rPr>
          <w:sz w:val="20"/>
          <w:szCs w:val="20"/>
          <w:color w:val="auto"/>
        </w:rPr>
      </w:pPr>
      <w:r>
        <w:rPr>
          <w:rFonts w:ascii="Times New Roman" w:cs="Times New Roman" w:eastAsia="Times New Roman" w:hAnsi="Times New Roman"/>
          <w:sz w:val="17"/>
          <w:szCs w:val="17"/>
          <w:color w:val="auto"/>
        </w:rPr>
        <w:t>The foregoing summary description of the Fee Waiver Agreement is subject to and qualified in its entirety by reference to the Fee Waiver Agreement, a copy of which is filed as Exhibit 2.2 to this Current Report on Form 8-K and the terms of which are incorporated herein by reference.</w:t>
      </w:r>
    </w:p>
    <w:p>
      <w:pPr>
        <w:spacing w:after="0" w:line="14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Fee Waiver Agreement has been filed as Exhibit 2.2 to this Current Report on Form 8-K in order to provide investors and security holders with information regarding its terms. It is not intended to provide any other information about the parties thereto or their respective subsidiaries and affiliates. The Fee Waiver Agreement contains representations, warranties, covenants and agreements that were made only for purposes of the Fee Waiver Agreement and as of specific dates; were solely for the benefit of the parties to the Fee Waiver Agreement (except as may be expressly set forth in the Fee Waiver Agreement); may be subject to limitations agreed upon by the parties, including being qualified by confidential disclosures made for the purposes of allocating contractual risk between the parties to the Fee Waiver Agreement instead of establishing these matters as facts; and may be subject to standards of materiality applicable to the contracting parties that differ from those applicable to investors. Investors and security holders should not rely on such representations, warranties, covenants or agreements, or any descriptions thereof, as characterizations of the actual state of facts or condition of any of the parties to the Fee Waiver Agreement or any of their respective subsidiaries or affiliates. Moreover, information concerning the subject matter of the representations, warranties, covenants and agreements may change after the date of the Fee Waiver Agreement, which subsequent information may or may not be fully reflected in public disclosures by the parties to the Fee Waiver Agreement.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Some of the statements in this document constitute forward-looking statements because they relate to future events, future performance or financial condition. The forward-looking statements may include statements as to future operating results of PTMN and LRFC, and distribution projections; business prospects of PTMN and LRFC, and the prospects of their portfolio companies; and the impact of the investments that PTMN and LRFC expect to make. In addition, words such as “anticipate,” “believe,” “expect,” “seek,” “plan,” “should,” “estimate,” “project” and “intend” indicate forward-looking statements, although not all forward-looking statements include these words. The forward-looking statements contained in this document involve risks and uncertainties. Certain factors could cause actual results and conditions to differ materially from those projected, including the uncertainties associated with (i) the ability of the parties to consummate the merger on the expected timeline, or at all; (ii) the expected synergies and savings associated with the merger; (iii) the ability to realize the anticipated benefits of the merger, including the expected elimination of certain expenses and costs due to the merger; (iv) the percentage of PTMN shareholders and LRFC shareholders voting in favor of the applicable Proposal (as defined below) submitted for their approval; (v) the possibility that competing offers or acquisition proposals will be made; (vi) the possibility that any or all of the various conditions to the consummation of the merger may not be satisfied or waived; (vii) risks related to diverting management’s attention from ongoing business operations; (viii) the combined company’s plans, expectations, objectives and intentions, as a result of the merger; (ix) any potential termination of the merger agreement; (x) the future operating results and net investment income projections of PTMN, LRFC or, following the closing of the merger, the combined company; (xi) the ability of Sierra Crest to implement its future plans with respect to the combined company; (xii) the ability of Sierra Crest and its affiliates to attract and retain highly</w:t>
      </w:r>
    </w:p>
    <w:p>
      <w:pPr>
        <w:sectPr>
          <w:pgSz w:w="11900" w:h="16838" w:orient="portrait"/>
          <w:cols w:equalWidth="0" w:num="1">
            <w:col w:w="11000"/>
          </w:cols>
          <w:pgMar w:left="440" w:top="293" w:right="459" w:bottom="1440" w:gutter="0" w:footer="0" w:header="0"/>
        </w:sectPr>
      </w:pPr>
    </w:p>
    <w:bookmarkStart w:id="4" w:name="page5"/>
    <w:bookmarkEnd w:id="4"/>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talented professionals; (xiii) the business prospects of PTMN, LRFC or, following the closing of the merger, the combined company, and the prospects of their portfolio companies; (xiv) the impact of the investments that PTMN, LRFC or, following the closing of the merger, the combined company expect to make; (xv) the ability of the portfolio companies of PTMN, LRFC or, following the closing of the merger, the combined company to achieve their objectives; (xvi) the expected financings and investments and additional leverage that PTMN, LRFC or, following the closing of the merger, the combined company may seek to incur in the future; (xvii) the adequacy of the cash resources and working capital of PTMN, LRFC or, following the closing of the merger, the combined company; (xviii) the timing of cash flows, if any, from the operations of the portfolio companies of PTMN, LRFC or, following the closing of the merger, the combined company; (xix) the risk that stockholder litigation in connection with the merger may result in significant costs of defense and liability; and (xx) future changes in laws or regulations (including the interpretation of these laws and regulations by regulatory authorities). PTMN and LRFC have based the forward-looking statements included in this document on information available to them on the date hereof, and they assume no obligation to update any such forward-looking statements. Although PTMN and LRFC undertake no obligation to revise or update any forward-looking statements, whether as a result of new information, future events or otherwise, you are advised to consult any additional disclosures that they may make directly to you or through reports that PTMN and LRFC in the future may file with the SEC, including the Joint Proxy Statement and Registration Statement (in each case, as defined below), annual reports on Form 10-K, quarterly reports on Form 10-Q and current reports on Form 8-K.</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and Where to Find It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document relates to the proposed merger and certain related matters (the “Proposals”). In connection with the Proposals, PTMN will file with the SEC and mail to its and LRFC’s respective shareholders a combined joint proxy statement for PTMN and LRFC and a prospectus of PTMN (the “Registration Statement”). The Registration Statement will contain important information about PTMN, LRFC and the Proposals.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 SHAREHOLDERS OF PTMN AND LRFC ARE URGED TO READ THE REGISTRATION STATEMENT, AND OTHER DOCUMENTS THAT ARE FILED OR WILL BE FILED WITH THE SEC, AS WELL AS ANY AMENDMENTS OR SUPPLEMENTS TO THESE DOCUMENTS, CAREFULLY AND IN THEIR ENTIRETY WHEN THEY BECOME AVAILABLE BECAUSE THEY WILL CONTAIN IMPORTANT INFORMATION ABOUT PTMN, LRFC AND THE PROPOSALS. Investors and security holders will be able to obtain the documents filed with the SEC free of charge at the SEC’s website, http://www.sec.gov or, for documents filed by PTMN, from PTMN’s website at https://www.portmanridge.com, and, for documents filed by LRFC, from LRFC’s website at https://www.loganridgefinance.com.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PTMN, its directors, certain of its executive officers and certain employees and officers of Sierra Crest and its affiliates may be deemed to be participants in the solicitation of proxies in connection with the Proposals. Information about the directors and executive officers of PTMN is set forth in its proxy statement for its 2024 Annual Meeting of Stockholders, which was filed with the SEC on April 29, 2024. LRFC, its directors, certain of its executive officers and certain employees and officers of Mount Logan and its affiliates may be deemed to be participants in the solicitation of proxies in connection with the Proposals. Information about the directors and executive officers of LRFC is set forth in the proxy statement for its 2024 Annual Meeting of Stockholders, which was filed with the SEC on April 29, 2024. Information regarding the persons who may, under the rules of the SEC, be considered participants in the solicitation of the PTMN and LRFC shareholders in connection with the Proposals will be contained in the Registration Statement, including the Joint Proxy Statement included therein, and other relevant materials when such documents become available. These documents may be obtained free of charge from the sources indicated above.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121"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This document is not, and under no circumstances is it to be construed as, a prospectus or an advertisement and the communication of this document is not, and under no circumstances is it to be construed as, an offer to sell or a solicitation of an offer to purchase any securities in PTMN, LRFC or in any fund or other investment vehicle managed by BC Partners or any of its affiliates.</w:t>
      </w:r>
    </w:p>
    <w:p>
      <w:pPr>
        <w:sectPr>
          <w:pgSz w:w="11900" w:h="16838" w:orient="portrait"/>
          <w:cols w:equalWidth="0" w:num="1">
            <w:col w:w="10980"/>
          </w:cols>
          <w:pgMar w:left="440" w:top="297"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8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80" w:type="dxa"/>
            <w:vAlign w:val="bottom"/>
          </w:tcPr>
          <w:p>
            <w:pPr>
              <w:spacing w:after="0"/>
              <w:rPr>
                <w:sz w:val="24"/>
                <w:szCs w:val="24"/>
                <w:color w:val="auto"/>
              </w:rPr>
            </w:pPr>
          </w:p>
        </w:tc>
        <w:tc>
          <w:tcPr>
            <w:tcW w:w="8500" w:type="dxa"/>
            <w:vAlign w:val="bottom"/>
            <w:gridSpan w:val="6"/>
            <w:vMerge w:val="restart"/>
          </w:tcPr>
          <w:p>
            <w:pPr>
              <w:ind w:left="34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80" w:type="dxa"/>
            <w:vAlign w:val="bottom"/>
          </w:tcPr>
          <w:p>
            <w:pPr>
              <w:spacing w:after="0"/>
              <w:rPr>
                <w:sz w:val="15"/>
                <w:szCs w:val="15"/>
                <w:color w:val="auto"/>
              </w:rPr>
            </w:pPr>
          </w:p>
        </w:tc>
        <w:tc>
          <w:tcPr>
            <w:tcW w:w="85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Agreement and Plan of Merger by and among Portman Ridge Finance Corporation, Logan Ridge Finance Corporation, Portman Ridge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320" w:type="dxa"/>
            <w:vAlign w:val="bottom"/>
            <w:gridSpan w:val="3"/>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Merger Sub, Inc., Mount Logan Management LLC (for the limited purposes set forth therein) and Sierra Crest Investment Management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LLC (for the limited purposes set forth therein), dated as of January 29, 2025.</w:t>
            </w:r>
          </w:p>
        </w:tc>
        <w:tc>
          <w:tcPr>
            <w:tcW w:w="4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24"/>
                <w:szCs w:val="24"/>
                <w:color w:val="auto"/>
              </w:rPr>
            </w:pPr>
          </w:p>
        </w:tc>
        <w:tc>
          <w:tcPr>
            <w:tcW w:w="97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Fee Waiver Agreement by and between Portman Ridge Finance Corporation and Sierra Crest Investment Management LLC, dated as of</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January 29, 2025.</w:t>
            </w:r>
          </w:p>
        </w:tc>
        <w:tc>
          <w:tcPr>
            <w:tcW w:w="85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820"/>
          </w:cols>
          <w:pgMar w:left="440" w:top="293" w:right="6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PORTMAN RIDGE FINANCE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Brandon Satoren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Brandon Satoren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2025</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Signing 8-K (PTMN)</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93" w:right="5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PORTMAN RIDGE FINANCE CORPORATION,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PORTMAN RIDGE MERGER SUB,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LOGAN RIDGE FINANCE CORPORATION,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SIERRA CREST INVESTMENT MANAGEMENT LLC</w:t>
      </w:r>
    </w:p>
    <w:p>
      <w:pPr>
        <w:spacing w:after="0" w:line="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(for the limited purposes set forth herein)</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MOUNT LOGAN MANAGEMENT LLC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(for the limited purposes set forth herein)</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Dated as of January 29, 2025</w:t>
      </w:r>
    </w:p>
    <w:p>
      <w:pPr>
        <w:sectPr>
          <w:pgSz w:w="11900" w:h="16838" w:orient="portrait"/>
          <w:cols w:equalWidth="0" w:num="1">
            <w:col w:w="10020"/>
          </w:cols>
          <w:pgMar w:left="1440" w:top="117"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776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40" w:type="dxa"/>
            <w:vAlign w:val="bottom"/>
          </w:tcPr>
          <w:p>
            <w:pPr>
              <w:spacing w:after="0"/>
              <w:rPr>
                <w:sz w:val="20"/>
                <w:szCs w:val="20"/>
                <w:color w:val="auto"/>
              </w:rPr>
            </w:pPr>
          </w:p>
        </w:tc>
      </w:tr>
      <w:tr>
        <w:trPr>
          <w:trHeight w:val="459"/>
        </w:trPr>
        <w:tc>
          <w:tcPr>
            <w:tcW w:w="7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0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THE MERGERS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Merger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Effective Time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Effects of the Merger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of Capital Stock</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of Certain Contractual Obligations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Second Merger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Charter; Certificate of Incorporation; Bylaws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and Officers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MERGER CONSIDERATION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Designation of Exchange Agent; Deposit of Merger Consideration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Delivery of Merger Consideration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Further Ownership Rights; Transfers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of Exchange Fund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Liability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Lost Certificates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Withholding Rights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REPRESENTATIONS AND WARRANTIES OF THE COMPANY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Organization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Capitalization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Authority; No Violation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Governmental Consents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Financial Statements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Broker’s Fees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Changes or Events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Applicable Law; Permits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Information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 and Tax Returns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3.12.</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3.13.</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Matters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3.14.</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Contracts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3.15.</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 Coverage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3.16.</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3.17.</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Property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3.18.</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Assets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3.19.</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 Takeover Laws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3.20.</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Appraisal Rights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3.21.</w:t>
            </w:r>
          </w:p>
        </w:tc>
        <w:tc>
          <w:tcPr>
            <w:tcW w:w="7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jc w:val="right"/>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3.22.</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Chapter 11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3.23.</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Valuation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REPRESENTATIONS AND WARRANTIES OF THE ACQUIROR AND MERGER SUB</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Organization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Capitalization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Authority; No Violation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Governmental Consents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Acquiror Financial Statements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Broker’s Fees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Changes or Events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Applicable Law; Permits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Acquiror Information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 and Tax Returns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4.12.</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4.13.</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Matters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4.14.</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Contracts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4.15.</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 Coverage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4.16.</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4.17.</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Property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4.18.</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Assets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4.19.</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 Takeover Laws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4.20.</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4.21.</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Chapter 11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4.22.</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Valuation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REPRESENTATIONS AND WARRANTIES OF THE ACQUIROR ADVISER AND THE COMPANY ADVISER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Authority; No Violation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Applicable Law; Permits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Acquiror Adviser Information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Resources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Best Interests and No Dilution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Forbearances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5.9.</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color w:val="auto"/>
              </w:rPr>
              <w:t>COVENANTS RELATING TO CONDUCT OF BUSINESS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 of Businesses Prior to the Effective Time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Forbearances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Acquiror Forbearances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6"/>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ADDITIONAL AGREEMENTS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9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Assurances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Regulatory Matters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Stockholder Approval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Solicitation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Takeover Proposals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Acquiror Takeover Proposals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7.8.</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Access to Information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Publicity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7.10.</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Takeover Statutes and Provisions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7.11.</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Matters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7.12.</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Stockholder Litigation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7.13.</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16 Matters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7.14.</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7.15.</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Merger of Surviving Company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7.16.</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Coordination of Dividends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7.17.</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NASDAQ Listing</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7.18.</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Asset Value Calculation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0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color w:val="auto"/>
              </w:rPr>
              <w:t>CONDITIONS PRECEDENT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Each Party’s Obligations to Effect the Merger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Obligations of the Acquiror and Merger Sub to Effect the Merger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Obligations of the Company to Effect the Merger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0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color w:val="auto"/>
              </w:rPr>
              <w:t>TERMINATION AND AMENDMENT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 Reimbursement.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Termination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Fees and Expenses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Extension; Waiver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color w:val="auto"/>
              </w:rPr>
              <w:t>CERTAIN DEFINITIONS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0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XI </w:t>
            </w:r>
            <w:r>
              <w:rPr>
                <w:rFonts w:ascii="Times New Roman" w:cs="Times New Roman" w:eastAsia="Times New Roman" w:hAnsi="Times New Roman"/>
                <w:sz w:val="18"/>
                <w:szCs w:val="18"/>
                <w:color w:val="auto"/>
              </w:rPr>
              <w:t>GENERAL PROVISIONS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Nonsurvival of Representations, Warranties and Agreements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11.3.</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Interpretation; Construction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11.4.</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11.5.</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11.6.</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 Jurisdiction; Waiver of Jury Trial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11.7.</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 Third Party Beneficiaries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11.8.</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Specific Performance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11.9.</w:t>
            </w:r>
          </w:p>
        </w:tc>
        <w:tc>
          <w:tcPr>
            <w:tcW w:w="7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 Committee Approval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Disclosure Schedule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Acquiror Disclosure Schedule</w:t>
      </w:r>
    </w:p>
    <w:p>
      <w:pPr>
        <w:spacing w:after="0" w:line="382"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66" w:right="1440"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AGREEMENT AND PLAN OF MERGER, dated as of January 29,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among Portman Ridge Finance Corporation, a Delaware corporation (the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Portman Ridge Merger Sub, Inc., a Maryland corporation and a wholly-owned direct Consolidated Subsidiary of the Acquiror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Logan Ridge Finance Corporation,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solely for purposes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7.18(d)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Mount Logan Management LLC, a Delaware limited liability company and the investment adviser to the Company (the “</w:t>
      </w:r>
      <w:r>
        <w:rPr>
          <w:rFonts w:ascii="Times New Roman" w:cs="Times New Roman" w:eastAsia="Times New Roman" w:hAnsi="Times New Roman"/>
          <w:sz w:val="18"/>
          <w:szCs w:val="18"/>
          <w:u w:val="single" w:color="auto"/>
          <w:color w:val="auto"/>
        </w:rPr>
        <w:t>Company Adviser</w:t>
      </w:r>
      <w:r>
        <w:rPr>
          <w:rFonts w:ascii="Times New Roman" w:cs="Times New Roman" w:eastAsia="Times New Roman" w:hAnsi="Times New Roman"/>
          <w:sz w:val="18"/>
          <w:szCs w:val="18"/>
          <w:color w:val="auto"/>
        </w:rPr>
        <w:t xml:space="preserve">”); and, solely for purposes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7.18(d)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Sierra Crest Investment Management LLC, a Delaware limited liability company and the investment adviser to the Acquiror (the “</w:t>
      </w:r>
      <w:r>
        <w:rPr>
          <w:rFonts w:ascii="Times New Roman" w:cs="Times New Roman" w:eastAsia="Times New Roman" w:hAnsi="Times New Roman"/>
          <w:sz w:val="18"/>
          <w:szCs w:val="18"/>
          <w:u w:val="single" w:color="auto"/>
          <w:color w:val="auto"/>
        </w:rPr>
        <w:t>Acquiror Adviser</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WHEREAS, each of the Acquiror and the Company has previously elected to be regulated as a business development company (“</w:t>
      </w:r>
      <w:r>
        <w:rPr>
          <w:rFonts w:ascii="Times New Roman" w:cs="Times New Roman" w:eastAsia="Times New Roman" w:hAnsi="Times New Roman"/>
          <w:sz w:val="18"/>
          <w:szCs w:val="18"/>
          <w:u w:val="single" w:color="auto"/>
          <w:color w:val="auto"/>
        </w:rPr>
        <w:t>BDC</w:t>
      </w:r>
      <w:r>
        <w:rPr>
          <w:rFonts w:ascii="Times New Roman" w:cs="Times New Roman" w:eastAsia="Times New Roman" w:hAnsi="Times New Roman"/>
          <w:sz w:val="18"/>
          <w:szCs w:val="18"/>
          <w:color w:val="auto"/>
        </w:rPr>
        <w:t>”), as defined in Section 2(a)(48) of the Investment Company Act of 1940, as amended, and the rules promulgated thereunder (the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is listed on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WHEREAS, upon the terms and subject to the conditions set forth in this Agreement, Merger Sub shall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as the surviving company in the Merger (sometimes referred to in such capacity as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WHEREAS, immediately following the Merger, the Surviving Company shall merge with and into the Acquiror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the Acquiror as the surviving company in the Second Merger;</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including all of the Company Continuing Directors, upon the recommendation of a committee of the Company Board comprised solely of the Independent Directors of the Company (the “</w:t>
      </w:r>
      <w:r>
        <w:rPr>
          <w:rFonts w:ascii="Times New Roman" w:cs="Times New Roman" w:eastAsia="Times New Roman" w:hAnsi="Times New Roman"/>
          <w:sz w:val="18"/>
          <w:szCs w:val="18"/>
          <w:u w:val="single" w:color="auto"/>
          <w:color w:val="auto"/>
        </w:rPr>
        <w:t>Company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has unanimously (i) determined that (x) this Agreement and the Merger and the related Transactions are advisable and in the best interests of the Company and (y) the interests of the Company’s existing stockholders will not be diluted as a result of the Transactions, (ii) approved, adopted and declared advisable this Agreement and the Transactions (including the Merger and other Company Matters), (iii) directed that the approval of the Company Matters be submitted to the Company’s stockholders at the Company Stockholders Meeting and (iv) resolved to recommend that the stockholders of the Company approve the Company Matters, including the Merger;</w:t>
      </w:r>
    </w:p>
    <w:p>
      <w:pPr>
        <w:spacing w:after="0" w:line="18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WHEREAS, the Board of Directors of the Acquiror (the “</w:t>
      </w:r>
      <w:r>
        <w:rPr>
          <w:rFonts w:ascii="Times New Roman" w:cs="Times New Roman" w:eastAsia="Times New Roman" w:hAnsi="Times New Roman"/>
          <w:sz w:val="18"/>
          <w:szCs w:val="18"/>
          <w:u w:val="single" w:color="auto"/>
          <w:color w:val="auto"/>
        </w:rPr>
        <w:t>Acquiror Board</w:t>
      </w:r>
      <w:r>
        <w:rPr>
          <w:rFonts w:ascii="Times New Roman" w:cs="Times New Roman" w:eastAsia="Times New Roman" w:hAnsi="Times New Roman"/>
          <w:sz w:val="18"/>
          <w:szCs w:val="18"/>
          <w:color w:val="auto"/>
        </w:rPr>
        <w:t>”), upon the recommendation of a committee of the Acquiror Board comprised solely of the Independent Directors of the Acquiror (the “</w:t>
      </w:r>
      <w:r>
        <w:rPr>
          <w:rFonts w:ascii="Times New Roman" w:cs="Times New Roman" w:eastAsia="Times New Roman" w:hAnsi="Times New Roman"/>
          <w:sz w:val="18"/>
          <w:szCs w:val="18"/>
          <w:u w:val="single" w:color="auto"/>
          <w:color w:val="auto"/>
        </w:rPr>
        <w:t>Acquiror Special Committee</w:t>
      </w:r>
      <w:r>
        <w:rPr>
          <w:rFonts w:ascii="Times New Roman" w:cs="Times New Roman" w:eastAsia="Times New Roman" w:hAnsi="Times New Roman"/>
          <w:sz w:val="18"/>
          <w:szCs w:val="18"/>
          <w:color w:val="auto"/>
        </w:rPr>
        <w:t>”), has unanimously (i) determined that (x) this Agreement and the Mergers and the related Transactions are advisable and in the best interests of the Acquiror and its stockholders and (y) the interests of the Acquiror’s existing stockholders will not be diluted as a result of the Transactions, (ii) approved, adopted and</w:t>
      </w:r>
    </w:p>
    <w:p>
      <w:pPr>
        <w:sectPr>
          <w:pgSz w:w="11900" w:h="16838" w:orient="portrait"/>
          <w:cols w:equalWidth="0" w:num="1">
            <w:col w:w="10960"/>
          </w:cols>
          <w:pgMar w:left="440" w:top="266" w:right="499" w:bottom="1440" w:gutter="0" w:footer="0" w:header="0"/>
        </w:sectPr>
      </w:pPr>
    </w:p>
    <w:bookmarkStart w:id="13" w:name="page14"/>
    <w:bookmarkEnd w:id="13"/>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declared advisable this Agreement and the Transactions (including the Merger and the Acquiror Matters), (iii) directed that the approval of the Acquiror Matters be submitted to the Acquiror’s stockholders at the Acquiror Stockholders Meeting and (iv) resolved to recommend that the stockholders of the Acquiror approve the Acquiror Matters;</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WHEREAS, the Board of Directors of Merger Sub has unanimously (i) determined that this Agreement and the Mergers and the related Transactions are advisable and in the best interests of Merger Sub, (ii) approved, adopted and declared advisable this Agreement and the Transactions (including the Merger) and (iii) resolved to recommend the approval of the Transactions (including the Merger) by the Acquiror, in the Acquiror’s capacity as the sole stockholder of Merger Sub;</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WHEREAS, the parties intend the Mergers to be treated as a single integrated transaction and to qualify as a “reorganization” within the meaning of Section 368(a)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Treasury Regulations promulgated thereunder, and intend for this Agreement to constitute a “plan of reorganization” within the meaning of the Code; and</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covenants and other agreements in connection with the Transactions and also to prescribe certain conditions to the Transactions.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representations, warranties, covenants and other agreements contained in this Agreement, the parties agree as follows: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Subject to the terms and conditions of this Agreement, in accordance with the Maryland General Corporation Law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MGCL</w:t>
      </w:r>
      <w:r>
        <w:rPr>
          <w:rFonts w:ascii="Times New Roman" w:cs="Times New Roman" w:eastAsia="Times New Roman" w:hAnsi="Times New Roman"/>
          <w:sz w:val="18"/>
          <w:szCs w:val="18"/>
          <w:color w:val="auto"/>
        </w:rPr>
        <w:t>”), at the Effective Time, Merger Sub shall merge with and into the Company, and the separate corporate existence of Merger Sub shall cease.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be the surviving company in the Merger and shall continue its existence as a corporation under the MGCL.</w:t>
      </w:r>
    </w:p>
    <w:p>
      <w:pPr>
        <w:spacing w:after="0" w:line="207" w:lineRule="exact"/>
        <w:rPr>
          <w:sz w:val="20"/>
          <w:szCs w:val="20"/>
          <w:color w:val="auto"/>
        </w:rPr>
      </w:pPr>
    </w:p>
    <w:p>
      <w:pPr>
        <w:jc w:val="both"/>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terms and subject to the conditions set forth in this Agreement, the closing of the Merger (the “</w:t>
      </w:r>
      <w:r>
        <w:rPr>
          <w:rFonts w:ascii="Times New Roman" w:cs="Times New Roman" w:eastAsia="Times New Roman" w:hAnsi="Times New Roman"/>
          <w:sz w:val="18"/>
          <w:szCs w:val="18"/>
          <w:u w:val="single" w:color="auto"/>
          <w:color w:val="auto"/>
        </w:rPr>
        <w:t>Closin</w:t>
      </w:r>
      <w:r>
        <w:rPr>
          <w:rFonts w:ascii="Times New Roman" w:cs="Times New Roman" w:eastAsia="Times New Roman" w:hAnsi="Times New Roman"/>
          <w:sz w:val="18"/>
          <w:szCs w:val="18"/>
          <w:color w:val="auto"/>
        </w:rPr>
        <w:t xml:space="preserve">g”) shall take place by remote communication and by the exchange of signatures by electronic transmission on the date that is three (3) Business Days after the satisfaction or waiver of the latest to occur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such conditions), unless otherwise agreed in writing by the parties to this Agreement (the date on which the Closing actually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Merger shall become effective as set forth in the articles of merger with respect to the Merger (the “</w:t>
      </w:r>
      <w:r>
        <w:rPr>
          <w:rFonts w:ascii="Times New Roman" w:cs="Times New Roman" w:eastAsia="Times New Roman" w:hAnsi="Times New Roman"/>
          <w:sz w:val="18"/>
          <w:szCs w:val="18"/>
          <w:u w:val="single" w:color="auto"/>
          <w:color w:val="auto"/>
        </w:rPr>
        <w:t>First Articles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that shall be filed with, and accepted for record by, the State Department of Assessments and Taxation of Maryland (the “</w:t>
      </w:r>
      <w:r>
        <w:rPr>
          <w:rFonts w:ascii="Times New Roman" w:cs="Times New Roman" w:eastAsia="Times New Roman" w:hAnsi="Times New Roman"/>
          <w:sz w:val="18"/>
          <w:szCs w:val="18"/>
          <w:u w:val="single" w:color="auto"/>
          <w:color w:val="auto"/>
        </w:rPr>
        <w:t>MD SDAT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shall be the date and time when the Merger becomes effective as set forth in the First Articles of Merger.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At and after the Effective Time, the Merger shall have the effects set forth in the MGCL.</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Conversion of Capital Stock</w:t>
      </w:r>
      <w:r>
        <w:rPr>
          <w:rFonts w:ascii="Times New Roman" w:cs="Times New Roman" w:eastAsia="Times New Roman" w:hAnsi="Times New Roman"/>
          <w:sz w:val="18"/>
          <w:szCs w:val="18"/>
          <w:color w:val="auto"/>
        </w:rPr>
        <w:t>. At the Effective Time, by virtue of the Merger and without any action on the part of the Company, the Acquiror or Merger Sub or the holder of any of the following securities:</w:t>
      </w:r>
    </w:p>
    <w:p>
      <w:pPr>
        <w:spacing w:after="0" w:line="54" w:lineRule="exact"/>
        <w:rPr>
          <w:sz w:val="20"/>
          <w:szCs w:val="20"/>
          <w:color w:val="auto"/>
        </w:rPr>
      </w:pPr>
    </w:p>
    <w:p>
      <w:pPr>
        <w:ind w:left="440" w:right="180" w:firstLine="419"/>
        <w:spacing w:after="0" w:line="266" w:lineRule="auto"/>
        <w:tabs>
          <w:tab w:leader="none" w:pos="11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issued and outstanding immediately prior to the Effective Time shall be converted into one validly issued, fully paid and nonassessable share of common stock, par value $0.01 per share, of the Surviving Company.</w:t>
      </w:r>
    </w:p>
    <w:p>
      <w:pPr>
        <w:spacing w:after="0" w:line="67" w:lineRule="exact"/>
        <w:rPr>
          <w:rFonts w:ascii="Times New Roman" w:cs="Times New Roman" w:eastAsia="Times New Roman" w:hAnsi="Times New Roman"/>
          <w:sz w:val="18"/>
          <w:szCs w:val="18"/>
          <w:color w:val="auto"/>
        </w:rPr>
      </w:pPr>
    </w:p>
    <w:p>
      <w:pPr>
        <w:jc w:val="both"/>
        <w:ind w:left="440" w:right="120" w:firstLine="419"/>
        <w:spacing w:after="0" w:line="261" w:lineRule="auto"/>
        <w:tabs>
          <w:tab w:leader="none" w:pos="11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par value $0.01 per share, of the Company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that are issued and outstanding and are owned by the Acquiror or any of its Consolidated Subsidiaries (including Merger Sub) immediately prior to the Effective Time shall be cancelled and shall cease to exist and no shares of common stock, par value $0.01 per share, of the Acquiror (“</w:t>
      </w:r>
      <w:r>
        <w:rPr>
          <w:rFonts w:ascii="Times New Roman" w:cs="Times New Roman" w:eastAsia="Times New Roman" w:hAnsi="Times New Roman"/>
          <w:sz w:val="18"/>
          <w:szCs w:val="18"/>
          <w:u w:val="single" w:color="auto"/>
          <w:color w:val="auto"/>
        </w:rPr>
        <w:t>Acquiror Common Stock</w:t>
      </w:r>
      <w:r>
        <w:rPr>
          <w:rFonts w:ascii="Times New Roman" w:cs="Times New Roman" w:eastAsia="Times New Roman" w:hAnsi="Times New Roman"/>
          <w:sz w:val="18"/>
          <w:szCs w:val="18"/>
          <w:color w:val="auto"/>
        </w:rPr>
        <w:t>”) or any other consideration shall be delivered in exchange therefor (such shares, the “</w:t>
      </w:r>
      <w:r>
        <w:rPr>
          <w:rFonts w:ascii="Times New Roman" w:cs="Times New Roman" w:eastAsia="Times New Roman" w:hAnsi="Times New Roman"/>
          <w:sz w:val="18"/>
          <w:szCs w:val="18"/>
          <w:u w:val="single" w:color="auto"/>
          <w:color w:val="auto"/>
        </w:rPr>
        <w:t>Cancelled Shares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firstLine="419"/>
        <w:spacing w:after="0" w:line="255" w:lineRule="auto"/>
        <w:tabs>
          <w:tab w:leader="none" w:pos="11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share of Company Common Stock issued and outstanding immediately prior to the Effective Time (except for the Cancelled Shares) shall be converted, in accordance with and subject to the procedures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into the right to receive a number of shares of Acquiror Common Stock equal to the Exchange Ratio and, if applicable, cash in lieu of fractional shares of Acquiror Common Stock payable in accordance with </w:t>
      </w:r>
      <w:r>
        <w:rPr>
          <w:rFonts w:ascii="Times New Roman" w:cs="Times New Roman" w:eastAsia="Times New Roman" w:hAnsi="Times New Roman"/>
          <w:sz w:val="18"/>
          <w:szCs w:val="18"/>
          <w:u w:val="single" w:color="auto"/>
          <w:color w:val="auto"/>
        </w:rPr>
        <w:t>Section 1.5(f)</w:t>
      </w:r>
      <w:r>
        <w:rPr>
          <w:rFonts w:ascii="Times New Roman" w:cs="Times New Roman" w:eastAsia="Times New Roman" w:hAnsi="Times New Roman"/>
          <w:sz w:val="18"/>
          <w:szCs w:val="18"/>
          <w:color w:val="auto"/>
        </w:rPr>
        <w:t xml:space="preserve"> (such shares of Acquiror Common Stock and any such cash in lieu of fractional shares of Acquiror Common Stock, the “</w:t>
      </w:r>
      <w:r>
        <w:rPr>
          <w:rFonts w:ascii="Times New Roman" w:cs="Times New Roman" w:eastAsia="Times New Roman" w:hAnsi="Times New Roman"/>
          <w:sz w:val="18"/>
          <w:szCs w:val="18"/>
          <w:u w:val="single" w:color="auto"/>
          <w:color w:val="auto"/>
        </w:rPr>
        <w:t>Mer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er Consideration</w:t>
      </w:r>
      <w:r>
        <w:rPr>
          <w:rFonts w:ascii="Times New Roman" w:cs="Times New Roman" w:eastAsia="Times New Roman" w:hAnsi="Times New Roman"/>
          <w:sz w:val="18"/>
          <w:szCs w:val="18"/>
          <w:color w:val="auto"/>
        </w:rPr>
        <w:t xml:space="preserve">”), in all cases without interest. The amount of cash each holder of Company Common Stock as of immediately prior to the Effective Time is entitled to receive pursuant to this </w:t>
      </w:r>
      <w:r>
        <w:rPr>
          <w:rFonts w:ascii="Times New Roman" w:cs="Times New Roman" w:eastAsia="Times New Roman" w:hAnsi="Times New Roman"/>
          <w:sz w:val="18"/>
          <w:szCs w:val="18"/>
          <w:u w:val="single" w:color="auto"/>
          <w:color w:val="auto"/>
        </w:rPr>
        <w:t>Section 1.5(c)</w:t>
      </w:r>
      <w:r>
        <w:rPr>
          <w:rFonts w:ascii="Times New Roman" w:cs="Times New Roman" w:eastAsia="Times New Roman" w:hAnsi="Times New Roman"/>
          <w:sz w:val="18"/>
          <w:szCs w:val="18"/>
          <w:color w:val="auto"/>
        </w:rPr>
        <w:t xml:space="preserve"> shall be rounded down to the nearest cent, and computed after aggregating all cash amounts for all shares of Company Common Stock then held by such holder.</w:t>
      </w:r>
    </w:p>
    <w:p>
      <w:pPr>
        <w:spacing w:after="0" w:line="80"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shares of Company Common Stock converted into the right to receive the Merger Consideration pursuant to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shall no longer be outstanding and shall automatically be cancelled and shall cease to exist as of the Effective Time, and each holder of a certificate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book-entry share (“</w:t>
      </w:r>
      <w:r>
        <w:rPr>
          <w:rFonts w:ascii="Times New Roman" w:cs="Times New Roman" w:eastAsia="Times New Roman" w:hAnsi="Times New Roman"/>
          <w:sz w:val="18"/>
          <w:szCs w:val="18"/>
          <w:u w:val="single" w:color="auto"/>
          <w:color w:val="auto"/>
        </w:rPr>
        <w:t>Book-Entry Share</w:t>
      </w:r>
      <w:r>
        <w:rPr>
          <w:rFonts w:ascii="Times New Roman" w:cs="Times New Roman" w:eastAsia="Times New Roman" w:hAnsi="Times New Roman"/>
          <w:sz w:val="18"/>
          <w:szCs w:val="18"/>
          <w:color w:val="auto"/>
        </w:rPr>
        <w:t xml:space="preserve">”) that immediately prior to the Effective Time represented an outstanding share of Company Common Stock shall cease to have any rights with respect to such Certificate or Book-Entry Share other than the right to receive, upon surrender of such Certificate or Book-Entry Share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Merger Consideration.</w:t>
      </w:r>
    </w:p>
    <w:p>
      <w:pPr>
        <w:spacing w:after="0" w:line="75"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1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shall be appropriately adjusted if, between the execution and delivery of this Agreement and the Effective Time, the respective outstanding shares of Acquiror Common Stock or Company Common Stock shall have been increased or decreased or changed into or exchanged for a different number or kind of shares or securities, in each case, as a result of any reclassification, recapitalization,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5" w:name="page16"/>
    <w:bookmarkEnd w:id="15"/>
    <w:p>
      <w:pPr>
        <w:jc w:val="both"/>
        <w:ind w:left="440" w:right="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 split, reverse stock split, split-up, combination or exchange of shares, or if a stock dividend or dividend payable in any other securities shall be authorized and declared with a record date within such period, as permitted by this Agreement, in each case to provide the stockholders of the Acquiror and the Company the same economic effect as contemplated by this Agreement prior to such event. Nothing in this </w:t>
      </w:r>
      <w:r>
        <w:rPr>
          <w:rFonts w:ascii="Times New Roman" w:cs="Times New Roman" w:eastAsia="Times New Roman" w:hAnsi="Times New Roman"/>
          <w:sz w:val="17"/>
          <w:szCs w:val="17"/>
          <w:u w:val="single" w:color="auto"/>
          <w:color w:val="auto"/>
        </w:rPr>
        <w:t>Section 1.5(e)</w:t>
      </w:r>
      <w:r>
        <w:rPr>
          <w:rFonts w:ascii="Times New Roman" w:cs="Times New Roman" w:eastAsia="Times New Roman" w:hAnsi="Times New Roman"/>
          <w:sz w:val="17"/>
          <w:szCs w:val="17"/>
          <w:color w:val="auto"/>
        </w:rPr>
        <w:t xml:space="preserve"> shall be construed to permit any party hereto to take any action that is otherwise prohibited or restricted by any other provision of this Agreement.</w:t>
      </w:r>
    </w:p>
    <w:p>
      <w:pPr>
        <w:spacing w:after="0" w:line="56" w:lineRule="exact"/>
        <w:rPr>
          <w:sz w:val="20"/>
          <w:szCs w:val="20"/>
          <w:color w:val="auto"/>
        </w:rPr>
      </w:pPr>
    </w:p>
    <w:p>
      <w:pPr>
        <w:ind w:left="440" w:right="80" w:firstLine="419"/>
        <w:spacing w:after="0" w:line="268" w:lineRule="auto"/>
        <w:tabs>
          <w:tab w:leader="none" w:pos="1088"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certificates or scrip representing fractional shares of Acquiror Common Stock shall be issued upon the conversion of Company Common Stock pursuant to this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xml:space="preserve">, and such fractional share interests shall not entitle the owner thereof to any shares of Acquiror Common Stock or to vote or to any other rights or powers of a holder of Acquiror Common Stock. In lieu of any such fractional shares, each holder of Company Common Stock who would otherwise be entitled to such fractional shares shall be entitled to an amount in cash, without interest, rounded down to the nearest cent, equal to the product of (A) the amount of the fractional share interest in a share of Acquiror Common Stock to which such holder would, but for this Section 1.5(f), be entitled under </w:t>
      </w:r>
      <w:r>
        <w:rPr>
          <w:rFonts w:ascii="Times New Roman" w:cs="Times New Roman" w:eastAsia="Times New Roman" w:hAnsi="Times New Roman"/>
          <w:sz w:val="17"/>
          <w:szCs w:val="17"/>
          <w:u w:val="single" w:color="auto"/>
          <w:color w:val="auto"/>
        </w:rPr>
        <w:t>Section 1.5(c)</w:t>
      </w:r>
      <w:r>
        <w:rPr>
          <w:rFonts w:ascii="Times New Roman" w:cs="Times New Roman" w:eastAsia="Times New Roman" w:hAnsi="Times New Roman"/>
          <w:sz w:val="17"/>
          <w:szCs w:val="17"/>
          <w:color w:val="auto"/>
        </w:rPr>
        <w:t>, as so rounded pursuant to the immediately following sentence, and (B) the volume-weighted average trading price of a share of Acquiror Common Stock on NASDAQ for the five</w:t>
      </w:r>
    </w:p>
    <w:p>
      <w:pPr>
        <w:spacing w:after="0" w:line="2" w:lineRule="exact"/>
        <w:rPr>
          <w:rFonts w:ascii="Times New Roman" w:cs="Times New Roman" w:eastAsia="Times New Roman" w:hAnsi="Times New Roman"/>
          <w:sz w:val="17"/>
          <w:szCs w:val="17"/>
          <w:color w:val="auto"/>
        </w:rPr>
      </w:pPr>
    </w:p>
    <w:p>
      <w:pPr>
        <w:ind w:left="440" w:right="20" w:hanging="4"/>
        <w:spacing w:after="0" w:line="251"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consecutive Trading Days ending on the third Trading Day preceding the Closing Date (as reported by Bloomberg L.P. or its successor or, if not reported thereon, another authoritative source selected by the Acquiror that is reasonably acceptable to the Company). All fractional shares to which a single record holder of Company Common Stock as of immediately prior to the Effective Time would be otherwise entitled to receive shall be aggregated and calculations shall be rounded to three (3) decimal places. As soon as practicable after the determination of the amount of cash, if any, to be paid to holders of Company Common Stock as of immediately prior to the Effective Time in lieu of any fractional share interests in Acquiror Common Stock, the Exchange Agent shall make available such amount, without interest, to such holders of Company Common Stock entitled to receive such cash. The payment of cash in lieu of fractional share interests pursuant to this </w:t>
      </w:r>
      <w:r>
        <w:rPr>
          <w:rFonts w:ascii="Times New Roman" w:cs="Times New Roman" w:eastAsia="Times New Roman" w:hAnsi="Times New Roman"/>
          <w:sz w:val="18"/>
          <w:szCs w:val="18"/>
          <w:u w:val="single" w:color="auto"/>
          <w:color w:val="auto"/>
        </w:rPr>
        <w:t>Section 1.5(f)</w:t>
      </w:r>
      <w:r>
        <w:rPr>
          <w:rFonts w:ascii="Times New Roman" w:cs="Times New Roman" w:eastAsia="Times New Roman" w:hAnsi="Times New Roman"/>
          <w:sz w:val="18"/>
          <w:szCs w:val="18"/>
          <w:color w:val="auto"/>
        </w:rPr>
        <w:t xml:space="preserve"> is not a separately bargained-for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-1261745</wp:posOffset>
            </wp:positionV>
            <wp:extent cx="2857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74" w:lineRule="exact"/>
        <w:rPr>
          <w:sz w:val="20"/>
          <w:szCs w:val="20"/>
          <w:color w:val="auto"/>
        </w:rPr>
      </w:pPr>
    </w:p>
    <w:p>
      <w:pPr>
        <w:ind w:right="9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Termination of Certain Contractual Obligations</w:t>
      </w:r>
      <w:r>
        <w:rPr>
          <w:rFonts w:ascii="Times New Roman" w:cs="Times New Roman" w:eastAsia="Times New Roman" w:hAnsi="Times New Roman"/>
          <w:sz w:val="18"/>
          <w:szCs w:val="18"/>
          <w:color w:val="auto"/>
        </w:rPr>
        <w:t>. As of the Effective Time, the Company Advisory Agreement and the Company Administration Agreements shall be terminated and of no further force and effect.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The Second Merger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8" w:lineRule="auto"/>
        <w:tabs>
          <w:tab w:leader="none" w:pos="11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in accordance with the MGCL and Section 253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at the Second Effective Time, the Surviving Company shall merge with and into the Acquiror and the separate corporate existence of the Surviving Company shall cease. The Acquiror shall be the surviving company in the Second Merger and shall continue its existence as a corporation under the Laws of the State of Delaware. The Second Merger shall become effective as set forth in (i) the articles of merger with respect to the Second Merger (the “</w:t>
      </w:r>
      <w:r>
        <w:rPr>
          <w:rFonts w:ascii="Times New Roman" w:cs="Times New Roman" w:eastAsia="Times New Roman" w:hAnsi="Times New Roman"/>
          <w:sz w:val="18"/>
          <w:szCs w:val="18"/>
          <w:u w:val="single" w:color="auto"/>
          <w:color w:val="auto"/>
        </w:rPr>
        <w:t>Second Articles of Merger</w:t>
      </w:r>
      <w:r>
        <w:rPr>
          <w:rFonts w:ascii="Times New Roman" w:cs="Times New Roman" w:eastAsia="Times New Roman" w:hAnsi="Times New Roman"/>
          <w:sz w:val="18"/>
          <w:szCs w:val="18"/>
          <w:color w:val="auto"/>
        </w:rPr>
        <w:t>”) that the Acquiror shall file with the MD SDAT</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70" w:right="539" w:bottom="1440" w:gutter="0" w:footer="0" w:header="0"/>
        </w:sectPr>
      </w:pPr>
    </w:p>
    <w:bookmarkStart w:id="16" w:name="page17"/>
    <w:bookmarkEnd w:id="16"/>
    <w:p>
      <w:pPr>
        <w:jc w:val="both"/>
        <w:ind w:left="440"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(ii) the certificate of ownership and merger with respect to the Second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that the Acquiror shall file with the Secretary of State of the State of Delaware (the “</w:t>
      </w:r>
      <w:r>
        <w:rPr>
          <w:rFonts w:ascii="Times New Roman" w:cs="Times New Roman" w:eastAsia="Times New Roman" w:hAnsi="Times New Roman"/>
          <w:sz w:val="18"/>
          <w:szCs w:val="18"/>
          <w:u w:val="single" w:color="auto"/>
          <w:color w:val="auto"/>
        </w:rPr>
        <w:t>DE Secretary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Second Effective Time</w:t>
      </w:r>
      <w:r>
        <w:rPr>
          <w:rFonts w:ascii="Times New Roman" w:cs="Times New Roman" w:eastAsia="Times New Roman" w:hAnsi="Times New Roman"/>
          <w:sz w:val="18"/>
          <w:szCs w:val="18"/>
          <w:color w:val="auto"/>
        </w:rPr>
        <w:t>”). At and after the Second Effective Time, the Second Merger shall have the effects set forth in the MGCL and the DGCL.</w:t>
      </w:r>
    </w:p>
    <w:p>
      <w:pPr>
        <w:spacing w:after="0" w:line="68" w:lineRule="exact"/>
        <w:rPr>
          <w:sz w:val="20"/>
          <w:szCs w:val="20"/>
          <w:color w:val="auto"/>
        </w:rPr>
      </w:pPr>
    </w:p>
    <w:p>
      <w:pPr>
        <w:ind w:left="440" w:right="80" w:firstLine="419"/>
        <w:spacing w:after="0" w:line="272" w:lineRule="auto"/>
        <w:tabs>
          <w:tab w:leader="none" w:pos="111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Second Effective Time, by virtue of the Second Merger and without any action on the part of the Acquiror or the Surviving Company or the holder of any of the following securities, (i) each share of common stock of the Surviving Company issued and outstanding as of immediately prior to the Second Effective Time shall be cancelled and shall cease to exist, and no consideration shall be exchanged therefor; and</w:t>
      </w:r>
    </w:p>
    <w:p>
      <w:pPr>
        <w:spacing w:after="0" w:line="1" w:lineRule="exact"/>
        <w:rPr>
          <w:rFonts w:ascii="Times New Roman" w:cs="Times New Roman" w:eastAsia="Times New Roman" w:hAnsi="Times New Roman"/>
          <w:sz w:val="17"/>
          <w:szCs w:val="17"/>
          <w:color w:val="auto"/>
        </w:rPr>
      </w:pPr>
    </w:p>
    <w:p>
      <w:pPr>
        <w:ind w:left="440" w:right="100" w:hanging="4"/>
        <w:spacing w:after="0" w:line="260" w:lineRule="auto"/>
        <w:tabs>
          <w:tab w:leader="none" w:pos="7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Acquiror Common Stock issued and outstanding immediately prior to the Second Effective Time shall remain outstanding as an identical share of Acquiror Common Stock.</w:t>
      </w:r>
    </w:p>
    <w:p>
      <w:pPr>
        <w:spacing w:after="0" w:line="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Charter; Certificate of Incorporation; Bylaws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00" w:firstLine="419"/>
        <w:spacing w:after="0" w:line="258" w:lineRule="auto"/>
        <w:tabs>
          <w:tab w:leader="none" w:pos="11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charter of the Company as in effect immediately prior to the Effective Time shall be the charter of the Surviving Company, as the surviving company of the Merger, as of the Effective Time, until thereafter amended in accordance with applicable Law and the terms of the charter. The bylaws of the Company as in effect immediately prior to the Effective Time shall be the bylaws of the Surviving Company, as the surviving company in the Merger, as of the Effective Time, until thereafter amended in accordance with applicable Law and the terms of the charter of the Surviving Company and such bylaws.</w:t>
      </w:r>
    </w:p>
    <w:p>
      <w:pPr>
        <w:spacing w:after="0" w:line="75"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Second Effective Time, the certificate of incorporation of the Acquiror as in effect immediately prior to the Second Effective Time shall be the certificate of incorporation of the Acquiror, as the surviving company of the Second Merger, as of the Second Effective Time, until thereafter amended in accordance with applicable Law and the terms of such certificate of incorporation. The bylaws of the Acquiror as in effect immediately prior to the Second Effective Time shall be the bylaws of the Acquiror, as the surviving company in the Second Merger, as of the Second Effective Time, until thereafter amended in accordance with applicable Law and the terms of the certificate of incorporation of the Acquiror and such bylaws.</w:t>
      </w:r>
    </w:p>
    <w:p>
      <w:pPr>
        <w:spacing w:after="0" w:line="18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Subject to applicable Law, the Company and the Acquiror shall take all necessary actions so that the directors and officers of Merger Sub immediately prior to the Effective Time shall be the directors and officers of the Surviving Company and shall hold office until their respective successors are duly elected and qualify, or the earlier death, resignation or removal of any such director or officer or the consummation of the Second Merger. Subject to applicable Law, the directors and officers of the Acquiror immediately prior to the Second Effective Time shall be the directors and officers of the Acquiror immediately after consummation of the Second Merger and shall hold office until their respective successors are duly elected and qualify, or their earlier death, resignation or removal.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229"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Designation of Exchange Agent; Deposit of Merger Consideration</w:t>
      </w:r>
      <w:r>
        <w:rPr>
          <w:rFonts w:ascii="Times New Roman" w:cs="Times New Roman" w:eastAsia="Times New Roman" w:hAnsi="Times New Roman"/>
          <w:sz w:val="18"/>
          <w:szCs w:val="18"/>
          <w:color w:val="auto"/>
        </w:rPr>
        <w:t>. Prior to the Closing, the Acquiror shall enter into a customary exchange agreement with a nationally recognized financial institution designated by the Acquiror and reasonably acceptable to the Company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for the payment of the Merger Consideration as provided in </w:t>
      </w:r>
      <w:r>
        <w:rPr>
          <w:rFonts w:ascii="Times New Roman" w:cs="Times New Roman" w:eastAsia="Times New Roman" w:hAnsi="Times New Roman"/>
          <w:sz w:val="18"/>
          <w:szCs w:val="18"/>
          <w:u w:val="single" w:color="auto"/>
          <w:color w:val="auto"/>
        </w:rPr>
        <w:t>Section 1.5(c)</w:t>
      </w:r>
      <w:r>
        <w:rPr>
          <w:rFonts w:ascii="Times New Roman" w:cs="Times New Roman" w:eastAsia="Times New Roman" w:hAnsi="Times New Roman"/>
          <w:sz w:val="18"/>
          <w:szCs w:val="18"/>
          <w:color w:val="auto"/>
        </w:rPr>
        <w:t xml:space="preserve">. At or prior to the Effective Time, the Acquiror shall deposit, or cause to be deposited, with the Exchange Agent, for exchange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through the Exchange Agent book-entry shares representing the full number of whole shares of Acquiror Common Stock issuable pursuant to </w:t>
      </w:r>
      <w:r>
        <w:rPr>
          <w:rFonts w:ascii="Times New Roman" w:cs="Times New Roman" w:eastAsia="Times New Roman" w:hAnsi="Times New Roman"/>
          <w:sz w:val="18"/>
          <w:szCs w:val="18"/>
          <w:u w:val="single" w:color="auto"/>
          <w:color w:val="auto"/>
        </w:rPr>
        <w:t>Section 1.5(c)</w:t>
      </w:r>
      <w:r>
        <w:rPr>
          <w:rFonts w:ascii="Times New Roman" w:cs="Times New Roman" w:eastAsia="Times New Roman" w:hAnsi="Times New Roman"/>
          <w:sz w:val="18"/>
          <w:szCs w:val="18"/>
          <w:color w:val="auto"/>
        </w:rPr>
        <w:t xml:space="preserve"> in exchange for outstanding shares of Company Common Stock, and the Acquiror shall, after the Effective Time on the appropriate payment date, if applicable, provide or cause to be provided to the Exchange Agent any dividends payable on such shares of Acquiror Common Stock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(such shares of Acquiror Common Stock provided to the Exchange Agent, together with any dividends with respect thereto, are hereinafter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For purposes of the deposit, the Acquiror shall assume that there will not be any fractional shares of Acquiror Common Stock. The Acquiror shall make available to the Exchange Agent, for addition to the Exchange Fund, from time to time as needed, cash sufficient to pay cash in lieu of fractional shares in accordance with </w:t>
      </w:r>
      <w:r>
        <w:rPr>
          <w:rFonts w:ascii="Times New Roman" w:cs="Times New Roman" w:eastAsia="Times New Roman" w:hAnsi="Times New Roman"/>
          <w:sz w:val="18"/>
          <w:szCs w:val="18"/>
          <w:u w:val="single" w:color="auto"/>
          <w:color w:val="auto"/>
        </w:rPr>
        <w:t>Section 1.5(f)</w:t>
      </w:r>
      <w:r>
        <w:rPr>
          <w:rFonts w:ascii="Times New Roman" w:cs="Times New Roman" w:eastAsia="Times New Roman" w:hAnsi="Times New Roman"/>
          <w:sz w:val="18"/>
          <w:szCs w:val="18"/>
          <w:color w:val="auto"/>
        </w:rPr>
        <w:t>. In the event the Exchange Fund shall at any time be insufficient to make the payments contemplated by</w:t>
      </w:r>
    </w:p>
    <w:p>
      <w:pPr>
        <w:spacing w:after="0" w:line="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1.5(c)</w:t>
      </w:r>
      <w:r>
        <w:rPr>
          <w:rFonts w:ascii="Times New Roman" w:cs="Times New Roman" w:eastAsia="Times New Roman" w:hAnsi="Times New Roman"/>
          <w:sz w:val="18"/>
          <w:szCs w:val="18"/>
          <w:color w:val="auto"/>
        </w:rPr>
        <w:t xml:space="preserve">, the Acquiror shall promptly deposit, or cause to be deposited, additional funds with the Exchange Agent in an amount which is equal to the deficiency in the amount required to make such payment. The Acquiror shall cause the Exchange Fund to be (x) held for the benefit of the holders of Company Common Stock as of immediately prior to the Effective Time and (y) applied promptly to making the payments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The Exchange Fund shall not be used for any purpose other than to fund payments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except as expressly provided for in this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Delivery of Merger Consideration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71" w:lineRule="auto"/>
        <w:tabs>
          <w:tab w:leader="none" w:pos="110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practicable following the Effective Time and in any event not later than the second Business Day thereafter, the Acquiror shall cause the Exchange Agent to mail to each holder of record of a Certificate or Book-Entry Share that immediately prior to the Effective Time represented an outstanding share of Company Common Stock (i) a letter of transmittal, which shall specify that delivery shall be effected, and risk of loss and title to the Certificate or Book-Entry Share shall pass only upon proper delivery of the Certificate (or an affidavit of loss in lieu thereof) or the surrender of such Book-Entry Share to the Exchange Agent (which shall be deemed to have been effected upon the delivery of a customary “agent’s message” with respect to such Book-Entry Share or such other reasonable evidence, if any, of such surrender as the Exchange Agent may reasonably request), as applicable, which shall be in the form and have such other provisions as the Acquiror and the Company may reasonably specify (such letter of transmittal, the “</w:t>
      </w:r>
      <w:r>
        <w:rPr>
          <w:rFonts w:ascii="Times New Roman" w:cs="Times New Roman" w:eastAsia="Times New Roman" w:hAnsi="Times New Roman"/>
          <w:sz w:val="17"/>
          <w:szCs w:val="17"/>
          <w:u w:val="single" w:color="auto"/>
          <w:color w:val="auto"/>
        </w:rPr>
        <w:t>Letter of Transmittal</w:t>
      </w:r>
      <w:r>
        <w:rPr>
          <w:rFonts w:ascii="Times New Roman" w:cs="Times New Roman" w:eastAsia="Times New Roman" w:hAnsi="Times New Roman"/>
          <w:sz w:val="17"/>
          <w:szCs w:val="17"/>
          <w:color w:val="auto"/>
        </w:rPr>
        <w:t>”), and (ii) instructions (which instructions shall be in the form and have such other provisions as the Acquiror and the Company may reasonably specify) for use in effecting the surrender of Certificates (or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18" w:name="page19"/>
    <w:bookmarkEnd w:id="1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affidavits of loss in lieu thereof) or Book-Entry Shares in exchange for (A) the number of shares of Acquiror Common Stock (which shall be in book-entry form) representing, in the aggregate, the whole number of shares that such holder has the right to receive in respect of such Certificates or Book-Entry Shares pursuant to </w:t>
      </w:r>
      <w:r>
        <w:rPr>
          <w:rFonts w:ascii="Times New Roman" w:cs="Times New Roman" w:eastAsia="Times New Roman" w:hAnsi="Times New Roman"/>
          <w:sz w:val="18"/>
          <w:szCs w:val="18"/>
          <w:u w:val="single" w:color="auto"/>
          <w:color w:val="auto"/>
        </w:rPr>
        <w:t>Section 1.5(c)</w:t>
      </w:r>
      <w:r>
        <w:rPr>
          <w:rFonts w:ascii="Times New Roman" w:cs="Times New Roman" w:eastAsia="Times New Roman" w:hAnsi="Times New Roman"/>
          <w:sz w:val="18"/>
          <w:szCs w:val="18"/>
          <w:color w:val="auto"/>
        </w:rPr>
        <w:t xml:space="preserve">, (B) any dividends payable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and (C) any cash in lieu of fractional shares of Acquiror Common Stock payable pursuant to </w:t>
      </w:r>
      <w:r>
        <w:rPr>
          <w:rFonts w:ascii="Times New Roman" w:cs="Times New Roman" w:eastAsia="Times New Roman" w:hAnsi="Times New Roman"/>
          <w:sz w:val="18"/>
          <w:szCs w:val="18"/>
          <w:u w:val="single" w:color="auto"/>
          <w:color w:val="auto"/>
        </w:rPr>
        <w:t>Section 1.5(f)</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firstLine="419"/>
        <w:spacing w:after="0" w:line="252"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to the Exchange Agent of shares of Company Common Stock that (i) are represented by Certificates, by physical surrender of such Certificates (or affidavits of loss in lieu thereof) together with a Letter of Transmittal, duly completed and validly executed in accordance with the instructions thereto, and such other documents as may be required pursuant to such instructions, or (ii) are Book-Entry Shares, by book-receipt of an “agent’s message” by the Exchange Agent in connection with the surrender of such Book-Entry Shares (or such other reasonable evidence, if any, of surrender with respect to such Book-Entry Shares as the Exchange Agent may reasonably request), in each case, the holder of such Certificates or Book-Entry Shares shall be entitled to receive in exchange therefor, and the Acquiror shall cause the Exchange Agent to pay and deliver in exchange thereof as promptly as practicable, (A) the number of shares of Acquiror Common Stock (which shall be in book-entry form) representing, in the aggregate, the whole number of shares that such holder has the right to receive in respect of such Certificates or Book-Entry Shares pursuant to </w:t>
      </w:r>
      <w:r>
        <w:rPr>
          <w:rFonts w:ascii="Times New Roman" w:cs="Times New Roman" w:eastAsia="Times New Roman" w:hAnsi="Times New Roman"/>
          <w:sz w:val="18"/>
          <w:szCs w:val="18"/>
          <w:u w:val="single" w:color="auto"/>
          <w:color w:val="auto"/>
        </w:rPr>
        <w:t>Section 1.5(c)</w:t>
      </w:r>
      <w:r>
        <w:rPr>
          <w:rFonts w:ascii="Times New Roman" w:cs="Times New Roman" w:eastAsia="Times New Roman" w:hAnsi="Times New Roman"/>
          <w:sz w:val="18"/>
          <w:szCs w:val="18"/>
          <w:color w:val="auto"/>
        </w:rPr>
        <w:t xml:space="preserve">, (B) any dividends payable pursuant to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and (C) any cash in lieu of fractional shares of Acquiror Common Stock payable pursuant to </w:t>
      </w:r>
      <w:r>
        <w:rPr>
          <w:rFonts w:ascii="Times New Roman" w:cs="Times New Roman" w:eastAsia="Times New Roman" w:hAnsi="Times New Roman"/>
          <w:sz w:val="18"/>
          <w:szCs w:val="18"/>
          <w:u w:val="single" w:color="auto"/>
          <w:color w:val="auto"/>
        </w:rPr>
        <w:t>Section 1.5(f)</w:t>
      </w:r>
      <w:r>
        <w:rPr>
          <w:rFonts w:ascii="Times New Roman" w:cs="Times New Roman" w:eastAsia="Times New Roman" w:hAnsi="Times New Roman"/>
          <w:sz w:val="18"/>
          <w:szCs w:val="18"/>
          <w:color w:val="auto"/>
        </w:rPr>
        <w:t>, and the Certificates (or affidavits of loss in lieu thereof) or Book-Entry Shares so surrendered shall be forthwith canceled. The Exchange Agent shall accept such Certificates (or affidavits of loss in lieu thereof) or Book-Entry Shares upon compliance with such reasonable terms and conditions as the Exchange Agent may impose to effect an orderly exchange thereof in accordance with normal exchange practices. No interest shall be paid or accrued for the benefit of holders of Certificates or Book-Entry Shares on any cash payable upon the surrender of Certificates or Book-Entry Shares.</w:t>
      </w:r>
    </w:p>
    <w:p>
      <w:pPr>
        <w:spacing w:after="0" w:line="89" w:lineRule="exact"/>
        <w:rPr>
          <w:rFonts w:ascii="Times New Roman" w:cs="Times New Roman" w:eastAsia="Times New Roman" w:hAnsi="Times New Roman"/>
          <w:sz w:val="18"/>
          <w:szCs w:val="18"/>
          <w:color w:val="auto"/>
        </w:rPr>
      </w:pPr>
    </w:p>
    <w:p>
      <w:pPr>
        <w:ind w:right="60" w:firstLine="419"/>
        <w:spacing w:after="0" w:line="272" w:lineRule="auto"/>
        <w:tabs>
          <w:tab w:leader="none" w:pos="66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applicable Law, following surrender of Certificates (or affidavits of loss in lieu thereof) or Book-Entry Shares for cancellation to the Exchange Agent, there shall be paid to the holder of the shares of Acquiror Common Stock issued in exchange for such Certificates or Book-Entry Shares, without interest, (i) at the time of delivery of such Acquiror Common Stock by the Exchange Agent pursuant to</w:t>
      </w:r>
    </w:p>
    <w:p>
      <w:pPr>
        <w:spacing w:after="0" w:line="1" w:lineRule="exact"/>
        <w:rPr>
          <w:rFonts w:ascii="Times New Roman" w:cs="Times New Roman" w:eastAsia="Times New Roman" w:hAnsi="Times New Roman"/>
          <w:sz w:val="17"/>
          <w:szCs w:val="17"/>
          <w:color w:val="auto"/>
        </w:rPr>
      </w:pPr>
    </w:p>
    <w:p>
      <w:pPr>
        <w:ind w:right="3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the amount of dividends with a record date after the Effective Time theretofore paid with respect to such shares of Acquiror Common Stock and (ii) at the appropriate payment date, the amount of dividends with a record date after the Effective Time but prior to such delivery of such shares of Acquiror Common Stock by the Exchange Agent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and a payment date subsequent to such delivery of such shares of Acquiror Common Stock by the Exchange Agent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payable with respect to such shares of Acquiror Common Stock.</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9" w:name="page20"/>
    <w:bookmarkEnd w:id="19"/>
    <w:p>
      <w:pPr>
        <w:ind w:left="444" w:firstLine="419"/>
        <w:spacing w:after="0" w:line="261" w:lineRule="auto"/>
        <w:tabs>
          <w:tab w:leader="none" w:pos="11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of a transfer of ownership of Company Common Stock that is not registered in the transfer records of the Company, payment of the appropriate amount of Merger Consideration (and any dividends with respect to Acquiror Common Stock as contemplated by</w:t>
      </w:r>
    </w:p>
    <w:p>
      <w:pPr>
        <w:ind w:left="444"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may be made to a Person other than the Person in whose name the Certificate or Book-Entry Share so surrendered is registered, only if such Certificate or Book-Entry Share shall be properly transferred and the Person requesting such payment shall pay any transfer or other Taxes required by reason of the payment to a Person other than the registered holder of such Certificate or Book-Entry Share or establish to the satisfaction of the Acquiror that such Tax has been paid or is not applicable.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Further Ownership Rights; Transfers</w:t>
      </w:r>
      <w:r>
        <w:rPr>
          <w:rFonts w:ascii="Times New Roman" w:cs="Times New Roman" w:eastAsia="Times New Roman" w:hAnsi="Times New Roman"/>
          <w:sz w:val="18"/>
          <w:szCs w:val="18"/>
          <w:color w:val="auto"/>
        </w:rPr>
        <w:t xml:space="preserve">. All Merger Consideration paid by the Acquiror in accordance with the terms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w:t>
      </w:r>
    </w:p>
    <w:p>
      <w:pPr>
        <w:spacing w:after="0" w:line="27" w:lineRule="exact"/>
        <w:rPr>
          <w:sz w:val="20"/>
          <w:szCs w:val="20"/>
          <w:color w:val="auto"/>
        </w:rPr>
      </w:pPr>
    </w:p>
    <w:p>
      <w:pPr>
        <w:ind w:left="4" w:hanging="4"/>
        <w:spacing w:after="0" w:line="253" w:lineRule="auto"/>
        <w:tabs>
          <w:tab w:leader="none" w:pos="169" w:val="left"/>
        </w:tabs>
        <w:numPr>
          <w:ilvl w:val="0"/>
          <w:numId w:val="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be deemed to have been paid in full satisfaction of all rights pertaining to Company Common Stock in respect of which such Merger Consideration was paid. From and after the Effective Time, the stock transfer books of the Company shall be closed with respect to, and there shall be no further transfers on the stock transfer books of the Company of, the shares of Company Common Stock that were issued and outstanding immediately prior to the Effective Time.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2.4. [Reserved]</w:t>
      </w:r>
    </w:p>
    <w:p>
      <w:pPr>
        <w:spacing w:after="0" w:line="225"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Any portion of the Exchange Fund that remains undistributed to former stockholders of the Company as of the first anniversary of the Effective Time may be paid to the Acquiror, upon the Acquiror’s written demand to the Exchange Agent. In such event, any former stockholders of the Company who have not theretofore complied with any applicable requirements to receive payment of the Merger Consideration, any unpaid dividends on the Acquiror Common Stock shall thereafter look only to the Acquiror for payment of the Merger Consideration, any unpaid dividends on the Acquiror Common Stock and any cash in lieu of fractional shares of Acquiror Common Stock deliverable in respect of the Company Common Stock such stockholder holds as determined pursuant to this Agreement, in each case, without any interest thereon.</w:t>
      </w:r>
    </w:p>
    <w:p>
      <w:pPr>
        <w:spacing w:after="0" w:line="18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the Acquiror, the Company, the Surviving Company, Merger Sub, the Exchange Agent or any other Person shall be liable to any Person in respect of any shares of Acquiror Common Stock or cash held in the Exchange Fund delivered to a Governmental Entity pursuant to any applicable abandoned property, escheat or similar Law. If any Certificates or Book-Entry Shares shall not have been surrendered immediately prior to the date on which any Merger Consideration or any unpaid dividends on the Acquiror Common Stock or other entitlements in respect of such Certificate or Book-Entry Share would otherwise escheat to or become the property of any Governmental Entity, any such Merger Consideration or unpaid dividends or other entitlements in respect of such Certificate or Book-Entry Share shall, to the extent permitted by applicable Law, become the property of the Acquiror, free and clear of all claims or interest of any Person previously entitled thereto.</w:t>
      </w:r>
    </w:p>
    <w:p>
      <w:pPr>
        <w:spacing w:after="0" w:line="18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If any Certificate shall have been lost, stolen or destroyed, then upon the making of an affidavit, in a form reasonably acceptable to the Acquiror and the Exchange Agent, of that fact by the Person claiming such Certificate to be lost, stolen or destroyed and, if required by the Surviving Corporation or the Acquiror, the posting by such Person of a bond, in such reasonable amount as the Surviving Corporation or the Acquiror may direct, as indemnity against any claim that may be made against it with respect to such</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0" w:name="page21"/>
    <w:bookmarkEnd w:id="20"/>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Certificate, the Exchange Agent will deliver in exchange for such lost, stolen or destroyed Certificate the Merger Consideration to which the holder thereof is entitled pursuant to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unpaid dividends on the Acquiror Common Stock and any cash in lieu of fractional shares of Acquiror Common Stock.</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The Acquiror, the Exchange Agent and each of their respective Affiliates and agents, as applicable, shall be entitled to deduct and withhold from amounts payable pursuant to this Agreement to any holder of Company Common Stock such amounts as it determines in good faith are required to be deducted and withheld with respect to the making of such payment under the Code, or under any provision of state, local or foreign Tax Law. To the extent that amounts are so withheld and paid over to the appropriate Governmental Entity, such withheld amounts shall be treated for all purposes of this Agreement as having been paid to the recipient.</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with respect to matters that have been Previously Disclosed, the Company hereby represents and warrants to the Acquiror and Merger Sub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55" w:lineRule="auto"/>
        <w:tabs>
          <w:tab w:leader="none" w:pos="11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and validly existing and in good standing under the Laws of the State of Maryland. The Company has duly elected to be regulated as a BDC, and such election has not been revoked or withdrawn and is in full force and effect, and is listed on NASDAQ. The Company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the Company.</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complete and correct copies of the charter of the Company (the “</w:t>
      </w:r>
      <w:r>
        <w:rPr>
          <w:rFonts w:ascii="Times New Roman" w:cs="Times New Roman" w:eastAsia="Times New Roman" w:hAnsi="Times New Roman"/>
          <w:sz w:val="18"/>
          <w:szCs w:val="18"/>
          <w:u w:val="single" w:color="auto"/>
          <w:color w:val="auto"/>
        </w:rPr>
        <w:t>Company Charter</w:t>
      </w:r>
      <w:r>
        <w:rPr>
          <w:rFonts w:ascii="Times New Roman" w:cs="Times New Roman" w:eastAsia="Times New Roman" w:hAnsi="Times New Roman"/>
          <w:sz w:val="18"/>
          <w:szCs w:val="18"/>
          <w:color w:val="auto"/>
        </w:rPr>
        <w:t>”), and the Bylaws of the Company (the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Bylaws</w:t>
      </w:r>
      <w:r>
        <w:rPr>
          <w:rFonts w:ascii="Times New Roman" w:cs="Times New Roman" w:eastAsia="Times New Roman" w:hAnsi="Times New Roman"/>
          <w:sz w:val="18"/>
          <w:szCs w:val="18"/>
          <w:color w:val="auto"/>
        </w:rPr>
        <w:t>”), as in effect as of the date of this Agreement, have previously been publicly filed by the Company.</w:t>
      </w:r>
    </w:p>
    <w:p>
      <w:pPr>
        <w:spacing w:after="0" w:line="99" w:lineRule="exact"/>
        <w:rPr>
          <w:sz w:val="20"/>
          <w:szCs w:val="20"/>
          <w:color w:val="auto"/>
        </w:rPr>
      </w:pPr>
    </w:p>
    <w:p>
      <w:pPr>
        <w:ind w:left="1100" w:hanging="241"/>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Consolidated Subsidiary of the Company (i) is duly incorporated or duly formed, as applicable to each such Consolidated</w:t>
      </w:r>
    </w:p>
    <w:p>
      <w:pPr>
        <w:spacing w:after="0" w:line="27" w:lineRule="exact"/>
        <w:rPr>
          <w:rFonts w:ascii="Times New Roman" w:cs="Times New Roman" w:eastAsia="Times New Roman" w:hAnsi="Times New Roman"/>
          <w:sz w:val="18"/>
          <w:szCs w:val="18"/>
          <w:color w:val="auto"/>
        </w:rPr>
      </w:pPr>
    </w:p>
    <w:p>
      <w:pPr>
        <w:ind w:left="44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and validly existing and in good standing under the Laws of its jurisdiction of incorporation or organization, as applicable, (ii) has the requisite corporate (or similar) power and authority to own or lease all of its properties and assets and to carry on its business as it is now being conducted and (iii) is duly licensed or qualified to do business as a foreign corporation or other business entity in each jurisdiction in which the nature of the business conducted by</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1" w:name="page22"/>
    <w:bookmarkEnd w:id="21"/>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or the character or location of the properties and assets owned or leased by it makes such licensing or qualification necessary, other than in the case of clauses (ii) and (iii), as would not, individually or in the aggregate, reasonably be expected to have a Material Adverse Effect with respect to the Company.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19"/>
        <w:spacing w:after="0" w:line="266" w:lineRule="auto"/>
        <w:tabs>
          <w:tab w:leader="none" w:pos="67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capital stock of the Company consists of 100,000,000 shares of Company Common Stock, of which 2,672,433 shares were outstanding as of the close of business on September 30, 2024 (the “</w:t>
      </w:r>
      <w:r>
        <w:rPr>
          <w:rFonts w:ascii="Times New Roman" w:cs="Times New Roman" w:eastAsia="Times New Roman" w:hAnsi="Times New Roman"/>
          <w:sz w:val="17"/>
          <w:szCs w:val="17"/>
          <w:u w:val="single" w:color="auto"/>
          <w:color w:val="auto"/>
        </w:rPr>
        <w:t>Company Capitalization Date</w:t>
      </w:r>
      <w:r>
        <w:rPr>
          <w:rFonts w:ascii="Times New Roman" w:cs="Times New Roman" w:eastAsia="Times New Roman" w:hAnsi="Times New Roman"/>
          <w:sz w:val="17"/>
          <w:szCs w:val="17"/>
          <w:color w:val="auto"/>
        </w:rPr>
        <w:t>”). All of the issued and outstanding shares of Company Common Stock have been duly authorized and validly issued and are fully paid, nonassessable and free of preemptive rights, with no personal liability with respect to the Company attaching to the ownership thereof. As of the date of this Agreement, no Indebtedness having the right to vote on any matters on which stockholders of the Company may vote (“</w:t>
      </w:r>
      <w:r>
        <w:rPr>
          <w:rFonts w:ascii="Times New Roman" w:cs="Times New Roman" w:eastAsia="Times New Roman" w:hAnsi="Times New Roman"/>
          <w:sz w:val="17"/>
          <w:szCs w:val="17"/>
          <w:u w:val="single" w:color="auto"/>
          <w:color w:val="auto"/>
        </w:rPr>
        <w:t>Company Voting Debt</w:t>
      </w:r>
      <w:r>
        <w:rPr>
          <w:rFonts w:ascii="Times New Roman" w:cs="Times New Roman" w:eastAsia="Times New Roman" w:hAnsi="Times New Roman"/>
          <w:sz w:val="17"/>
          <w:szCs w:val="17"/>
          <w:color w:val="auto"/>
        </w:rPr>
        <w:t>”) is issued or outstanding. As of the Company Capitalization Date, except pursuant to the Company’s dividend reinvestment plan and the Company 2032 Convertible Notes, the Company does not have and is not bound by any outstanding subscriptions, options, warrants, calls, rights, commitments or agreements of any character (“</w:t>
      </w:r>
      <w:r>
        <w:rPr>
          <w:rFonts w:ascii="Times New Roman" w:cs="Times New Roman" w:eastAsia="Times New Roman" w:hAnsi="Times New Roman"/>
          <w:sz w:val="17"/>
          <w:szCs w:val="17"/>
          <w:u w:val="single" w:color="auto"/>
          <w:color w:val="auto"/>
        </w:rPr>
        <w:t>Rights</w:t>
      </w:r>
      <w:r>
        <w:rPr>
          <w:rFonts w:ascii="Times New Roman" w:cs="Times New Roman" w:eastAsia="Times New Roman" w:hAnsi="Times New Roman"/>
          <w:sz w:val="17"/>
          <w:szCs w:val="17"/>
          <w:color w:val="auto"/>
        </w:rPr>
        <w:t>”) calling for the purchase or issuance of, or the payment of any amount based on, any shares of Company Common Stock, Company Voting Debt or any other equity securities of the Company or any securities representing the right to purchase or otherwise receive any shares of Company Common Stock, Company Voting Debt or other equity securities of the Company. There are no obligations of the Company or any of its Consolidated Subsidiaries (i) to repurchase, redeem or otherwise acquire any shares of capital stock of the Company, Company Voting Debt or any equity security of the Company or its Consolidated Subsidiaries or any securities representing the right to purchase or otherwise receive any shares of capital stock, Company Voting Debt or any other equity security of the Company or its Consolidated Subsidiaries or</w:t>
      </w:r>
    </w:p>
    <w:p>
      <w:pPr>
        <w:spacing w:after="0" w:line="9" w:lineRule="exact"/>
        <w:rPr>
          <w:rFonts w:ascii="Times New Roman" w:cs="Times New Roman" w:eastAsia="Times New Roman" w:hAnsi="Times New Roman"/>
          <w:sz w:val="17"/>
          <w:szCs w:val="17"/>
          <w:color w:val="auto"/>
        </w:rPr>
      </w:pPr>
    </w:p>
    <w:p>
      <w:pPr>
        <w:ind w:left="4" w:right="100" w:hanging="4"/>
        <w:spacing w:after="0" w:line="255" w:lineRule="auto"/>
        <w:tabs>
          <w:tab w:leader="none" w:pos="2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which the Company or any of its Consolidated Subsidiaries is or could be required to register shares of the Company’s capital stock or other securities under the Securities Act. All of the outstanding shares of Company Common Stock have been issued in compliance with applicable Law in all material respects.</w:t>
      </w:r>
    </w:p>
    <w:p>
      <w:pPr>
        <w:spacing w:after="0" w:line="77" w:lineRule="exact"/>
        <w:rPr>
          <w:rFonts w:ascii="Times New Roman" w:cs="Times New Roman" w:eastAsia="Times New Roman" w:hAnsi="Times New Roman"/>
          <w:sz w:val="18"/>
          <w:szCs w:val="18"/>
          <w:color w:val="auto"/>
        </w:rPr>
      </w:pPr>
    </w:p>
    <w:p>
      <w:pPr>
        <w:ind w:left="4" w:right="60" w:firstLine="419"/>
        <w:spacing w:after="0" w:line="256" w:lineRule="auto"/>
        <w:tabs>
          <w:tab w:leader="none" w:pos="6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issued and outstanding shares of capital stock or other equity ownership interests of each Consolidated Subsidiary of the Company are owned by the Company, directly or indirectly, free and clear of any Liens, and all of such shares or equity ownership interests are duly authorized and validly issued and are fully paid, nonassessable (in respect of corporate entities) and free of preemptive rights. No Consolidated Subsidiary of the Company has or is bound by any outstanding Rights calling for the purchase or issuance of, or the payment of any amount based on, any shares of capital stock or any other equity security of such Consolidated Subsidiary or any securities representing the right to purchase or otherwise receive any shares of capital stock or any other equity security of such Consolidated Subsidiary.</w:t>
      </w:r>
    </w:p>
    <w:p>
      <w:pPr>
        <w:spacing w:after="0" w:line="1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4"/>
          </w:cols>
          <w:pgMar w:left="876" w:top="270" w:right="479" w:bottom="1440" w:gutter="0" w:footer="0" w:header="0"/>
        </w:sectPr>
      </w:pPr>
    </w:p>
    <w:bookmarkStart w:id="22" w:name="page23"/>
    <w:bookmarkEnd w:id="2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Authority; No Violation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19"/>
        <w:spacing w:after="0" w:line="252" w:lineRule="auto"/>
        <w:tabs>
          <w:tab w:leader="none" w:pos="6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execute and deliver this Agreement and, subject to obtaining the Company Requisite Vote, to consummate the Transactions. The execution and delivery of this Agreement and the consummation of the Transactions have been duly and validly approved by the Company Board. The Company Board, including all of the Company Continuing Directors (on the recommendation of the Company Special Committee), has unanimously (i) determined that (A) this Agreement and the Merger and the related Transactions are advisable and in the best interests of the Company and (B) the interests of the Company’s existing stockholders will not be diluted as a result of the Transactions, (ii) approved, adopted and declared advisable this Agreement and the Transactions (including the Merger and other Company Matters), (iii) directed that the approval of the Company Matters be submitted to the Company’s stockholders at a duly held meeting of such stockholders (the “</w:t>
      </w:r>
      <w:r>
        <w:rPr>
          <w:rFonts w:ascii="Times New Roman" w:cs="Times New Roman" w:eastAsia="Times New Roman" w:hAnsi="Times New Roman"/>
          <w:sz w:val="18"/>
          <w:szCs w:val="18"/>
          <w:u w:val="single" w:color="auto"/>
          <w:color w:val="auto"/>
        </w:rPr>
        <w:t>Company Stockholders Meetin</w:t>
      </w:r>
      <w:r>
        <w:rPr>
          <w:rFonts w:ascii="Times New Roman" w:cs="Times New Roman" w:eastAsia="Times New Roman" w:hAnsi="Times New Roman"/>
          <w:sz w:val="18"/>
          <w:szCs w:val="18"/>
          <w:color w:val="auto"/>
        </w:rPr>
        <w:t>g”) and (iv) resolved to recommend that the stockholders of the Company approve the Company Matters, including the Merger. Except for receipt of the approval of the Company Matters by the affirmative vote of the holders of Company Common Stock entitled to cast a majority of all the votes entitled to be cast on the matters to be approved at the Company Stockholders Meeting (the “</w:t>
      </w:r>
      <w:r>
        <w:rPr>
          <w:rFonts w:ascii="Times New Roman" w:cs="Times New Roman" w:eastAsia="Times New Roman" w:hAnsi="Times New Roman"/>
          <w:sz w:val="18"/>
          <w:szCs w:val="18"/>
          <w:u w:val="single" w:color="auto"/>
          <w:color w:val="auto"/>
        </w:rPr>
        <w:t>Company Requisite Vote</w:t>
      </w:r>
      <w:r>
        <w:rPr>
          <w:rFonts w:ascii="Times New Roman" w:cs="Times New Roman" w:eastAsia="Times New Roman" w:hAnsi="Times New Roman"/>
          <w:sz w:val="18"/>
          <w:szCs w:val="18"/>
          <w:color w:val="auto"/>
        </w:rPr>
        <w:t>”), the Merger and the other Transactions have been authorized by all necessary corporate action on the part of the Company. This Agreement has been duly and validly executed and delivered by the Company and, except for receipt of the Company Requisite Vote (and assuming due authorization, execution and delivery by the Acquiror, Merger Sub and the Acquiror Adviser),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 w:cs="Times New Roman" w:eastAsia="Times New Roman" w:hAnsi="Times New Roman"/>
          <w:sz w:val="18"/>
          <w:szCs w:val="18"/>
          <w:u w:val="single" w:color="auto"/>
          <w:color w:val="auto"/>
        </w:rPr>
        <w:t>Enforceability Exception</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4" w:right="120" w:firstLine="419"/>
        <w:spacing w:after="0" w:line="261" w:lineRule="auto"/>
        <w:tabs>
          <w:tab w:leader="none" w:pos="68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by the Company, nor the consummation by the Company of the Transactions, nor the performance of this Agreement by the Company, will (i) violate any provision of the Company Charter or the Company Bylaws or</w:t>
      </w:r>
    </w:p>
    <w:p>
      <w:pPr>
        <w:ind w:left="4" w:right="40" w:hanging="4"/>
        <w:spacing w:after="0" w:line="251" w:lineRule="auto"/>
        <w:tabs>
          <w:tab w:leader="none" w:pos="2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that the consents, approvals and filings referred to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are duly obtained and/or made, (A) violate any Law or Order applicable to the Company or any of its Consolidated Subsidiaries or (B) except as Previously Disclosed,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Company or any of its Consolidated Subsidiaries under, any of the terms, conditions or provisions of any Permit, Contract or other obligation to which the Company or any of its Consolidated Subsidiaries is a party or by which any of them or any of their respective properties or assets is bound except, with respect to clause (ii)(B), any such violation, conflict, breach, loss, default, termination, cancellation, acceleration, consent, approval or creation that would not, individually or in the aggregate, reasonably be expected to be material to the Company and its Consolidated Subsidiaries, taken as a whole.</w:t>
      </w:r>
    </w:p>
    <w:p>
      <w:pPr>
        <w:spacing w:after="0" w:line="125"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4"/>
          </w:cols>
          <w:pgMar w:left="876" w:top="270" w:right="499" w:bottom="1440" w:gutter="0" w:footer="0" w:header="0"/>
        </w:sectPr>
      </w:pPr>
    </w:p>
    <w:bookmarkStart w:id="23" w:name="page24"/>
    <w:bookmarkEnd w:id="23"/>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Governmental Consents</w:t>
      </w:r>
      <w:r>
        <w:rPr>
          <w:rFonts w:ascii="Times New Roman" w:cs="Times New Roman" w:eastAsia="Times New Roman" w:hAnsi="Times New Roman"/>
          <w:sz w:val="18"/>
          <w:szCs w:val="18"/>
          <w:color w:val="auto"/>
        </w:rPr>
        <w:t>. No consents or approvals of, or filings or registrations with, any Governmental Entity are necessary in connection with the consummation by the Company of the Merger and the other Transactions, except for (a) the filing with the SEC of a joint proxy statement/prospectus in definitive form relating to the Company Stockholders Meeting and the Acquiror Stockholders Meeting to be held in connection with this Agreement and the Transactions (the “</w:t>
      </w:r>
      <w:r>
        <w:rPr>
          <w:rFonts w:ascii="Times New Roman" w:cs="Times New Roman" w:eastAsia="Times New Roman" w:hAnsi="Times New Roman"/>
          <w:sz w:val="18"/>
          <w:szCs w:val="18"/>
          <w:u w:val="single" w:color="auto"/>
          <w:color w:val="auto"/>
        </w:rPr>
        <w:t>Joint Proxy Statement/Prospectus</w:t>
      </w:r>
      <w:r>
        <w:rPr>
          <w:rFonts w:ascii="Times New Roman" w:cs="Times New Roman" w:eastAsia="Times New Roman" w:hAnsi="Times New Roman"/>
          <w:sz w:val="18"/>
          <w:szCs w:val="18"/>
          <w:color w:val="auto"/>
        </w:rPr>
        <w:t>”) and of a registration statement on Form N-14 or such other appropriate SEC form (the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w:t>
      </w:r>
      <w:r>
        <w:rPr>
          <w:rFonts w:ascii="Times New Roman" w:cs="Times New Roman" w:eastAsia="Times New Roman" w:hAnsi="Times New Roman"/>
          <w:sz w:val="18"/>
          <w:szCs w:val="18"/>
          <w:color w:val="auto"/>
        </w:rPr>
        <w:t>”) in which the Joint Proxy Statement/Prospectus will be included as a prospectus, and declaration of effectiveness of the Registration Statement by the SEC, (b) the filing of the First Articles of Merger with, and the acceptance for the record of the First Articles of Merger by, the MD SDAT in respect of the Merger, (c) the filing of the Second Articles of Merger with, and the acceptance for the record of the Second Articles of Merger by, the MD SDAT in respect of the Second Merger, (d) the filing of the Certificate of Merger with, and the acceptance for the record of the Certificate of Merger by, the DE Secretary in respect of the Second Merger, (e) any notices or filings under the Hart-Scott-Rodino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(f) approval of the listing on NASDAQ of the shares of Acquiror Common Stock to be issued as Merger Consideration under this Agreement, (g) the reporting of this Agreement on a Current Report on Form 8-K and (h) any such consents, approvals, filings or registrations that the failure to obtain or make would not, individually or in the aggregate, reasonably be expected to have a Material Adverse Effect with respect to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4" w:lineRule="auto"/>
        <w:tabs>
          <w:tab w:leader="none" w:pos="11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or furnished all forms, statements, certifications, reports and documents that it was required to file since January 1, 2022 (the “</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with the SEC (such filings since the Applicable Date, the “</w:t>
      </w:r>
      <w:r>
        <w:rPr>
          <w:rFonts w:ascii="Times New Roman" w:cs="Times New Roman" w:eastAsia="Times New Roman" w:hAnsi="Times New Roman"/>
          <w:sz w:val="18"/>
          <w:szCs w:val="18"/>
          <w:u w:val="single" w:color="auto"/>
          <w:color w:val="auto"/>
        </w:rPr>
        <w:t>Company SEC Reports</w:t>
      </w:r>
      <w:r>
        <w:rPr>
          <w:rFonts w:ascii="Times New Roman" w:cs="Times New Roman" w:eastAsia="Times New Roman" w:hAnsi="Times New Roman"/>
          <w:sz w:val="18"/>
          <w:szCs w:val="18"/>
          <w:color w:val="auto"/>
        </w:rPr>
        <w:t>”), except as would not, individually or in the aggregate, reasonably be expected to be material to the Company and its Consolidated Subsidiaries taken as a whole. To the Company’s knowledge, no Company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To the Company’s knowledge, all Company SEC Reports, as of their respective dates, complied as to form in all material respects with the published rules and regulations of the SEC with respect thereto. None of the Consolidated Subsidiaries of the Company is required to make any filing with the SEC.</w:t>
      </w:r>
    </w:p>
    <w:p>
      <w:pPr>
        <w:spacing w:after="0" w:line="83" w:lineRule="exact"/>
        <w:rPr>
          <w:rFonts w:ascii="Times New Roman" w:cs="Times New Roman" w:eastAsia="Times New Roman" w:hAnsi="Times New Roman"/>
          <w:sz w:val="18"/>
          <w:szCs w:val="18"/>
          <w:color w:val="auto"/>
        </w:rPr>
      </w:pPr>
    </w:p>
    <w:p>
      <w:pPr>
        <w:ind w:left="440" w:right="200" w:firstLine="419"/>
        <w:spacing w:after="0" w:line="258" w:lineRule="auto"/>
        <w:tabs>
          <w:tab w:leader="none" w:pos="11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the Company’s knowledge that, upon consummation of the Mergers, would restrict in any material respect the conduct of the business of the Acquiror or any of its Consolidated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4" w:name="page25"/>
    <w:bookmarkEnd w:id="24"/>
    <w:p>
      <w:pPr>
        <w:ind w:right="8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or that in any material manner relates to its capital adequacy, its ability to pay dividends, its credit, risk management or compliance policies, its internal controls, its management or its business, other than those of general application that apply to similarly situated BDCs or their Consolidated Subsidiaries, nor has the Company or any of its Consolidated Subsidiaries been advised in writing or, to the knowledge of the Company, verbally, by any Governmental Entity that it is considering issuing, initiating, ordering, or requesting any of the foregoing.</w:t>
      </w:r>
    </w:p>
    <w:p>
      <w:pPr>
        <w:spacing w:after="0" w:line="56" w:lineRule="exact"/>
        <w:rPr>
          <w:sz w:val="20"/>
          <w:szCs w:val="20"/>
          <w:color w:val="auto"/>
        </w:rPr>
      </w:pPr>
    </w:p>
    <w:p>
      <w:pPr>
        <w:ind w:firstLine="419"/>
        <w:spacing w:after="0" w:line="255" w:lineRule="auto"/>
        <w:tabs>
          <w:tab w:leader="none" w:pos="6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the Acquiror all material correspondence with the SEC since the Applicable Date and, as of the date of this Agreement, to the knowledge of the Company (i) there are no unresolved comments from the SEC with respect to the Company SEC Reports or any SEC examination of the Company and (ii) none of the Company SEC Reports is subject to any ongoing review by the SEC. The Company has made available to the Acquiror all material written correspondence with the SEC regarding the Transactions, a true and complete copy of all such material written correspondence as of the date hereof is set forth in Section 3.5(c) of the Company Disclosure Schedule. As of the date hereof, there have not been any oral communications between the Company or its Representatives with the SEC that contradict or are inconsistent with the correspondence set forth in Section 3.5(c) of the Company Disclosure Schedule.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419"/>
        <w:spacing w:after="0" w:line="253" w:lineRule="auto"/>
        <w:tabs>
          <w:tab w:leader="none" w:pos="6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the related consolidated schedules of investments, of the Company and its Consolidated Subsidiaries included (or incorporated by reference) in the Company SEC Reports (including the related notes, where applicable) (i) fairly present in all material respects the consolidated results of operations, cash flows, changes in net assets and consolidated financial position of the Company and its Consolidated Subsidiaries for the respective fiscal periods or as of the respective dates therein set forth (except that unaudited statements may not contain notes and are subject to recurring year-end audit adjustments normal in nature and amount), (ii) to the Company’s knowledge,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consistently applied during the periods involved, except, in each case, as indicated in such statements or in the notes thereto. Deloitte &amp; Touche LLP (“</w:t>
      </w:r>
      <w:r>
        <w:rPr>
          <w:rFonts w:ascii="Times New Roman" w:cs="Times New Roman" w:eastAsia="Times New Roman" w:hAnsi="Times New Roman"/>
          <w:sz w:val="18"/>
          <w:szCs w:val="18"/>
          <w:u w:val="single" w:color="auto"/>
          <w:color w:val="auto"/>
        </w:rPr>
        <w:t>Deloitte</w:t>
      </w:r>
      <w:r>
        <w:rPr>
          <w:rFonts w:ascii="Times New Roman" w:cs="Times New Roman" w:eastAsia="Times New Roman" w:hAnsi="Times New Roman"/>
          <w:sz w:val="18"/>
          <w:szCs w:val="18"/>
          <w:color w:val="auto"/>
        </w:rPr>
        <w:t>”) has not resigned, threatened resignation or been dismissed as the Company’s independent public accountant as a result of or in connection with any disagreements with the Company on a matter of accounting principles or practices, financial statement disclosure or auditing scope or procedure.</w:t>
      </w:r>
    </w:p>
    <w:p>
      <w:pPr>
        <w:spacing w:after="0" w:line="83"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liabilities reflected or reserved against on the consolidated unaudited balance sheet of the Company as of September 30, 2024 included in the unaudited financial statements set forth in the Company’s quarterly report on Form 10-Q for the quarter ended September 30, 2024 (the “</w:t>
      </w:r>
      <w:r>
        <w:rPr>
          <w:rFonts w:ascii="Times New Roman" w:cs="Times New Roman" w:eastAsia="Times New Roman" w:hAnsi="Times New Roman"/>
          <w:sz w:val="18"/>
          <w:szCs w:val="18"/>
          <w:u w:val="single" w:color="auto"/>
          <w:color w:val="auto"/>
        </w:rPr>
        <w:t>Company Balance Sheet</w:t>
      </w:r>
      <w:r>
        <w:rPr>
          <w:rFonts w:ascii="Times New Roman" w:cs="Times New Roman" w:eastAsia="Times New Roman" w:hAnsi="Times New Roman"/>
          <w:sz w:val="18"/>
          <w:szCs w:val="18"/>
          <w:color w:val="auto"/>
        </w:rPr>
        <w:t>”), (ii) liabilities incurred in the ordinary course of business since September 30, 2024, (iii) liabilities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80" w:top="270" w:right="479" w:bottom="1440" w:gutter="0" w:footer="0" w:header="0"/>
        </w:sectPr>
      </w:pPr>
    </w:p>
    <w:bookmarkStart w:id="25" w:name="page26"/>
    <w:bookmarkEnd w:id="2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incurred in connection with this Agreement and the Transactions, (iv) liabilities otherwise disclosed in the Company SEC Reports and</w:t>
      </w:r>
    </w:p>
    <w:p>
      <w:pPr>
        <w:spacing w:after="0" w:line="27" w:lineRule="exact"/>
        <w:rPr>
          <w:sz w:val="20"/>
          <w:szCs w:val="20"/>
          <w:color w:val="auto"/>
        </w:rPr>
      </w:pPr>
    </w:p>
    <w:p>
      <w:pPr>
        <w:ind w:left="4" w:right="340" w:hanging="4"/>
        <w:spacing w:after="0" w:line="255" w:lineRule="auto"/>
        <w:tabs>
          <w:tab w:leader="none" w:pos="2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would not, individually or in the aggregate, reasonably be expected to have a Material Adverse Effect with respect to the Company, neither the Company nor any of its Consolidated Subsidiaries has any liabilities that would be required to be reflected or reserved against in the Company Balance Sheet in accordance with GAAP.</w:t>
      </w:r>
    </w:p>
    <w:p>
      <w:pPr>
        <w:spacing w:after="0" w:line="77" w:lineRule="exact"/>
        <w:rPr>
          <w:rFonts w:ascii="Times New Roman" w:cs="Times New Roman" w:eastAsia="Times New Roman" w:hAnsi="Times New Roman"/>
          <w:sz w:val="18"/>
          <w:szCs w:val="18"/>
          <w:color w:val="auto"/>
        </w:rPr>
      </w:pPr>
    </w:p>
    <w:p>
      <w:pPr>
        <w:jc w:val="both"/>
        <w:ind w:left="4" w:right="360" w:firstLine="419"/>
        <w:spacing w:after="0" w:line="266" w:lineRule="auto"/>
        <w:tabs>
          <w:tab w:leader="none" w:pos="6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neither the Company nor any of its Consolidated Subsidiaries was a party to or had any commitment to become a party to any off-balance sheet joint venture, partnership or similar contract with any unconsolidated Affiliate or “off-balance sheet arrangement” (as defined in Item 303(a) of Regulation S-K promulgated under the Exchange Act).</w:t>
      </w:r>
    </w:p>
    <w:p>
      <w:pPr>
        <w:spacing w:after="0" w:line="67" w:lineRule="exact"/>
        <w:rPr>
          <w:rFonts w:ascii="Times New Roman" w:cs="Times New Roman" w:eastAsia="Times New Roman" w:hAnsi="Times New Roman"/>
          <w:sz w:val="18"/>
          <w:szCs w:val="18"/>
          <w:color w:val="auto"/>
        </w:rPr>
      </w:pPr>
    </w:p>
    <w:p>
      <w:pPr>
        <w:ind w:left="4" w:firstLine="419"/>
        <w:spacing w:after="0" w:line="253" w:lineRule="auto"/>
        <w:tabs>
          <w:tab w:leader="none" w:pos="68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(i) neither the Company nor any of its Consolidated Subsidiaries nor, to the knowledge of the Company, any director, officer, auditor, accountant or Representative of the Company or any of its Consolidated Subsidiaries has received or otherwise had or obtained knowledge of any material complaint, allegation, assertion or claim, whether written or oral, regarding the accounting or auditing practices, procedures, methodologies or methods of the Company or any of its Consolidated Subsidiaries or their respective internal accounting controls, including any complaint, allegation, assertion or claim that the Company or any of its Consolidated Subsidiaries has engaged in questionable or illegal accounting or auditing practices or maintains inadequate internal controls over financial reporting (as defined in Rules</w:t>
      </w:r>
    </w:p>
    <w:p>
      <w:pPr>
        <w:spacing w:after="0" w:line="5"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of the Exchange Act), and (ii) no attorney representing the Company or any of its Consolidated Subsidiaries, whether or not employed by the Company or any of its Consolidated Subsidiaries, has reported evidence of a material violation of securities laws, breach of duty or similar violation by the Company or any of its directors, officers or agents to the Company Board or any committee thereof or to any director or officer of the Company.</w:t>
      </w:r>
    </w:p>
    <w:p>
      <w:pPr>
        <w:spacing w:after="0" w:line="80" w:lineRule="exact"/>
        <w:rPr>
          <w:rFonts w:ascii="Times New Roman" w:cs="Times New Roman" w:eastAsia="Times New Roman" w:hAnsi="Times New Roman"/>
          <w:sz w:val="18"/>
          <w:szCs w:val="18"/>
          <w:color w:val="auto"/>
        </w:rPr>
      </w:pPr>
    </w:p>
    <w:p>
      <w:pPr>
        <w:ind w:left="4" w:right="420" w:firstLine="419"/>
        <w:spacing w:after="0" w:line="276" w:lineRule="auto"/>
        <w:tabs>
          <w:tab w:leader="none" w:pos="67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Company’s knowledge, since the Applicable Date, Deloitte, which has expressed its opinion with respect to the financial statements of the Company and its Consolidated Subsidiaries included in the Company SEC Reports (including the related notes), has been</w:t>
      </w:r>
    </w:p>
    <w:p>
      <w:pPr>
        <w:ind w:left="4" w:right="160" w:hanging="4"/>
        <w:spacing w:after="0" w:line="255" w:lineRule="auto"/>
        <w:tabs>
          <w:tab w:leader="none" w:pos="2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with respect to the Company and its Consolidated Subsidiaries within the meaning of Regulation S-X, and (ii) in compliance with subsections (g) through (l) of Section 10A of the Exchange Act and the related rules of the SEC and the Public Company Accounting Oversight Board.</w:t>
      </w:r>
    </w:p>
    <w:p>
      <w:pPr>
        <w:spacing w:after="0" w:line="77" w:lineRule="exact"/>
        <w:rPr>
          <w:rFonts w:ascii="Times New Roman" w:cs="Times New Roman" w:eastAsia="Times New Roman" w:hAnsi="Times New Roman"/>
          <w:sz w:val="18"/>
          <w:szCs w:val="18"/>
          <w:color w:val="auto"/>
        </w:rPr>
      </w:pPr>
    </w:p>
    <w:p>
      <w:pPr>
        <w:ind w:left="4" w:right="20" w:firstLine="419"/>
        <w:spacing w:after="0" w:line="261" w:lineRule="auto"/>
        <w:tabs>
          <w:tab w:leader="none" w:pos="65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executive officer and principal financial officer of the Company have made all certifications required by Sections 302 and 906 of the Sarbanes-Oxley Act of 2002 and any related rules and regulations promulgated by the SEC (collectively,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the statements contained in any such certifications are complete and correct, and the Company is otherwise in compliance in all material respects with all applicable effective provisions of the Sarbanes-Oxley Act.</w:t>
      </w:r>
    </w:p>
    <w:p>
      <w:pPr>
        <w:spacing w:after="0" w:line="112"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44"/>
          </w:cols>
          <w:pgMar w:left="876" w:top="270" w:right="579" w:bottom="1440" w:gutter="0" w:footer="0" w:header="0"/>
        </w:sectPr>
      </w:pPr>
    </w:p>
    <w:bookmarkStart w:id="26" w:name="page27"/>
    <w:bookmarkEnd w:id="26"/>
    <w:p>
      <w:pPr>
        <w:ind w:left="680" w:hanging="26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in all material respects:</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56" w:lineRule="auto"/>
        <w:tabs>
          <w:tab w:leader="none" w:pos="115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maintained a system of disclosure controls and procedures (as defined in Rules 13a-15(e) and 15d-15(e) promulgated under the Exchange Act) to ensure that all information (both financial and non-financial) required to be disclosed by the Company in the reports that it files or submits to the SEC under the Exchange Act is recorded, processed, summarized and reported within the time periods specified in the rules and forms of the SEC and that such information is accumulated and communicated to the Company’s management as appropriate to allow timely decisions regarding required disclosure and to allow the Company’s principal executive officer and principal financial officer to make the certifications required under the Exchange Act with respect to such reports;</w:t>
      </w:r>
    </w:p>
    <w:p>
      <w:pPr>
        <w:spacing w:after="0" w:line="79"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maintained a system of internal controls over financial reporting sufficient to provide reasonable assurance</w:t>
      </w:r>
    </w:p>
    <w:p>
      <w:pPr>
        <w:spacing w:after="0" w:line="27" w:lineRule="exact"/>
        <w:rPr>
          <w:rFonts w:ascii="Times New Roman" w:cs="Times New Roman" w:eastAsia="Times New Roman" w:hAnsi="Times New Roman"/>
          <w:sz w:val="18"/>
          <w:szCs w:val="18"/>
          <w:color w:val="auto"/>
        </w:rPr>
      </w:pPr>
    </w:p>
    <w:p>
      <w:pPr>
        <w:ind w:left="5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concerning the reliability of financial reporting and the preparation of financial statements for external purposes in accordance with GAAP, including reasonable assurance that (A) transactions are executed in accordance with management’s general or specific authorizations,</w:t>
      </w:r>
    </w:p>
    <w:p>
      <w:pPr>
        <w:ind w:left="540" w:right="60" w:firstLine="7"/>
        <w:spacing w:after="0" w:line="251" w:lineRule="auto"/>
        <w:tabs>
          <w:tab w:leader="none" w:pos="82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Company’s management, with the participation of the Company’s principal executive and financial officers, has completed an assessment of the effectiveness of the Company’s internal controls over financial reporting for the fiscal year ended December 31, 2023 in compliance with the requirements of Section 404 of the Sarbanes-Oxley Act, and such assessment concluded that the Company maintained, in all material respects, effective internal control over financial reporting as of December 31, 2023, using the framework specified in the Company’s Annual Report on Form 10-K for the fiscal year ended December 31, 2023; and</w:t>
      </w:r>
    </w:p>
    <w:p>
      <w:pPr>
        <w:spacing w:after="0" w:line="85" w:lineRule="exact"/>
        <w:rPr>
          <w:rFonts w:ascii="Times New Roman" w:cs="Times New Roman" w:eastAsia="Times New Roman" w:hAnsi="Times New Roman"/>
          <w:sz w:val="18"/>
          <w:szCs w:val="18"/>
          <w:color w:val="auto"/>
        </w:rPr>
      </w:pPr>
    </w:p>
    <w:p>
      <w:pPr>
        <w:ind w:left="540" w:right="60" w:firstLine="408"/>
        <w:spacing w:after="0" w:line="256" w:lineRule="auto"/>
        <w:tabs>
          <w:tab w:leader="none" w:pos="1256"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disclosed, based on its most recent evaluation, to its auditors and the audit committee of the Company Board (1) any significant deficiencies or material weaknesses (as defined in the relevant Statement of Auditing Standards) in the design or operation of the Company’s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the Company’s auditors any material weaknesses in internal controls.</w:t>
      </w:r>
    </w:p>
    <w:p>
      <w:pPr>
        <w:spacing w:after="0" w:line="79" w:lineRule="exact"/>
        <w:rPr>
          <w:rFonts w:ascii="Times New Roman" w:cs="Times New Roman" w:eastAsia="Times New Roman" w:hAnsi="Times New Roman"/>
          <w:sz w:val="18"/>
          <w:szCs w:val="18"/>
          <w:color w:val="auto"/>
        </w:rPr>
      </w:pPr>
    </w:p>
    <w:p>
      <w:pPr>
        <w:ind w:right="100" w:firstLine="419"/>
        <w:spacing w:after="0" w:line="261" w:lineRule="auto"/>
        <w:tabs>
          <w:tab w:leader="none" w:pos="6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Company’s investments as of September 30, 2024 (i) was determined in accordance with Accounting Standards Codification, “</w:t>
      </w:r>
      <w:r>
        <w:rPr>
          <w:rFonts w:ascii="Times New Roman" w:cs="Times New Roman" w:eastAsia="Times New Roman" w:hAnsi="Times New Roman"/>
          <w:sz w:val="18"/>
          <w:szCs w:val="18"/>
          <w:i w:val="1"/>
          <w:iCs w:val="1"/>
          <w:color w:val="auto"/>
        </w:rPr>
        <w:t>Fair Value Measurements and Disclosures (Topic 820)</w:t>
      </w:r>
      <w:r>
        <w:rPr>
          <w:rFonts w:ascii="Times New Roman" w:cs="Times New Roman" w:eastAsia="Times New Roman" w:hAnsi="Times New Roman"/>
          <w:sz w:val="18"/>
          <w:szCs w:val="18"/>
          <w:color w:val="auto"/>
        </w:rPr>
        <w:t>”, issued by the Financial Accounting Standards Board (“</w:t>
      </w:r>
      <w:r>
        <w:rPr>
          <w:rFonts w:ascii="Times New Roman" w:cs="Times New Roman" w:eastAsia="Times New Roman" w:hAnsi="Times New Roman"/>
          <w:sz w:val="18"/>
          <w:szCs w:val="18"/>
          <w:u w:val="single" w:color="auto"/>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Topic 820</w:t>
      </w:r>
      <w:r>
        <w:rPr>
          <w:rFonts w:ascii="Times New Roman" w:cs="Times New Roman" w:eastAsia="Times New Roman" w:hAnsi="Times New Roman"/>
          <w:sz w:val="18"/>
          <w:szCs w:val="18"/>
          <w:color w:val="auto"/>
        </w:rPr>
        <w:t>”) and (ii) reflects a reasonable estimate of the fair value of such investments as determined in good faith, in accordance with Rule 2a-5 under the Investment Company Act.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27" w:name="page28"/>
    <w:bookmarkEnd w:id="27"/>
    <w:p>
      <w:pPr>
        <w:ind w:left="440" w:right="180" w:firstLine="419"/>
        <w:spacing w:after="0" w:line="282" w:lineRule="auto"/>
        <w:tabs>
          <w:tab w:leader="none" w:pos="10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Company’s knowledge, there is no fraud or suspected fraud affecting the Company involving management of the Company who have significant roles in the Company’s internal control over financial reporting.</w:t>
      </w:r>
    </w:p>
    <w:p>
      <w:pPr>
        <w:spacing w:after="0" w:line="162"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Neither the Company nor any of its Consolidated Subsidiaries nor any of their respective directors, officers or agents has utilized any broker, finder or financial advisor or incurred any liability for any broker’s fees, commissions or finder’s fees in connection with the Mergers or the other Transactions, other than to Houlihan Lokey Capital, Inc. pursuant to an engagement letter, a true, complete and correct copy of which has been previously delivered to the Acquiror.</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Absence of Changes or Events</w:t>
      </w:r>
      <w:r>
        <w:rPr>
          <w:rFonts w:ascii="Times New Roman" w:cs="Times New Roman" w:eastAsia="Times New Roman" w:hAnsi="Times New Roman"/>
          <w:sz w:val="18"/>
          <w:szCs w:val="18"/>
          <w:color w:val="auto"/>
        </w:rPr>
        <w:t xml:space="preserve">. Since the Company’s last quarterly report on Form 10-Q, (i) except as expressly permitted or required by or in connection with the execution and delivery of this Agreement and the consummation of the Transactions, the business of the Company and its Consolidated Subsidiaries has been conducted in the ordinary course of business, (ii) there has not been any Effect that would, individually or in the aggregate, reasonably be expected to have a Material Adverse Effect with respect to the Company and (iii) there has not been any material action that, if it had been taken after the date hereof, would have required the consent of the Acquiror Special Committee under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Compliance with Applicable Law; Permits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20" w:firstLine="419"/>
        <w:spacing w:after="0" w:line="254" w:lineRule="auto"/>
        <w:tabs>
          <w:tab w:leader="none" w:pos="11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Consolidated Subsidiaries is in compliance, and has been operated in compliance, in all material respects, with all applicable Laws, including, if and to the extent applicable, the Investment Company Act, the Securities Act and the Exchange Act other than as would not, individually or in the aggregate, reasonably be expected to have a Material Adverse Effect with respect to the Company. The Company has not received any written or, to the Company’s knowledge, oral notification from a Governmental Entity of any material non-compliance with any applicable Laws, which non-compliance would, individually or in the aggregate, reasonably be expected to be material to the Company and its Consolidated Subsidiaries, taken as a whole. The Company has operated in compliance with all listing standards of NASDAQ since the Applicable Date other than as would not, individually or in the aggregate, reasonably be expected to be material to the Company and its Consolidated Subsidiaries, taken as a whole.</w:t>
      </w:r>
    </w:p>
    <w:p>
      <w:pPr>
        <w:spacing w:after="0" w:line="83" w:lineRule="exact"/>
        <w:rPr>
          <w:rFonts w:ascii="Times New Roman" w:cs="Times New Roman" w:eastAsia="Times New Roman" w:hAnsi="Times New Roman"/>
          <w:sz w:val="18"/>
          <w:szCs w:val="18"/>
          <w:color w:val="auto"/>
        </w:rPr>
      </w:pPr>
    </w:p>
    <w:p>
      <w:pPr>
        <w:jc w:val="both"/>
        <w:ind w:left="440" w:right="180" w:firstLine="419"/>
        <w:spacing w:after="0" w:line="261"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and since the Applicable Date, has complied with its investment policies and restrictions and portfolio valuation methods, if any, as such policies and restrictions have been set forth in its registration statement (as amended from time to time) or the reports that it has filed with the SEC under the Exchange Act and applicable Laws, if any, other than any non-compliance that would not, individually or in the aggregate, reasonably be expected to have a Material Adverse Effect with respect to the Company.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8" w:name="page29"/>
    <w:bookmarkEnd w:id="28"/>
    <w:p>
      <w:pPr>
        <w:ind w:left="444" w:firstLine="419"/>
        <w:spacing w:after="0" w:line="256" w:lineRule="auto"/>
        <w:tabs>
          <w:tab w:leader="none" w:pos="11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written policies and procedures adopted pursuant to Rule 38a-1 under the Investment Company Act that are reasonably designed to prevent material violations of the “Federal Securities Laws,” as such term is defined in Rule 38a-1(e)(1) under the Investment Company Act. There have been no “Material Compliance Matters” for the Company, as such term is defined in Rule 38a-1(e)(2) under the Investment Company Act, other than those that have been reported to the Company Board and satisfactorily remedied or are in the process of being remedied or those that would not, individually or in the aggregate, reasonably be expected to be material to the Company and its Consolidated Subsidiaries, taken as a whole.</w:t>
      </w:r>
    </w:p>
    <w:p>
      <w:pPr>
        <w:spacing w:after="0" w:line="79" w:lineRule="exact"/>
        <w:rPr>
          <w:rFonts w:ascii="Times New Roman" w:cs="Times New Roman" w:eastAsia="Times New Roman" w:hAnsi="Times New Roman"/>
          <w:sz w:val="18"/>
          <w:szCs w:val="18"/>
          <w:color w:val="auto"/>
        </w:rPr>
      </w:pPr>
    </w:p>
    <w:p>
      <w:pPr>
        <w:ind w:left="444" w:right="80" w:firstLine="419"/>
        <w:spacing w:after="0" w:line="254" w:lineRule="auto"/>
        <w:tabs>
          <w:tab w:leader="none" w:pos="11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Consolidated Subsidiaries holds and is in compliance with all Permits required in order to permit the Company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the Company and its Consolidated Subsidiaries, taken as a whole. All such Permits are valid and in full force and effect, except as would not, individually or in the aggregate, reasonably be expected to be material to the Company and its Consolidated Subsidiaries, taken as a whole. The Company has not received any written or, to the Company’s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the Company and its Consolidated Subsidiaries, taken as a whole.</w:t>
      </w:r>
    </w:p>
    <w:p>
      <w:pPr>
        <w:spacing w:after="0" w:line="80" w:lineRule="exact"/>
        <w:rPr>
          <w:rFonts w:ascii="Times New Roman" w:cs="Times New Roman" w:eastAsia="Times New Roman" w:hAnsi="Times New Roman"/>
          <w:sz w:val="18"/>
          <w:szCs w:val="18"/>
          <w:color w:val="auto"/>
        </w:rPr>
      </w:pPr>
    </w:p>
    <w:p>
      <w:pPr>
        <w:ind w:left="444" w:right="80" w:firstLine="419"/>
        <w:spacing w:after="0" w:line="258" w:lineRule="auto"/>
        <w:tabs>
          <w:tab w:leader="none" w:pos="11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“affiliated person” (as defined under the Investment Company Act) of the Company has been subject to disqualification to serve in any capacity contemplated by the Investment Company Act for any investment company (including a BDC) under Sections 9(a) and 9(b) of the Investment Company Act, unless, in each case, such Person has received exemptive relief from the SEC with respect to any such disqualification. There is no material Proceeding pending and served or, to the knowledge of the Company, threatened that would result in any such disqualification.</w:t>
      </w:r>
    </w:p>
    <w:p>
      <w:pPr>
        <w:spacing w:after="0" w:line="75" w:lineRule="exact"/>
        <w:rPr>
          <w:rFonts w:ascii="Times New Roman" w:cs="Times New Roman" w:eastAsia="Times New Roman" w:hAnsi="Times New Roman"/>
          <w:sz w:val="18"/>
          <w:szCs w:val="18"/>
          <w:color w:val="auto"/>
        </w:rPr>
      </w:pPr>
    </w:p>
    <w:p>
      <w:pPr>
        <w:ind w:left="444" w:right="100" w:firstLine="419"/>
        <w:spacing w:after="0" w:line="266" w:lineRule="auto"/>
        <w:tabs>
          <w:tab w:leader="none" w:pos="10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 books and other similar records of the Company maintained since the Applicable Date contain a true and complete record in all material respects of all action taken at all meetings and by all written consents in lieu of meetings of the stockholders of the Company, the Company Board and any committees of the Company Board.</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Company Information</w:t>
      </w:r>
      <w:r>
        <w:rPr>
          <w:rFonts w:ascii="Times New Roman" w:cs="Times New Roman" w:eastAsia="Times New Roman" w:hAnsi="Times New Roman"/>
          <w:sz w:val="18"/>
          <w:szCs w:val="18"/>
          <w:color w:val="auto"/>
        </w:rPr>
        <w:t>. None of the information supplied or to be supplied by the Company for inclusion or incorporation by reference in</w:t>
      </w:r>
    </w:p>
    <w:p>
      <w:pPr>
        <w:spacing w:after="0" w:line="27" w:lineRule="exact"/>
        <w:rPr>
          <w:sz w:val="20"/>
          <w:szCs w:val="20"/>
          <w:color w:val="auto"/>
        </w:rPr>
      </w:pPr>
    </w:p>
    <w:p>
      <w:pPr>
        <w:ind w:left="4" w:right="140" w:hanging="4"/>
        <w:spacing w:after="0" w:line="253" w:lineRule="auto"/>
        <w:tabs>
          <w:tab w:leader="none" w:pos="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will, at the time the Registration Statement is filed with the SEC, at any time the Registration Statement is amended or supplemented or at the time the Registration Statement becomes effective under the Securities Act, or (ii) the Joint Proxy Statement/Prospectus will, at the date the Joint Proxy Statement/Prospectus or any amendment or supplement is first mailed to stockholders of the Company or stockholders of the Acquiror or at the time of the Company Stockholders Meeting</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9" w:name="page30"/>
    <w:bookmarkEnd w:id="29"/>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the Company with respect to information supplied by the Acquiror, Merger Sub or the Acquiror Adviser for inclusion or incorporation by reference in the Registration Statement or the Joint Proxy Statement/Prospectus.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2" w:lineRule="auto"/>
        <w:tabs>
          <w:tab w:leader="none" w:pos="11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Consolidated Subsidiaries has duly and timely filed (taking into account all applicable extensions) all material Tax Returns required to be filed by it on or prior to the date of this Agreement (all such Tax Returns being accurate and complete in all material respects), has paid all material Taxes shown thereon as arising, or required to be shown thereon,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 No material Tax Return of the Company or any Consolidated Subsidiary has been examined by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or other relevant taxing authority. There are no material disputes pending, or written claims asserted, for Taxes or assessments upon the Company or any of its Consolidated Subsidiaries for which the Company does not have reserves that are adequate under GAAP. Neither the Company nor any of its Consolidated Subsidiaries is a party to or is bound by any Tax sharing, allocation or indemnification agreement or arrangement (other than such an agreement or arrangement exclusively between or among the Company and its Consolidated Subsidiaries or customary gross-up provisions in any commercial contract the primary purpose of which does not relate to Taxes). Within the past five years (or otherwise as part of a “plan (or series of related transactions)” within the meaning of Section 355(e) of the Code of which the Merger is also a part), neither the Company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 Neither the Company nor any of its Consolidated Subsidiaries is required to include in income any adjustment pursuant to Section 481(a) of the Code, no such adjustment has been proposed by the IRS and no pending request for permission to change any accounting method has been submitted by the Company or any of its Consolidated Subsidiaries. Neither the Company nor any of its Consolidated Subsidiaries has participated in a “listed transaction” within the meaning of Treasury Regulation Section 1.6011-4(b)(2). If the Company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0" w:name="page31"/>
    <w:bookmarkEnd w:id="30"/>
    <w:p>
      <w:pPr>
        <w:ind w:firstLine="419"/>
        <w:spacing w:after="0" w:line="274" w:lineRule="auto"/>
        <w:tabs>
          <w:tab w:leader="none" w:pos="67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made a valid election under Part I of Subchapter M of Subtitle A, Chapter 1, of the Code to be taxed as a “regulated investment company” (a “</w:t>
      </w:r>
      <w:r>
        <w:rPr>
          <w:rFonts w:ascii="Times New Roman" w:cs="Times New Roman" w:eastAsia="Times New Roman" w:hAnsi="Times New Roman"/>
          <w:sz w:val="17"/>
          <w:szCs w:val="17"/>
          <w:u w:val="single" w:color="auto"/>
          <w:color w:val="auto"/>
        </w:rPr>
        <w:t>RIC</w:t>
      </w:r>
      <w:r>
        <w:rPr>
          <w:rFonts w:ascii="Times New Roman" w:cs="Times New Roman" w:eastAsia="Times New Roman" w:hAnsi="Times New Roman"/>
          <w:sz w:val="17"/>
          <w:szCs w:val="17"/>
          <w:color w:val="auto"/>
        </w:rPr>
        <w:t>”). The Company has qualified as a RIC at all times during the Company Open Tax Years and expects to continue to so qualify through the Effective Time. No challenge to the Company’s status as a RIC is pending or has been threatened in writing with respect to the Company Open Tax Years. For each of the Company Open Tax Years, the Company has satisfied or will satisfy the distribution requirements imposed on a regulated investment company under Section 852 of the Code (taking into account any dividend that will be paid by the Company, or by the Acquiror on behalf of the Company, after the date of this Agreement, including the Tax Dividend and the Deficiency Dividend).</w:t>
      </w:r>
    </w:p>
    <w:p>
      <w:pPr>
        <w:spacing w:after="0" w:line="64" w:lineRule="exact"/>
        <w:rPr>
          <w:rFonts w:ascii="Times New Roman" w:cs="Times New Roman" w:eastAsia="Times New Roman" w:hAnsi="Times New Roman"/>
          <w:sz w:val="17"/>
          <w:szCs w:val="17"/>
          <w:color w:val="auto"/>
        </w:rPr>
      </w:pPr>
    </w:p>
    <w:p>
      <w:pPr>
        <w:ind w:right="120" w:firstLine="419"/>
        <w:spacing w:after="0" w:line="266" w:lineRule="auto"/>
        <w:tabs>
          <w:tab w:leader="none" w:pos="6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Consolidated Subsidiaries have complied in all material respects with all applicable Laws relating to the payment and withholding of Taxes and have, within the time and in the manner prescribed by applicable Law, in all material respects, withheld from and paid over all amounts required to be so withheld and paid over under applicable Laws.</w:t>
      </w:r>
    </w:p>
    <w:p>
      <w:pPr>
        <w:spacing w:after="0" w:line="67" w:lineRule="exact"/>
        <w:rPr>
          <w:rFonts w:ascii="Times New Roman" w:cs="Times New Roman" w:eastAsia="Times New Roman" w:hAnsi="Times New Roman"/>
          <w:sz w:val="18"/>
          <w:szCs w:val="18"/>
          <w:color w:val="auto"/>
        </w:rPr>
      </w:pPr>
    </w:p>
    <w:p>
      <w:pPr>
        <w:ind w:right="260" w:firstLine="419"/>
        <w:spacing w:after="0" w:line="282"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aware of any fact or circumstance that could reasonably be expected to prevent the Mergers from qualifying as a “reorganization” within the meaning of Section 368(a) of the Code.</w:t>
      </w:r>
    </w:p>
    <w:p>
      <w:pPr>
        <w:spacing w:after="0" w:line="5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“earnings and profits” for U.S. federal income Tax purposes described in Section 852(a)(2)(B) of the Code.</w:t>
      </w:r>
    </w:p>
    <w:p>
      <w:pPr>
        <w:spacing w:after="0" w:line="117" w:lineRule="exact"/>
        <w:rPr>
          <w:rFonts w:ascii="Times New Roman" w:cs="Times New Roman" w:eastAsia="Times New Roman" w:hAnsi="Times New Roman"/>
          <w:sz w:val="18"/>
          <w:szCs w:val="18"/>
          <w:color w:val="auto"/>
        </w:rPr>
      </w:pPr>
    </w:p>
    <w:p>
      <w:pPr>
        <w:ind w:right="40" w:firstLine="419"/>
        <w:spacing w:after="0" w:line="258" w:lineRule="auto"/>
        <w:tabs>
          <w:tab w:leader="none" w:pos="6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Previously Disclosed each asset, if any, the disposition of which would be subject to rules similar to Section 1374 of the Code as prescribed in IRS Notice 88-19, 1988-1 C.B. 486, or Treasury Regulation Section 1.337(d)-7 and the amount of “net unrealized built-in gain” (within the meaning of Section 1374(d) of the Code), if any, with respect to the Company’s assets. Other than as Previously Disclosed, the Company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75"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been made in writing by a taxing authority in a jurisdiction where the Company or any of its Consolidated Subsidiaries does not file Tax Returns that the Company or any such Consolidated Subsidiary is or may be subject to taxation by that jurisdiction, and which, if upheld, would reasonably result in a material Tax liability.</w:t>
      </w:r>
    </w:p>
    <w:p>
      <w:pPr>
        <w:spacing w:after="0" w:line="67" w:lineRule="exact"/>
        <w:rPr>
          <w:rFonts w:ascii="Times New Roman" w:cs="Times New Roman" w:eastAsia="Times New Roman" w:hAnsi="Times New Roman"/>
          <w:sz w:val="18"/>
          <w:szCs w:val="18"/>
          <w:color w:val="auto"/>
        </w:rPr>
      </w:pPr>
    </w:p>
    <w:p>
      <w:pPr>
        <w:ind w:right="560" w:firstLine="419"/>
        <w:spacing w:after="0" w:line="282"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Consolidated Subsidiaries has, or has had at any time during the Company Open Tax Years, a permanent establishment in any country other than the United States.</w:t>
      </w:r>
    </w:p>
    <w:p>
      <w:pPr>
        <w:spacing w:after="0" w:line="53" w:lineRule="exact"/>
        <w:rPr>
          <w:rFonts w:ascii="Times New Roman" w:cs="Times New Roman" w:eastAsia="Times New Roman" w:hAnsi="Times New Roman"/>
          <w:sz w:val="18"/>
          <w:szCs w:val="18"/>
          <w:color w:val="auto"/>
        </w:rPr>
      </w:pPr>
    </w:p>
    <w:p>
      <w:pPr>
        <w:ind w:right="260" w:firstLine="419"/>
        <w:spacing w:after="0" w:line="282" w:lineRule="auto"/>
        <w:tabs>
          <w:tab w:leader="none" w:pos="63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Consolidated Subsidiaries has requested a private letter ruling from the IRS or comparable rulings from other taxing authorities at any time during the Company Open Tax Years.</w:t>
      </w:r>
    </w:p>
    <w:p>
      <w:pPr>
        <w:spacing w:after="0" w:line="53" w:lineRule="exact"/>
        <w:rPr>
          <w:rFonts w:ascii="Times New Roman" w:cs="Times New Roman" w:eastAsia="Times New Roman" w:hAnsi="Times New Roman"/>
          <w:sz w:val="18"/>
          <w:szCs w:val="18"/>
          <w:color w:val="auto"/>
        </w:rPr>
      </w:pPr>
    </w:p>
    <w:p>
      <w:pPr>
        <w:ind w:right="160" w:firstLine="419"/>
        <w:spacing w:after="0" w:line="261" w:lineRule="auto"/>
        <w:tabs>
          <w:tab w:leader="none" w:pos="63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Consolidated Subsidiaries has any liability for the Taxes of another Person other than the Company and its Consolidated Subsidiaries under Treasury Regulation Section 1.1502-6 (or any similar provision of state, local or foreign Law), as a transferee, successor or payable pursuant to a contractual obligation (other than customary gross-up provisions in any commercial contract the primary purpose of which does not relate to Taxes).</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40"/>
          </w:cols>
          <w:pgMar w:left="880" w:top="270" w:right="479" w:bottom="1440" w:gutter="0" w:footer="0" w:header="0"/>
        </w:sectPr>
      </w:pPr>
    </w:p>
    <w:bookmarkStart w:id="31" w:name="page32"/>
    <w:bookmarkEnd w:id="31"/>
    <w:p>
      <w:pPr>
        <w:ind w:left="440" w:right="240" w:firstLine="419"/>
        <w:spacing w:after="0" w:line="266" w:lineRule="auto"/>
        <w:tabs>
          <w:tab w:leader="none" w:pos="11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any of its Consolidated Subsidiaries has been a member of a consolidated, combined or unitary Tax group (other than such a group the common parent of which is the Company or any of its Consolidated Subsidiaries) at any time during the Company Open Tax Years.</w:t>
      </w:r>
    </w:p>
    <w:p>
      <w:pPr>
        <w:spacing w:after="0" w:line="6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0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Liens for Taxes (other than Taxes not yet due and payable) upon any of the assets of the Company or any of its Consolidated Subsidiaries.</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material Proceedings pending or, to the Company’s knowledge, threatened against the Company or any of its Consolidated Subsidiaries. There is no Order binding upon the Company or any of its Consolidated Subsidiaries other than such Orders as would not, individually or in the aggregate, reasonably be expected to be material to the Company and its Consolidated Subsidiaries, taken as a whole.</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 Neither the Company nor any of its Consolidated Subsidiaries has (i) any employees or (ii) any “employee benefit plans” as defined in Section 3(3) of the Employee Retirement Income Security Act of 1974, as amended, or any employment, bonus, incentive, vacation, stock option or other equity based, severance, termination, retention, change of control, profit sharing, fringe benefit, health, medical or other similar plan, program or agreement (collectively,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Certain 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60" w:firstLine="419"/>
        <w:spacing w:after="0" w:line="258" w:lineRule="auto"/>
        <w:tabs>
          <w:tab w:leader="none" w:pos="11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Previously Disclosed a complete and accurate list of, and true and complete copies have been delivered or made available (including via EDGAR) to the Acquiror of, all Contracts (collectively, the “</w:t>
      </w:r>
      <w:r>
        <w:rPr>
          <w:rFonts w:ascii="Times New Roman" w:cs="Times New Roman" w:eastAsia="Times New Roman" w:hAnsi="Times New Roman"/>
          <w:sz w:val="18"/>
          <w:szCs w:val="18"/>
          <w:u w:val="single" w:color="auto"/>
          <w:color w:val="auto"/>
        </w:rPr>
        <w:t>Company Material Contracts</w:t>
      </w:r>
      <w:r>
        <w:rPr>
          <w:rFonts w:ascii="Times New Roman" w:cs="Times New Roman" w:eastAsia="Times New Roman" w:hAnsi="Times New Roman"/>
          <w:sz w:val="18"/>
          <w:szCs w:val="18"/>
          <w:color w:val="auto"/>
        </w:rPr>
        <w:t>”) to which, as of the date hereof, the Company or any of its Consolidated Subsidiaries is a party, or by which the Company or any of its Consolidated Subsidiaries may be bound, or, to the knowledge of the Company, to which it or any of its Consolidated Subsidiaries or their respective assets or properties may be subject, with respect to:</w:t>
      </w:r>
    </w:p>
    <w:p>
      <w:pPr>
        <w:spacing w:after="0" w:line="75"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“material contract” within the meaning of Item 601(b)(10) of the SEC’s Regulation S-K;</w:t>
      </w:r>
    </w:p>
    <w:p>
      <w:pPr>
        <w:spacing w:after="0" w:line="117" w:lineRule="exact"/>
        <w:rPr>
          <w:rFonts w:ascii="Times New Roman" w:cs="Times New Roman" w:eastAsia="Times New Roman" w:hAnsi="Times New Roman"/>
          <w:sz w:val="18"/>
          <w:szCs w:val="18"/>
          <w:color w:val="auto"/>
        </w:rPr>
      </w:pPr>
    </w:p>
    <w:p>
      <w:pPr>
        <w:jc w:val="both"/>
        <w:ind w:left="980" w:right="20" w:firstLine="408"/>
        <w:spacing w:after="0" w:line="261" w:lineRule="auto"/>
        <w:tabs>
          <w:tab w:leader="none" w:pos="164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loans or credit agreements, mortgages, indentures and other agreements and instruments pursuant to which any Indebtedness of the Company or any of its Consolidated Subsidiaries in an aggregate principal amount in excess of $1,000,000 is outstanding or may be incurred, or any guarantee by the Company or any of its Consolidated Subsidiaries of any Indebtedness in an aggregate principal amount in excess of $1,000,000;</w:t>
      </w:r>
    </w:p>
    <w:p>
      <w:pPr>
        <w:spacing w:after="0" w:line="71" w:lineRule="exact"/>
        <w:rPr>
          <w:rFonts w:ascii="Times New Roman" w:cs="Times New Roman" w:eastAsia="Times New Roman" w:hAnsi="Times New Roman"/>
          <w:sz w:val="18"/>
          <w:szCs w:val="18"/>
          <w:color w:val="auto"/>
        </w:rPr>
      </w:pPr>
    </w:p>
    <w:p>
      <w:pPr>
        <w:ind w:left="980" w:right="140" w:firstLine="408"/>
        <w:spacing w:after="0" w:line="261" w:lineRule="auto"/>
        <w:tabs>
          <w:tab w:leader="none" w:pos="16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non-competition or non-solicitation Contract or any other Contract that limits, purports to limit, or would reasonably be expected to limit in each case in any material respect the manner in which, or the localities in which, any material business of the Company and its Consolidated Subsidiaries, taken as a whole, is or could be conducted or the types of business that the Company and its Consolidated Subsidiaries conducts or may conduct;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2" w:name="page33"/>
    <w:bookmarkEnd w:id="32"/>
    <w:p>
      <w:pPr>
        <w:ind w:left="980" w:right="60" w:firstLine="408"/>
        <w:spacing w:after="0" w:line="261" w:lineRule="auto"/>
        <w:tabs>
          <w:tab w:leader="none" w:pos="168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Contract that obligates the Company or any of its Consolidated Subsidiaries to conduct any business that is material to the Company and its Consolidated Subsidiaries, taken as a whole, on an exclusive basis with any third party, or upon consummation of the Mergers, will obligate the Acquiror, the Surviving Company or any of their Consolidated Subsidiaries to conduct business with any third-party on an exclusive basis.</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2" w:lineRule="auto"/>
        <w:tabs>
          <w:tab w:leader="none" w:pos="11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Material Contract is (x) valid and binding on the Company or its applicable Consolidated Subsidiary and, to the Company’s knowledge, each other party thereto, (y) enforceable against the Company or its applicable Consolidated Subsidiary in accordance with its terms (subject to the Enforceability Exception), and (z) is in full force and effect other than in each case as would not, individually or in the aggregate, reasonably be expected to be material to the Company and its Consolidated Subsidiaries, taken as a whole. The Company Advisory Agreement has been approved by the Company Board and stockholders of the Company in accordance with Section 15 of the Investment Company Act. Neither the Company nor any of its Consolidated Subsidiaries nor, to the Company’s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Company Material Contract other than as would not, individually or in the aggregate, reasonably be expected to have a Material Adverse Effect with respect to the Company. No Company Material Contract has been amended, modified or supplemented other than as would not, individually or in the aggregate, reasonably be expected to be material to the Company and its Consolidated Subsidiaries, taken as a whole. No event has occurred with respect to the Company or any of its Consolidated Subsidiaries that, with or without the giving of notice, the lapse of time or both, would constitute a breach or default under any Company Material Contract other than as would not, individually or in the aggregate, reasonably be expected to be material to the Company and its Consolidated Subsidiaries, taken as a whole.</w:t>
      </w:r>
    </w:p>
    <w:p>
      <w:pPr>
        <w:spacing w:after="0" w:line="19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Insurance Coverage</w:t>
      </w:r>
      <w:r>
        <w:rPr>
          <w:rFonts w:ascii="Times New Roman" w:cs="Times New Roman" w:eastAsia="Times New Roman" w:hAnsi="Times New Roman"/>
          <w:sz w:val="18"/>
          <w:szCs w:val="18"/>
          <w:color w:val="auto"/>
        </w:rPr>
        <w:t>. All material insurance policies maintained by the Company or any of its Consolidated Subsidiaries and that name the Company or any of its Consolidated Subsidiaries as an insured (each, a “</w:t>
      </w:r>
      <w:r>
        <w:rPr>
          <w:rFonts w:ascii="Times New Roman" w:cs="Times New Roman" w:eastAsia="Times New Roman" w:hAnsi="Times New Roman"/>
          <w:sz w:val="18"/>
          <w:szCs w:val="18"/>
          <w:u w:val="single" w:color="auto"/>
          <w:color w:val="auto"/>
        </w:rPr>
        <w:t>Company Insurance Polic</w:t>
      </w:r>
      <w:r>
        <w:rPr>
          <w:rFonts w:ascii="Times New Roman" w:cs="Times New Roman" w:eastAsia="Times New Roman" w:hAnsi="Times New Roman"/>
          <w:sz w:val="18"/>
          <w:szCs w:val="18"/>
          <w:color w:val="auto"/>
        </w:rPr>
        <w:t>y”), including the fidelity bond required by the Investment Company Act, are in full force and effect and all premiums due and payable with respect to each Company Insurance Policy have been paid. Neither the Company nor any of its Consolidated Subsidiaries has received written notice of cancellation of any Company Insurance Policy.</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70" w:right="49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3.16.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Consolidated Subsidiaries own, possess or have a valid license or other adequate rights to use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patent applications, patent rights, trademarks, trademark applications, trademark rights, trade names, trade name rights, service marks,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applications, service mark rights, copyrights, computer programs and other proprietary intellectual property rights (collectively, “</w:t>
      </w:r>
      <w:r>
        <w:rPr>
          <w:rFonts w:ascii="Times New Roman" w:cs="Times New Roman" w:eastAsia="Times New Roman" w:hAnsi="Times New Roman"/>
          <w:sz w:val="18"/>
          <w:szCs w:val="18"/>
          <w:u w:val="single" w:color="auto"/>
          <w:color w:val="auto"/>
        </w:rPr>
        <w:t>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Rights</w:t>
      </w:r>
      <w:r>
        <w:rPr>
          <w:rFonts w:ascii="Times New Roman" w:cs="Times New Roman" w:eastAsia="Times New Roman" w:hAnsi="Times New Roman"/>
          <w:sz w:val="18"/>
          <w:szCs w:val="18"/>
          <w:color w:val="auto"/>
        </w:rPr>
        <w:t>”) that are material to the conduct of the business of the Company and its Consolidated Subsidiaries taken as a whole (hereinafter,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w:t>
      </w:r>
      <w:r>
        <w:rPr>
          <w:rFonts w:ascii="Times New Roman" w:cs="Times New Roman" w:eastAsia="Times New Roman" w:hAnsi="Times New Roman"/>
          <w:sz w:val="18"/>
          <w:szCs w:val="18"/>
          <w:color w:val="auto"/>
        </w:rPr>
        <w:t>”), except where the failure to own, possess or have adequate rights would not, individually or in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 expected to have a Material Adverse Effect with respect to the Company. No claims are pending for which the Company has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or, to the knowledge of the Company, threatened (i) that the Company or any of its Consolidated Subsidiaries is infringing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violating the rights of any Person with regard to any Intellectual Property Right, or (ii) that any Company Intellectual Property Right is invalid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unenforceable. To the knowledge of the Company, no Person is infringing, misappropriating or using without authorization the rights of the Company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its Consolidated Subsidiaries with respect to any Intellectual Property Right, except as would not, individually or in the aggregate,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be material to the Company and its Consolidated Subsidiaries, taken as a whole.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Neither the Company nor any of its Consolidated Subsidiaries owns or leases any real property.</w:t>
      </w:r>
    </w:p>
    <w:p>
      <w:pPr>
        <w:spacing w:after="0" w:line="225"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Investment Assets</w:t>
      </w:r>
      <w:r>
        <w:rPr>
          <w:rFonts w:ascii="Times New Roman" w:cs="Times New Roman" w:eastAsia="Times New Roman" w:hAnsi="Times New Roman"/>
          <w:sz w:val="18"/>
          <w:szCs w:val="18"/>
          <w:color w:val="auto"/>
        </w:rPr>
        <w:t>. Each of the Company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the Company or its Consolidated Subsidiaries pursuant to credit agreements that have been Previously Disclosed and except for Liens consisting of restrictions on transfer agreed to in respect of investments entered into in the ordinary course of business. As of September 30, 2024, the value of investments owned by the Company that are “qualifying investments” for purposes of Section 55(a) of the Investment Company Act was greater than 70% of the value of the Company’s total assets (other than assets described in Section 55(a)(7) of the Investment Company Act).</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The Company Board has taken all action necessary to render inapplicable to the Merger the restrictions on business combinations contained in Subtitle 6 of Title 3 of the MGCL. Moreover, the restrictions on control share acquisitions contained in Subtitle 7 of Title 3 of the MGCL are not applicable to the Merger, and no other “business combination,” “control share acquisition,” “fair price,” “moratorium” or other similar antitakeover statutes or regulations enacted under state or federal Laws in the United States (any such Laws,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are applicable to this Agreement, the Merger or the other Transactions.</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In accordance with Section 3-202 of the MGCL and the Company Charter, no dissenters’ rights, appraisal rights or rights of an objecting stockholder shall be available to holders of Company Common Stock in connection with the Transactions.</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Prior to the execution of this Agreement, the Company Special Committee has received the written opinion (or an oral opinion to be confirmed in writing) of Houlihan Lokey Capital, Inc., financial advisor to the Company Special Committee, to the effect that, as of the date of such opinion and based upon and subject to the various assumptions, limitations, qualifications and other matters set forth therein, the Exchange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4" w:name="page35"/>
    <w:bookmarkEnd w:id="34"/>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Ratio provided for in the Merger, after giving effect to the Second Merger and the termination of the Company Advisory Agreement and the Company Administration Agreements pursuant to the Agreement, is fair, from a financial point of view, to the holders of Company Common Stock, other than the Acquiror, the Acquiror Adviser, the Company Adviser and their respective affiliates. The Company shall, following the execution of this Agreement by all parties, furnish an accurate, complete and confidential copy of said opinion to the Acquiror solely for informational purposes.</w:t>
      </w:r>
    </w:p>
    <w:p>
      <w:pPr>
        <w:spacing w:after="0" w:line="180"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Chapter 11</w:t>
      </w:r>
      <w:r>
        <w:rPr>
          <w:rFonts w:ascii="Times New Roman" w:cs="Times New Roman" w:eastAsia="Times New Roman" w:hAnsi="Times New Roman"/>
          <w:sz w:val="18"/>
          <w:szCs w:val="18"/>
          <w:color w:val="auto"/>
        </w:rPr>
        <w:t>. Neither the Company nor any of its Consolidated Subsidiaries is under the jurisdiction of a court in a “title 11 or similar case” (as defined in Section 368(a)(3)(A) of the Code).</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Valuation</w:t>
      </w:r>
      <w:r>
        <w:rPr>
          <w:rFonts w:ascii="Times New Roman" w:cs="Times New Roman" w:eastAsia="Times New Roman" w:hAnsi="Times New Roman"/>
          <w:sz w:val="18"/>
          <w:szCs w:val="18"/>
          <w:color w:val="auto"/>
        </w:rPr>
        <w:t xml:space="preserve">. Except as may otherwise be mutually agreed by the parties, the value of each investment asset owned by the Company that is used in connection with the computations made by the Company pursuant to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will be determined by its valuation designee under Rule 2a-5 under the Investment Company Act in accordance with the valuation policies and procedures set forth in the Company’s compliance policies and procedures, and the value of all assets owned by the Company other than investment assets that are used in connection with the computations made by the Company pursuant to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will be determined in accordance with GAAP.</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ACQUIROR AND MERGER SUB</w:t>
      </w:r>
    </w:p>
    <w:p>
      <w:pPr>
        <w:spacing w:after="0" w:line="22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Except with respect to matters that have been Previously Disclosed, the Acquiror and Merger Sub hereby jointly and severally represent and warrant to the Company that: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4" w:lineRule="auto"/>
        <w:tabs>
          <w:tab w:leader="none" w:pos="11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is a corporation duly incorporated and validly existing under the Laws of the State of Delaware and in good standing with the DE Secretary, and Merger Sub is a corporation duly incorporated and validly existing under the Laws of the State of Maryland and in good standing with the MD SDAT. The Acquiror has duly elected to be regulated as a BDC, and such election has not been revoked or withdrawn and is in full force and effect, and is listed on NASDAQ. Each of the Acquiror and Merger Sub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the Acquiror. The Acquiror has duly elected to be regulated as a BDC, and such election has not been revoked or withdrawn and is in full force and effect.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5" w:name="page36"/>
    <w:bookmarkEnd w:id="35"/>
    <w:p>
      <w:pPr>
        <w:ind w:right="60" w:firstLine="419"/>
        <w:spacing w:after="0" w:line="266"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True, complete and correct copies of the Certificate of Incorporation of the Acquiror, as amended and restated (the “</w:t>
      </w:r>
      <w:r>
        <w:rPr>
          <w:rFonts w:ascii="Times New Roman" w:cs="Times New Roman" w:eastAsia="Times New Roman" w:hAnsi="Times New Roman"/>
          <w:sz w:val="18"/>
          <w:szCs w:val="18"/>
          <w:u w:val="single" w:color="auto"/>
          <w:color w:val="auto"/>
        </w:rPr>
        <w:t>Acquiror Charter</w:t>
      </w:r>
      <w:r>
        <w:rPr>
          <w:rFonts w:ascii="Times New Roman" w:cs="Times New Roman" w:eastAsia="Times New Roman" w:hAnsi="Times New Roman"/>
          <w:sz w:val="18"/>
          <w:szCs w:val="18"/>
          <w:color w:val="auto"/>
        </w:rPr>
        <w:t>”), and the Amended and Restated Bylaws of the Acquiror (the “</w:t>
      </w:r>
      <w:r>
        <w:rPr>
          <w:rFonts w:ascii="Times New Roman" w:cs="Times New Roman" w:eastAsia="Times New Roman" w:hAnsi="Times New Roman"/>
          <w:sz w:val="18"/>
          <w:szCs w:val="18"/>
          <w:u w:val="single" w:color="auto"/>
          <w:color w:val="auto"/>
        </w:rPr>
        <w:t>Acquiror Bylaws</w:t>
      </w:r>
      <w:r>
        <w:rPr>
          <w:rFonts w:ascii="Times New Roman" w:cs="Times New Roman" w:eastAsia="Times New Roman" w:hAnsi="Times New Roman"/>
          <w:sz w:val="18"/>
          <w:szCs w:val="18"/>
          <w:color w:val="auto"/>
        </w:rPr>
        <w:t>”), as in effect as of the date of this Agreement, have previously been publicly filed by the Acquiror.</w:t>
      </w:r>
    </w:p>
    <w:p>
      <w:pPr>
        <w:spacing w:after="0" w:line="67" w:lineRule="exact"/>
        <w:rPr>
          <w:rFonts w:ascii="Times New Roman" w:cs="Times New Roman" w:eastAsia="Times New Roman" w:hAnsi="Times New Roman"/>
          <w:sz w:val="18"/>
          <w:szCs w:val="18"/>
          <w:color w:val="auto"/>
        </w:rPr>
      </w:pPr>
    </w:p>
    <w:p>
      <w:pPr>
        <w:ind w:right="40" w:firstLine="419"/>
        <w:spacing w:after="0" w:line="255" w:lineRule="auto"/>
        <w:tabs>
          <w:tab w:leader="none" w:pos="6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Consolidated Subsidiary of the Acquiror (i) is duly incorporated or duly formed, as applicable to each such Consolidated Subsidiary, and validly existing and in good standing under the Laws of its jurisdiction of incorporation or organization, as applicable, (ii) has the requisite corporate (or similar) power and authority to own or lease all of its properties and assets and to carry on its business as it is now being conducted and (iii) is duly licensed or qualified to do business as a foreign corporation or other business entity in each jurisdiction in which the nature of the business conducted by it or the character or location of the properties and assets owned or leased by it makes such licensing or qualification necessary, other than in the case of clauses (ii) and (iii), as would not, individually or in the aggregate, reasonably be expected to have a Material Adverse Effect with respect to the Acquiror.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2" w:lineRule="auto"/>
        <w:tabs>
          <w:tab w:leader="none" w:pos="66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Acquiror consists of (i) 20,000,000 shares of Acquiror Common Stock, of which 9,231,454 shares were outstanding as of the close of business on September 30, 2024 (the “</w:t>
      </w:r>
      <w:r>
        <w:rPr>
          <w:rFonts w:ascii="Times New Roman" w:cs="Times New Roman" w:eastAsia="Times New Roman" w:hAnsi="Times New Roman"/>
          <w:sz w:val="18"/>
          <w:szCs w:val="18"/>
          <w:u w:val="single" w:color="auto"/>
          <w:color w:val="auto"/>
        </w:rPr>
        <w:t>Acquiror Capitalization Date</w:t>
      </w:r>
      <w:r>
        <w:rPr>
          <w:rFonts w:ascii="Times New Roman" w:cs="Times New Roman" w:eastAsia="Times New Roman" w:hAnsi="Times New Roman"/>
          <w:sz w:val="18"/>
          <w:szCs w:val="18"/>
          <w:color w:val="auto"/>
        </w:rPr>
        <w:t>”), and (ii) 5,000,000 shares of preferred stock, par value $0.01 per share, of the Acquiror, of which 0 shares were outstanding as of the Acquiror Capitalization Date. All of the issued and outstanding shares of Acquiror Common Stock have been duly authorized and validly issued (including in accordance with any applicable provisions of the Investment Company Act) and are fully paid, nonassessable and free of preemptive rights, with no personal liability with respect to the Acquiror attaching to the ownership thereof. All of the shares of Acquiror Common Stock constituting the Merger Consideration will be, when issued pursuant to the terms of the Merger, duly authorized and validly issued and fully paid, nonassessable and free of preemptive rights, with no personal liability with respect to the Acquiror attaching to the ownership thereof. As of the date of this Agreement, no Indebtedness having the right to vote on any matters on which stockholders of the Acquiror may vote (“</w:t>
      </w:r>
      <w:r>
        <w:rPr>
          <w:rFonts w:ascii="Times New Roman" w:cs="Times New Roman" w:eastAsia="Times New Roman" w:hAnsi="Times New Roman"/>
          <w:sz w:val="18"/>
          <w:szCs w:val="18"/>
          <w:u w:val="single" w:color="auto"/>
          <w:color w:val="auto"/>
        </w:rPr>
        <w:t>Acquiror Voting Debt</w:t>
      </w:r>
      <w:r>
        <w:rPr>
          <w:rFonts w:ascii="Times New Roman" w:cs="Times New Roman" w:eastAsia="Times New Roman" w:hAnsi="Times New Roman"/>
          <w:sz w:val="18"/>
          <w:szCs w:val="18"/>
          <w:color w:val="auto"/>
        </w:rPr>
        <w:t>”) is issued or outstanding. As of the Acquiror Capitalization Date, except pursuant to the Acquiror’s dividend reinvestment plan, the Acquiror does not have and is not bound by any Rights calling for the purchase or issuance of, or the payment of any amount based on, any shares of Acquiror Common Stock, Acquiror Voting Debt or any other equity securities of the Acquiror or any securities representing the right to purchase or otherwise receive any shares of Acquiror Common Stock, Acquiror Voting Debt or other equity securities of the Acquiror. There are no obligations of the Acquiror or any of its Consolidated Subsidiaries (i) to repurchase, redeem or otherwise acquire any shares of capital stock of the Acquiror, Acquiror Voting Debt or any equity security of the Acquiror or its Consolidated Subsidiaries or any securities representing the right to purchase or otherwise receive any shares of capital stock, Acquiror Voting Debt or any other equity security of the Acquiror or its Consolidated Subsidiaries or (ii) pursuant to which the Acquiror or any of its Consolidated Subsidiaries is or could be required to register shares of the Acquiror’s capital stock or other securities under the Securities Act. All of the outstanding shares of Acquiror Common Stock have been issued in compliance with applicable Law in all material respects.</w:t>
      </w:r>
    </w:p>
    <w:p>
      <w:pPr>
        <w:spacing w:after="0" w:line="12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20"/>
          </w:cols>
          <w:pgMar w:left="880" w:top="270" w:right="499" w:bottom="1440" w:gutter="0" w:footer="0" w:header="0"/>
        </w:sectPr>
      </w:pPr>
    </w:p>
    <w:bookmarkStart w:id="36" w:name="page37"/>
    <w:bookmarkEnd w:id="36"/>
    <w:p>
      <w:pPr>
        <w:ind w:left="4" w:right="60" w:firstLine="419"/>
        <w:spacing w:after="0" w:line="256" w:lineRule="auto"/>
        <w:tabs>
          <w:tab w:leader="none" w:pos="68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of the issued and outstanding shares of capital stock or other equity ownership interests of each Consolidated Subsidiary of the Acquiror are owned by the Acquiror, directly or indirectly, free and clear of any Liens, and all of such shares or equity ownership interests are duly authorized and validly issued and are fully paid, nonassessable (in respect of corporate entities) and free of preemptive rights. No Consolidated Subsidiary of the Acquiror has or is bound by any outstanding Rights calling for the purchase or issuance of, or the payment of any amount based on, any shares of capital stock or any other equity security of such Consolidated Subsidiary or any securities representing the right to purchase or otherwise receive any shares of capital stock or any other equity security of such Consolidated Subsidiary.</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Authority; No Violation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419"/>
        <w:spacing w:after="0" w:line="253" w:lineRule="auto"/>
        <w:tabs>
          <w:tab w:leader="none" w:pos="67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has all requisite corporate power and authority to execute and deliver this Agreement and, subject to obtaining the Acquiror Requisite Vote, consummate the Transactions. The execution and delivery of this Agreement and the consummation of the Transactions have been duly and validly approved by the Acquiror Board. Merger Sub has all requisite corporate power and authority to execute and deliver this Agreement and, subject to the adoption and approval of the Transactions by the Acquiror as the sole stockholder of Merger Sub, to consummate the Transactions. The execution and delivery of this Agreement and the consummation of the Transactions have been duly and validly approved by the board of directors of Merger Sub. The Acquiror Board (on the recommendation of the Acquiror Special Committee) has unanimously (i) determined that (A) this Agreement and the Mergers and the related Transactions are advisable and in the best interests of the Acquiror and its stockholders and (B) the interests of the Acquiror’s existing stockholders will not be diluted as a result of the Transactions,</w:t>
      </w:r>
    </w:p>
    <w:p>
      <w:pPr>
        <w:ind w:left="4" w:hanging="4"/>
        <w:spacing w:after="0" w:line="251" w:lineRule="auto"/>
        <w:tabs>
          <w:tab w:leader="none" w:pos="2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adopted and declared advisable this Agreement and the Transactions (including the Merger and the Acquiror Matters), (iii) directed that the approval of the Acquiror Matters be submitted to the Acquiror’s stockholders at a duly held meeting of such stockholders (the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 Meetin</w:t>
      </w:r>
      <w:r>
        <w:rPr>
          <w:rFonts w:ascii="Times New Roman" w:cs="Times New Roman" w:eastAsia="Times New Roman" w:hAnsi="Times New Roman"/>
          <w:sz w:val="18"/>
          <w:szCs w:val="18"/>
          <w:color w:val="auto"/>
        </w:rPr>
        <w:t>g”) and (iv) resolved to recommend that the stockholders of the Acquiror approve the Acquiror Matters. The board of directors of Merger Sub has unanimously determined that this Agreement and the Mergers and the related Transactions are advisable and in the best interests of Merger Sub; approved, adopted and declared advisable this Agreement and the Transactions (including the Merger); and resolved to recommend the approval of the Transactions (including the Merger) by the Acquiror, in the Acquiror’s capacity as the sole stockholder of Merger Sub. Except for receipt of the approval of the Acquiror Matters by at least a majority of the total votes cast by the holders of Acquiror Common Stock at the Acquiror Stockholders Meeting, as determined in accordance with applicable Law and the rules and guidance of NASDAQ (the “</w:t>
      </w:r>
      <w:r>
        <w:rPr>
          <w:rFonts w:ascii="Times New Roman" w:cs="Times New Roman" w:eastAsia="Times New Roman" w:hAnsi="Times New Roman"/>
          <w:sz w:val="18"/>
          <w:szCs w:val="18"/>
          <w:u w:val="single" w:color="auto"/>
          <w:color w:val="auto"/>
        </w:rPr>
        <w:t>Acquiror Requisite Vote</w:t>
      </w:r>
      <w:r>
        <w:rPr>
          <w:rFonts w:ascii="Times New Roman" w:cs="Times New Roman" w:eastAsia="Times New Roman" w:hAnsi="Times New Roman"/>
          <w:sz w:val="18"/>
          <w:szCs w:val="18"/>
          <w:color w:val="auto"/>
        </w:rPr>
        <w:t>”), and the approval of the Transactions by the Acquiror, as the sole stockholder of Merger Sub (which approval shall occur promptly following the execution of this Agreement), the Mergers and the other Transactions have been authorized by all necessary corporate</w:t>
      </w:r>
    </w:p>
    <w:p>
      <w:pPr>
        <w:spacing w:after="0" w:line="125"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04"/>
          </w:cols>
          <w:pgMar w:left="876" w:top="270" w:right="519" w:bottom="1440" w:gutter="0" w:footer="0" w:header="0"/>
        </w:sectPr>
      </w:pPr>
    </w:p>
    <w:bookmarkStart w:id="37" w:name="page38"/>
    <w:bookmarkEnd w:id="37"/>
    <w:p>
      <w:pPr>
        <w:jc w:val="both"/>
        <w:ind w:left="44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 on the part of the Acquiror and Merger Sub. This Agreement has been duly and validly executed and delivered by the Acquiror and Merger Sub and, except for receipt of the Acquiror Requisite Vote and the approval of the Transactions by the Acquiror, as the sole stockholder of Merger Sub (and assuming due authorization, execution and delivery by the Company and the Acquiror Adviser), this Agreement constitutes the valid and binding obligation of each of the Acquiror and Merger Sub, enforceable against each of the Acquiror and Merger Sub in accordance with its terms (except as may be limited by the Enforceability Exception).</w:t>
      </w:r>
    </w:p>
    <w:p>
      <w:pPr>
        <w:spacing w:after="0" w:line="75" w:lineRule="exact"/>
        <w:rPr>
          <w:sz w:val="20"/>
          <w:szCs w:val="20"/>
          <w:color w:val="auto"/>
        </w:rPr>
      </w:pPr>
    </w:p>
    <w:p>
      <w:pPr>
        <w:ind w:left="444" w:right="20" w:firstLine="419"/>
        <w:spacing w:after="0" w:line="253" w:lineRule="auto"/>
        <w:tabs>
          <w:tab w:leader="none" w:pos="112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execution and delivery of this Agreement by the Acquiror and Merger Sub, nor the consummation by the Acquiror or Merger Sub of the Transactions, nor the performance of this Agreement by the Acquiror and Merger Sub, will (i) violate any provision of the Acquiror Charter, the Acquiror Bylaws or the articles of incorporation or bylaws of Merger Sub or (ii) assuming that the consents, approvals and filings referred to in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are duly obtained and/or made, (A) violate any Law or Order applicable to the Acquiror or any of its Consolidated Subsidiaries or (B) except as Previously Disclosed,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Acquiror or any of its Consolidated Subsidiaries under, any of the terms, conditions or provisions of any Permit, Contract or other obligation to which the Acquiror or any of its Consolidated Subsidiaries is a party or by which any of them or any of their respective properties or assets is bound except, with respect to clause (ii)(B), any such violation, conflict, breach, loss, default, termination, cancellation, acceleration, consent, approval or creation that would not, individually or in the aggregate, reasonably be expected to be material to the Acquiror and its Consolidated Subsidiaries, taken as a whole.</w:t>
      </w:r>
    </w:p>
    <w:p>
      <w:pPr>
        <w:spacing w:after="0" w:line="187"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Governmental Consents</w:t>
      </w:r>
      <w:r>
        <w:rPr>
          <w:rFonts w:ascii="Times New Roman" w:cs="Times New Roman" w:eastAsia="Times New Roman" w:hAnsi="Times New Roman"/>
          <w:sz w:val="17"/>
          <w:szCs w:val="17"/>
          <w:color w:val="auto"/>
        </w:rPr>
        <w:t>. No consents or approvals of, or filings or registrations with, any Governmental Entity are necessary in connection with the consummation by the Acquiror or Merger Sub of the Merger and the other Transactions, except for (a) the filing with the SEC of the Joint Proxy Statement/Prospectus and the Registration Statement in which the Joint Proxy Statement/Prospectus will be included as a prospectus, and declaration of effectiveness of the Registration Statement by the SEC, (b) the filing of the First Articles of Merger with, and the acceptance for the record of the First Articles of Merger by, the MD SDAT in respect of the Merger, (c) the filing of the Second Articles of Merger with, and the acceptance for the record of the Second Articles of Merger by, the MD SDAT in respect of the Second Merger, (d) the filing of the Certificate of Merger with, and the acceptance for the record of the Certificate of Merger by, the DE Secretary in respect of the Second Merger, (e) any notices or filings under the HSR Act, (f) approval of the listing on NASDAQ of the shares of Acquiror Common Stock to be issued as Merger Consideration under this Agreement,</w:t>
      </w:r>
    </w:p>
    <w:p>
      <w:pPr>
        <w:ind w:left="4" w:right="360" w:hanging="4"/>
        <w:spacing w:after="0" w:line="290" w:lineRule="auto"/>
        <w:tabs>
          <w:tab w:leader="none" w:pos="259"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reporting of this Agreement on a Current Report on Form 8-K and (h) any such consents, approvals, filings or registrations that the failure to obtain or make would not, individually or in the aggregate, reasonably be expected to have a Material Adverse Effect with respect to the Acquiror.</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19"/>
        <w:spacing w:after="0" w:line="254" w:lineRule="auto"/>
        <w:tabs>
          <w:tab w:leader="none" w:pos="6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has timely filed or furnished all forms, statements, certifications, reports and documents that it was required to file since the Applicable Date with the SEC (such filings since the Applicable Date, the “</w:t>
      </w:r>
      <w:r>
        <w:rPr>
          <w:rFonts w:ascii="Times New Roman" w:cs="Times New Roman" w:eastAsia="Times New Roman" w:hAnsi="Times New Roman"/>
          <w:sz w:val="18"/>
          <w:szCs w:val="18"/>
          <w:u w:val="single" w:color="auto"/>
          <w:color w:val="auto"/>
        </w:rPr>
        <w:t>Acquiror SEC Reports</w:t>
      </w:r>
      <w:r>
        <w:rPr>
          <w:rFonts w:ascii="Times New Roman" w:cs="Times New Roman" w:eastAsia="Times New Roman" w:hAnsi="Times New Roman"/>
          <w:sz w:val="18"/>
          <w:szCs w:val="18"/>
          <w:color w:val="auto"/>
        </w:rPr>
        <w:t>”), except as would not, individually or in the aggregate, reasonably be expected to be material to the Acquiror and its Consolidated Subsidiaries taken as a whole. To the Acquiror’s knowledge, no Acquiror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To the Acquiror’s knowledge, all Acquiror SEC Reports, as of their respective dates, complied as to form in all material respects with the published rules and regulations of the SEC with respect thereto. None of the Consolidated Subsidiaries of the Acquiror is required to make any filing with the SEC.</w:t>
      </w:r>
    </w:p>
    <w:p>
      <w:pPr>
        <w:spacing w:after="0" w:line="83" w:lineRule="exact"/>
        <w:rPr>
          <w:rFonts w:ascii="Times New Roman" w:cs="Times New Roman" w:eastAsia="Times New Roman" w:hAnsi="Times New Roman"/>
          <w:sz w:val="18"/>
          <w:szCs w:val="18"/>
          <w:color w:val="auto"/>
        </w:rPr>
      </w:pPr>
    </w:p>
    <w:p>
      <w:pPr>
        <w:ind w:right="80" w:firstLine="419"/>
        <w:spacing w:after="0" w:line="254" w:lineRule="auto"/>
        <w:tabs>
          <w:tab w:leader="none" w:pos="6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Acquiror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the Acquiror’s knowledge that, upon consummation of the Mergers, would restrict in any material respect the conduct of the business of the Acquiror or any of its Consolidated Subsidiaries), or that in any material manner relates to its capital adequacy, its ability to pay dividends, its credit, risk management or compliance policies, its internal controls, its management or its business, other than those of general application that apply to similarly situated BDCs or their Consolidated Subsidiaries, nor has the Acquiror or any of its Consolidated Subsidiaries been advised in writing or, to the knowledge of the Acquiror, verbally, by any Governmental Entity that it is considering issuing, initiating, ordering, or requesting any of the foregoing.</w:t>
      </w:r>
    </w:p>
    <w:p>
      <w:pPr>
        <w:spacing w:after="0" w:line="80" w:lineRule="exact"/>
        <w:rPr>
          <w:rFonts w:ascii="Times New Roman" w:cs="Times New Roman" w:eastAsia="Times New Roman" w:hAnsi="Times New Roman"/>
          <w:sz w:val="18"/>
          <w:szCs w:val="18"/>
          <w:color w:val="auto"/>
        </w:rPr>
      </w:pPr>
    </w:p>
    <w:p>
      <w:pPr>
        <w:ind w:firstLine="419"/>
        <w:spacing w:after="0" w:line="255" w:lineRule="auto"/>
        <w:tabs>
          <w:tab w:leader="none" w:pos="6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has made available to the Company all material correspondence with the SEC since the Applicable Date and, as of the date of this Agreement, to the knowledge of the Acquiror, (i) there are no unresolved comments from the SEC with respect to the Acquiror SEC Reports or any SEC examination of the Acquiror and (ii) none of the Acquiror SEC Reports is subject to any ongoing review by the SEC. The Acquiror has made available to the Company all material written correspondence with the SEC regarding the Merger, a true and complete copy of all such material written correspondence as of the date hereof is set forth in Section 4.5(c) of the Acquiror Disclosure Schedule. As of the date hereof, there have not been any oral communications between the Acquiror or its Representatives with the SEC that contradict or are inconsistent with the correspondence set forth in Section 4.5(c) of the Acquiror Disclosure Schedule.</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40"/>
          </w:cols>
          <w:pgMar w:left="880" w:top="270"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4.6. </w:t>
      </w:r>
      <w:r>
        <w:rPr>
          <w:rFonts w:ascii="Times New Roman" w:cs="Times New Roman" w:eastAsia="Times New Roman" w:hAnsi="Times New Roman"/>
          <w:sz w:val="18"/>
          <w:szCs w:val="18"/>
          <w:u w:val="single" w:color="auto"/>
          <w:color w:val="auto"/>
        </w:rPr>
        <w:t>Acquiror Financial Statements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53" w:lineRule="auto"/>
        <w:tabs>
          <w:tab w:leader="none" w:pos="6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the related consolidated schedules of investments, of the Acquiror and its Consolidated Subsidiaries included (or incorporated by reference) in the Acquiror SEC Reports (including the related notes, where applicable) (i) fairly present in all material respects the consolidated results of operations, cash flows, changes in net assets and consolidated financial position of the Acquiror and its Consolidated Subsidiaries for the respective fiscal periods or as of the respective dates therein set forth (except that unaudited statements may not contain notes and are subject to recurring year-end audit adjustments normal in nature and amount), (ii) to the Acquiror’s knowledge,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GAAP consistently applied during the periods involved, except, in each case, as indicated in such statements or in the notes thereto. Deloitte has not resigned, threatened resignation or been dismissed as the Acquiror’s independent public accountant as a result of or in connection with any disagreements with the Acquiror on a matter of accounting principles or practices, financial statement disclosure or auditing scope or procedure.</w:t>
      </w:r>
    </w:p>
    <w:p>
      <w:pPr>
        <w:spacing w:after="0" w:line="86" w:lineRule="exact"/>
        <w:rPr>
          <w:rFonts w:ascii="Times New Roman" w:cs="Times New Roman" w:eastAsia="Times New Roman" w:hAnsi="Times New Roman"/>
          <w:sz w:val="18"/>
          <w:szCs w:val="18"/>
          <w:color w:val="auto"/>
        </w:rPr>
      </w:pPr>
    </w:p>
    <w:p>
      <w:pPr>
        <w:ind w:firstLine="419"/>
        <w:spacing w:after="0" w:line="255"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 liabilities reflected or reserved against on the consolidated unaudited balance sheet of the Acquiror as of September 30, 2024 included in the unaudited financial statements set forth in the Acquiror’s quarterly report on Form 10-Q for the quarter ended September 30, 2024 (the “</w:t>
      </w:r>
      <w:r>
        <w:rPr>
          <w:rFonts w:ascii="Times New Roman" w:cs="Times New Roman" w:eastAsia="Times New Roman" w:hAnsi="Times New Roman"/>
          <w:sz w:val="18"/>
          <w:szCs w:val="18"/>
          <w:u w:val="single" w:color="auto"/>
          <w:color w:val="auto"/>
        </w:rPr>
        <w:t>Acquiror Balance Sheet</w:t>
      </w:r>
      <w:r>
        <w:rPr>
          <w:rFonts w:ascii="Times New Roman" w:cs="Times New Roman" w:eastAsia="Times New Roman" w:hAnsi="Times New Roman"/>
          <w:sz w:val="18"/>
          <w:szCs w:val="18"/>
          <w:color w:val="auto"/>
        </w:rPr>
        <w:t>”), (B) liabilities incurred in the ordinary course of business since September 30, 2024, (C) liabilities incurred in connection with this Agreement and the Transactions, (D) liabilities otherwise disclosed in the Acquiror SEC Reports and (E) liabilities that would not, individually or in the aggregate, reasonably be expected to have a Material Adverse Effect with respect to the Acquiror, neither the Acquiror nor any of its Consolidated Subsidiaries has any liabilities that would be required to be reflected or reserved against in the Acquiror Balance Sheet in accordance with GAAP.</w:t>
      </w:r>
    </w:p>
    <w:p>
      <w:pPr>
        <w:spacing w:after="0" w:line="80" w:lineRule="exact"/>
        <w:rPr>
          <w:rFonts w:ascii="Times New Roman" w:cs="Times New Roman" w:eastAsia="Times New Roman" w:hAnsi="Times New Roman"/>
          <w:sz w:val="18"/>
          <w:szCs w:val="18"/>
          <w:color w:val="auto"/>
        </w:rPr>
      </w:pPr>
    </w:p>
    <w:p>
      <w:pPr>
        <w:ind w:right="420" w:firstLine="419"/>
        <w:spacing w:after="0" w:line="266" w:lineRule="auto"/>
        <w:tabs>
          <w:tab w:leader="none" w:pos="6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neither the Acquiror nor any of its Consolidated Subsidiaries was a party to or had any commitment to become a party to any off-balance sheet joint venture, partnership or similar contract with any unconsolidated Affiliate or “off-balance sheet arrangement” (as defined in Item 303(a) of Regulation S-K promulgated under the Exchange Act).</w:t>
      </w:r>
    </w:p>
    <w:p>
      <w:pPr>
        <w:spacing w:after="0" w:line="67" w:lineRule="exact"/>
        <w:rPr>
          <w:rFonts w:ascii="Times New Roman" w:cs="Times New Roman" w:eastAsia="Times New Roman" w:hAnsi="Times New Roman"/>
          <w:sz w:val="18"/>
          <w:szCs w:val="18"/>
          <w:color w:val="auto"/>
        </w:rPr>
      </w:pPr>
    </w:p>
    <w:p>
      <w:pPr>
        <w:ind w:right="160" w:firstLine="419"/>
        <w:spacing w:after="0" w:line="255"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Applicable Date, (i) neither the Acquiror nor any of its Consolidated Subsidiaries nor, to the knowledge of the Acquiror, any director, officer, auditor, accountant or Representative of the Acquiror or any of its Consolidated Subsidiaries has received or otherwise had or obtained knowledge of any material complaint, allegation, assertion or claim, whether written or oral, regarding the accounting or auditing practices, procedures, methodologies or methods of the Acquiror or any of its Consolidated Subsidiaries or their respective internal accounting controls, including any complaint, allegation, assertion or claim that the Acquiror or any of its Consolidated Subsidiaries has engaged in questionable or illegal accounting or auditing practices or maintains inadequate internal controls over financial reporting (as defined in Rules 13a-15(f) and 15d-15(f) of the Exchange Act), and (ii) no attorney representing the</w:t>
      </w:r>
    </w:p>
    <w:p>
      <w:pPr>
        <w:spacing w:after="0" w:line="1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00"/>
          </w:cols>
          <w:pgMar w:left="880" w:top="270" w:right="519" w:bottom="1440" w:gutter="0" w:footer="0" w:header="0"/>
        </w:sectPr>
      </w:pPr>
    </w:p>
    <w:bookmarkStart w:id="40" w:name="page41"/>
    <w:bookmarkEnd w:id="40"/>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Acquiror or any of its Consolidated Subsidiaries, whether or not employed by the Acquiror or any of its Consolidated Subsidiaries, has reported evidence of a material violation of securities laws, breach of duty or similar violation by the Acquiror or any of its directors, officers or agents to the Acquiror Board or any committee thereof or to any director or officer of the Acquiror.</w:t>
      </w:r>
    </w:p>
    <w:p>
      <w:pPr>
        <w:spacing w:after="0" w:line="68" w:lineRule="exact"/>
        <w:rPr>
          <w:sz w:val="20"/>
          <w:szCs w:val="20"/>
          <w:color w:val="auto"/>
        </w:rPr>
      </w:pPr>
    </w:p>
    <w:p>
      <w:pPr>
        <w:ind w:right="180" w:firstLine="419"/>
        <w:spacing w:after="0" w:line="258" w:lineRule="auto"/>
        <w:tabs>
          <w:tab w:leader="none" w:pos="6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Acquiror’s knowledge, since the Applicable Date, Deloitte, which has expressed its opinion with respect to the financial statements of the Acquiror and its Consolidated Subsidiaries included in the Acquiror SEC Reports (including the related notes), has been (i) “independent” with respect to the Acquiror and its Consolidated Subsidiaries within the meaning of Regulation S-X, and (ii) in compliance with subsections (g) through (l) of Section 10A of the Exchange Act and the related rules of the SEC and the Public Company Accounting Oversight Board.</w:t>
      </w:r>
    </w:p>
    <w:p>
      <w:pPr>
        <w:spacing w:after="0" w:line="75" w:lineRule="exact"/>
        <w:rPr>
          <w:rFonts w:ascii="Times New Roman" w:cs="Times New Roman" w:eastAsia="Times New Roman" w:hAnsi="Times New Roman"/>
          <w:sz w:val="18"/>
          <w:szCs w:val="18"/>
          <w:color w:val="auto"/>
        </w:rPr>
      </w:pPr>
    </w:p>
    <w:p>
      <w:pPr>
        <w:ind w:right="100" w:firstLine="419"/>
        <w:spacing w:after="0" w:line="266"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executive officer and principal financial officer of the Acquiror have made all certifications required by Sections 302 and 906 of the Sarbanes-Oxley Act, and the statements contained in any such certifications are complete and correct, and the Acquiror is otherwise in compliance in all material respects with all applicable effective provisions of the Sarbanes-Oxley Act.</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has in all material respects:</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56" w:lineRule="auto"/>
        <w:tabs>
          <w:tab w:leader="none" w:pos="1156"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maintained a system of disclosure controls and procedures (as defined in Rules 13a-15(e) and 15d-15(e) promulgated under the Exchange Act) to ensure that all information (both financial and non-financial) required to be disclosed by the Acquiror in the reports that it files or submits to the SEC under the Exchange Act is recorded, processed, summarized and reported within the time periods specified in the rules and forms of the SEC and that such information is accumulated and communicated to the Acquiror’s management as appropriate to allow timely decisions regarding required disclosure and to allow the Acquiror’s principal executive officer and principal financial officer to make the certifications required under the Exchange Act with respect to such reports;</w:t>
      </w:r>
    </w:p>
    <w:p>
      <w:pPr>
        <w:spacing w:after="0" w:line="79"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maintained a system of internal controls over financial reporting sufficient to provide reasonable assurance</w:t>
      </w:r>
    </w:p>
    <w:p>
      <w:pPr>
        <w:spacing w:after="0" w:line="27" w:lineRule="exact"/>
        <w:rPr>
          <w:rFonts w:ascii="Times New Roman" w:cs="Times New Roman" w:eastAsia="Times New Roman" w:hAnsi="Times New Roman"/>
          <w:sz w:val="18"/>
          <w:szCs w:val="18"/>
          <w:color w:val="auto"/>
        </w:rPr>
      </w:pPr>
    </w:p>
    <w:p>
      <w:pPr>
        <w:ind w:left="5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concerning the reliability of financial reporting and the preparation of financial statements for external purposes in accordance with GAAP, including reasonable assurance that (A) transactions are executed in accordance with management’s general or specific authorizations,</w:t>
      </w:r>
    </w:p>
    <w:p>
      <w:pPr>
        <w:ind w:left="540" w:right="60" w:firstLine="7"/>
        <w:spacing w:after="0" w:line="271" w:lineRule="auto"/>
        <w:tabs>
          <w:tab w:leader="none" w:pos="825"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Acquiror’s management, with the participation of the Acquiror’s principal executive and financial officers, has completed an assessment of the effectiveness of the Acquiror’s internal controls over financial reporting for the fiscal year ended</w:t>
      </w:r>
    </w:p>
    <w:p>
      <w:pPr>
        <w:spacing w:after="0" w:line="10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0"/>
          </w:cols>
          <w:pgMar w:left="880" w:top="270" w:right="459" w:bottom="1440" w:gutter="0" w:footer="0" w:header="0"/>
        </w:sectPr>
      </w:pPr>
    </w:p>
    <w:bookmarkStart w:id="41" w:name="page42"/>
    <w:bookmarkEnd w:id="41"/>
    <w:p>
      <w:pPr>
        <w:ind w:left="980"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December 31, 2023 in compliance with the requirements of Section 404 of the Sarbanes-Oxley Act, and such assessment concluded that the Acquiror maintained, in all material respects, effective internal control over financial reporting as of December 31, 2023, using the framework specified in the Acquiror’s Annual Report on Form 10-K for the fiscal year ended December 31, 2023; and</w:t>
      </w:r>
    </w:p>
    <w:p>
      <w:pPr>
        <w:spacing w:after="0" w:line="68" w:lineRule="exact"/>
        <w:rPr>
          <w:sz w:val="20"/>
          <w:szCs w:val="20"/>
          <w:color w:val="auto"/>
        </w:rPr>
      </w:pPr>
    </w:p>
    <w:p>
      <w:pPr>
        <w:ind w:left="980" w:right="60" w:firstLine="408"/>
        <w:spacing w:after="0" w:line="256" w:lineRule="auto"/>
        <w:tabs>
          <w:tab w:leader="none" w:pos="1696"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disclosed, based on its most recent evaluation, to its auditors and the audit committee of the Acquiror Board (1) any significant deficiencies or material weaknesses (as defined in the relevant Statement of Auditing Standards) in the design or operation of the Acquiror’s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the Acquiror’s auditors any material weaknesses in internal controls.</w:t>
      </w:r>
    </w:p>
    <w:p>
      <w:pPr>
        <w:spacing w:after="0" w:line="7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market value of the Acquiror’s investments as of September 30, 2024 (i) was determined in accordance with ASC Topic 820 and</w:t>
      </w:r>
    </w:p>
    <w:p>
      <w:pPr>
        <w:spacing w:after="0" w:line="38" w:lineRule="exact"/>
        <w:rPr>
          <w:rFonts w:ascii="Times New Roman" w:cs="Times New Roman" w:eastAsia="Times New Roman" w:hAnsi="Times New Roman"/>
          <w:sz w:val="17"/>
          <w:szCs w:val="17"/>
          <w:color w:val="auto"/>
        </w:rPr>
      </w:pPr>
    </w:p>
    <w:p>
      <w:pPr>
        <w:ind w:left="440" w:right="600" w:hanging="4"/>
        <w:spacing w:after="0" w:line="260" w:lineRule="auto"/>
        <w:tabs>
          <w:tab w:leader="none" w:pos="7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reasonable estimate of the fair value of such investments as determined in good faith, in accordance with Rule 2a-5 under the Investment Company Act.</w:t>
      </w:r>
    </w:p>
    <w:p>
      <w:pPr>
        <w:spacing w:after="0" w:line="7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07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Acquiror’s knowledge, there is no fraud or suspected fraud affecting the Acquiror involving management of the Acquiror who have significant roles in the Acquiror’s internal control over financial reporting.</w:t>
      </w:r>
    </w:p>
    <w:p>
      <w:pPr>
        <w:spacing w:after="0" w:line="16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Neither the Acquiror nor any of its Consolidated Subsidiaries nor any of their respective directors, officers or agents has utilized any broker, finder or financial advisor or incurred any liability for any broker’s fees, commissions or finder’s fees in connection with the Mergers or the other Transactions, other than to Keefe, Bruyette &amp; Woods, Inc. pursuant to an engagement letter, a true, complete and correct copy of which has been previously delivered to the Company.</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Absence of Changes or Events</w:t>
      </w:r>
      <w:r>
        <w:rPr>
          <w:rFonts w:ascii="Times New Roman" w:cs="Times New Roman" w:eastAsia="Times New Roman" w:hAnsi="Times New Roman"/>
          <w:sz w:val="18"/>
          <w:szCs w:val="18"/>
          <w:color w:val="auto"/>
        </w:rPr>
        <w:t xml:space="preserve">. Since the Acquiror’s last quarterly report on Form 10-Q, (i) except as expressly permitted or required by or in connection with the execution and delivery of this Agreement and the consummation of the Transactions, the business of the Acquiror and its Consolidated Subsidiaries has been conducted in the ordinary course of business, (ii) there has not been any Effect that would, individually or in the aggregate, reasonably be expected to have a Material Adverse Effect with respect to the Acquiror and (iii) there has not been any material action that, if it had been taken after the date hereof, would have required the consent of the Company Special Committee under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4.9. </w:t>
      </w:r>
      <w:r>
        <w:rPr>
          <w:rFonts w:ascii="Times New Roman" w:cs="Times New Roman" w:eastAsia="Times New Roman" w:hAnsi="Times New Roman"/>
          <w:sz w:val="18"/>
          <w:szCs w:val="18"/>
          <w:u w:val="single" w:color="auto"/>
          <w:color w:val="auto"/>
        </w:rPr>
        <w:t>Compliance with Applicable Law; Permits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19"/>
        <w:spacing w:after="0" w:line="254" w:lineRule="auto"/>
        <w:tabs>
          <w:tab w:leader="none" w:pos="6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and each of its Consolidated Subsidiaries is in compliance, and has been operated in compliance, in all material respects, with all applicable Laws, including, if and to the extent applicable, the Investment Company Act, the Securities Act and the Exchange Act other than as would not, individually or in the aggregate, reasonably be expected to have a Material Adverse Effect with respect to the Acquiror. The Acquiror has not received any written or, to the Acquiror’s knowledge, oral notification from a Governmental Entity of any material non-compliance with any applicable Laws, which non-compliance would, individually or in the aggregate, reasonably be expected to be material to the Acquiror and its Consolidated Subsidiaries, taken as a whole. The Acquiror has operated in compliance with all listing standards of NASDAQ since the Applicable Date other than as would not, individually or in the aggregate, reasonably be expected to be material to the Acquiror and its Consolidated Subsidiaries, taken as a whole.</w:t>
      </w:r>
    </w:p>
    <w:p>
      <w:pPr>
        <w:spacing w:after="0" w:line="83" w:lineRule="exact"/>
        <w:rPr>
          <w:rFonts w:ascii="Times New Roman" w:cs="Times New Roman" w:eastAsia="Times New Roman" w:hAnsi="Times New Roman"/>
          <w:sz w:val="18"/>
          <w:szCs w:val="18"/>
          <w:color w:val="auto"/>
        </w:rPr>
      </w:pPr>
    </w:p>
    <w:p>
      <w:pPr>
        <w:ind w:right="240" w:firstLine="419"/>
        <w:spacing w:after="0" w:line="261"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is in compliance, and since the Applicable Date,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the Acquiror.</w:t>
      </w:r>
    </w:p>
    <w:p>
      <w:pPr>
        <w:spacing w:after="0" w:line="71" w:lineRule="exact"/>
        <w:rPr>
          <w:rFonts w:ascii="Times New Roman" w:cs="Times New Roman" w:eastAsia="Times New Roman" w:hAnsi="Times New Roman"/>
          <w:sz w:val="18"/>
          <w:szCs w:val="18"/>
          <w:color w:val="auto"/>
        </w:rPr>
      </w:pPr>
    </w:p>
    <w:p>
      <w:pPr>
        <w:ind w:firstLine="419"/>
        <w:spacing w:after="0" w:line="256" w:lineRule="auto"/>
        <w:tabs>
          <w:tab w:leader="none" w:pos="6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has written policies and procedures adopted pursuant to Rule 38a-1 under the Investment Company Act that are reasonably designed to prevent material violations of the “Federal Securities Laws,” as such term is defined in Rule 38a-1(e)(1) under the Investment Company Act. There have been no “Material Compliance Matters” for the Acquiror, as such term is defined in Rule 38a-1(e)(2) under the Investment Company Act, other than those that have been reported to the Acquiror Board and satisfactorily remedied or are in the process of being remedied or those that would not, individually or in the aggregate, reasonably be expected to be material to the Acquiror and its Consolidated Subsidiaries, taken as a whole.</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and each of its Consolidated Subsidiaries holds and is in compliance with all Permits required in order to permit the Acquiror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the Acquiror and its Consolidated Subsidiaries, taken as a whole. All such Permits are valid and in full force and effect, except as would not, individually or in the aggregate, reasonably be expected to be material to the Acquiror and its Consolidated Subsidiaries, taken as a whole. The Acquiror has not received any written or, to the Acquiror’s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the Acquiror and its Consolidated Subsidiaries, taken as a whole.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60"/>
          </w:cols>
          <w:pgMar w:left="880" w:top="270" w:right="459" w:bottom="1440" w:gutter="0" w:footer="0" w:header="0"/>
        </w:sectPr>
      </w:pPr>
    </w:p>
    <w:bookmarkStart w:id="43" w:name="page44"/>
    <w:bookmarkEnd w:id="43"/>
    <w:p>
      <w:pPr>
        <w:ind w:left="444" w:firstLine="419"/>
        <w:spacing w:after="0" w:line="281" w:lineRule="auto"/>
        <w:tabs>
          <w:tab w:leader="none" w:pos="111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“affiliated person” (as defined under the Investment Company Act) of the Acquiror has been subject to disqualification to serve in any capacity contemplated by the Investment Company Act for any investment company (including a BDC) under Sections 9(a) and 9(b) of the Investment Company Act, unless, in each case, such Person has received exemptive relief from the SEC with respect to any such disqualification. There is no material Proceeding pending and served or, to the knowledge of the Acquiror, threatened that would result in any such disqualification.</w:t>
      </w:r>
    </w:p>
    <w:p>
      <w:pPr>
        <w:spacing w:after="0" w:line="56" w:lineRule="exact"/>
        <w:rPr>
          <w:rFonts w:ascii="Times New Roman" w:cs="Times New Roman" w:eastAsia="Times New Roman" w:hAnsi="Times New Roman"/>
          <w:sz w:val="17"/>
          <w:szCs w:val="17"/>
          <w:color w:val="auto"/>
        </w:rPr>
      </w:pPr>
    </w:p>
    <w:p>
      <w:pPr>
        <w:ind w:left="444" w:right="160" w:firstLine="419"/>
        <w:spacing w:after="0" w:line="266" w:lineRule="auto"/>
        <w:tabs>
          <w:tab w:leader="none" w:pos="10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 books and other similar records of the Acquiror maintained since the Applicable Date contain a true and complete record in all material respects of all action taken at all meetings and by all written consents in lieu of meetings of the stockholders of the Acquiror, the Acquiror Board and any committees of the Acquiror Board.</w:t>
      </w:r>
    </w:p>
    <w:p>
      <w:pPr>
        <w:spacing w:after="0" w:line="17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Acquiror Information</w:t>
      </w:r>
      <w:r>
        <w:rPr>
          <w:rFonts w:ascii="Times New Roman" w:cs="Times New Roman" w:eastAsia="Times New Roman" w:hAnsi="Times New Roman"/>
          <w:sz w:val="18"/>
          <w:szCs w:val="18"/>
          <w:color w:val="auto"/>
        </w:rPr>
        <w:t>. None of the information supplied or to be supplied by the Acquiror for inclusion or incorporation by reference in</w:t>
      </w:r>
    </w:p>
    <w:p>
      <w:pPr>
        <w:spacing w:after="0" w:line="27" w:lineRule="exact"/>
        <w:rPr>
          <w:sz w:val="20"/>
          <w:szCs w:val="20"/>
          <w:color w:val="auto"/>
        </w:rPr>
      </w:pPr>
    </w:p>
    <w:p>
      <w:pPr>
        <w:ind w:left="4" w:right="140" w:hanging="4"/>
        <w:spacing w:after="0" w:line="252" w:lineRule="auto"/>
        <w:tabs>
          <w:tab w:leader="none" w:pos="2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will, at the time the Registration Statement is filed with the SEC, at any time the Registration Statement is amended or supplemented or at the time the Registration Statement becomes effective under the Securities Act, or (ii) the Joint Proxy Statement/Prospectus will, at the date the Joint Proxy Statement/Prospectus or any amendment or supplement is first mailed to stockholders of the Company or stockholders of the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the Acquiror with respect to information supplied by the Company or the Acquiror Adviser for inclusion or incorporation by reference in the Registration Statement or the Joint Proxy Statement/Prospectus.</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firstLine="419"/>
        <w:spacing w:after="0" w:line="253" w:lineRule="auto"/>
        <w:tabs>
          <w:tab w:leader="none" w:pos="111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and each of its Consolidated Subsidiaries has duly and timely filed (taking into account all applicable extensions) all material Tax Returns required to be filed by it on or prior to the date of this Agreement (all such Tax Returns being accurate and complete in all material respects), has paid all material Taxes shown thereon as arising, or required to be shown thereon,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 No material Tax Return of the Acquiror or any Consolidated Subsidiary has been examined by the IRS or other relevant taxing authority. There are no material disputes pending, or written claims asserted, for Taxes or assessments upon the Acquiror or any of its Consolidated Subsidiaries for which the Acquiror does not have reserves that are adequate under GAAP. Neither the Acquiror nor any of its Consolidated Subsidiaries is a party to or is bound by any Tax sharing, allocation or indemnification agreement or arrangement (other than such an agreement or arrangement exclusively between or among the Acquiror and its Consolidated Subsidiaries or customary gross-up provisions in any commercial contract the primary purpose of which does not relate to Taxes). Within the past five years (or otherwise as part of a “plan (or series of related transactions)” within the meaning of Section 355(e) of</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44" w:name="page45"/>
    <w:bookmarkEnd w:id="4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Code of which the Merger is also a part), neither the Acquiror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 Neither the Acquiror nor any of its Consolidated Subsidiaries is required to include in income any adjustment pursuant to Section 481(a) of the Code, no such adjustment has been proposed by the IRS and no pending request for permission to change any accounting method has been submitted by the Acquiror or any of its Consolidated Subsidiaries. Neither the Acquiror nor any of its Consolidated Subsidiaries has participated in a “listed transaction” within the meaning of Treasury Regulation Section 1.6011-4(b)(2). If the Acquiror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80" w:lineRule="exact"/>
        <w:rPr>
          <w:sz w:val="20"/>
          <w:szCs w:val="20"/>
          <w:color w:val="auto"/>
        </w:rPr>
      </w:pPr>
    </w:p>
    <w:p>
      <w:pPr>
        <w:ind w:firstLine="419"/>
        <w:spacing w:after="0" w:line="256" w:lineRule="auto"/>
        <w:tabs>
          <w:tab w:leader="none" w:pos="6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made a valid election under Part I of Subchapter M of Subtitle A, Chapter 1, of the Code to be taxed as a RIC. The Acquiror has qualified as a RIC at all times during the Acquiror Open Tax Years and expects to continue to so qualify for the taxable year that includes the Second Effective Time. No challenge to the Acquiror’s status as a RIC is pending or has been threatened in writing with respect to the Acquiror Open Tax Years. For each of the Acquiror Open Tax Years, the Acquiror has satisfied or will satisfy the distribution requirements imposed on a regulated investment company under Section 852 of the Code (taking into account any dividend that will be paid by the Company after the date of this Agreement).</w:t>
      </w:r>
    </w:p>
    <w:p>
      <w:pPr>
        <w:spacing w:after="0" w:line="79" w:lineRule="exact"/>
        <w:rPr>
          <w:rFonts w:ascii="Times New Roman" w:cs="Times New Roman" w:eastAsia="Times New Roman" w:hAnsi="Times New Roman"/>
          <w:sz w:val="18"/>
          <w:szCs w:val="18"/>
          <w:color w:val="auto"/>
        </w:rPr>
      </w:pPr>
    </w:p>
    <w:p>
      <w:pPr>
        <w:jc w:val="both"/>
        <w:ind w:right="280" w:firstLine="419"/>
        <w:spacing w:after="0" w:line="266" w:lineRule="auto"/>
        <w:tabs>
          <w:tab w:leader="none" w:pos="6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is a newly formed entity created for the purpose of undertaking the Merger and is wholly owned directly by the Acquiror. Prior to the Effective Time, Merger Sub will not have acquired any assets or engaged in any other business activities and will have incurred no liabilities or obligations other than as contemplated by this Agreement.</w:t>
      </w:r>
    </w:p>
    <w:p>
      <w:pPr>
        <w:spacing w:after="0" w:line="67" w:lineRule="exact"/>
        <w:rPr>
          <w:rFonts w:ascii="Times New Roman" w:cs="Times New Roman" w:eastAsia="Times New Roman" w:hAnsi="Times New Roman"/>
          <w:sz w:val="18"/>
          <w:szCs w:val="18"/>
          <w:color w:val="auto"/>
        </w:rPr>
      </w:pPr>
    </w:p>
    <w:p>
      <w:pPr>
        <w:jc w:val="both"/>
        <w:ind w:right="180" w:firstLine="419"/>
        <w:spacing w:after="0" w:line="266" w:lineRule="auto"/>
        <w:tabs>
          <w:tab w:leader="none" w:pos="6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and its Consolidated Subsidiaries have complied in all material respects with all applicable Laws relating to the payment and withholding of Taxes and have, within the time and in the manner prescribed by applicable Law, in all material respects, withheld from and paid over all amounts required to be so withheld and paid over under applicable Laws.</w:t>
      </w:r>
    </w:p>
    <w:p>
      <w:pPr>
        <w:spacing w:after="0" w:line="67" w:lineRule="exact"/>
        <w:rPr>
          <w:rFonts w:ascii="Times New Roman" w:cs="Times New Roman" w:eastAsia="Times New Roman" w:hAnsi="Times New Roman"/>
          <w:sz w:val="18"/>
          <w:szCs w:val="18"/>
          <w:color w:val="auto"/>
        </w:rPr>
      </w:pPr>
    </w:p>
    <w:p>
      <w:pPr>
        <w:ind w:right="340" w:firstLine="419"/>
        <w:spacing w:after="0" w:line="282" w:lineRule="auto"/>
        <w:tabs>
          <w:tab w:leader="none" w:pos="6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is not aware of any fact or circumstance that could reasonably be expected to prevent the Mergers from qualifying as a “reorganization” within the meaning of Section 368(a) of the Code.</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has no “earnings and profits” for U.S. federal income Tax purposes described in Section 852(a)(2)(B) of the Code.</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0"/>
          </w:cols>
          <w:pgMar w:left="880" w:top="270" w:right="459" w:bottom="1440" w:gutter="0" w:footer="0" w:header="0"/>
        </w:sectPr>
      </w:pPr>
    </w:p>
    <w:bookmarkStart w:id="45" w:name="page46"/>
    <w:bookmarkEnd w:id="45"/>
    <w:p>
      <w:pPr>
        <w:ind w:left="440" w:right="100" w:firstLine="419"/>
        <w:spacing w:after="0" w:line="258" w:lineRule="auto"/>
        <w:tabs>
          <w:tab w:leader="none" w:pos="11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Acquiror Previously Disclosed each asset, if any, the disposition of which would be subject to rules similar to Section 1374 of the Code as prescribed in IRS Notice 88-19, 1988-1 C.B. 486, or Treasury Regulation Section 1.337(d)-7 and the amount of “net unrealized built-in gain” (within the meaning of Section 1374(d) of the Code), if any, with respect to the Acquiror’s assets. Other than as Previously Disclosed, the Acquiror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75"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been made in writing by a taxing authority in a jurisdiction where the Acquiror or any of its Consolidated Subsidiaries does not file Tax Returns that the Acquiror or any such Consolidated Subsidiary is or may be subject to taxation by that jurisdiction, and which, if upheld, would reasonably result in a material Tax liability.</w:t>
      </w:r>
    </w:p>
    <w:p>
      <w:pPr>
        <w:spacing w:after="0" w:line="67"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0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Acquiror nor any of its Consolidated Subsidiaries has, or has had at any time during the Acquiror Open Tax Years, a permanent establishment in any country other than the United States.</w:t>
      </w:r>
    </w:p>
    <w:p>
      <w:pPr>
        <w:spacing w:after="0" w:line="53"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0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Acquiror nor any of its Consolidated Subsidiaries has requested a private letter ruling from the IRS or comparable rulings from other taxing authorities at any time during the Acquiror Open Tax Years.</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61" w:lineRule="auto"/>
        <w:tabs>
          <w:tab w:leader="none" w:pos="11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Acquiror nor any of its Consolidated Subsidiaries has any liability for the Taxes of another Person other than the Acquiror and its Consolidated Subsidiaries under Treasury Regulation Section 1.1502-6 (or any similar provision of state, local or foreign Law), as a transferee, successor or payable pursuant to a contractual obligation (other than customary gross-up provisions in any commercial contract the primary purpose of which does not relate to Taxes).</w:t>
      </w:r>
    </w:p>
    <w:p>
      <w:pPr>
        <w:spacing w:after="0" w:line="71"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Acquiror nor any of its Consolidated Subsidiaries has been a member of a consolidated, combined or unitary Tax group (other than such a group the common parent of which is the Acquiror or any of its Consolidated Subsidiaries) at any time during the Acquiror Open Tax Years.</w:t>
      </w:r>
    </w:p>
    <w:p>
      <w:pPr>
        <w:spacing w:after="0" w:line="6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Liens for Taxes (other than Taxes not yet due and payable) upon any of the assets of the Acquiror or any of its Consolidated Subsidiaries.</w:t>
      </w:r>
    </w:p>
    <w:p>
      <w:pPr>
        <w:spacing w:after="0" w:line="162"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material Proceedings pending or, to the Acquiror’s knowledge, threatened against the Acquiror or any of its Consolidated Subsidiaries. There is no Order binding upon the Acquiror or any of its Consolidated Subsidiaries other than such Orders as would not, individually or in the aggregate, reasonably be expected to be material to the Acquiror and its Consolidated Subsidiaries, taken as a whole.</w:t>
      </w:r>
    </w:p>
    <w:p>
      <w:pPr>
        <w:spacing w:after="0" w:line="1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 Neither the Acquiror nor any of its Consolidated Subsidiaries has (i) any employees or (ii) any Employee Benefit Plans.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4.14. </w:t>
      </w:r>
      <w:r>
        <w:rPr>
          <w:rFonts w:ascii="Times New Roman" w:cs="Times New Roman" w:eastAsia="Times New Roman" w:hAnsi="Times New Roman"/>
          <w:sz w:val="18"/>
          <w:szCs w:val="18"/>
          <w:u w:val="single" w:color="auto"/>
          <w:color w:val="auto"/>
        </w:rPr>
        <w:t>Certain 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419"/>
        <w:spacing w:after="0" w:line="258" w:lineRule="auto"/>
        <w:tabs>
          <w:tab w:leader="none" w:pos="6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has Previously Disclosed a complete and accurate list of, and true and complete copies have been delivered or made available (including via EDGAR) to the Company of, all Contracts (collectively, the “</w:t>
      </w:r>
      <w:r>
        <w:rPr>
          <w:rFonts w:ascii="Times New Roman" w:cs="Times New Roman" w:eastAsia="Times New Roman" w:hAnsi="Times New Roman"/>
          <w:sz w:val="18"/>
          <w:szCs w:val="18"/>
          <w:u w:val="single" w:color="auto"/>
          <w:color w:val="auto"/>
        </w:rPr>
        <w:t>Acquiror Material Contracts</w:t>
      </w:r>
      <w:r>
        <w:rPr>
          <w:rFonts w:ascii="Times New Roman" w:cs="Times New Roman" w:eastAsia="Times New Roman" w:hAnsi="Times New Roman"/>
          <w:sz w:val="18"/>
          <w:szCs w:val="18"/>
          <w:color w:val="auto"/>
        </w:rPr>
        <w:t>”) to which, as of the date hereof, the Acquiror or any of its Consolidated Subsidiaries is a party, or by which the Acquiror or any of its Consolidated Subsidiaries may be bound, or, to the knowledge of the Acquiror, to which it or any of its Consolidated Subsidiaries or their respective assets or properties may be subject, with respect to:</w:t>
      </w:r>
    </w:p>
    <w:p>
      <w:pPr>
        <w:spacing w:after="0" w:line="75"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“material contract” within the meaning of Item 601(b)(10) of the SEC’s Regulation S-K;</w:t>
      </w:r>
    </w:p>
    <w:p>
      <w:pPr>
        <w:spacing w:after="0" w:line="117" w:lineRule="exact"/>
        <w:rPr>
          <w:rFonts w:ascii="Times New Roman" w:cs="Times New Roman" w:eastAsia="Times New Roman" w:hAnsi="Times New Roman"/>
          <w:sz w:val="18"/>
          <w:szCs w:val="18"/>
          <w:color w:val="auto"/>
        </w:rPr>
      </w:pPr>
    </w:p>
    <w:p>
      <w:pPr>
        <w:jc w:val="both"/>
        <w:ind w:left="540" w:right="20" w:firstLine="408"/>
        <w:spacing w:after="0" w:line="261" w:lineRule="auto"/>
        <w:tabs>
          <w:tab w:leader="none" w:pos="120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loans or credit agreements, mortgages, indentures and other agreements and instruments pursuant to which any Indebtedness of the Acquiror or any of its Consolidated Subsidiaries in an aggregate principal amount in excess of $2,500,000 is outstanding or may be incurred, or any guarantee by the Acquiror or any of its Consolidated Subsidiaries of any Indebtedness in an aggregate principal amount in excess of $2,500,000;</w:t>
      </w:r>
    </w:p>
    <w:p>
      <w:pPr>
        <w:spacing w:after="0" w:line="71" w:lineRule="exact"/>
        <w:rPr>
          <w:rFonts w:ascii="Times New Roman" w:cs="Times New Roman" w:eastAsia="Times New Roman" w:hAnsi="Times New Roman"/>
          <w:sz w:val="18"/>
          <w:szCs w:val="18"/>
          <w:color w:val="auto"/>
        </w:rPr>
      </w:pPr>
    </w:p>
    <w:p>
      <w:pPr>
        <w:ind w:left="540" w:right="20" w:firstLine="408"/>
        <w:spacing w:after="0" w:line="261" w:lineRule="auto"/>
        <w:tabs>
          <w:tab w:leader="none" w:pos="125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non-competition or non-solicitation Contract or any other Contract that limits, purports to limit, or would reasonably be expected to limit in each case in any material respect the manner in which, or the localities in which, any material business of the Acquiror and its Consolidated Subsidiaries, taken as a whole, is or could be conducted or the types of business that the Acquiror and its Consolidated Subsidiaries conducts or may conduct; or</w:t>
      </w:r>
    </w:p>
    <w:p>
      <w:pPr>
        <w:spacing w:after="0" w:line="71" w:lineRule="exact"/>
        <w:rPr>
          <w:rFonts w:ascii="Times New Roman" w:cs="Times New Roman" w:eastAsia="Times New Roman" w:hAnsi="Times New Roman"/>
          <w:sz w:val="18"/>
          <w:szCs w:val="18"/>
          <w:color w:val="auto"/>
        </w:rPr>
      </w:pPr>
    </w:p>
    <w:p>
      <w:pPr>
        <w:ind w:left="540" w:right="260" w:firstLine="408"/>
        <w:spacing w:after="0" w:line="282" w:lineRule="auto"/>
        <w:tabs>
          <w:tab w:leader="none" w:pos="124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obligates the Acquiror or any of its Consolidated Subsidiaries to conduct any business that is material to the Acquiror and its Consolidated Subsidiaries, taken as a whole, on an exclusive basis with any third party.</w:t>
      </w:r>
    </w:p>
    <w:p>
      <w:pPr>
        <w:spacing w:after="0" w:line="53"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Acquiror Material Contract is (x) valid and binding on the Acquiror or its applicable Consolidated Subsidiary and, to the Acquiror’s knowledge, each other party thereto, (y) enforceable against the Acquiror or its applicable Consolidated Subsidiary in accordance with its terms (subject to the Enforceability Exception), and (z) is in full force and effect other than in each case as would not, individually or in the aggregate, reasonably be expected to be material to the Acquiror and its Consolidated Subsidiaries, taken as a whole. The investment advisory agreement between the Acquiror and the Acquiror Adviser in effect as of the date of this Agreement has been approved by the Acquiror Board and stockholders of the Acquiror in accordance with Section 15 of the Investment Company Act. Neither the Acquiror nor any of its Consolidated Subsidiaries nor, to the Acquiror’s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Acquiror Material Contract other than as would not, individually or in the aggregate, reasonably be expected to have a Material Adverse Effect with respect to the Acquiror. No Acquiror Material Contract has been amended, modified or supplemented other than as would not, individually or in the aggregate, reasonably be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60"/>
          </w:cols>
          <w:pgMar w:left="880" w:top="270" w:right="459" w:bottom="1440" w:gutter="0" w:footer="0" w:header="0"/>
        </w:sectPr>
      </w:pPr>
    </w:p>
    <w:bookmarkStart w:id="47" w:name="page48"/>
    <w:bookmarkEnd w:id="47"/>
    <w:p>
      <w:pPr>
        <w:ind w:left="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expected to be material to the Acquiror and its Consolidated Subsidiaries, taken as a whole. No event has occurred with respect to the Acquiror or any of its Consolidated Subsidiaries that, with or without the giving of notice, the lapse of time or both, would constitute a breach or default under any Acquiror Material Contract other than as would not, individually or in the aggregate, reasonably be expected to be material to the Acquiror and its Consolidated Subsidiaries, taken as a whole.</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Insurance Coverage</w:t>
      </w:r>
      <w:r>
        <w:rPr>
          <w:rFonts w:ascii="Times New Roman" w:cs="Times New Roman" w:eastAsia="Times New Roman" w:hAnsi="Times New Roman"/>
          <w:sz w:val="18"/>
          <w:szCs w:val="18"/>
          <w:color w:val="auto"/>
        </w:rPr>
        <w:t>. All material insurance policies maintained by the Acquiror or any of its Consolidated Subsidiaries and that name the Acquiror or any of its Consolidated Subsidiaries as an insured (each, an “</w:t>
      </w:r>
      <w:r>
        <w:rPr>
          <w:rFonts w:ascii="Times New Roman" w:cs="Times New Roman" w:eastAsia="Times New Roman" w:hAnsi="Times New Roman"/>
          <w:sz w:val="18"/>
          <w:szCs w:val="18"/>
          <w:u w:val="single" w:color="auto"/>
          <w:color w:val="auto"/>
        </w:rPr>
        <w:t>Acquiror Insurance Policy</w:t>
      </w:r>
      <w:r>
        <w:rPr>
          <w:rFonts w:ascii="Times New Roman" w:cs="Times New Roman" w:eastAsia="Times New Roman" w:hAnsi="Times New Roman"/>
          <w:sz w:val="18"/>
          <w:szCs w:val="18"/>
          <w:color w:val="auto"/>
        </w:rPr>
        <w:t>”), including the fidelity bond required by the Investment Company Act, are in full force and effect and all premiums due and payable with respect to each Acquiror Insurance Policy have been paid. Neither the Acquiror nor any of its Consolidated Subsidiaries has received written notice of cancellation of any Acquiror Insurance Policy.</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Acquiror and its Consolidated Subsidiaries own, possess or have a valid license or other adequate rights to use all Intellectual Property Rights that are material to the conduct of the business of the Acquiror and its Consolidated Subsidiaries taken as a whole (hereinafter, “</w:t>
      </w:r>
      <w:r>
        <w:rPr>
          <w:rFonts w:ascii="Times New Roman" w:cs="Times New Roman" w:eastAsia="Times New Roman" w:hAnsi="Times New Roman"/>
          <w:sz w:val="18"/>
          <w:szCs w:val="18"/>
          <w:u w:val="single" w:color="auto"/>
          <w:color w:val="auto"/>
        </w:rPr>
        <w:t>Acquiror Intellectual Property Rights</w:t>
      </w:r>
      <w:r>
        <w:rPr>
          <w:rFonts w:ascii="Times New Roman" w:cs="Times New Roman" w:eastAsia="Times New Roman" w:hAnsi="Times New Roman"/>
          <w:sz w:val="18"/>
          <w:szCs w:val="18"/>
          <w:color w:val="auto"/>
        </w:rPr>
        <w:t>”), except where the failure to own, possess or have adequate rights would not, individually or in the aggregate, reasonably be expected to have a Material Adverse Effect with respect to the Acquiror. No claims are pending for which the Acquiror has received written notice or, to the knowledge of the Acquiror, threatened (i) that the Acquiror or any of its Consolidated Subsidiaries is infringing or otherwise violating the rights of any Person with regard to any Intellectual Property Right, or (ii) that any Acquiror Intellectual Property Right is invalid or unenforceable. To the knowledge of the Acquiror, no Person is infringing, misappropriating or using without authorization the rights of the Acquiror or any of its Consolidated Subsidiaries with respect to any Intellectual Property Right, except as would not, individually or in the aggregate, reasonably be expected to be material to the Acquiror and its Consolidated Subsidiaries, taken as a whole.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Neither the Acquiror nor any of its Consolidated Subsidiaries owns or leases any real property.</w:t>
      </w:r>
    </w:p>
    <w:p>
      <w:pPr>
        <w:spacing w:after="0" w:line="225"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Investment Assets</w:t>
      </w:r>
      <w:r>
        <w:rPr>
          <w:rFonts w:ascii="Times New Roman" w:cs="Times New Roman" w:eastAsia="Times New Roman" w:hAnsi="Times New Roman"/>
          <w:sz w:val="18"/>
          <w:szCs w:val="18"/>
          <w:color w:val="auto"/>
        </w:rPr>
        <w:t>. Each of the Acquiror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the Acquiror or its Consolidated Subsidiaries pursuant to credit agreements that have been Previously Disclosed and except for Liens consisting of restrictions on transfer agreed to in respect of investments entered into in the ordinary course of business. As of September 30, 2024, the value of investments owned by the Acquiror that are “qualifying investments” for purposes of Section 55(a) of the Investment Company Act was greater than 70% of the value of the Acquiror’s total assets (other than assets described in Section 55(a)(7) of the Investment Company Act). Neither the Acquiror nor any of its Consolidated Subsidiaries owns, or has owned since its inception, any Company Common Stock.</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440" w:top="270" w:right="499" w:bottom="1440" w:gutter="0" w:footer="0" w:header="0"/>
        </w:sectPr>
      </w:pPr>
    </w:p>
    <w:bookmarkStart w:id="48" w:name="page49"/>
    <w:bookmarkEnd w:id="48"/>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4.19. </w:t>
      </w: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The Acquiror Board has taken all action necessary to render inapplicable to this Agreement, the Mergers and the other Transactions the restrictions on business combinations contained in Section 203 of the DGCL. No other Takeover Statute is applicable to this Agreement, the Mergers or the other Transactions.</w:t>
      </w:r>
    </w:p>
    <w:p>
      <w:pPr>
        <w:spacing w:after="0" w:line="17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Prior to the execution of this Agreement, the Acquiror Special Committee has received the opinion (which, if initially rendered verbally, has been confirmed in a written opinion, dated the same date) of Keefe, Bruyette &amp; Woods, Inc., financial advisor to the Acquiror Special Committee, to the effect that, as of the date of such opinion and based upon and subject to the various assumptions, limitations, qualifications and other matters set forth therein, the Exchange Ratio in the Merger is fair, from a financial point of view, to the Acquiror. The Acquiror shall, following the execution of this Agreement by all parties, furnish an accurate, complete and confidential copy of said opinion to the Company solely for informational purposes to confirm receipt of said opinion by the Acquiror Special Committee.</w:t>
      </w:r>
    </w:p>
    <w:p>
      <w:pPr>
        <w:spacing w:after="0" w:line="18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Chapter 11</w:t>
      </w:r>
      <w:r>
        <w:rPr>
          <w:rFonts w:ascii="Times New Roman" w:cs="Times New Roman" w:eastAsia="Times New Roman" w:hAnsi="Times New Roman"/>
          <w:sz w:val="18"/>
          <w:szCs w:val="18"/>
          <w:color w:val="auto"/>
        </w:rPr>
        <w:t>. Neither the Acquiror nor any of its Consolidated Subsidiaries is under the jurisdiction of a court in a “title 11 or similar case” (as defined in Section 368(a)(3)(A) of the Code).</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Valuation</w:t>
      </w:r>
      <w:r>
        <w:rPr>
          <w:rFonts w:ascii="Times New Roman" w:cs="Times New Roman" w:eastAsia="Times New Roman" w:hAnsi="Times New Roman"/>
          <w:sz w:val="18"/>
          <w:szCs w:val="18"/>
          <w:color w:val="auto"/>
        </w:rPr>
        <w:t xml:space="preserve">. Except as may otherwise be mutually agreed by the parties, the value of each investment asset owned by the Acquiror that is used in connection with the computations made by the Acquiror pursuant to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will be determined by its valuation designee under Rule 2a-5 under the Investment Company Act in accordance with the valuation policies and procedures set forth in the Acquiror’s compliance policies and procedures, and the value of all assets owned by the Acquiror other than investment assets that are used in connection with the computations made by the Acquiror pursuant to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will be determined in accordance with GAAP.</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ACQUIROR ADVISER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 ADVISER</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Except with respect to matters Previously Disclosed, the Acquiror Adviser hereby represents and warrants to the Company (with respect to itself only) and the Company Adviser hereby represents and warrants to the Acquiror (with respect to itself only) that:</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Each of the Acquiror Adviser and the Company Adviser (as applicable) is a limited liability company organized and validly existing under the Laws of the State of Delaware and in good standing with the DE Secretary. Each of the Acquiror Adviser and the Company Adviser (as applicable) has the requisite limited liability company power and authority to own or lease all of its properties and assets and to carry on its business as it is now being conducted, and is duly licensed or qualified to do business as a foreign limited liability company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the Acquiror Adviser or the Company Adviser (as applicable).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Authority; No Violation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19"/>
        <w:spacing w:after="0" w:line="255" w:lineRule="auto"/>
        <w:tabs>
          <w:tab w:leader="none" w:pos="6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Acquiror Adviser and the Company Adviser (as applicable) has all requisite limited liability company power and authority to execute and deliver this Agreement. The execution and delivery of this Agreement has been duly and validly approved by the managing member of each of the Acquiror Adviser and the Company Adviser (as applicable). This Agreement has been duly and validly executed and delivered by each of the Acquiror Adviser and the Company Adviser (as applicable) and (assuming due authorization, execution and delivery by the Company, the Acquiror and Merger Sub) this Agreement constitutes the valid and binding obligation of each of the Acquiror Adviser and the Company Adviser (as applicable), enforceable against each of the Acquiror Adviser and the Company Adviser (as applicable) in accordance with its terms (except as may be limited by the Enforceability Exception).</w:t>
      </w:r>
    </w:p>
    <w:p>
      <w:pPr>
        <w:spacing w:after="0" w:line="80" w:lineRule="exact"/>
        <w:rPr>
          <w:rFonts w:ascii="Times New Roman" w:cs="Times New Roman" w:eastAsia="Times New Roman" w:hAnsi="Times New Roman"/>
          <w:sz w:val="18"/>
          <w:szCs w:val="18"/>
          <w:color w:val="auto"/>
        </w:rPr>
      </w:pPr>
    </w:p>
    <w:p>
      <w:pPr>
        <w:ind w:firstLine="419"/>
        <w:spacing w:after="0" w:line="269" w:lineRule="auto"/>
        <w:tabs>
          <w:tab w:leader="none" w:pos="678"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of this Agreement by each of the Acquiror Adviser or the Company Adviser (as applicable), nor the consummation of the Transactions, nor the performance of this Agreement by each of the Acquiror Adviser or the Company Adviser (as applicable), will (i) violate any provision of the certificate of formation of the Acquiror Adviser or the Company Adviser (as applicable) or the limited liability company agreement of the Acquiror Adviser or the Company Adviser (as applicable) or (ii) (A) violate any Law or Order applicable to the Acquiror Adviser or the Company Adviser (as applicable) or (B) except as set forth in any Contract that was Previously Disclosed,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Acquiror Adviser or the Company Adviser (as applicable) under, any of the terms, conditions or provisions of any Permit, Contract or other obligation to which the Acquiror Adviser or the Company Adviser (as applicable) is a party or by which its properties or assets is bound except, with respect to clause (ii)(B), any such violation, conflict, breach, loss, default, termination, cancellation, acceleration, consent, approval or creation that would not, individually or in the aggregate, reasonably be expected to have a Material Adverse Effect with respect to the Acquiror Adviser or the Company Adviser (as applicable).</w:t>
      </w:r>
    </w:p>
    <w:p>
      <w:pPr>
        <w:spacing w:after="0" w:line="67" w:lineRule="exact"/>
        <w:rPr>
          <w:rFonts w:ascii="Times New Roman" w:cs="Times New Roman" w:eastAsia="Times New Roman" w:hAnsi="Times New Roman"/>
          <w:sz w:val="17"/>
          <w:szCs w:val="17"/>
          <w:color w:val="auto"/>
        </w:rPr>
      </w:pPr>
    </w:p>
    <w:p>
      <w:pPr>
        <w:ind w:firstLine="419"/>
        <w:spacing w:after="0" w:line="261" w:lineRule="auto"/>
        <w:tabs>
          <w:tab w:leader="none" w:pos="6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consents or approvals of, or filings or registrations with, any Governmental Entity are necessary in connection with the execution, delivery or performance of this Agreement by each of the Acquiror Adviser or the Company Adviser (as applicable), except for any such consents, approvals, filings or registrations that the failure to obtain or make would not, individually or in the aggregate, reasonably be expected to have a Material Adverse Effect with respect to the Acquiror Adviser or the Company Adviser (as applicable).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60"/>
          </w:cols>
          <w:pgMar w:left="880" w:top="270"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5.3. </w:t>
      </w:r>
      <w:r>
        <w:rPr>
          <w:rFonts w:ascii="Times New Roman" w:cs="Times New Roman" w:eastAsia="Times New Roman" w:hAnsi="Times New Roman"/>
          <w:sz w:val="18"/>
          <w:szCs w:val="18"/>
          <w:u w:val="single" w:color="auto"/>
          <w:color w:val="auto"/>
        </w:rPr>
        <w:t>Compliance with Applicable Law; Permits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19"/>
        <w:spacing w:after="0" w:line="282" w:lineRule="auto"/>
        <w:tabs>
          <w:tab w:leader="none" w:pos="66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Acquiror Adviser and the Company Adviser (as applicable) is, and at all times since it became the investment adviser to the Acquiror or the Company (as applicable) has been, duly registered as an investment adviser under the Investment Advisers Act.</w:t>
      </w:r>
    </w:p>
    <w:p>
      <w:pPr>
        <w:spacing w:after="0" w:line="53" w:lineRule="exact"/>
        <w:rPr>
          <w:rFonts w:ascii="Times New Roman" w:cs="Times New Roman" w:eastAsia="Times New Roman" w:hAnsi="Times New Roman"/>
          <w:sz w:val="18"/>
          <w:szCs w:val="18"/>
          <w:color w:val="auto"/>
        </w:rPr>
      </w:pPr>
    </w:p>
    <w:p>
      <w:pPr>
        <w:ind w:right="20" w:firstLine="419"/>
        <w:spacing w:after="0" w:line="255" w:lineRule="auto"/>
        <w:tabs>
          <w:tab w:leader="none" w:pos="67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Acquiror Adviser and the Company Adviser (as applicable) is in compliance, and has been operated in compliance, in all material respects, with all applicable Laws other than as would not, individually or in the aggregate, reasonably be expected to have a Material Adverse Effect with respect to the Acquiror Adviser or the Company Adviser (as applicable). Each of the Acquiror Adviser and the Company Adviser (as applicable) has not received any written or, to the Acquiror Adviser’s or the Company Adviser’s (as applicable) knowledge, oral notification from a Governmental Entity of any material non-compliance with any applicable Laws, which non-compliance would, individually or in the aggregate, reasonably be expected to have a Material Adverse Effect with respect to the Acquiror Adviser or the Company Adviser (as applicable).</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Acquiror Adviser and the Company Adviser (as applicable) holds and is in compliance with all Permits required in order to permit the Acquiror Adviser and the Company Adviser (as applicable) to own or lease its properties and assets and to conduct its business under and pursuant to all applicable Law as presently conducted, other than any failure to hold or non-compliance with any such Permit that would not, individually or in the aggregate, reasonably be expected to have a Material Adverse Effect with respect to the Acquiror Adviser or the Company Adviser (as applicable). All such Permits are valid and in full force and effect, except as would not, individually or in the aggregate, reasonably be expected to have a Material Adverse Effect with respect to the Acquiror Adviser or the Company Adviser (as applicable). Each of the Acquiror Adviser and the Company Adviser (as applicable) has not received any written or, to the Acquiror Adviser’s or the Company Adviser (as applicable)’s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have a Material Adverse Effect with respect to the Acquiror Adviser or the Company Adviser (as applicable).</w:t>
      </w:r>
    </w:p>
    <w:p>
      <w:pPr>
        <w:spacing w:after="0" w:line="83" w:lineRule="exact"/>
        <w:rPr>
          <w:rFonts w:ascii="Times New Roman" w:cs="Times New Roman" w:eastAsia="Times New Roman" w:hAnsi="Times New Roman"/>
          <w:sz w:val="18"/>
          <w:szCs w:val="18"/>
          <w:color w:val="auto"/>
        </w:rPr>
      </w:pPr>
    </w:p>
    <w:p>
      <w:pPr>
        <w:ind w:right="80" w:firstLine="419"/>
        <w:spacing w:after="0" w:line="256" w:lineRule="auto"/>
        <w:tabs>
          <w:tab w:leader="none" w:pos="67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Acquiror Adviser and the Company Adviser (as applicable) has implemented written policies and procedures as required by Rule 206(4)-7 under the Investment Advisers Act and, during the period prior to the date of this Agreement that the Acquiror Adviser and the Company Adviser (as applicable) has been the investment adviser to the Acquiror or the Company (as applicable), the Acquiror Adviser and the Company Adviser (as applicable) has been in compliance with such policies and procedures, except where the failures to adopt such policies and procedures or to be in compliance would not, individually or in the aggregate, be material to the Acquiror or the Company (as applicable) and their respective Consolidated Subsidiaries, taken as a whole.</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40"/>
          </w:cols>
          <w:pgMar w:left="880" w:top="270" w:right="479" w:bottom="1440" w:gutter="0" w:footer="0" w:header="0"/>
        </w:sectPr>
      </w:pPr>
    </w:p>
    <w:bookmarkStart w:id="51" w:name="page52"/>
    <w:bookmarkEnd w:id="51"/>
    <w:p>
      <w:pPr>
        <w:ind w:left="440" w:right="440" w:firstLine="419"/>
        <w:spacing w:after="0" w:line="266" w:lineRule="auto"/>
        <w:tabs>
          <w:tab w:leader="none" w:pos="11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period prior to the date of this Agreement that it has been the investment adviser to the Acquiror or the Company (as applicable), there has been no material adverse change in the operations, affairs or regulatory status of the Acquiror Adviser or the Company Adviser (as applicable).</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Proceedings pending or, to the Acquiror Adviser’s or the Company Adviser’s (as applicable) knowledge, threatened against the Acquiror Adviser or the Company Adviser (as applicable), except as would not reasonably be expected to have a Material Adverse Effect with respect to the Acquiror Adviser or the Company Adviser (as applicable). There is no Order binding upon the Acquiror Adviser or the Company Adviser (as applicable) other than such Orders as would not, individually or in the aggregate, reasonably be expected to have a Material Adverse Effect with respect to the Acquiror Adviser or the Company Adviser (as applicable).</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Acquiror Adviser Information</w:t>
      </w:r>
      <w:r>
        <w:rPr>
          <w:rFonts w:ascii="Times New Roman" w:cs="Times New Roman" w:eastAsia="Times New Roman" w:hAnsi="Times New Roman"/>
          <w:sz w:val="18"/>
          <w:szCs w:val="18"/>
          <w:color w:val="auto"/>
        </w:rPr>
        <w:t>. None of the information supplied or to be supplied by the Acquiror Adviser for inclusion or incorporation by reference in (i) the Registration Statement will, at the time the Registration Statement is filed with the SEC, at any time the Registration Statement is amended or supplemented or at the time the Registration Statement becomes effective under the Securities Act, or (ii) the Joint Proxy Statement/Prospectus will, at the date the Joint Proxy Statement/Prospectus or any amendment or supplement is first mailed to stockholders of the Company or stockholders of the Acquiror or at the time of the Company Stockholders Meeting or the Acquiror Stockholders Meeting, in each case, contain any untrue statement of a material fact or omit to state a material fact necessary to make the statements therein, and in the case of the Joint Proxy Statement/Prospectus in light of the circumstances in which they are made, not misleading, except that no representation or warranty is made by the Acquiror Adviser with respect to information supplied by the Company, the Acquiror or Merger Sub for inclusion or incorporation by reference in the Registration Statement or the Joint Proxy Statement/Prospectus.</w:t>
      </w:r>
    </w:p>
    <w:p>
      <w:pPr>
        <w:spacing w:after="0" w:line="188"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Financial Resources</w:t>
      </w:r>
      <w:r>
        <w:rPr>
          <w:rFonts w:ascii="Times New Roman" w:cs="Times New Roman" w:eastAsia="Times New Roman" w:hAnsi="Times New Roman"/>
          <w:sz w:val="18"/>
          <w:szCs w:val="18"/>
          <w:color w:val="auto"/>
        </w:rPr>
        <w:t>. The Acquiror Adviser has the financial resources available to it necessary for the performance of its services and obligations as contemplated in the Registration Statement and the Joint Proxy Statement/Prospectus and under this Agreement.</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Best Interests and No Dilution</w:t>
      </w:r>
      <w:r>
        <w:rPr>
          <w:rFonts w:ascii="Times New Roman" w:cs="Times New Roman" w:eastAsia="Times New Roman" w:hAnsi="Times New Roman"/>
          <w:sz w:val="18"/>
          <w:szCs w:val="18"/>
          <w:color w:val="auto"/>
        </w:rPr>
        <w:t>. Each of the Acquiror Adviser (in the case of the Acquiror) and the Company Adviser (in the case of the Company) believes that (a) the participation in the Merger is in the best interests of the Acquiror (in the case of the Acquiror Adviser) and the Company (in the case of the Company Adviser) and (b) the interests of existing stockholders of the Acquiror (in the case of the Acquiror Adviser) and the Company (in the case of the Company Adviser), as applicable, will not be diluted (as provided under Rule 17a-8 of the Investment Company Act) as a result of the Merger.</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Forbearances</w:t>
      </w:r>
      <w:r>
        <w:rPr>
          <w:rFonts w:ascii="Times New Roman" w:cs="Times New Roman" w:eastAsia="Times New Roman" w:hAnsi="Times New Roman"/>
          <w:sz w:val="18"/>
          <w:szCs w:val="18"/>
          <w:color w:val="auto"/>
        </w:rPr>
        <w:t xml:space="preserve">. The forbearances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are not expected to be overly and materially onerous on the conduct of the business of the Acquiror or the Company, as conducted in the ordinary course of business consistent with past practice in all material respects and each of the Acquiror’s and the Company’s, as applicable, investment objectives and policies as publicly disclosed.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52" w:name="page53"/>
    <w:bookmarkEnd w:id="52"/>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5.9.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To the Knowledge of the Company Adviser (in the case of the Company) and the Acquiror Adviser (in the case of the Acquiror), as of the date hereof, the representations and warranties made by the Company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the representations and warranties made by the Acquiror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true and correct in all material respects except as Previously Disclosed by the Company or the Acquiror (as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RELATING TO CONDUCT OF BUSINESS</w:t>
      </w:r>
    </w:p>
    <w:p>
      <w:pPr>
        <w:spacing w:after="0" w:line="229" w:lineRule="exact"/>
        <w:rPr>
          <w:sz w:val="20"/>
          <w:szCs w:val="20"/>
          <w:color w:val="auto"/>
        </w:rPr>
      </w:pPr>
    </w:p>
    <w:p>
      <w:pPr>
        <w:ind w:right="1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Conduct of Businesses Prior to the Effective Time</w:t>
      </w:r>
      <w:r>
        <w:rPr>
          <w:rFonts w:ascii="Times New Roman" w:cs="Times New Roman" w:eastAsia="Times New Roman" w:hAnsi="Times New Roman"/>
          <w:sz w:val="17"/>
          <w:szCs w:val="17"/>
          <w:color w:val="auto"/>
        </w:rPr>
        <w:t xml:space="preserve">. During the period from the date of this Agreement until the earlier of the Effective Time and the date, if any, on which this Agreement is terminated pursuant to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except as may be required by Law, as expressly permitted by this Agreement, as Previously Disclosed or with the prior written consent of the Acquiror Special Committee (with respect to the Company) and the Company Special Committee (with respect to the Acquiror), which prior written consent shall not be unreasonably delayed, conditioned or withheld, each of the Company and the Acquiror shall, and shall cause each of its respective Consolidated Subsidiaries to, (a) conduct its business in the ordinary course of business and consistent with past practice and each of the Company’s and the Acquiror’s investment objectives and policies as publicly disclosed, respectively, and (b) use reasonable best efforts to maintain and preserve intact its business organization and existing business relationships.</w:t>
      </w:r>
    </w:p>
    <w:p>
      <w:pPr>
        <w:spacing w:after="0" w:line="171" w:lineRule="exact"/>
        <w:rPr>
          <w:sz w:val="20"/>
          <w:szCs w:val="20"/>
          <w:color w:val="auto"/>
        </w:rPr>
      </w:pPr>
    </w:p>
    <w:p>
      <w:pPr>
        <w:ind w:right="4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Company Forbearances</w:t>
      </w:r>
      <w:r>
        <w:rPr>
          <w:rFonts w:ascii="Times New Roman" w:cs="Times New Roman" w:eastAsia="Times New Roman" w:hAnsi="Times New Roman"/>
          <w:sz w:val="18"/>
          <w:szCs w:val="18"/>
          <w:color w:val="auto"/>
        </w:rPr>
        <w:t xml:space="preserve">. During the period from the date of this Agreement until the earlier of the Effective Time and the date, if any, on which this Agreement is terminated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except as may be required by Law, as expressly permitted by this Agreement or as Previously Disclosed, and acting in a manner consistent with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the Company shall not, and shall not permit any of its Consolidated Subsidiaries to, directly or indirectly, without the prior written consent of the Acquiror Special Committee (which prior written consent shall not be unreasonably delayed, conditioned or withheld):</w:t>
      </w:r>
    </w:p>
    <w:p>
      <w:pPr>
        <w:spacing w:after="0" w:line="75" w:lineRule="exact"/>
        <w:rPr>
          <w:sz w:val="20"/>
          <w:szCs w:val="20"/>
          <w:color w:val="auto"/>
        </w:rPr>
      </w:pPr>
    </w:p>
    <w:p>
      <w:pPr>
        <w:ind w:left="440" w:firstLine="419"/>
        <w:spacing w:after="0" w:line="276" w:lineRule="auto"/>
        <w:tabs>
          <w:tab w:leader="none" w:pos="1108"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pursuant to the Company’s dividend reinvestment plan as in effect as of the date of this Agreement, issue, deliver, sell or grant, or encumber or pledge, or authorize the creation of (i) any shares of its capital stock, (ii) any Company Voting Debt or other voting securities or</w:t>
      </w:r>
    </w:p>
    <w:p>
      <w:pPr>
        <w:ind w:left="760" w:hanging="324"/>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convertible into or exercisable or exchangeable for, or any other Rights to acquire, any such shares or other securities;</w:t>
      </w:r>
    </w:p>
    <w:p>
      <w:pPr>
        <w:spacing w:after="0" w:line="98"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1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authorize, declare, pay or set aside any dividend in respect of, or declare or make any distribution on, any shares of its capital stock, except for (A) the authorization, announcement and payment of regular quarterly cash distributions payable on a quarterly basis, consistent with past practices and the Company’s investment objectives and policies as publicly disclosed, (B) the Tax Dividend or (C) dividends payable by any direct or indirect wholly owned Consolidated Subsidiary of the Company to the Company or another direct or indirect wholly owned Consolidated Subsidiary of the Company; (ii) adjust, split, combine, reclassify or take similar action with respect 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53" w:name="page54"/>
    <w:bookmarkEnd w:id="53"/>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w:t>
      </w:r>
    </w:p>
    <w:p>
      <w:pPr>
        <w:spacing w:after="0" w:line="68" w:lineRule="exact"/>
        <w:rPr>
          <w:sz w:val="20"/>
          <w:szCs w:val="20"/>
          <w:color w:val="auto"/>
        </w:rPr>
      </w:pPr>
    </w:p>
    <w:p>
      <w:pPr>
        <w:ind w:right="360" w:firstLine="419"/>
        <w:spacing w:after="0" w:line="261" w:lineRule="auto"/>
        <w:tabs>
          <w:tab w:leader="none" w:pos="66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lease, mortgage, encumber or otherwise dispose of any of its assets or properties, except for (i) sales, transfers, leases, mortgages, encumbrances or other dispositions in the ordinary course of business consistent with past practice and the Company’s investment objectives and policies as publicly disclosed, or (ii) encumbrances required to secure Permitted Indebtedness of the Company or any of its Consolidated Subsidiaries;</w:t>
      </w:r>
    </w:p>
    <w:p>
      <w:pPr>
        <w:spacing w:after="0" w:line="71"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agree to acquire all or any portion of the assets, business or properties of any other Person, whether by merger, consolidation, purchase or otherwise or make any other investments, except in a transaction conducted in the ordinary course of business consistent with the Company’s investment objectives and policies as publicly disclosed;</w:t>
      </w:r>
    </w:p>
    <w:p>
      <w:pPr>
        <w:spacing w:after="0" w:line="67" w:lineRule="exact"/>
        <w:rPr>
          <w:rFonts w:ascii="Times New Roman" w:cs="Times New Roman" w:eastAsia="Times New Roman" w:hAnsi="Times New Roman"/>
          <w:sz w:val="18"/>
          <w:szCs w:val="18"/>
          <w:color w:val="auto"/>
        </w:rPr>
      </w:pPr>
    </w:p>
    <w:p>
      <w:pPr>
        <w:ind w:right="740" w:firstLine="419"/>
        <w:spacing w:after="0" w:line="282" w:lineRule="auto"/>
        <w:tabs>
          <w:tab w:leader="none" w:pos="66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Company Charter, the Company Bylaws or other governing documents or similar governing documents of any of its Consolidated Subsidiaries;</w:t>
      </w:r>
    </w:p>
    <w:p>
      <w:pPr>
        <w:spacing w:after="0" w:line="53" w:lineRule="exact"/>
        <w:rPr>
          <w:rFonts w:ascii="Times New Roman" w:cs="Times New Roman" w:eastAsia="Times New Roman" w:hAnsi="Times New Roman"/>
          <w:sz w:val="18"/>
          <w:szCs w:val="18"/>
          <w:color w:val="auto"/>
        </w:rPr>
      </w:pPr>
    </w:p>
    <w:p>
      <w:pPr>
        <w:ind w:right="380" w:firstLine="419"/>
        <w:spacing w:after="0" w:line="282" w:lineRule="auto"/>
        <w:tabs>
          <w:tab w:leader="none" w:pos="6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Tax or financial accounting principles, practices or methods, other than as required by applicable Law, GAAP, the SEC or applicable regulatory requirements;</w:t>
      </w:r>
    </w:p>
    <w:p>
      <w:pPr>
        <w:spacing w:after="0" w:line="53" w:lineRule="exact"/>
        <w:rPr>
          <w:rFonts w:ascii="Times New Roman" w:cs="Times New Roman" w:eastAsia="Times New Roman" w:hAnsi="Times New Roman"/>
          <w:sz w:val="18"/>
          <w:szCs w:val="18"/>
          <w:color w:val="auto"/>
        </w:rPr>
      </w:pPr>
    </w:p>
    <w:p>
      <w:pPr>
        <w:ind w:right="200" w:firstLine="419"/>
        <w:spacing w:after="0" w:line="261" w:lineRule="auto"/>
        <w:tabs>
          <w:tab w:leader="none" w:pos="6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 or knowingly fail to take any action that would, or would reasonably be expected to (i) materially delay or materially impede the ability of the parties to consummate the Transactions or (ii) prevent the Mergers from qualifying as a reorganization within the meaning of Section 368(a) of the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preclude the Company from declaring or paying the Tax Dividend on or before the Closing Date;</w:t>
      </w:r>
    </w:p>
    <w:p>
      <w:pPr>
        <w:spacing w:after="0" w:line="71"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or guarantee any Indebtedness of another Person, except for (i) draw-downs with respect to any Previously Disclosed financing arrangements existing as of the date of this Agreement and obligations to fund commitments to portfolio companies entered into in the ordinary course of business and (ii) Permitted Indebtedness;</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63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agree to make any new capital expenditure other than obligations to fund commitments to portfolio companies entered into in the ordinary course of business;</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63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file or amend any material Tax Return other than in the ordinary course of business consistent with past practice; (ii) make, change or revoke any material Tax election or (iii) settle or compromise any material Tax liability or refund;</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60"/>
          </w:cols>
          <w:pgMar w:left="880" w:top="270" w:right="459" w:bottom="1440" w:gutter="0" w:footer="0" w:header="0"/>
        </w:sectPr>
      </w:pPr>
    </w:p>
    <w:bookmarkStart w:id="54" w:name="page55"/>
    <w:bookmarkEnd w:id="54"/>
    <w:p>
      <w:pPr>
        <w:ind w:left="440" w:right="240" w:firstLine="419"/>
        <w:spacing w:after="0" w:line="282" w:lineRule="auto"/>
        <w:tabs>
          <w:tab w:leader="none" w:pos="111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take any action, or knowingly fail to take any action, which action or failure to act is reasonably likely to cause the Company to fail to qualify or not be subject to tax as a RIC;</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66" w:lineRule="auto"/>
        <w:tabs>
          <w:tab w:leader="none" w:pos="10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(it being understood that this prohibition does not apply to any portfolio companies in which the Company or any of its Consolidated Subsidiaries has made a debt or equity investment that is, would or should be reflected in the Company’s schedule of investments included in its quarterly or annual periodic reports that are filed with the SEC);</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6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the ordinary course of business consistent with past practice and the Company’s investment objectives and policies as publicly disclosed, or, except as permitted by </w:t>
      </w:r>
      <w:r>
        <w:rPr>
          <w:rFonts w:ascii="Times New Roman" w:cs="Times New Roman" w:eastAsia="Times New Roman" w:hAnsi="Times New Roman"/>
          <w:sz w:val="18"/>
          <w:szCs w:val="18"/>
          <w:u w:val="single" w:color="auto"/>
          <w:color w:val="auto"/>
        </w:rPr>
        <w:t>Section 6.2(h)</w:t>
      </w:r>
      <w:r>
        <w:rPr>
          <w:rFonts w:ascii="Times New Roman" w:cs="Times New Roman" w:eastAsia="Times New Roman" w:hAnsi="Times New Roman"/>
          <w:sz w:val="18"/>
          <w:szCs w:val="18"/>
          <w:color w:val="auto"/>
        </w:rPr>
        <w:t>, enter into any Contract that would otherwise constitute a Company Material Contract had it been entered into prior to the date of this Agreement;</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11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and the Company’s investment objectives and policies as publicly disclosed, terminate, cancel, renew or agree to any material amendment of, change in or waiver under any Company Material Contract (other than any Company Material Contract related to Permitted Indebtedness);</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5" w:lineRule="auto"/>
        <w:tabs>
          <w:tab w:leader="none" w:pos="111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Proceeding against it, except for Proceedings that (i) are settled in the ordinary course of business consistent with past practice and the Company’s investment objectives and policies as publicly disclosed, in an amount not in excess of $500,000 in the aggregate (after reduction by any insurance proceeds actually received); (ii) would not impose any material restriction on the conduct of business of it or any of its Consolidated Subsidiaries or, after the Effective Time, the Acquiror, the Surviving Company or any of their Consolidated Subsidiaries and</w:t>
      </w:r>
    </w:p>
    <w:p>
      <w:pPr>
        <w:spacing w:after="0" w:line="2"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admit liability, guilt or fault;</w:t>
      </w:r>
    </w:p>
    <w:p>
      <w:pPr>
        <w:spacing w:after="0" w:line="98" w:lineRule="exact"/>
        <w:rPr>
          <w:rFonts w:ascii="Times New Roman" w:cs="Times New Roman" w:eastAsia="Times New Roman" w:hAnsi="Times New Roman"/>
          <w:sz w:val="18"/>
          <w:szCs w:val="18"/>
          <w:color w:val="auto"/>
        </w:rPr>
      </w:pPr>
    </w:p>
    <w:p>
      <w:pPr>
        <w:ind w:left="440" w:right="220" w:firstLine="419"/>
        <w:spacing w:after="0" w:line="261" w:lineRule="auto"/>
        <w:tabs>
          <w:tab w:leader="none" w:pos="111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contemplated by this Agreement, merge or consolidate the Company or any of its Consolidated Subsidiaries with any Person or enter into any other similar extraordinary corporate transaction, or adopt, recommend, propose or announce an intention to adopt a plan of complete or partial liquidation, dissolution, restructuring, recapitalization or other reorganization of the Company or any of its Consolidated Subsidiaries;</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agree to acquire, any Acquiror Common Stock; or</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08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make any commitment to take, or adopt any resolutions of the Company Board authorizing, any of the actions prohibited by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Acquiror Forbearances</w:t>
      </w:r>
      <w:r>
        <w:rPr>
          <w:rFonts w:ascii="Times New Roman" w:cs="Times New Roman" w:eastAsia="Times New Roman" w:hAnsi="Times New Roman"/>
          <w:sz w:val="18"/>
          <w:szCs w:val="18"/>
          <w:color w:val="auto"/>
        </w:rPr>
        <w:t xml:space="preserve">. During the period from the date of this Agreement until the earlier of the Effective Time and the date, if any, on which this Agreement is terminated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except as may be required by Law, as expressly permitted by this Agreement or as Previously Disclosed, and acting in a manner consistent with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the Acquiror shall not, and shall not permit any of its Consolidated Subsidiaries to, directly or indirectly, without the prior written consent of the Company Special Committee (which prior written consent shall not be unreasonably delayed, conditioned or withheld):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5" w:name="page56"/>
    <w:bookmarkEnd w:id="55"/>
    <w:p>
      <w:pPr>
        <w:ind w:left="4" w:firstLine="419"/>
        <w:spacing w:after="0" w:line="276" w:lineRule="auto"/>
        <w:tabs>
          <w:tab w:leader="none" w:pos="671"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pursuant to the Acquiror’s dividend reinvestment plan as in effect as of the date of this Agreement, issue, deliver, sell or grant, or encumber or pledge, or authorize the creation of (i) any shares of its capital stock, (ii) any Acquiror Voting Debt or other voting securities or</w:t>
      </w:r>
    </w:p>
    <w:p>
      <w:pPr>
        <w:ind w:left="324" w:hanging="324"/>
        <w:spacing w:after="0"/>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convertible into or exercisable or exchangeable for, or any other Rights to acquire, any such shares or other securities;</w:t>
      </w:r>
    </w:p>
    <w:p>
      <w:pPr>
        <w:spacing w:after="0" w:line="98" w:lineRule="exact"/>
        <w:rPr>
          <w:rFonts w:ascii="Times New Roman" w:cs="Times New Roman" w:eastAsia="Times New Roman" w:hAnsi="Times New Roman"/>
          <w:sz w:val="18"/>
          <w:szCs w:val="18"/>
          <w:color w:val="auto"/>
        </w:rPr>
      </w:pPr>
    </w:p>
    <w:p>
      <w:pPr>
        <w:ind w:left="4" w:firstLine="419"/>
        <w:spacing w:after="0" w:line="254" w:lineRule="auto"/>
        <w:tabs>
          <w:tab w:leader="none" w:pos="68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authorize, declare, pay or set aside any dividend in respect of, or declare or make any distribution on, any shares of its capital stock, except for (A) the authorization, announcement and payment of regular quarterly cash distributions payable on a quarterly basis, consistent with past practices and the Acquiror’s investment objectives and policies as publicly disclosed, (B) the authorization and payment of any dividend or distribution necessary for the Acquiror to maintain its qualification as a RIC or avoid the imposition of any income or excise tax, as reasonably determined by the Acquiror, or (C) dividends payable by any direct or indirect wholly owned Consolidated Subsidiary of the Acquiror to the Acquiror or another direct or indirect wholly owned Consolidated Subsidiary of the Acquiror; (ii) adjust, split, combine, reclassify or take similar action with respect to 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w:t>
      </w:r>
    </w:p>
    <w:p>
      <w:pPr>
        <w:spacing w:after="0" w:line="80" w:lineRule="exact"/>
        <w:rPr>
          <w:rFonts w:ascii="Times New Roman" w:cs="Times New Roman" w:eastAsia="Times New Roman" w:hAnsi="Times New Roman"/>
          <w:sz w:val="18"/>
          <w:szCs w:val="18"/>
          <w:color w:val="auto"/>
        </w:rPr>
      </w:pPr>
    </w:p>
    <w:p>
      <w:pPr>
        <w:jc w:val="both"/>
        <w:ind w:left="4" w:right="360" w:firstLine="419"/>
        <w:spacing w:after="0" w:line="261" w:lineRule="auto"/>
        <w:tabs>
          <w:tab w:leader="none" w:pos="67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lease, mortgage, encumber or otherwise dispose of any of its assets or properties, except for (i) sales, transfers, leases, mortgages, encumbrances or other dispositions in the ordinary course of business consistent with past practice and the Acquiror’s investment objectives and policies as publicly disclosed, or (ii) encumbrances required to secure Permitted Indebtedness of the Acquiror or any of its Consolidated Subsidiaries;</w:t>
      </w:r>
    </w:p>
    <w:p>
      <w:pPr>
        <w:spacing w:after="0" w:line="71"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8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agree to acquire all or any portion of the assets, business or properties of any other Person, whether by merger, consolidation, purchase or otherwise or make any other investments, except in a transaction conducted in the ordinary course of business consistent with the Acquiror’s investment objectives and policies as publicly disclosed;</w:t>
      </w:r>
    </w:p>
    <w:p>
      <w:pPr>
        <w:spacing w:after="0" w:line="67" w:lineRule="exact"/>
        <w:rPr>
          <w:rFonts w:ascii="Times New Roman" w:cs="Times New Roman" w:eastAsia="Times New Roman" w:hAnsi="Times New Roman"/>
          <w:sz w:val="18"/>
          <w:szCs w:val="18"/>
          <w:color w:val="auto"/>
        </w:rPr>
      </w:pPr>
    </w:p>
    <w:p>
      <w:pPr>
        <w:ind w:left="4" w:right="800" w:firstLine="419"/>
        <w:spacing w:after="0" w:line="282" w:lineRule="auto"/>
        <w:tabs>
          <w:tab w:leader="none" w:pos="67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Acquiror Charter, the Acquiror Bylaws or other governing documents or similar governing documents of any of its Consolidated Subsidiaries;</w:t>
      </w:r>
    </w:p>
    <w:p>
      <w:pPr>
        <w:spacing w:after="0" w:line="53" w:lineRule="exact"/>
        <w:rPr>
          <w:rFonts w:ascii="Times New Roman" w:cs="Times New Roman" w:eastAsia="Times New Roman" w:hAnsi="Times New Roman"/>
          <w:sz w:val="18"/>
          <w:szCs w:val="18"/>
          <w:color w:val="auto"/>
        </w:rPr>
      </w:pPr>
    </w:p>
    <w:p>
      <w:pPr>
        <w:ind w:left="4" w:right="340" w:firstLine="419"/>
        <w:spacing w:after="0" w:line="282" w:lineRule="auto"/>
        <w:tabs>
          <w:tab w:leader="none" w:pos="65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Tax or financial accounting principles, practices or methods, other than as required by applicable Law, GAAP, the SEC or applicable regulatory requirements;</w:t>
      </w:r>
    </w:p>
    <w:p>
      <w:pPr>
        <w:spacing w:after="0" w:line="94"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24"/>
          </w:cols>
          <w:pgMar w:left="876" w:top="270" w:right="499" w:bottom="1440" w:gutter="0" w:footer="0" w:header="0"/>
        </w:sectPr>
      </w:pPr>
    </w:p>
    <w:bookmarkStart w:id="56" w:name="page57"/>
    <w:bookmarkEnd w:id="56"/>
    <w:p>
      <w:pPr>
        <w:ind w:right="340" w:firstLine="419"/>
        <w:spacing w:after="0" w:line="266" w:lineRule="auto"/>
        <w:tabs>
          <w:tab w:leader="none" w:pos="6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take any action or knowingly fail to take any action that would, or would reasonably be expected to (i) materially delay or materially impede the ability of the parties to consummate the Transactions or (ii) prevent the Mergers from qualifying as a reorganization within the meaning of Section 368(a) of the Code;</w:t>
      </w:r>
    </w:p>
    <w:p>
      <w:pPr>
        <w:spacing w:after="0" w:line="67"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or guarantee any Indebtedness of another Person, except for (i) draw-downs with respect to any Previously Disclosed financing arrangements existing as of the date of this Agreement and obligations to fund commitments to portfolio companies entered into in the ordinary course of business and (ii) Permitted Indebtedness;</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63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agree to make any new capital expenditure other than obligations to fund commitments to portfolio companies entered into in the ordinary course of business;</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63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file or amend any material Tax Return other than in the ordinary course of business consistent with past practice; (ii) make, change or revoke any material Tax election or (iii) settle or compromise any material Tax liability or refund;</w:t>
      </w:r>
    </w:p>
    <w:p>
      <w:pPr>
        <w:spacing w:after="0" w:line="53" w:lineRule="exact"/>
        <w:rPr>
          <w:rFonts w:ascii="Times New Roman" w:cs="Times New Roman" w:eastAsia="Times New Roman" w:hAnsi="Times New Roman"/>
          <w:sz w:val="18"/>
          <w:szCs w:val="18"/>
          <w:color w:val="auto"/>
        </w:rPr>
      </w:pPr>
    </w:p>
    <w:p>
      <w:pPr>
        <w:ind w:right="300" w:firstLine="419"/>
        <w:spacing w:after="0" w:line="282" w:lineRule="auto"/>
        <w:tabs>
          <w:tab w:leader="none" w:pos="6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which action or failure to act is reasonably likely to cause the Acquiror to fail to qualify or not be subject to tax as a RIC;</w:t>
      </w:r>
    </w:p>
    <w:p>
      <w:pPr>
        <w:spacing w:after="0" w:line="53" w:lineRule="exact"/>
        <w:rPr>
          <w:rFonts w:ascii="Times New Roman" w:cs="Times New Roman" w:eastAsia="Times New Roman" w:hAnsi="Times New Roman"/>
          <w:sz w:val="18"/>
          <w:szCs w:val="18"/>
          <w:color w:val="auto"/>
        </w:rPr>
      </w:pPr>
    </w:p>
    <w:p>
      <w:pPr>
        <w:jc w:val="both"/>
        <w:ind w:right="460" w:firstLine="419"/>
        <w:spacing w:after="0" w:line="266" w:lineRule="auto"/>
        <w:tabs>
          <w:tab w:leader="none" w:pos="63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(it being understood that this prohibition does not apply to any portfolio companies in which the Acquiror or any of its Consolidated Subsidiaries has made a debt or equity investment that is, would or should be reflected in the Acquiror’s schedule of investments included in its quarterly or annual periodic reports that are filed with the SEC);</w:t>
      </w:r>
    </w:p>
    <w:p>
      <w:pPr>
        <w:spacing w:after="0" w:line="67" w:lineRule="exact"/>
        <w:rPr>
          <w:rFonts w:ascii="Times New Roman" w:cs="Times New Roman" w:eastAsia="Times New Roman" w:hAnsi="Times New Roman"/>
          <w:sz w:val="18"/>
          <w:szCs w:val="18"/>
          <w:color w:val="auto"/>
        </w:rPr>
      </w:pPr>
    </w:p>
    <w:p>
      <w:pPr>
        <w:ind w:right="460" w:firstLine="419"/>
        <w:spacing w:after="0" w:line="266" w:lineRule="auto"/>
        <w:tabs>
          <w:tab w:leader="none" w:pos="7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the ordinary course of business consistent with past practice and the Acquiror’s investment objectives and policies as publicly disclosed, or, except as permitted by </w:t>
      </w:r>
      <w:r>
        <w:rPr>
          <w:rFonts w:ascii="Times New Roman" w:cs="Times New Roman" w:eastAsia="Times New Roman" w:hAnsi="Times New Roman"/>
          <w:sz w:val="18"/>
          <w:szCs w:val="18"/>
          <w:u w:val="single" w:color="auto"/>
          <w:color w:val="auto"/>
        </w:rPr>
        <w:t>Section 6.3(h)</w:t>
      </w:r>
      <w:r>
        <w:rPr>
          <w:rFonts w:ascii="Times New Roman" w:cs="Times New Roman" w:eastAsia="Times New Roman" w:hAnsi="Times New Roman"/>
          <w:sz w:val="18"/>
          <w:szCs w:val="18"/>
          <w:color w:val="auto"/>
        </w:rPr>
        <w:t>, enter into any Contract that would otherwise constitute an Acquiror Material Contract had it been entered into prior to the date of this Agreement;</w:t>
      </w:r>
    </w:p>
    <w:p>
      <w:pPr>
        <w:spacing w:after="0" w:line="67" w:lineRule="exact"/>
        <w:rPr>
          <w:rFonts w:ascii="Times New Roman" w:cs="Times New Roman" w:eastAsia="Times New Roman" w:hAnsi="Times New Roman"/>
          <w:sz w:val="18"/>
          <w:szCs w:val="18"/>
          <w:color w:val="auto"/>
        </w:rPr>
      </w:pPr>
    </w:p>
    <w:p>
      <w:pPr>
        <w:ind w:right="300" w:firstLine="419"/>
        <w:spacing w:after="0" w:line="266" w:lineRule="auto"/>
        <w:tabs>
          <w:tab w:leader="none" w:pos="6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and the Acquiror’s investment objectives and policies as publicly disclosed, terminate, cancel, renew or agree to any material amendment of, change in or waiver under any Acquiror Material Contract (other than any Acquiror Material Contract related to Permitted Indebtedness);</w:t>
      </w:r>
    </w:p>
    <w:p>
      <w:pPr>
        <w:spacing w:after="0" w:line="67" w:lineRule="exact"/>
        <w:rPr>
          <w:rFonts w:ascii="Times New Roman" w:cs="Times New Roman" w:eastAsia="Times New Roman" w:hAnsi="Times New Roman"/>
          <w:sz w:val="18"/>
          <w:szCs w:val="18"/>
          <w:color w:val="auto"/>
        </w:rPr>
      </w:pPr>
    </w:p>
    <w:p>
      <w:pPr>
        <w:ind w:right="40" w:firstLine="419"/>
        <w:spacing w:after="0" w:line="258" w:lineRule="auto"/>
        <w:tabs>
          <w:tab w:leader="none" w:pos="6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Proceeding against it, except for Proceedings that (i) are settled in the ordinary course of business consistent with past practice and the Acquiror’s investment objectives and policies as publicly disclosed, in an amount not in excess of $1,250,000 in the aggregate (after reduction by any insurance proceeds actually received); (ii) would not impose any material restriction on the conduct of business of it or any of its Consolidated Subsidiaries or, after the Effective Time, the Surviving Company or any of its Consolidated Subsidiaries and (iii) would not admit liability, guilt or fault;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60"/>
          </w:cols>
          <w:pgMar w:left="880" w:top="270" w:right="459" w:bottom="1440" w:gutter="0" w:footer="0" w:header="0"/>
        </w:sectPr>
      </w:pPr>
    </w:p>
    <w:bookmarkStart w:id="57" w:name="page58"/>
    <w:bookmarkEnd w:id="57"/>
    <w:p>
      <w:pPr>
        <w:ind w:right="260" w:firstLine="419"/>
        <w:spacing w:after="0" w:line="261" w:lineRule="auto"/>
        <w:tabs>
          <w:tab w:leader="none" w:pos="6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expressly contemplated by this Agreement, merge or consolidate the Acquiror or any of its Consolidated Subsidiaries with any Person or enter into any other similar extraordinary corporate transaction, or adopt, recommend, propose or announce an intention to adopt a plan of complete or partial liquidation, dissolution, restructuring, recapitalization or other reorganization of the Acquiror or any of its Consolidated Subsidiaries;</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agree to acquire, any Company Common Stock (other than pursuant to the Merger); or</w:t>
      </w:r>
    </w:p>
    <w:p>
      <w:pPr>
        <w:spacing w:after="0" w:line="117" w:lineRule="exact"/>
        <w:rPr>
          <w:rFonts w:ascii="Times New Roman" w:cs="Times New Roman" w:eastAsia="Times New Roman" w:hAnsi="Times New Roman"/>
          <w:sz w:val="18"/>
          <w:szCs w:val="18"/>
          <w:color w:val="auto"/>
        </w:rPr>
      </w:pPr>
    </w:p>
    <w:p>
      <w:pPr>
        <w:ind w:right="20" w:firstLine="419"/>
        <w:spacing w:after="0" w:line="282" w:lineRule="auto"/>
        <w:tabs>
          <w:tab w:leader="none" w:pos="64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make any commitment to take, or adopt any resolutions of the Acquiror Board authorizing, any of the actions prohibited by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2" w:lineRule="auto"/>
        <w:tabs>
          <w:tab w:leader="none" w:pos="66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right of the Company to take any action that constitutes a Company Adverse Recommendation Change as expressly permitted pursuant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and the right of the Acquiror to take any action that constitutes an Acquiror Adverse Recommendation Change as expressly permitted pursuant to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the parties shall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to obtain as promptly as practicable all Permits of all Governmental Entities and all Permits, consents, approvals, confirmations and authorizations of all third parties, in each case, that are necessary or advisable, to consummate the Transactions (including the Mergers) in the most expeditious manner practicable, and to comply with the terms and conditions of all such Permits, consents, approvals, confirmations and authorizations of all such third parties and Governmental Entities. In furtherance (but not in limitation) of the foregoing, each of the Acquiror and the Company shall as promptly as practicable file any required applications, notices or other filings under the HSR Act. Subject to applicable Law, the Company and the Acquiror shall have the right to review in advance, and, to the extent practicable, each shall consult the other on all the information relating to the Company or the Acquiror, as the case may be, and any of their respective Consolidated Subsidiaries, that appear in any filing made with, or written materials submitted to, any third-party or any Governmental Entity in connection with the Transactions. In exercising the foregoing right, each of the parties shall act reasonably and as promptly as practicable. The parties shall consult with each other with respect to the obtaining of all Permits, consents, approvals and authorizations of all third parties and Permits of all Governmental Entities necessary or advisable to consummate the Transactions and each party will keep the other reasonably apprised of the status of matters relating to completion of the Transactions. The Acquiror and the Company shall each, in connection with the efforts referenced in this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to obtain all requisite Permits for the Transactions under the HSR Act, use its reasonable best efforts to (i)</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560"/>
          </w:cols>
          <w:pgMar w:left="880" w:top="270" w:right="459" w:bottom="1440" w:gutter="0" w:footer="0" w:header="0"/>
        </w:sectPr>
      </w:pPr>
    </w:p>
    <w:bookmarkStart w:id="58" w:name="page59"/>
    <w:bookmarkEnd w:id="5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cooperate in all respects with each other in connection with any filing or submission and in connection with any investigation or other inquiry;</w:t>
      </w:r>
    </w:p>
    <w:p>
      <w:pPr>
        <w:spacing w:after="0" w:line="27" w:lineRule="exact"/>
        <w:rPr>
          <w:sz w:val="20"/>
          <w:szCs w:val="20"/>
          <w:color w:val="auto"/>
        </w:rPr>
      </w:pPr>
    </w:p>
    <w:p>
      <w:pPr>
        <w:ind w:left="4" w:right="240" w:hanging="4"/>
        <w:spacing w:after="0" w:line="252" w:lineRule="auto"/>
        <w:tabs>
          <w:tab w:leader="none" w:pos="2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other party informed of any communication received by such party from, or given by such party to, the Federal Trade Commission (the “</w:t>
      </w:r>
      <w:r>
        <w:rPr>
          <w:rFonts w:ascii="Times New Roman" w:cs="Times New Roman" w:eastAsia="Times New Roman" w:hAnsi="Times New Roman"/>
          <w:sz w:val="18"/>
          <w:szCs w:val="18"/>
          <w:u w:val="single" w:color="auto"/>
          <w:color w:val="auto"/>
        </w:rPr>
        <w:t>FTC</w:t>
      </w:r>
      <w:r>
        <w:rPr>
          <w:rFonts w:ascii="Times New Roman" w:cs="Times New Roman" w:eastAsia="Times New Roman" w:hAnsi="Times New Roman"/>
          <w:sz w:val="18"/>
          <w:szCs w:val="18"/>
          <w:color w:val="auto"/>
        </w:rPr>
        <w:t>”), the Antitrust Division of the Department of Justice (the “</w:t>
      </w:r>
      <w:r>
        <w:rPr>
          <w:rFonts w:ascii="Times New Roman" w:cs="Times New Roman" w:eastAsia="Times New Roman" w:hAnsi="Times New Roman"/>
          <w:sz w:val="18"/>
          <w:szCs w:val="18"/>
          <w:u w:val="single" w:color="auto"/>
          <w:color w:val="auto"/>
        </w:rPr>
        <w:t>DOJ</w:t>
      </w:r>
      <w:r>
        <w:rPr>
          <w:rFonts w:ascii="Times New Roman" w:cs="Times New Roman" w:eastAsia="Times New Roman" w:hAnsi="Times New Roman"/>
          <w:sz w:val="18"/>
          <w:szCs w:val="18"/>
          <w:color w:val="auto"/>
        </w:rPr>
        <w:t>”), or any other Governmental Entity and (iii) subject to applicable Law, permit the other party to review, in advance, any written communication given by it to, or received from, and consult with each other in advance of any meeting or conference with, the FTC, the DOJ, or any other Governmental Entity, and to the extent permitted by the FTC, the DOJ, or other applicable Governmental Entity, give the other party the opportunity to attend and participate in such meetings and conferences subject to applicable Law.</w:t>
      </w:r>
    </w:p>
    <w:p>
      <w:pPr>
        <w:spacing w:after="0" w:line="81"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68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Acquiror shall cooperate with each other and use reasonable best efforts to take, or cause to be taken, in good faith, all actions, and to do, or cause to be done, all things necessary to obtain any consents, approvals, confirmations and authorizations required pursuant to the terms of the Company Indebtedness to consummate the Transactions (including the Merger).</w:t>
      </w:r>
    </w:p>
    <w:p>
      <w:pPr>
        <w:spacing w:after="0" w:line="67" w:lineRule="exact"/>
        <w:rPr>
          <w:rFonts w:ascii="Times New Roman" w:cs="Times New Roman" w:eastAsia="Times New Roman" w:hAnsi="Times New Roman"/>
          <w:sz w:val="18"/>
          <w:szCs w:val="18"/>
          <w:color w:val="auto"/>
        </w:rPr>
      </w:pPr>
    </w:p>
    <w:p>
      <w:pPr>
        <w:ind w:left="4" w:right="600" w:firstLine="419"/>
        <w:spacing w:after="0" w:line="261" w:lineRule="auto"/>
        <w:tabs>
          <w:tab w:leader="none" w:pos="67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nothing in this Agreement shall require either the Acquiror and its Consolidated Subsidiaries, on the one hand, or the Company and its Consolidated Subsidiaries, on the other hand, to make payments or provide other consideration for the repayment, restructuring or amendment of terms of Indebtedness in connection with the Transactions (including the Mergers), other than any consent fees that were Previously Disclosed.</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19"/>
        <w:spacing w:after="0" w:line="254" w:lineRule="auto"/>
        <w:tabs>
          <w:tab w:leader="none" w:pos="67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and the Company shall as promptly as practicable following the date of this Agreement (and in any event no later than forty-five (45) calendar days following the date of this Agreement) jointly prepare and file (or cause to be filed) with the SEC the Joint Proxy Statement/Prospectus relating to the Company Stockholders Meeting and the Acquiror Stockholders Meeting and the Registration Statement, each of which shall comply as to form in all material respects with the applicable requirements of the Securities Act, the Exchange Act and the rules of the SEC and NASDAQ. The Acquiror shall use its reasonable best efforts to have the Registration Statement declared effective under the Securities Act and applicable state Law as promptly as practicable after such filing and to keep the Registration Statement effective as long as necessary to consummate the Mergers. The Company and the Acquiror shall use reasonable best efforts to cause the Joint Proxy Statement/Prospectus to be cleared by the SEC as promptly as practicable after its filing.</w:t>
      </w:r>
    </w:p>
    <w:p>
      <w:pPr>
        <w:spacing w:after="0" w:line="83" w:lineRule="exact"/>
        <w:rPr>
          <w:rFonts w:ascii="Times New Roman" w:cs="Times New Roman" w:eastAsia="Times New Roman" w:hAnsi="Times New Roman"/>
          <w:sz w:val="18"/>
          <w:szCs w:val="18"/>
          <w:color w:val="auto"/>
        </w:rPr>
      </w:pPr>
    </w:p>
    <w:p>
      <w:pPr>
        <w:ind w:left="4" w:firstLine="419"/>
        <w:spacing w:after="0" w:line="258" w:lineRule="auto"/>
        <w:tabs>
          <w:tab w:leader="none" w:pos="68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Acquiror and the Company shall cooperate with the other in the preparation and filing of the Registration Statement and shall furnish to the other all information reasonably requested as may be reasonably necessary or advisable in connection with the preparation and filing of the Registration Statement and/or the Joint Proxy Statement/Prospectus and any amendments or supplements thereto or any other filing or application made by or on behalf of the Acquiror, the Company or any of their respective Consolidated Subsidiaries to any Governmental Entity in connection with the</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64"/>
          </w:cols>
          <w:pgMar w:left="876" w:top="270" w:right="459" w:bottom="1440" w:gutter="0" w:footer="0" w:header="0"/>
        </w:sectPr>
      </w:pPr>
    </w:p>
    <w:bookmarkStart w:id="59" w:name="page60"/>
    <w:bookmarkEnd w:id="59"/>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 and the other Transactions. Prior to the Effective Time, each party hereto shall promptly (i) notify the other party (X) upon becoming aware of any event or circumstance that is required to be described in an amendment to the Registration Statement or in a supplement to the Joint Proxy Statement/Prospectus and (Y) after the receipt by it of any comments of the SEC (or the staff of the SEC) with respect to the Joint Proxy Statement/Prospectus or the Registration Statement or any request from the SEC (or the staff of the SEC) for amendments or supplements to the Registration Statement and/or the Joint Proxy Statement/Prospectus and (ii) provide the other party with copies of all written correspondence and/or notice of oral communications between it and the SEC (or the staff of the SEC). Each of the Acquiror and the Company shall use its reasonable best efforts to respond as promptly as reasonably practicable to any comments of the SEC (or the staff of the SEC) with respect to the Joint Proxy Statement/Prospectus or the Registration Statement.</w:t>
      </w:r>
    </w:p>
    <w:p>
      <w:pPr>
        <w:spacing w:after="0" w:line="84" w:lineRule="exact"/>
        <w:rPr>
          <w:sz w:val="20"/>
          <w:szCs w:val="20"/>
          <w:color w:val="auto"/>
        </w:rPr>
      </w:pPr>
    </w:p>
    <w:p>
      <w:pPr>
        <w:ind w:firstLine="419"/>
        <w:spacing w:after="0" w:line="252" w:lineRule="auto"/>
        <w:tabs>
          <w:tab w:leader="none" w:pos="6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filing the Registration Statement or the Joint Proxy Statement/Prospectus or responding to any comments of the SEC with respect thereto, each of the Company and the Acquiror shall provide the other party and its counsel a reasonable opportunity to review such document or response (including the proposed final version of such document or response) and consider in good faith the comments of the other party in connection with any such document or response. None of the Company, the Acquiror or their respective Representatives shall agree to participate in any material or substantive meeting or conference (including by telephone) with the SEC, or any member of the staff thereof, in respect of the Registration Statement or the Joint Proxy Statement/Prospectus unless it takes commercially reasonable measures to consult with the other party in advance,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Person from communicating with the SEC in any telephone call made to such Person by a member of the staff of the SEC of which such Person had not been expressly informed by a member of the staff of the SEC would be forthcoming reasonably prior to such call. The Acquiror shall advise the Company, promptly after receipt of notice thereof, of the time of effectiveness of the Registration Statement, and the issuance of any stop order relating thereto or the suspension of the qualification of shares thereunder for offering or sale in any jurisdiction, and each of the Company and the Acquiror shall use its reasonable best efforts to have any such stop order or suspension lifted, reversed or otherwise terminated. Each of the Company and the Acquiror shall use its reasonable best efforts to take any other action required to be taken by it under the Securities Act, the Exchange Act, the laws of the State of Delaware or the State of Maryland (as applicable) and the rules of NASDAQ in connection with the filing and distribution of the Joint Proxy Statement/Prospectus and the Registration Statement, and the solicitation of proxies from the stockholders of the Company and the Acquiror thereunder.</w:t>
      </w:r>
    </w:p>
    <w:p>
      <w:pPr>
        <w:spacing w:after="0" w:line="87"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the Acquiror or the Company determines that it is required to file any document other than the Registration Statement with the SEC in connection with the Mergers pursuant to applicable Law, then each of the Acquiror and the Company shall jointly use their reasonable best efforts to promptly prepare and file such filing with the SEC, which shall comply as to form in all material respects with the applicable requirements of the Securities Act and the rules of the SEC and NASDAQ.</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560"/>
          </w:cols>
          <w:pgMar w:left="880" w:top="270" w:right="459" w:bottom="1440" w:gutter="0" w:footer="0" w:header="0"/>
        </w:sectPr>
      </w:pPr>
    </w:p>
    <w:bookmarkStart w:id="60" w:name="page61"/>
    <w:bookmarkEnd w:id="60"/>
    <w:p>
      <w:pPr>
        <w:ind w:left="4" w:right="280" w:firstLine="419"/>
        <w:spacing w:after="0" w:line="261" w:lineRule="auto"/>
        <w:tabs>
          <w:tab w:leader="none" w:pos="6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applicable Law, each of the Acquiror and the Company shall promptly advise the other upon receiving any communication from any Governmental Entity, the consent or approval of which is required for consummation of the Transactions, that causes such party to believe that there is a reasonable likelihood that any Regulatory Approval will not be obtained or that the receipt of any such approval may be materially delayed or conditioned.</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19"/>
        <w:spacing w:after="0" w:line="251" w:lineRule="auto"/>
        <w:tabs>
          <w:tab w:leader="none" w:pos="67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Company Board, including all of the Company Continuing Directors (on the recommendation of the Company Special Committee), has unanimously (i) determined that (A) this Agreement and the terms of the Merger and the related Transactions are advisable and in the best interests of the Company and (B) the interests of the Company’s existing stockholders will not be diluted as a result of the Transactions, (ii) approved, adopted and declared advisable this Agreement and the Transactions (including the Merger and other Company Matters), (iii) directed that the approval of the Company Matters be submitted to the Company’s stockholders at the Company Stockholders Meeting and (iv) resolved to recommend that the stockholders of the Company approve the Company Matters, including the Merger. Unless this Agreement is otherwise terminated in accordance with the terms hereof, the Company shall submit to its stockholders the Company Matters on the terms and conditions set forth in this Agreement and any other matters required to be approved or adopted by its stockholders in order to carry out the Transactions. In furtherance of that obligation, the Company shall take, in accordance with applicable Law and the Company Charter and the Company Bylaws, all actions necessary to (w) establish a record date for the Company Stockholders Meeting, which record date shall be prior to the date of effectiveness of the Registration Statement, and commence a broker search pursuant to Section 14a-13 of the Exchange Act in respect thereof at least twenty (20) Business Days prior thereto, (x) duly call and give notice of the Company Stockholders Meeting to consider and vote upon the proposal to approve the Company Matters, including the Merger, on the terms and conditions set forth in this Agreement, as well as any other such matters in connection with the Transactions, (y) take such actions to coordinate with the other parties hereto to cause the Joint Proxy Statement/Prospectus (and all other proxy materials) to be mailed to its stockholders as of the record date and</w:t>
      </w:r>
    </w:p>
    <w:p>
      <w:pPr>
        <w:spacing w:after="0" w:line="11" w:lineRule="exact"/>
        <w:rPr>
          <w:rFonts w:ascii="Times New Roman" w:cs="Times New Roman" w:eastAsia="Times New Roman" w:hAnsi="Times New Roman"/>
          <w:sz w:val="18"/>
          <w:szCs w:val="18"/>
          <w:color w:val="auto"/>
        </w:rPr>
      </w:pPr>
    </w:p>
    <w:p>
      <w:pPr>
        <w:ind w:left="4" w:right="120" w:hanging="4"/>
        <w:spacing w:after="0" w:line="251" w:lineRule="auto"/>
        <w:tabs>
          <w:tab w:leader="none" w:pos="24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duly convene and hold the Company Stockholders Meeting as promptly as practicable after the initiation of mailing of the Registration Statement to the Company’s stockholders (but in no event later than forty (40) Business Days following the date of initiation of mailing of the Registration Statement to the Company’s stockholders (which deadline shall not, for the avoidance of doubt, apply to any adjournments of the Company Stockholders Meeting)), to consider and vote upon the proposal to approve the Company Matters, including the Merger, on the terms and conditions set forth in this Agreement as well as any other such matters. In no event will the record date of the Company Stockholders Meeting be changed without the Acquiror Special Committee’s prior written consent, unless required by applicable Law. The Company shall use reasonable best efforts to obtain from the Company’s stockholders the Company Requisite Vote to approve the Company Matters, on the terms and conditions set forth in this Agreement, including, subject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by providing to the Company’s stockholders the recommendation of the Company Board</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64"/>
          </w:cols>
          <w:pgMar w:left="876" w:top="270" w:right="459" w:bottom="1440" w:gutter="0" w:footer="0" w:header="0"/>
        </w:sectPr>
      </w:pPr>
    </w:p>
    <w:bookmarkStart w:id="61" w:name="page62"/>
    <w:bookmarkEnd w:id="61"/>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Company Special Committee that the stockholders of the Company approve the Company Matters (the “</w:t>
      </w:r>
      <w:r>
        <w:rPr>
          <w:rFonts w:ascii="Times New Roman" w:cs="Times New Roman" w:eastAsia="Times New Roman" w:hAnsi="Times New Roman"/>
          <w:sz w:val="17"/>
          <w:szCs w:val="17"/>
          <w:u w:val="single" w:color="auto"/>
          <w:color w:val="auto"/>
        </w:rPr>
        <w:t>Company Recommendation</w:t>
      </w:r>
      <w:r>
        <w:rPr>
          <w:rFonts w:ascii="Times New Roman" w:cs="Times New Roman" w:eastAsia="Times New Roman" w:hAnsi="Times New Roman"/>
          <w:sz w:val="17"/>
          <w:szCs w:val="17"/>
          <w:color w:val="auto"/>
        </w:rPr>
        <w:t xml:space="preserve">”) and including the Company Recommendation in the Joint Proxy Statement/Prospectus and by, at the request of the Acquiror, postponing or adjourning the Company Stockholders Meeting to allow reasonable time to obtain a quorum or solicit additional proxies or if required by applicable Law, order or a request from the SEC or its staff;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postpone or adjourn the Company Stockholders Meeting for any other reason without the prior written consent of the Acquiror (which prior written consent shall not be unreasonably delayed, conditioned or withheld), and provided further that in no event shall the Company Stockholders Meeting be postponed or adjourned to a date that is later than six</w:t>
      </w:r>
    </w:p>
    <w:p>
      <w:pPr>
        <w:spacing w:after="0" w:line="5" w:lineRule="exact"/>
        <w:rPr>
          <w:sz w:val="20"/>
          <w:szCs w:val="20"/>
          <w:color w:val="auto"/>
        </w:rPr>
      </w:pPr>
    </w:p>
    <w:p>
      <w:pPr>
        <w:ind w:left="4" w:right="260" w:hanging="4"/>
        <w:spacing w:after="0" w:line="252" w:lineRule="auto"/>
        <w:tabs>
          <w:tab w:leader="none" w:pos="25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prior to the Outside Date. Notwithstanding any Company Adverse Recommendation Change, unless this Agreement is terminated in accordance with its terms, the obligations of the Company pursuant to this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(including its obligation to submit to its stockholders the Company Matters and any other matters required to be approved or adopted by its stockholders in order to carry out the Transactions) shall continue in full force and effect and such obligations shall not be affected by the commencement, public proposal, public disclosure or communication to the Company, its Representatives or its stockholders of any Takeover Proposal (whether or not a Company Superior Proposal).</w:t>
      </w:r>
    </w:p>
    <w:p>
      <w:pPr>
        <w:spacing w:after="0" w:line="81"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Acquiror Board (on the recommendation of the Acquiror Special Committee) has unanimously</w:t>
      </w:r>
    </w:p>
    <w:p>
      <w:pPr>
        <w:spacing w:after="0" w:line="27" w:lineRule="exact"/>
        <w:rPr>
          <w:rFonts w:ascii="Times New Roman" w:cs="Times New Roman" w:eastAsia="Times New Roman" w:hAnsi="Times New Roman"/>
          <w:sz w:val="18"/>
          <w:szCs w:val="18"/>
          <w:color w:val="auto"/>
        </w:rPr>
      </w:pPr>
    </w:p>
    <w:p>
      <w:pPr>
        <w:ind w:left="4" w:right="4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determined that (A) this Agreement and the terms of the Mergers and the related Transactions are advisable and in the best interests of the Acquiror and its stockholders and (B) the interests of the Acquiror’s existing stockholders will not be diluted as a result of the Transactions,</w:t>
      </w:r>
    </w:p>
    <w:p>
      <w:pPr>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approved, adopted and declared advisable this Agreement and the Transactions (including the Merger and the Acquiror Matters), (iii) directed that the approval of the Acquiror Matters be submitted to the Acquiror’s stockholders at the Acquiror Stockholders Meeting and (iv) resolved to recommend that the stockholders of the Acquiror approve the Acquiror Matters. Unless this Agreement is otherwise terminated in accordance with the terms hereof, the Acquiror shall submit to its stockholders the Acquiror Matters on the terms and conditions set forth in this Agreement and any other matters required to be approved or adopted by its stockholders in order to carry out the Transactions. In furtherance of that obligation, the Acquiror shall take, in accordance with applicable Law and the Acquiror Charter and the Acquiror Bylaws, all actions necessary to</w:t>
      </w:r>
    </w:p>
    <w:p>
      <w:pPr>
        <w:spacing w:after="0" w:line="2" w:lineRule="exact"/>
        <w:rPr>
          <w:rFonts w:ascii="Times New Roman" w:cs="Times New Roman" w:eastAsia="Times New Roman" w:hAnsi="Times New Roman"/>
          <w:sz w:val="18"/>
          <w:szCs w:val="18"/>
          <w:color w:val="auto"/>
        </w:rPr>
      </w:pPr>
    </w:p>
    <w:p>
      <w:pPr>
        <w:ind w:left="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 establish a record date for the Acquiror Stockholders Meeting, which record date shall be prior to the date of effectiveness of the Registration Statement, and commence a broker search pursuant to Section 14a-13 of the Exchange Act in respect thereof at least twenty (20) Business Days prior thereto, (x) duly call and give notice of the Acquiror Stockholders Meeting to consider and vote upon the proposal to approve the Acquiror Matters on the terms and conditions set forth in this Agreement as well as any other such matters, (y) take such actions to coordinate with the other parties hereto to cause the Joint Proxy Statement/Prospectus (and all other proxy materials) to be mailed to its stockholders as of the record date and (z) duly convene and hold the Acquiror Stockholders Meeting as promptly as practicable after the initiation of mailing of the Registration Statement to the Acquiror’s stockholders (but in no event later than forty (40) Business Days following the date of initiation of mailing of the Registration</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64"/>
          </w:cols>
          <w:pgMar w:left="876" w:top="270" w:right="459" w:bottom="1440" w:gutter="0" w:footer="0" w:header="0"/>
        </w:sectPr>
      </w:pPr>
    </w:p>
    <w:bookmarkStart w:id="62" w:name="page63"/>
    <w:bookmarkEnd w:id="6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Statement to the Acquiror’s stockholders (which deadline shall not, for the avoidance of doubt, apply to any adjournments of the Acquiror Stockholders Meeting)), to consider and vote upon the proposal to approve the Acquiror Matters, on the terms and conditions set forth in this Agreement as well as any other such matters. In no event will the record date of the Acquiror Stockholders Meeting be changed without the Company Special Committee’s prior written consent, unless required by applicable Law. The Acquiror shall use reasonable best efforts to obtain from the Acquiror’s stockholders the Acquiror Requisite Vote to approve the Acquiror Matters, on the terms and conditions set forth in this Agreement, including, subject to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by providing to the Acquiror’s stockholders the recommendation of the Acquiror Board and the Acquiror Special Committee that the stockholders of the Acquiror approve the Acquiror Matters (the “</w:t>
      </w:r>
      <w:r>
        <w:rPr>
          <w:rFonts w:ascii="Times New Roman" w:cs="Times New Roman" w:eastAsia="Times New Roman" w:hAnsi="Times New Roman"/>
          <w:sz w:val="18"/>
          <w:szCs w:val="18"/>
          <w:u w:val="single" w:color="auto"/>
          <w:color w:val="auto"/>
        </w:rPr>
        <w:t>Acquiror Recommendation</w:t>
      </w:r>
      <w:r>
        <w:rPr>
          <w:rFonts w:ascii="Times New Roman" w:cs="Times New Roman" w:eastAsia="Times New Roman" w:hAnsi="Times New Roman"/>
          <w:sz w:val="18"/>
          <w:szCs w:val="18"/>
          <w:color w:val="auto"/>
        </w:rPr>
        <w:t xml:space="preserve">”) and including the Acquiror Recommendation in the Joint Proxy Statement/Prospectus and by, at the request of the Company, postponing or adjourning the Acquiror Stockholders Meeting to allow reasonable time to obtain a quorum or solicit additional proxies or if required by applicable Law, order or a request from the SEC or its staff;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Acquiror shall not postpone or adjourn the Acquiror Stockholders Meeting for any other reason without the prior written consent of the Company Special Committee (which prior written consent shall not be unreasonably delayed, conditioned or withheld), and provided further that in no event shall the Acquiror Stockholders Meeting be postponed or adjourned to a date that is later than six (6) Business Days prior to the Outside Date. Notwithstanding any Acquiror Adverse Recommendation Change, unless this Agreement is terminated in accordance with its terms, the obligations of the Acquiror pursuant to this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(including its obligation to submit to its stockholders the Acquiror Matters and any other matters required to be approved or adopted by its stockholders in order to carry out the Transactions) shall continue in full force and effect and such obligations shall not be affected by the commencement, public proposal, public disclosure or communication to the Acquiror, its Representatives or its stockholders of any Takeover Proposal (whether or not an Acquiror Superior Proposal).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19"/>
        <w:spacing w:after="0" w:line="254" w:lineRule="auto"/>
        <w:tabs>
          <w:tab w:leader="none" w:pos="66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Time, the Acquiror shall, to the fullest extent permitted under applicable Law, indemnify, defend and hold harmless and advance expenses to the present and former directors and officers of the Company or any of its Consolidated Subsidiaries (in each case, when acting in such capacity)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against all costs or expenses (including, but not limited to, reasonable attorneys’ fees actually incurred, reasonable experts’ fees, reasonable travel expenses, court costs, transcript fees and telecommunications, postage and courier charges), judgments, fines, losses, claims, damages, penalties, amounts paid in settlement or other liabilities (collectively,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incurred in connection with any Proceeding arising out of actions or omissions occurring at or prior to the Effective Time (including the Transactions). In the event of any such Indemnified Liabilities, (i) the Acquiror shall advance to such Indemnified Party, upon request, reimbursement of documented expenses reasonably and actually incurred to the fullest extent permitted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Person to whom expenses are advanced, or someone on his or her</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560"/>
          </w:cols>
          <w:pgMar w:left="880" w:top="270" w:right="459" w:bottom="1440" w:gutter="0" w:footer="0" w:header="0"/>
        </w:sectPr>
      </w:pPr>
    </w:p>
    <w:bookmarkStart w:id="63" w:name="page64"/>
    <w:bookmarkEnd w:id="63"/>
    <w:p>
      <w:pPr>
        <w:ind w:left="4" w:right="3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behalf, provides an undertaking to repay such advances if it is ultimately determined that such Person is not entitled to indemnification and complies with other applicable provisions imposed under the Investment Company Act and interpretations thereof by the SEC or its staff) and</w:t>
      </w:r>
    </w:p>
    <w:p>
      <w:pPr>
        <w:spacing w:after="0" w:line="1" w:lineRule="exact"/>
        <w:rPr>
          <w:sz w:val="20"/>
          <w:szCs w:val="20"/>
          <w:color w:val="auto"/>
        </w:rPr>
      </w:pPr>
    </w:p>
    <w:p>
      <w:pPr>
        <w:ind w:left="264" w:hanging="264"/>
        <w:spacing w:after="0"/>
        <w:tabs>
          <w:tab w:leader="none" w:pos="2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Acquiror and the applicable Indemnified Parties shall cooperate in the defense of such matter.</w:t>
      </w:r>
    </w:p>
    <w:p>
      <w:pPr>
        <w:spacing w:after="0" w:line="98"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8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shall, at the cost of the Company, purchase prepaid, non-cancelable directors’ and officers’ liability, employment practices liability and fiduciary liability “tail” insurance with a reporting period no less than six (6) years from the Closing, covering each Indemnified Party and any other natural persons who are covered by the directors’ and officers’ liability, employment practices liability and fiduciary liability insurance maintained by the Company and the Consolidated Subsidiaries in effect as of the Closing (such persons “</w:t>
      </w:r>
      <w:r>
        <w:rPr>
          <w:rFonts w:ascii="Times New Roman" w:cs="Times New Roman" w:eastAsia="Times New Roman" w:hAnsi="Times New Roman"/>
          <w:sz w:val="18"/>
          <w:szCs w:val="18"/>
          <w:u w:val="single" w:color="auto"/>
          <w:color w:val="auto"/>
        </w:rPr>
        <w:t>Insured Persons</w:t>
      </w:r>
      <w:r>
        <w:rPr>
          <w:rFonts w:ascii="Times New Roman" w:cs="Times New Roman" w:eastAsia="Times New Roman" w:hAnsi="Times New Roman"/>
          <w:sz w:val="18"/>
          <w:szCs w:val="18"/>
          <w:color w:val="auto"/>
        </w:rPr>
        <w:t>” and such insurance “</w:t>
      </w:r>
      <w:r>
        <w:rPr>
          <w:rFonts w:ascii="Times New Roman" w:cs="Times New Roman" w:eastAsia="Times New Roman" w:hAnsi="Times New Roman"/>
          <w:sz w:val="18"/>
          <w:szCs w:val="18"/>
          <w:u w:val="single" w:color="auto"/>
          <w:color w:val="auto"/>
        </w:rPr>
        <w:t>Current Insurance</w:t>
      </w:r>
      <w:r>
        <w:rPr>
          <w:rFonts w:ascii="Times New Roman" w:cs="Times New Roman" w:eastAsia="Times New Roman" w:hAnsi="Times New Roman"/>
          <w:sz w:val="18"/>
          <w:szCs w:val="18"/>
          <w:color w:val="auto"/>
        </w:rPr>
        <w:t>”) in respect of actions, omissions, circumstances, events or other matters occurring at or prior to the Closing (including with respect to actions, omissions, circumstances, events or other matters occurring in connection with this Agreement and the transactions contemplated hereby) on terms and conditions, including limits and retentions, no less favorable to the Insured Persons than the Current Insurance. The Acquiror shall, and shall cause the Company to, maintain such “tail” insurance in full force and effect from and after the Closing and shall not, and shall cause the Company not to, amend the terms and conditions of such “tail” insurance in any manner.</w:t>
      </w:r>
    </w:p>
    <w:p>
      <w:pPr>
        <w:spacing w:after="0" w:line="86" w:lineRule="exact"/>
        <w:rPr>
          <w:rFonts w:ascii="Times New Roman" w:cs="Times New Roman" w:eastAsia="Times New Roman" w:hAnsi="Times New Roman"/>
          <w:sz w:val="18"/>
          <w:szCs w:val="18"/>
          <w:color w:val="auto"/>
        </w:rPr>
      </w:pPr>
    </w:p>
    <w:p>
      <w:pPr>
        <w:ind w:left="4" w:right="80" w:firstLine="419"/>
        <w:spacing w:after="0" w:line="266" w:lineRule="auto"/>
        <w:tabs>
          <w:tab w:leader="none" w:pos="67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Indemnified Party wishing to claim indemnification under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upon learning of any Proceeding described above, shall promptly notify the Acquiror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so notify shall not affect the obligations of the Acquiror under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 xml:space="preserve"> unless the Acquiror is materially prejudiced as a consequence.</w:t>
      </w:r>
    </w:p>
    <w:p>
      <w:pPr>
        <w:spacing w:after="0" w:line="67" w:lineRule="exact"/>
        <w:rPr>
          <w:rFonts w:ascii="Times New Roman" w:cs="Times New Roman" w:eastAsia="Times New Roman" w:hAnsi="Times New Roman"/>
          <w:sz w:val="18"/>
          <w:szCs w:val="18"/>
          <w:color w:val="auto"/>
        </w:rPr>
      </w:pPr>
    </w:p>
    <w:p>
      <w:pPr>
        <w:ind w:left="4" w:firstLine="419"/>
        <w:spacing w:after="0" w:line="261" w:lineRule="auto"/>
        <w:tabs>
          <w:tab w:leader="none" w:pos="68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Acquiror or any of its successors or assigns consolidates with or merges into any other entity and is not the continuing or surviving entity of such consolidation or merger or transfers or otherwise disposes of all or substantially all of its assets to any other entity or consummates any division transaction, then and in each such case, the Acquiror shall cause proper provision to be made so that the successors and assigns of the Acquiror shall assume the obligations set forth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 w:right="80" w:firstLine="419"/>
        <w:spacing w:after="0" w:line="266" w:lineRule="auto"/>
        <w:tabs>
          <w:tab w:leader="none" w:pos="67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are (i) intended to be for the benefit of, and shall be enforceable by, each Indemnified Party and his or her heirs and Representatives and (ii) in addition to, and not in substitution for, any other rights to indemnification or contribution that any such person may have by Contract or otherwise.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19"/>
        <w:spacing w:after="0" w:line="266" w:lineRule="auto"/>
        <w:tabs>
          <w:tab w:leader="none" w:pos="67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Acquiror shall, and shall cause its respective Affiliates, Consolidated Subsidiaries, and its and each of their respective officers, directors, trustees, managers, employees, consultants, financial advisors, attorneys, accountants and other advisors, representatives and agents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to, immediately cease and cause to be terminated any discussions or</w:t>
      </w:r>
    </w:p>
    <w:p>
      <w:pPr>
        <w:spacing w:after="0" w:line="10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544"/>
          </w:cols>
          <w:pgMar w:left="876" w:top="270" w:right="479" w:bottom="1440" w:gutter="0" w:footer="0" w:header="0"/>
        </w:sectPr>
      </w:pPr>
    </w:p>
    <w:bookmarkStart w:id="64" w:name="page65"/>
    <w:bookmarkEnd w:id="6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negotiations with any Person that may be ongoing with respect to, or that are intended to or could reasonably be expected to lead to, a Takeover Proposal, and demand the immediate return or destruction (which destruction shall be certified in writing to the Company or the Acquiror, as applicable) of all confidential information previously furnished to any Person (other than the Company, the Acquiror or their respective Affiliates or Representatives) with respect to any Takeover Proposal, subject to the terms of any existing confidentiality or similar agreement with such Person. Prior to the Effective Time, subject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in the case of the Company and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in the case of the Acquiror, each of the Company and the Acquiror shall not, and shall cause its respective Affiliates, Consolidated Subsidiaries and its and their respective Representatives not to: (i) directly or indirectly solicit, initiate, induce, encourage or take any other action (including by providing information) designed to, or which could reasonably be expected to, facilitate any inquiries or the making or submission or implementation of any proposal or offer (including any proposal or offer to its stockholders) with respect to any Takeover Proposal; (ii) approve, publicly endorse or recommend or enter into any agreement, arrangement, discussions or understandings with respect to any Takeover Proposal (including any letter of intent, agreement in principle, memorandum of understanding or confidentiality agreement) or enter into any Contract or understanding (including any letter of intent, agreement in principle, memorandum of understanding or confidentiality agreement (other than an Acceptable Confidentiality Agreement (as defined below) entered into when permitted by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in the case of the Company and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in the case of the Acquiror)) requiring it to abandon, terminate or fail to consummate, or that is intended to or that could reasonably be expected to result in the abandonment of, termination of or failure to consummate, the Merger or any other Transaction; (iii) initiate or participate in any way in any negotiations or discussions regarding, or furnish or disclose to any Person (other than the Acquiror, the Company or their respective Affiliates or Representatives) any information with respect to, or take any other action to facilitate or in furtherance of any inquiries or the making of any proposal that constitutes, or could reasonably be expected to lead to, any Takeover Proposal; (iv) publicly propose or publicly announce an intention to take any of the foregoing actions; or (v) grant any (x) approval pursuant to any Takeover Statute to any Person (other than the Acquiror, the Company or their respective Affiliates) or with respect to any transaction (other than the Transactions) or (y) unless required by applicable fiduciary duties (in the case of the Acquiror) or the applicable statutory duties under applicable Law (in the case of the Company) (as determined by the Acquiror Board or the Company Board in good faith, as applicable), waive, release or fail to enforce any standstill or similar agreement of any third party with respect to equity securities of the Company or the Acquiror;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the Company and the Acquiror (A) may inform Persons of the provisions contained in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and (B) shall be permitted to grant a waiver of, or terminate, any standstill or similar agreement of any third party with respect to equity securities of the Company or the Acquiror, as applicable, in order to allow such third party to confidentially submit a Takeover Proposal.</w:t>
      </w:r>
    </w:p>
    <w:p>
      <w:pPr>
        <w:spacing w:after="0" w:line="1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460"/>
          </w:cols>
          <w:pgMar w:left="880" w:top="270" w:right="559" w:bottom="1440" w:gutter="0" w:footer="0" w:header="0"/>
        </w:sectPr>
      </w:pPr>
    </w:p>
    <w:bookmarkStart w:id="65" w:name="page66"/>
    <w:bookmarkEnd w:id="65"/>
    <w:p>
      <w:pPr>
        <w:jc w:val="both"/>
        <w:ind w:left="4" w:right="60" w:firstLine="419"/>
        <w:spacing w:after="0" w:line="272" w:lineRule="auto"/>
        <w:tabs>
          <w:tab w:leader="none" w:pos="681"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Company and the Acquiror shall as promptly as reasonably practicable (and in any event within twenty-four (24) hours after receipt) (i) notify the other party in writing of any request for information or any Takeover Proposal and the terms and conditions of such request, Takeover Proposal or inquiry (including the identity of the Person (or group of Persons) making such request, Takeover Proposal or inquiry) and</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6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other party copies of any written materials received by the Company or the Acquiror or their respective Affiliates or Representatives in connection with any of the foregoing, and the identity of the Person (or group of Persons) making any such request, Takeover Proposal or inquiry or with whom any discussions or negotiations are taking place. Each of the Company and the Acquiror agrees that it shall keep the other party informed on a reasonably current basis (and in any event within twenty-four (24) hours after receipt) of the status and the material terms and conditions (including amendments or proposed amendments) of any such request, Takeover Proposal or inquiry and keep the other party informed on a reasonably current basis of any information requested of or provided by the Company or the Acquiror and as to the status of all discussions or negotiations with respect to any such request, Takeover Proposal or inquiry.</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Company Takeover Proposals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419"/>
        <w:spacing w:after="0" w:line="252" w:lineRule="auto"/>
        <w:tabs>
          <w:tab w:leader="none" w:pos="67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or after the date of this Agreement and at any time prior to the Company Requisite Vote being obtained at the Company Stockholders Meeting: (i) the Company receives an unsolicited bona fide Takeover Proposal (under circumstances which did not result from any breach or deemed breach of the provisions of </w:t>
      </w:r>
      <w:r>
        <w:rPr>
          <w:rFonts w:ascii="Times New Roman" w:cs="Times New Roman" w:eastAsia="Times New Roman" w:hAnsi="Times New Roman"/>
          <w:sz w:val="18"/>
          <w:szCs w:val="18"/>
          <w:u w:val="single" w:color="auto"/>
          <w:color w:val="auto"/>
        </w:rPr>
        <w:t>Sections 7.5(a)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(ii) the Company Special Committee shall have determined in good faith, after consultation with its outside legal counsel and, with respect to financial matters, its financial advisor, that (x) failure to consider such Takeover Proposal would be reasonably likely to constitute a breach of the statutory duties under applicable Law applicable to the members of the Company Board and (y) such Takeover Proposal constitutes or is reasonably likely to result in a Company Superior Proposal, then, subject to compliance with this </w:t>
      </w:r>
      <w:r>
        <w:rPr>
          <w:rFonts w:ascii="Times New Roman" w:cs="Times New Roman" w:eastAsia="Times New Roman" w:hAnsi="Times New Roman"/>
          <w:sz w:val="18"/>
          <w:szCs w:val="18"/>
          <w:u w:val="single" w:color="auto"/>
          <w:color w:val="auto"/>
        </w:rPr>
        <w:t>Section 7.6(a)</w:t>
      </w:r>
      <w:r>
        <w:rPr>
          <w:rFonts w:ascii="Times New Roman" w:cs="Times New Roman" w:eastAsia="Times New Roman" w:hAnsi="Times New Roman"/>
          <w:sz w:val="18"/>
          <w:szCs w:val="18"/>
          <w:color w:val="auto"/>
        </w:rPr>
        <w:t>, the Company and the Company Special Committee may, directly or indirectly through one or more of their Representatives, engage in negotiations or discussions with such Person who has made the unsolicited bona fide Takeover Proposal and provide information in response to a request therefor by a Person who has made such Takeover Proposal if the Company (A) receives from such Person an executed confidentiality agreement with terms that are at least as restrictive in all material respects on such person as those contained in any confidentiality agreement between the Acquiror and the Company (an “</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and (B) provides the Acquiror a copy of all such information that has not previously been delivered to the Acquiror simultaneously with delivery to such Person (or such Person’s Representatives or Affiliates). If on or after the date of this Agreement and at any time prior to the Company Requisite Vote being obtained at the Company Stockholders Meeting, (1) the Company Special Committee has determined in good faith (after consultation with its outside legal counsel and, with respect to financial matters, its financial advisor) that a Takeover Proposal constitutes a Company Superior Proposal, (2) the Company Special Committee has determined in good faith, after consultation with its outside legal counsel and, with respect to financial matters, its financial advisor and after compliance with its obligations under this </w:t>
      </w:r>
      <w:r>
        <w:rPr>
          <w:rFonts w:ascii="Times New Roman" w:cs="Times New Roman" w:eastAsia="Times New Roman" w:hAnsi="Times New Roman"/>
          <w:sz w:val="18"/>
          <w:szCs w:val="18"/>
          <w:u w:val="single" w:color="auto"/>
          <w:color w:val="auto"/>
        </w:rPr>
        <w:t>Section 7.6(a)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7.6(b)</w:t>
      </w:r>
      <w:r>
        <w:rPr>
          <w:rFonts w:ascii="Times New Roman" w:cs="Times New Roman" w:eastAsia="Times New Roman" w:hAnsi="Times New Roman"/>
          <w:sz w:val="18"/>
          <w:szCs w:val="18"/>
          <w:color w:val="auto"/>
        </w:rPr>
        <w:t>, that failure to take any actions described in clause (A), (B) or (C) below would be a breach of the statutory duties under applicable Law applicable to the members of the Company Board</w:t>
      </w:r>
    </w:p>
    <w:p>
      <w:pPr>
        <w:spacing w:after="0" w:line="123"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564"/>
          </w:cols>
          <w:pgMar w:left="876" w:top="270" w:right="459" w:bottom="1440" w:gutter="0" w:footer="0" w:header="0"/>
        </w:sectPr>
      </w:pPr>
    </w:p>
    <w:bookmarkStart w:id="66" w:name="page67"/>
    <w:bookmarkEnd w:id="66"/>
    <w:p>
      <w:pPr>
        <w:ind w:left="4" w:right="1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applicable Law as a result of a Company Superior Proposal and (3) the Company Special Committee has recommended (A) the approval, adoption, recommendation or declaration of advisability by the Company Board (or any committee thereof, including the Company Special Committee) of the Company Matters, including the Company Recommendation be withdrawn or qualified (or modified or amended in a manner adverse to the Acquiror), or the Company Board (or any committee thereof, including the Company Special Committee) publicly propose to withdraw or qualify (or modify or amend in a manner adverse to the Acquiror) the approval, adoption, recommendation or declaration of advisability of the Company Matters, including the Company Recommendation and/or (B) the Company not to include the Company Recommendation in the Joint Proxy Statement/Prospectus (any action described in clause (A) and (B) referred to as a “</w:t>
      </w:r>
      <w:r>
        <w:rPr>
          <w:rFonts w:ascii="Times New Roman" w:cs="Times New Roman" w:eastAsia="Times New Roman" w:hAnsi="Times New Roman"/>
          <w:sz w:val="18"/>
          <w:szCs w:val="18"/>
          <w:u w:val="single" w:color="auto"/>
          <w:color w:val="auto"/>
        </w:rPr>
        <w:t>Company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 Change</w:t>
      </w:r>
      <w:r>
        <w:rPr>
          <w:rFonts w:ascii="Times New Roman" w:cs="Times New Roman" w:eastAsia="Times New Roman" w:hAnsi="Times New Roman"/>
          <w:sz w:val="18"/>
          <w:szCs w:val="18"/>
          <w:color w:val="auto"/>
        </w:rPr>
        <w:t xml:space="preserve">”) and/or (C) the Company to terminate this Agreement pursuant to </w:t>
      </w:r>
      <w:r>
        <w:rPr>
          <w:rFonts w:ascii="Times New Roman" w:cs="Times New Roman" w:eastAsia="Times New Roman" w:hAnsi="Times New Roman"/>
          <w:sz w:val="18"/>
          <w:szCs w:val="18"/>
          <w:u w:val="single" w:color="auto"/>
          <w:color w:val="auto"/>
        </w:rPr>
        <w:t>Section 9.1(c)(iv)</w:t>
      </w:r>
      <w:r>
        <w:rPr>
          <w:rFonts w:ascii="Times New Roman" w:cs="Times New Roman" w:eastAsia="Times New Roman" w:hAnsi="Times New Roman"/>
          <w:sz w:val="18"/>
          <w:szCs w:val="18"/>
          <w:color w:val="auto"/>
        </w:rPr>
        <w:t xml:space="preserve"> to enter into a definitive written agreement with respect to such Takeover Proposal, then the Company Board may take, and/or cause the Company to take, such recommended actions.</w:t>
      </w:r>
    </w:p>
    <w:p>
      <w:pPr>
        <w:spacing w:after="0" w:line="86" w:lineRule="exact"/>
        <w:rPr>
          <w:sz w:val="20"/>
          <w:szCs w:val="20"/>
          <w:color w:val="auto"/>
        </w:rPr>
      </w:pPr>
    </w:p>
    <w:p>
      <w:pPr>
        <w:ind w:left="4" w:firstLine="419"/>
        <w:spacing w:after="0" w:line="253" w:lineRule="auto"/>
        <w:tabs>
          <w:tab w:leader="none" w:pos="68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determination that a Takeover Proposal constitutes a Company Superior Proposal, the Company shall promptly provide (and in any event within twenty-four (24) hours of such determination) to the Acquiror a written notice (a “</w:t>
      </w:r>
      <w:r>
        <w:rPr>
          <w:rFonts w:ascii="Times New Roman" w:cs="Times New Roman" w:eastAsia="Times New Roman" w:hAnsi="Times New Roman"/>
          <w:sz w:val="18"/>
          <w:szCs w:val="18"/>
          <w:u w:val="single" w:color="auto"/>
          <w:color w:val="auto"/>
        </w:rPr>
        <w:t>Notice of a Company Superior Proposal</w:t>
      </w:r>
      <w:r>
        <w:rPr>
          <w:rFonts w:ascii="Times New Roman" w:cs="Times New Roman" w:eastAsia="Times New Roman" w:hAnsi="Times New Roman"/>
          <w:sz w:val="18"/>
          <w:szCs w:val="18"/>
          <w:color w:val="auto"/>
        </w:rPr>
        <w:t>”) (i) advising the Acquiror that the Company Board has received a Company Superior Proposal, (ii) specifying in reasonable detail the material terms and conditions of such Company Superior Proposal and any amendment thereof, including the amount per share or other consideration that the stockholders of the Company will receive in connection with the Company Superior Proposal and including a copy of all written materials provided to or by the Company in connection with such Company Superior Proposal (unless previously provided to the Acquiror), and</w:t>
      </w:r>
    </w:p>
    <w:p>
      <w:pPr>
        <w:spacing w:after="0" w:line="5" w:lineRule="exact"/>
        <w:rPr>
          <w:rFonts w:ascii="Times New Roman" w:cs="Times New Roman" w:eastAsia="Times New Roman" w:hAnsi="Times New Roman"/>
          <w:sz w:val="18"/>
          <w:szCs w:val="18"/>
          <w:color w:val="auto"/>
        </w:rPr>
      </w:pPr>
    </w:p>
    <w:p>
      <w:pPr>
        <w:ind w:left="4" w:hanging="4"/>
        <w:spacing w:after="0" w:line="250" w:lineRule="auto"/>
        <w:tabs>
          <w:tab w:leader="none" w:pos="3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identifying the Person making such Company Superior Proposal. The Company shall cooperate and negotiate in good faith with the Acquiror (to the extent the Acquiror desires to negotiate) during the five (5) calendar day period following the Acquiror’s receipt of the Notice of a Company Superior Proposal (it being understood that any amendment to the financial terms or any other material term of such Company Superior Proposal shall require a new notice and a new two (2) calendar day period) to make such adjustments in the terms and conditions of this Agreement such that such Company Superior Proposal would cease to constitute a Company Superior Proposal and proceed with a Company Recommendation without a Company Adverse Recommendation Change. If thereafter the Company Special Committee determines, after consultation with its outside legal counsel and, with respect to financial matters, its financial advisor and after giving effect to any proposed adjustments to the terms of this Agreement that such Company Superior Proposal remains a Company Superior Proposal and that the failure to make such Company Adverse Recommendation Change would be a breach of the statutory duties under applicable Law applicable to the members of the Company Board, and the Company has complied in all material respects with </w:t>
      </w:r>
      <w:r>
        <w:rPr>
          <w:rFonts w:ascii="Times New Roman" w:cs="Times New Roman" w:eastAsia="Times New Roman" w:hAnsi="Times New Roman"/>
          <w:sz w:val="18"/>
          <w:szCs w:val="18"/>
          <w:u w:val="single" w:color="auto"/>
          <w:color w:val="auto"/>
        </w:rPr>
        <w:t>Section 7.6(a)</w:t>
      </w:r>
      <w:r>
        <w:rPr>
          <w:rFonts w:ascii="Times New Roman" w:cs="Times New Roman" w:eastAsia="Times New Roman" w:hAnsi="Times New Roman"/>
          <w:sz w:val="18"/>
          <w:szCs w:val="18"/>
          <w:color w:val="auto"/>
        </w:rPr>
        <w:t xml:space="preserve"> above and this </w:t>
      </w:r>
      <w:r>
        <w:rPr>
          <w:rFonts w:ascii="Times New Roman" w:cs="Times New Roman" w:eastAsia="Times New Roman" w:hAnsi="Times New Roman"/>
          <w:sz w:val="18"/>
          <w:szCs w:val="18"/>
          <w:u w:val="single" w:color="auto"/>
          <w:color w:val="auto"/>
        </w:rPr>
        <w:t>Section 7.6(b)</w:t>
      </w:r>
      <w:r>
        <w:rPr>
          <w:rFonts w:ascii="Times New Roman" w:cs="Times New Roman" w:eastAsia="Times New Roman" w:hAnsi="Times New Roman"/>
          <w:sz w:val="18"/>
          <w:szCs w:val="18"/>
          <w:color w:val="auto"/>
        </w:rPr>
        <w:t>, the Company may, pursuant to Section 7.6(a), effectuate a Company Adverse Recommendation Change and/or terminate this Agreement pursuant to</w:t>
      </w:r>
    </w:p>
    <w:p>
      <w:pPr>
        <w:spacing w:after="0" w:line="4"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9.1(c)(iv)</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564"/>
          </w:cols>
          <w:pgMar w:left="876" w:top="270" w:right="459" w:bottom="1440" w:gutter="0" w:footer="0" w:header="0"/>
        </w:sectPr>
      </w:pPr>
    </w:p>
    <w:bookmarkStart w:id="67" w:name="page68"/>
    <w:bookmarkEnd w:id="67"/>
    <w:p>
      <w:pPr>
        <w:ind w:firstLine="419"/>
        <w:spacing w:after="0" w:line="258" w:lineRule="auto"/>
        <w:tabs>
          <w:tab w:leader="none" w:pos="66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than as permitted by </w:t>
      </w:r>
      <w:r>
        <w:rPr>
          <w:rFonts w:ascii="Times New Roman" w:cs="Times New Roman" w:eastAsia="Times New Roman" w:hAnsi="Times New Roman"/>
          <w:sz w:val="18"/>
          <w:szCs w:val="18"/>
          <w:u w:val="single" w:color="auto"/>
          <w:color w:val="auto"/>
        </w:rPr>
        <w:t>Section 7.6(a)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7.6(d)</w:t>
      </w:r>
      <w:r>
        <w:rPr>
          <w:rFonts w:ascii="Times New Roman" w:cs="Times New Roman" w:eastAsia="Times New Roman" w:hAnsi="Times New Roman"/>
          <w:sz w:val="18"/>
          <w:szCs w:val="18"/>
          <w:color w:val="auto"/>
        </w:rPr>
        <w:t xml:space="preserve">, neither the Company nor the Company Board (or any committee thereof, including the Company Special Committee) shall make any Company Adverse Recommendation Change or terminate this Agreement pursuant to </w:t>
      </w:r>
      <w:r>
        <w:rPr>
          <w:rFonts w:ascii="Times New Roman" w:cs="Times New Roman" w:eastAsia="Times New Roman" w:hAnsi="Times New Roman"/>
          <w:sz w:val="18"/>
          <w:szCs w:val="18"/>
          <w:u w:val="single" w:color="auto"/>
          <w:color w:val="auto"/>
        </w:rPr>
        <w:t>Section 9.1(c)(iv)</w:t>
      </w:r>
      <w:r>
        <w:rPr>
          <w:rFonts w:ascii="Times New Roman" w:cs="Times New Roman" w:eastAsia="Times New Roman" w:hAnsi="Times New Roman"/>
          <w:sz w:val="18"/>
          <w:szCs w:val="18"/>
          <w:color w:val="auto"/>
        </w:rPr>
        <w:t>. Notwithstanding anything herein to the contrary, no Company Adverse Recommendation Change shall change the approval of the Company Matters or any other approval of the Company Board, including in any respect that would have the effect of causing any Takeover Statute or other similar statute to be applicable to the Transactions.</w:t>
      </w:r>
    </w:p>
    <w:p>
      <w:pPr>
        <w:spacing w:after="0" w:line="75" w:lineRule="exact"/>
        <w:rPr>
          <w:rFonts w:ascii="Times New Roman" w:cs="Times New Roman" w:eastAsia="Times New Roman" w:hAnsi="Times New Roman"/>
          <w:sz w:val="18"/>
          <w:szCs w:val="18"/>
          <w:color w:val="auto"/>
        </w:rPr>
      </w:pPr>
    </w:p>
    <w:p>
      <w:pPr>
        <w:ind w:firstLine="419"/>
        <w:spacing w:after="0" w:line="251" w:lineRule="auto"/>
        <w:tabs>
          <w:tab w:leader="none" w:pos="67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connection with a Company Takeover Proposal, nothing in this Agreement shall prohibit or restrict the Company Board, upon the recommendation of the Company Special Committee, from, on or after the date of this Agreement and at any time prior to the Company Requisite Vote being obtained at the Company Stockholders Meeting (or, in the case of any Company Dilution Intervening Event, prior to the Closing), effectuating (x) a Company Adverse Recommendation Change in response to an Intervening Event or (y) in the case of a Company Dilution Intervening Event, terminating this Agreement pursuant to </w:t>
      </w:r>
      <w:r>
        <w:rPr>
          <w:rFonts w:ascii="Times New Roman" w:cs="Times New Roman" w:eastAsia="Times New Roman" w:hAnsi="Times New Roman"/>
          <w:sz w:val="18"/>
          <w:szCs w:val="18"/>
          <w:u w:val="single" w:color="auto"/>
          <w:color w:val="auto"/>
        </w:rPr>
        <w:t>Section 9.1(c)(v)</w:t>
      </w:r>
      <w:r>
        <w:rPr>
          <w:rFonts w:ascii="Times New Roman" w:cs="Times New Roman" w:eastAsia="Times New Roman" w:hAnsi="Times New Roman"/>
          <w:sz w:val="18"/>
          <w:szCs w:val="18"/>
          <w:color w:val="auto"/>
        </w:rPr>
        <w:t xml:space="preserve"> (each of (x) and (y) a “</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 Change</w:t>
      </w:r>
      <w:r>
        <w:rPr>
          <w:rFonts w:ascii="Times New Roman" w:cs="Times New Roman" w:eastAsia="Times New Roman" w:hAnsi="Times New Roman"/>
          <w:sz w:val="18"/>
          <w:szCs w:val="18"/>
          <w:color w:val="auto"/>
        </w:rPr>
        <w:t>”) if (A) prior to effecting any such Company Intervening Event Recommendation Change, the Company promptly notifies the Acquiror, in writing, at least five (5) Business Days (the “</w:t>
      </w:r>
      <w:r>
        <w:rPr>
          <w:rFonts w:ascii="Times New Roman" w:cs="Times New Roman" w:eastAsia="Times New Roman" w:hAnsi="Times New Roman"/>
          <w:sz w:val="18"/>
          <w:szCs w:val="18"/>
          <w:u w:val="single" w:color="auto"/>
          <w:color w:val="auto"/>
        </w:rPr>
        <w:t>Company Intervening Event Notice Period</w:t>
      </w:r>
      <w:r>
        <w:rPr>
          <w:rFonts w:ascii="Times New Roman" w:cs="Times New Roman" w:eastAsia="Times New Roman" w:hAnsi="Times New Roman"/>
          <w:sz w:val="18"/>
          <w:szCs w:val="18"/>
          <w:color w:val="auto"/>
        </w:rPr>
        <w:t xml:space="preserve">”) before taking such action of its intent to consider such action (which notice shall not, by itself, constitute a Company Adverse Recommendation Change or a Company Intervening Event Recommendation Change), and which notice shall include a reasonably detailed description of the underlying facts giving rise to, and the reasons for taking, such action, (B) the Company shall, and shall cause its Representatives to, during the Company Intervening Event Notice Period, negotiate with the Acquiror in good faith (to the extent the Acquiror desires to negotiate) to make such adjustments in the terms and conditions of this Agreement that would not permit the Company Board to make a Company Intervening Event Recommendation Change, and (C) the Company Special Committee has determined in good faith, after consultation with its outside legal counsel and, with respect to financial matters, its financial advisor and after compliance with its obligations under this </w:t>
      </w:r>
      <w:r>
        <w:rPr>
          <w:rFonts w:ascii="Times New Roman" w:cs="Times New Roman" w:eastAsia="Times New Roman" w:hAnsi="Times New Roman"/>
          <w:sz w:val="18"/>
          <w:szCs w:val="18"/>
          <w:u w:val="single" w:color="auto"/>
          <w:color w:val="auto"/>
        </w:rPr>
        <w:t>Section 7.6(d)</w:t>
      </w:r>
      <w:r>
        <w:rPr>
          <w:rFonts w:ascii="Times New Roman" w:cs="Times New Roman" w:eastAsia="Times New Roman" w:hAnsi="Times New Roman"/>
          <w:sz w:val="18"/>
          <w:szCs w:val="18"/>
          <w:color w:val="auto"/>
        </w:rPr>
        <w:t xml:space="preserve"> that the failure to effect such a Company Intervening Event Recommendation Change, after taking into account any adjustments made by the Acquiror during the Company Intervening Event Notice Period, would be a breach of the statutory duties under applicable Law applicable to the members of the Company Board, and the Company Board, following such determination, determines the same or, in the case of a Company Dilution Intervening Event, the Company Special Committee has determined, reasonably and in good faith, after consultation with its outside legal counsel and, with respect to financial matters, its financial advisor, that, taking into account any proposed revised terms from the Acquiror, the interests of the Company’s existing stockholders will be diluted within the meaning of Rule 17a-8 under the Investment Company Act as a result of the Transactions. In the event that any amendment shall be made to this Agreement following the Company Stockholders Meeting and prior to the Closing in respect of any Company Dilution Intervening Event requiring the approval of the Company’s stockholders, the Company shall be required to take all such actions otherwise provided hereunder to cause a new Company Stockholders Meeting, in such manner as set forth in such amendment.</w:t>
      </w:r>
    </w:p>
    <w:p>
      <w:pPr>
        <w:spacing w:after="0" w:line="13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00"/>
          </w:cols>
          <w:pgMar w:left="880" w:top="270" w:right="519" w:bottom="1440" w:gutter="0" w:footer="0" w:header="0"/>
        </w:sectPr>
      </w:pPr>
    </w:p>
    <w:bookmarkStart w:id="68" w:name="page69"/>
    <w:bookmarkEnd w:id="68"/>
    <w:p>
      <w:pPr>
        <w:ind w:right="120" w:firstLine="419"/>
        <w:spacing w:after="0" w:line="255" w:lineRule="auto"/>
        <w:tabs>
          <w:tab w:leader="none" w:pos="66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Nothing contained in this Agreement shall be deemed to prohibit the Company from (i) complying with its disclosure obligations under applicable U.S. federal or state Law with regard to any Takeover Proposal or (ii) making any disclosure to the Company’s stockholders if, after consultation with its outside legal counsel, the Company determines that such disclosure would be required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disclosures (other than a “stop, look and listen” communication or similar communication of the type contemplated by Section 14d-9(f) under the Exchange Act) shall be deemed to be a Company Adverse Recommendation Change unless the Company Board expressly publicly reaffirms the Company Recommendation (A) in such communication or (B) within three (3) Business Days after being requested in writing to do so by the Acquiror.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Acquiror Takeover Proposals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2" w:lineRule="auto"/>
        <w:tabs>
          <w:tab w:leader="none" w:pos="66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or after the date of this Agreement and at any time prior to the Acquiror Requisite Vote being obtained at the Acquiror Stockholders Meeting: (i) the Acquiror receives an unsolicited bona fide Takeover Proposal (under circumstances which did not result from any breach or deemed breach of the provisions of </w:t>
      </w:r>
      <w:r>
        <w:rPr>
          <w:rFonts w:ascii="Times New Roman" w:cs="Times New Roman" w:eastAsia="Times New Roman" w:hAnsi="Times New Roman"/>
          <w:sz w:val="18"/>
          <w:szCs w:val="18"/>
          <w:u w:val="single" w:color="auto"/>
          <w:color w:val="auto"/>
        </w:rPr>
        <w:t>Sections 7.5(a)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(ii) the Acquiror Special Committee shall have determined in good faith, after consultation with its outside legal counsel and, with respect to financial matters, its financial advisor, that (x) failure to consider such Takeover Proposal would be reasonably likely to constitute a breach of the Acquiror directors’ fiduciary duties under applicable Law and (y) such Takeover Proposal constitutes or is reasonably likely to result in an Acquiror Superior Proposal, then, subject to compliance with this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 xml:space="preserve">, the Acquiror and the Acquiror Special Committee may, directly or indirectly through one or more of their Representatives, engage in negotiations or discussions with such Person who has made the unsolicited bona fide Takeover Proposal and provide information in response to a request therefor by a Person who has made such Takeover Proposal if the Acquiror (A) receives from such Person an executed Acceptable Confidentiality Agreement and (B) provides the Company a copy of all such information that has not previously been delivered to the Company simultaneously with delivery to such Person (or such Person’s Representatives or Affiliates). If on or after the date of this Agreement and at any time prior to the Acquiror Requisite Vote being obtained at the Acquiror Stockholders Meeting, (1) the Acquiror Special Committee has determined in good faith (after consultation with its financial advisor and outside legal counsel) that a Takeover Proposal constitutes an Acquiror Superior Proposal, (2) the Acquiror Special Committee has determined in good faith, after consultation with its outside legal counsel and, with respect to financial matters, its financial advisor and after compliance with its obligations under this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7.7(b)</w:t>
      </w:r>
      <w:r>
        <w:rPr>
          <w:rFonts w:ascii="Times New Roman" w:cs="Times New Roman" w:eastAsia="Times New Roman" w:hAnsi="Times New Roman"/>
          <w:sz w:val="18"/>
          <w:szCs w:val="18"/>
          <w:color w:val="auto"/>
        </w:rPr>
        <w:t>, that failure to take any action described in clause (A), (B) or (C) below would be a breach of the Acquiror directors’ fiduciary duties under applicable Law as a result of an Acquiror Superior Proposal and (3) the Acquiror Special Committee has recommended (A) the approval, adoption, recommendation or declaration of advisability by the Acquiror Board (or any committee thereof, including the Acquiror Special Committee) of the Acquiror Matters, including the Acquiror Recommendation be withdrawn or qualified (or modified or amended in a manner adverse to the Company), or the Acquiror Board (or any committee thereof, including the Acquiror Special Committee) publicly propose to withdraw or qualify (or</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540"/>
          </w:cols>
          <w:pgMar w:left="880" w:top="270" w:right="479" w:bottom="1440" w:gutter="0" w:footer="0" w:header="0"/>
        </w:sectPr>
      </w:pPr>
    </w:p>
    <w:bookmarkStart w:id="69" w:name="page70"/>
    <w:bookmarkEnd w:id="69"/>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modify or amend in a manner adverse to the Company) the approval, adoption, recommendation or declaration of advisability of the Acquiror Matters, including the Acquiror Recommendation and/or (B) the Acquiror not to include the Acquiror Recommendation in the Joint Proxy Statement/Prospectus (any action described in clause (A) and (B) referred to as an “</w:t>
      </w:r>
      <w:r>
        <w:rPr>
          <w:rFonts w:ascii="Times New Roman" w:cs="Times New Roman" w:eastAsia="Times New Roman" w:hAnsi="Times New Roman"/>
          <w:sz w:val="18"/>
          <w:szCs w:val="18"/>
          <w:u w:val="single" w:color="auto"/>
          <w:color w:val="auto"/>
        </w:rPr>
        <w:t>Acquiror Adverse Recommendation Change</w:t>
      </w:r>
      <w:r>
        <w:rPr>
          <w:rFonts w:ascii="Times New Roman" w:cs="Times New Roman" w:eastAsia="Times New Roman" w:hAnsi="Times New Roman"/>
          <w:sz w:val="18"/>
          <w:szCs w:val="18"/>
          <w:color w:val="auto"/>
        </w:rPr>
        <w:t xml:space="preserve">”) and/or (C) the Acquiror to terminate this Agreement pursuant to </w:t>
      </w:r>
      <w:r>
        <w:rPr>
          <w:rFonts w:ascii="Times New Roman" w:cs="Times New Roman" w:eastAsia="Times New Roman" w:hAnsi="Times New Roman"/>
          <w:sz w:val="18"/>
          <w:szCs w:val="18"/>
          <w:u w:val="single" w:color="auto"/>
          <w:color w:val="auto"/>
        </w:rPr>
        <w:t>Section 9.1(d)(iv)</w:t>
      </w:r>
      <w:r>
        <w:rPr>
          <w:rFonts w:ascii="Times New Roman" w:cs="Times New Roman" w:eastAsia="Times New Roman" w:hAnsi="Times New Roman"/>
          <w:sz w:val="18"/>
          <w:szCs w:val="18"/>
          <w:color w:val="auto"/>
        </w:rPr>
        <w:t xml:space="preserve"> to enter into a definitive written agreement with respect to such Takeover Proposal, then the Acquiror Board may take, and/or cause the Acquiror to take, such recommended actions.</w:t>
      </w:r>
    </w:p>
    <w:p>
      <w:pPr>
        <w:spacing w:after="0" w:line="75" w:lineRule="exact"/>
        <w:rPr>
          <w:sz w:val="20"/>
          <w:szCs w:val="20"/>
          <w:color w:val="auto"/>
        </w:rPr>
      </w:pPr>
    </w:p>
    <w:p>
      <w:pPr>
        <w:ind w:firstLine="419"/>
        <w:spacing w:after="0" w:line="252" w:lineRule="auto"/>
        <w:tabs>
          <w:tab w:leader="none" w:pos="67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determination that a Takeover Proposal constitutes an Acquiror Superior Proposal, the Acquiror shall promptly provide (and in any event within twenty-four (24) hours of such determination) to the Company a written notice (a “</w:t>
      </w:r>
      <w:r>
        <w:rPr>
          <w:rFonts w:ascii="Times New Roman" w:cs="Times New Roman" w:eastAsia="Times New Roman" w:hAnsi="Times New Roman"/>
          <w:sz w:val="18"/>
          <w:szCs w:val="18"/>
          <w:u w:val="single" w:color="auto"/>
          <w:color w:val="auto"/>
        </w:rPr>
        <w:t>Notice of an Acquiror Superior Proposal</w:t>
      </w:r>
      <w:r>
        <w:rPr>
          <w:rFonts w:ascii="Times New Roman" w:cs="Times New Roman" w:eastAsia="Times New Roman" w:hAnsi="Times New Roman"/>
          <w:sz w:val="18"/>
          <w:szCs w:val="18"/>
          <w:color w:val="auto"/>
        </w:rPr>
        <w:t xml:space="preserve">”) (i) advising the Company that the Acquiror Board has received an Acquiror Superior Proposal, (ii) specifying in reasonable detail the material terms and conditions of such Acquiror Superior Proposal and any amendment thereof, including the amount per share or other consideration that the stockholders of the Acquiror will receive in connection with the Acquiror Superior Proposal and including a copy of all written materials provided to or by the Acquiror in connection with such Acquiror Superior Proposal (unless previously provided to the Company), and (iii) identifying the Person making such Acquiror Superior Proposal. The Acquiror shall cooperate and negotiate in good faith with the Company (to the extent the Company desires to negotiate) during the five (5) calendar day period following the Company’s receipt of the Notice of an Acquiror Superior Proposal (it being understood that any amendment to the financial terms or any other material term of such Acquiror Superior Proposal shall require a new notice and a new two (2) calendar day period) to make such adjustments in the terms and conditions of this Agreement such that such Acquiror Superior Proposal would cease to constitute an Acquiror Superior Proposal and proceed with an Acquiror Recommendation without an Acquiror Adverse Recommendation Change. If thereafter the Acquiror Special Committee determines, in its reasonable good faith judgment after consultation with its outside legal counsel and, with respect to financial matters, its financial advisor and after giving effect to any proposed adjustments to the terms of this Agreement that such Acquiror Superior Proposal remains an Acquiror Superior Proposal and that the failure to make such Acquiror Adverse Recommendation Change would be a breach of the Acquiror directors’ fiduciary duties under applicable Law, and the Acquiror has complied in all material respects with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 xml:space="preserve"> above and this </w:t>
      </w:r>
      <w:r>
        <w:rPr>
          <w:rFonts w:ascii="Times New Roman" w:cs="Times New Roman" w:eastAsia="Times New Roman" w:hAnsi="Times New Roman"/>
          <w:sz w:val="18"/>
          <w:szCs w:val="18"/>
          <w:u w:val="single" w:color="auto"/>
          <w:color w:val="auto"/>
        </w:rPr>
        <w:t>Section 7.7(b)</w:t>
      </w:r>
      <w:r>
        <w:rPr>
          <w:rFonts w:ascii="Times New Roman" w:cs="Times New Roman" w:eastAsia="Times New Roman" w:hAnsi="Times New Roman"/>
          <w:sz w:val="18"/>
          <w:szCs w:val="18"/>
          <w:color w:val="auto"/>
        </w:rPr>
        <w:t xml:space="preserve">, the Acquiror may, pursuant to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 xml:space="preserve">, effectuate an Acquiror Adverse Recommendation Change and/or terminate this Agreement pursuant to </w:t>
      </w:r>
      <w:r>
        <w:rPr>
          <w:rFonts w:ascii="Times New Roman" w:cs="Times New Roman" w:eastAsia="Times New Roman" w:hAnsi="Times New Roman"/>
          <w:sz w:val="18"/>
          <w:szCs w:val="18"/>
          <w:u w:val="single" w:color="auto"/>
          <w:color w:val="auto"/>
        </w:rPr>
        <w:t>Section 9.1(d)(iv)</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right="160" w:firstLine="419"/>
        <w:spacing w:after="0" w:line="258" w:lineRule="auto"/>
        <w:tabs>
          <w:tab w:leader="none" w:pos="66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permitted by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7.7(d)</w:t>
      </w:r>
      <w:r>
        <w:rPr>
          <w:rFonts w:ascii="Times New Roman" w:cs="Times New Roman" w:eastAsia="Times New Roman" w:hAnsi="Times New Roman"/>
          <w:sz w:val="18"/>
          <w:szCs w:val="18"/>
          <w:color w:val="auto"/>
        </w:rPr>
        <w:t xml:space="preserve">, neither the Acquiror nor the Acquiror Board (or any committee thereof, including the Acquiror Special Committee) shall make any Acquiror Adverse Recommendation Change or terminate this Agreement pursuant to </w:t>
      </w:r>
      <w:r>
        <w:rPr>
          <w:rFonts w:ascii="Times New Roman" w:cs="Times New Roman" w:eastAsia="Times New Roman" w:hAnsi="Times New Roman"/>
          <w:sz w:val="18"/>
          <w:szCs w:val="18"/>
          <w:u w:val="single" w:color="auto"/>
          <w:color w:val="auto"/>
        </w:rPr>
        <w:t>Section 9.1(d)(iv)</w:t>
      </w:r>
      <w:r>
        <w:rPr>
          <w:rFonts w:ascii="Times New Roman" w:cs="Times New Roman" w:eastAsia="Times New Roman" w:hAnsi="Times New Roman"/>
          <w:sz w:val="18"/>
          <w:szCs w:val="18"/>
          <w:color w:val="auto"/>
        </w:rPr>
        <w:t>. Notwithstanding anything herein to the contrary, no Acquiror Adverse Recommendation Change shall change the approval of the Acquiror Matters or any other approval of the Acquiror Board, including in any respect that would have the effect of causing any Takeover Statute or other similar statute to be applicable to the Transactions.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560"/>
          </w:cols>
          <w:pgMar w:left="880" w:top="270" w:right="459" w:bottom="1440" w:gutter="0" w:footer="0" w:header="0"/>
        </w:sectPr>
      </w:pPr>
    </w:p>
    <w:bookmarkStart w:id="70" w:name="page71"/>
    <w:bookmarkEnd w:id="70"/>
    <w:p>
      <w:pPr>
        <w:ind w:left="4" w:firstLine="419"/>
        <w:spacing w:after="0" w:line="267" w:lineRule="auto"/>
        <w:tabs>
          <w:tab w:leader="none" w:pos="681"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in connection with an Acquiror Takeover Proposal, nothing in this Agreement shall prohibit or restrict the Acquiror Board, upon the recommendation of the Acquiror Special Committee, from, on or after the date of this Agreement and at any time prior to the Acquiror Requisite Vote being obtained at the Acquiror Stockholders Meeting (or, in the case of any Acquiror Dilution Intervening Event, prior to the Closing), effectuating (x) an Acquiror Adverse Recommendation Change in response to an Intervening Event or (y) in the case of a Acquiror Dilution Intervening Event, terminating this Agreement pursuant to Section 9.1(d)(v) (each of (x) and (y) an “</w:t>
      </w:r>
      <w:r>
        <w:rPr>
          <w:rFonts w:ascii="Times New Roman" w:cs="Times New Roman" w:eastAsia="Times New Roman" w:hAnsi="Times New Roman"/>
          <w:sz w:val="17"/>
          <w:szCs w:val="17"/>
          <w:u w:val="single" w:color="auto"/>
          <w:color w:val="auto"/>
        </w:rPr>
        <w:t>Acquiror Intervening Event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Recommendation Change</w:t>
      </w:r>
      <w:r>
        <w:rPr>
          <w:rFonts w:ascii="Times New Roman" w:cs="Times New Roman" w:eastAsia="Times New Roman" w:hAnsi="Times New Roman"/>
          <w:sz w:val="17"/>
          <w:szCs w:val="17"/>
          <w:color w:val="auto"/>
        </w:rPr>
        <w:t>”) if (A) prior to effecting any such Acquiror Intervening Event Recommendation Change, the Acquiror promptly notifies the Company, in writing, at least five (5) Business Days (the “</w:t>
      </w:r>
      <w:r>
        <w:rPr>
          <w:rFonts w:ascii="Times New Roman" w:cs="Times New Roman" w:eastAsia="Times New Roman" w:hAnsi="Times New Roman"/>
          <w:sz w:val="17"/>
          <w:szCs w:val="17"/>
          <w:u w:val="single" w:color="auto"/>
          <w:color w:val="auto"/>
        </w:rPr>
        <w:t>Acquiror Intervening Event Notice Period</w:t>
      </w:r>
      <w:r>
        <w:rPr>
          <w:rFonts w:ascii="Times New Roman" w:cs="Times New Roman" w:eastAsia="Times New Roman" w:hAnsi="Times New Roman"/>
          <w:sz w:val="17"/>
          <w:szCs w:val="17"/>
          <w:color w:val="auto"/>
        </w:rPr>
        <w:t>”) before taking such action of its intent to consider such action (which notice shall not, by itself, constitute an Acquiror Adverse Recommendation Change or an Acquiror Intervening Event Recommendation Change), and which notice shall include a reasonably detailed description of the underlying facts giving rise to, and the reasons for taking, such action, (B) the Acquiror shall, and shall cause its Representatives to, during the Acquiror Intervening Event Notice Period, negotiate with the Company in good faith (to the extent the Company desires to negotiate) to make such adjustments in the terms and conditions of this Agreement that would not permit the Acquiror Board to make an Acquiror Intervening Event Recommendation Change, and</w:t>
      </w:r>
    </w:p>
    <w:p>
      <w:pPr>
        <w:ind w:left="4" w:right="60" w:hanging="4"/>
        <w:spacing w:after="0" w:line="251" w:lineRule="auto"/>
        <w:tabs>
          <w:tab w:leader="none" w:pos="28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Acquiror Special Committee has determined in good faith, after consultation with its outside legal counsel and, with respect to financial matters, its financial advisor and after compliance with its obligations under this </w:t>
      </w:r>
      <w:r>
        <w:rPr>
          <w:rFonts w:ascii="Times New Roman" w:cs="Times New Roman" w:eastAsia="Times New Roman" w:hAnsi="Times New Roman"/>
          <w:sz w:val="18"/>
          <w:szCs w:val="18"/>
          <w:u w:val="single" w:color="auto"/>
          <w:color w:val="auto"/>
        </w:rPr>
        <w:t>Section 7.6(d)</w:t>
      </w:r>
      <w:r>
        <w:rPr>
          <w:rFonts w:ascii="Times New Roman" w:cs="Times New Roman" w:eastAsia="Times New Roman" w:hAnsi="Times New Roman"/>
          <w:sz w:val="18"/>
          <w:szCs w:val="18"/>
          <w:color w:val="auto"/>
        </w:rPr>
        <w:t xml:space="preserve"> that the failure to effect such an Acquiror Intervening Event Recommendation Change, after taking into account any adjustments made by the Company during the Acquiror Intervening Event Notice Period, would be a breach of the Acquiror directors’ fiduciary duties under applicable Law, and the Acquiror Board, following such determination, determines the same or, in the case of an Acquiror Dilution Intervening Event, the Acquiror Special Committee has determined, reasonably and in good faith, after consultation with its outside legal counsel and, with respect to financial matters, its financial advisor, that, taking into account any proposed revised terms from the Company, the interests of the Acquiror’s existing stockholders will be diluted within the meaning of Rule 17a-8 under the Investment Company Act as a result of the Transactions. In the event that any amendment shall be made to this Agreement following the Acquiror Stockholders Meeting and prior to the Closing in respect of any Acquiror Dilution Intervening Event requiring the approval of the Acquiror’s stockholders, the Acquiror shall be required to take all such actions otherwise provided hereunder to cause a new Acquiror Stockholders Meeting, in such manner as set forth in such amendment.</w:t>
      </w:r>
    </w:p>
    <w:p>
      <w:pPr>
        <w:spacing w:after="0" w:line="84" w:lineRule="exact"/>
        <w:rPr>
          <w:rFonts w:ascii="Times New Roman" w:cs="Times New Roman" w:eastAsia="Times New Roman" w:hAnsi="Times New Roman"/>
          <w:sz w:val="18"/>
          <w:szCs w:val="18"/>
          <w:color w:val="auto"/>
        </w:rPr>
      </w:pPr>
    </w:p>
    <w:p>
      <w:pPr>
        <w:ind w:left="4" w:right="180" w:firstLine="419"/>
        <w:spacing w:after="0" w:line="255" w:lineRule="auto"/>
        <w:tabs>
          <w:tab w:leader="none" w:pos="67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be deemed to prohibit the Acquiror from (i) complying with its disclosure obligations under applicable U.S. federal or state Law with regard to any Takeover Proposal or (ii) making any disclosure to the Acquiror’s stockholders if, after consultation with its outside legal counsel, the Acquiror determines that such disclosure would be required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disclosures (other than a “stop, look and listen” communication or similar communication of the type contemplated by Section 14d-9(f) under the Exchange Act) shall be deemed to be an Acquiror Adverse Recommendation Change unless the Acquiror Board expressly publicly reaffirms the Acquiror Recommendation (A) in such communication or (B) within three (3) Business Days after being requested in writing to do so by the Company.</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564"/>
          </w:cols>
          <w:pgMar w:left="876" w:top="270" w:right="459" w:bottom="1440" w:gutter="0" w:footer="0" w:header="0"/>
        </w:sectPr>
      </w:pPr>
    </w:p>
    <w:bookmarkStart w:id="71" w:name="page72"/>
    <w:bookmarkEnd w:id="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7.8.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70" w:lineRule="auto"/>
        <w:tabs>
          <w:tab w:leader="none" w:pos="1108"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reasonable notice, except as may otherwise be restricted by applicable Law, each of the Company and the Acquiror shall, and shall cause each of its Consolidated Subsidiaries to, afford to the directors, officers, accountants, counsel, advisors and other Representatives of the other party, reasonable access, during normal business hours during the period prior to the Effective Time, to its properties, books, Contracts, and records and, during such period, such party shall, and shall cause its Consolidated Subsidiaries to, make available (including via EDGAR) to the other party all other information concerning its business and properties as the other party may reasonably request;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require the Company or the Acquiror, as applicable, to afford access to or to disclose any information that in such party’s reasonable judgment would violate any confidentiality obligations to which such party is subject to if after using its reasonable best efforts with respect thereto, it was unable to obtain any required consent to provide such access or make such disclosure;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either the Company or the Acquiror may restrict access to the extent required by any applicable Law or as may be necessary to preserve attorney-client privilege or any similar privilege or protection under any circumstances in which such privilege or protection may be jeopardized by such disclosure or access.</w:t>
      </w:r>
    </w:p>
    <w:p>
      <w:pPr>
        <w:spacing w:after="0" w:line="68" w:lineRule="exact"/>
        <w:rPr>
          <w:rFonts w:ascii="Times New Roman" w:cs="Times New Roman" w:eastAsia="Times New Roman" w:hAnsi="Times New Roman"/>
          <w:sz w:val="17"/>
          <w:szCs w:val="17"/>
          <w:color w:val="auto"/>
        </w:rPr>
      </w:pPr>
    </w:p>
    <w:p>
      <w:pPr>
        <w:ind w:left="440" w:right="240" w:firstLine="419"/>
        <w:spacing w:after="0" w:line="282" w:lineRule="auto"/>
        <w:tabs>
          <w:tab w:leader="none" w:pos="11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investigation by a party hereto or its Representatives shall affect or be deemed to modify the representations and warranties of the other parties set forth in this Agreement.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xml:space="preserve">. The initial press release with respect to the Transactions shall be a joint press release reasonably acceptable to each of the Acquiror, the Company and the Acquiror Adviser. Thereafter, so long as this Agreement is in effect, the Acquiror, the Company and the Acquiror Adviser each shall consult with the others before issuing or causing the publication of any press release or other public announcement with respect to this Agreement, the Mergers or the Transactions, except (x) as may be required by applicable Law or the rules and regulations of NASDAQ, and, to the extent practicable, before such press release or other public announcement is issued or made, the Acquiror, the Company or the Acquiror Adviser, as applicable, shall have used commercially reasonable efforts to advise the other parties of, and consult with the other parties regarding, the text of such press release or other public announcement or (y) to the extent that such press release or other public announcement relates to any Company Adverse Recommendation Change or Acquiror Adverse Recommendation Change made in accordance with </w:t>
      </w:r>
      <w:r>
        <w:rPr>
          <w:rFonts w:ascii="Times New Roman" w:cs="Times New Roman" w:eastAsia="Times New Roman" w:hAnsi="Times New Roman"/>
          <w:sz w:val="18"/>
          <w:szCs w:val="18"/>
          <w:u w:val="single" w:color="auto"/>
          <w:color w:val="auto"/>
        </w:rPr>
        <w:t>Sections 7.6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7.7</w:t>
      </w:r>
      <w:r>
        <w:rPr>
          <w:rFonts w:ascii="Times New Roman" w:cs="Times New Roman" w:eastAsia="Times New Roman" w:hAnsi="Times New Roman"/>
          <w:sz w:val="18"/>
          <w:szCs w:val="18"/>
          <w:color w:val="auto"/>
        </w:rPr>
        <w:t xml:space="preserv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Acquiror, the Company or the Acquiror Adviser may make any public statement in response to specific questions by analysts, investors or those attending industry conferences or financial analyst conference calls, so long as any such statements (A) are consistent with previous press releases, public disclosures or public statements made in compliance with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and (B) do not constitute a Company Adverse Recommendation Change or Acquiror Adverse Recommendation Change made in accordance with </w:t>
      </w:r>
      <w:r>
        <w:rPr>
          <w:rFonts w:ascii="Times New Roman" w:cs="Times New Roman" w:eastAsia="Times New Roman" w:hAnsi="Times New Roman"/>
          <w:sz w:val="18"/>
          <w:szCs w:val="18"/>
          <w:u w:val="single" w:color="auto"/>
          <w:color w:val="auto"/>
        </w:rPr>
        <w:t>Sections 7.6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7.7</w:t>
      </w:r>
      <w:r>
        <w:rPr>
          <w:rFonts w:ascii="Times New Roman" w:cs="Times New Roman" w:eastAsia="Times New Roman" w:hAnsi="Times New Roman"/>
          <w:sz w:val="18"/>
          <w:szCs w:val="18"/>
          <w:color w:val="auto"/>
        </w:rPr>
        <w:t>, as applicable.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60"/>
          </w:cols>
          <w:pgMar w:left="440" w:top="270" w:right="499" w:bottom="1440" w:gutter="0" w:footer="0" w:header="0"/>
        </w:sectPr>
      </w:pPr>
    </w:p>
    <w:bookmarkStart w:id="72" w:name="page73"/>
    <w:bookmarkEnd w:id="72"/>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7.10. </w:t>
      </w:r>
      <w:r>
        <w:rPr>
          <w:rFonts w:ascii="Times New Roman" w:cs="Times New Roman" w:eastAsia="Times New Roman" w:hAnsi="Times New Roman"/>
          <w:sz w:val="18"/>
          <w:szCs w:val="18"/>
          <w:u w:val="single" w:color="auto"/>
          <w:color w:val="auto"/>
        </w:rPr>
        <w:t>Takeover Statutes and Provisions</w:t>
      </w:r>
      <w:r>
        <w:rPr>
          <w:rFonts w:ascii="Times New Roman" w:cs="Times New Roman" w:eastAsia="Times New Roman" w:hAnsi="Times New Roman"/>
          <w:sz w:val="18"/>
          <w:szCs w:val="18"/>
          <w:color w:val="auto"/>
        </w:rPr>
        <w:t>. Neither the Acquiror nor the Company will take any action that would cause the Transactions to be subject to requirements imposed by any Takeover Statutes. Each of the Acquiror and the Company shall take all necessary steps within its control to exempt (or ensure the continued exemption of) those Transactions from, or if necessary challenge the validity or applicability of, any applicable Takeover Statute, as now or hereafter in effect.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20" w:firstLine="419"/>
        <w:spacing w:after="0" w:line="266" w:lineRule="auto"/>
        <w:tabs>
          <w:tab w:leader="none" w:pos="110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Representation Letters</w:t>
      </w:r>
      <w:r>
        <w:rPr>
          <w:rFonts w:ascii="Times New Roman" w:cs="Times New Roman" w:eastAsia="Times New Roman" w:hAnsi="Times New Roman"/>
          <w:sz w:val="18"/>
          <w:szCs w:val="18"/>
          <w:color w:val="auto"/>
        </w:rPr>
        <w:t xml:space="preserve">. Prior to the Effective Time (or at such other times as requested by counsel), each of the Acquiror and the Company shall execute and deliver to Simpson Thacher &amp; Bartlett LLP tax representation letters (which will be used in connection with the tax opinions contemplated by </w:t>
      </w:r>
      <w:r>
        <w:rPr>
          <w:rFonts w:ascii="Times New Roman" w:cs="Times New Roman" w:eastAsia="Times New Roman" w:hAnsi="Times New Roman"/>
          <w:sz w:val="18"/>
          <w:szCs w:val="18"/>
          <w:u w:val="single" w:color="auto"/>
          <w:color w:val="auto"/>
        </w:rPr>
        <w:t>Sections 8.2(e)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8.3(e)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56"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RIC Status</w:t>
      </w:r>
      <w:r>
        <w:rPr>
          <w:rFonts w:ascii="Times New Roman" w:cs="Times New Roman" w:eastAsia="Times New Roman" w:hAnsi="Times New Roman"/>
          <w:sz w:val="18"/>
          <w:szCs w:val="18"/>
          <w:color w:val="auto"/>
        </w:rPr>
        <w:t>. During the period from the date of this Agreement to the Effective Time, except as expressly contemplated or permitted by this Agreement, (i) the Company shall not, and shall not permit any of its Consolidated Subsidiaries to, directly or indirectly, without the prior written consent of the Acquiror Special Committee, take any action, or knowingly fail to take any action, which action or failure to act is reasonably likely to cause the Company to fail to qualify as a RIC, and (ii) the Acquiror shall not, and shall not permit any of its Consolidated Subsidiaries to, directly or indirectly, without the prior written consent of the Company Special Committee, take any action, or knowingly fail to take any action, which action or failure to act is reasonably likely to cause the Acquiror to fail to qualify as a RIC.</w:t>
      </w:r>
    </w:p>
    <w:p>
      <w:pPr>
        <w:spacing w:after="0" w:line="79"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0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 of Mer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ers</w:t>
      </w:r>
      <w:r>
        <w:rPr>
          <w:rFonts w:ascii="Times New Roman" w:cs="Times New Roman" w:eastAsia="Times New Roman" w:hAnsi="Times New Roman"/>
          <w:sz w:val="18"/>
          <w:szCs w:val="18"/>
          <w:color w:val="auto"/>
        </w:rPr>
        <w:t>. Unless otherwise required by applicable Law or administrative action, (i) each of the Company, the Acquiror and Merger Sub shall use its reasonable best efforts to cause the Mergers to qualify as a reorganization governed by Section 368(a) of the Code, including by not taking any action that such party knows is reasonably likely to prevent such qualification; and (ii) each of the Company, the Acquiror and Merger Sub shall report the Mergers for U.S. federal income Tax purposes as a reorganization governed by Section 368(a) of the Code.</w:t>
      </w:r>
    </w:p>
    <w:p>
      <w:pPr>
        <w:spacing w:after="0" w:line="75"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Opinions</w:t>
      </w:r>
      <w:r>
        <w:rPr>
          <w:rFonts w:ascii="Times New Roman" w:cs="Times New Roman" w:eastAsia="Times New Roman" w:hAnsi="Times New Roman"/>
          <w:sz w:val="18"/>
          <w:szCs w:val="18"/>
          <w:color w:val="auto"/>
        </w:rPr>
        <w:t xml:space="preserve">. The Company shall use its reasonable best efforts to obtain the tax opinion described in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xml:space="preserve">, and the Acquiror shall use its reasonable best efforts to obtain the tax opinion described in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0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W-9</w:t>
      </w:r>
      <w:r>
        <w:rPr>
          <w:rFonts w:ascii="Times New Roman" w:cs="Times New Roman" w:eastAsia="Times New Roman" w:hAnsi="Times New Roman"/>
          <w:sz w:val="18"/>
          <w:szCs w:val="18"/>
          <w:color w:val="auto"/>
        </w:rPr>
        <w:t>. Prior to the Effective Time, the Company shall deliver to the Acquiror a duly completed and executed Form W-9, dated as of the Closing Date.</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The parties to this Agreement shall reasonably cooperate and consult with one another in connection with the defense and settlement of any Proceeding by the Company’s stockholders or the Acquiror’s stockholders against any of them or any of their respective directors, officers or Affiliates with respect to this Agreement or the Transactions. Each of the Company and the Acquiror (i) shall keep the other party reasonably informed of any material developments in connection with any such Proceeding brought by its stockholders and (ii) shall not settle any such Proceeding without the prior written consent of the other party (such consent not to be unreasonably delayed, conditioned or withheld).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3" w:name="page74"/>
    <w:bookmarkEnd w:id="73"/>
    <w:p>
      <w:pPr>
        <w:jc w:val="both"/>
        <w:ind w:right="3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7.13.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each of the Company Board and the Acquiror Board shall take all such steps as may be required to cause any dispositions of Company Common Stock or acquisitions of Acquiror Common Stock resulting from the Transactions by each individual who is subject to the reporting requirements of Section 16(a) of the Exchange Act with respect to the Company or will become subject to such reporting requirements with respect to the Acquiror, in each case, to be exempt pursuant to Rule 16b-3.</w:t>
      </w:r>
    </w:p>
    <w:p>
      <w:pPr>
        <w:spacing w:after="0" w:line="180"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The parties hereto acknowledge and agree that except for the representations and warranties of the Company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the representations and warranties of the Acquiror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the representations and warranties of the Acquiror Adviser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none of the Acquiror Adviser, the Company, the Acquiror or any of the Company’s or the Acquiror’s respective Consolidated Subsidiaries or any other Person acting on behalf of the foregoing makes or has relied on any representation or warranty, express or implied.</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Merger of Surviving Company</w:t>
      </w:r>
      <w:r>
        <w:rPr>
          <w:rFonts w:ascii="Times New Roman" w:cs="Times New Roman" w:eastAsia="Times New Roman" w:hAnsi="Times New Roman"/>
          <w:sz w:val="18"/>
          <w:szCs w:val="18"/>
          <w:color w:val="auto"/>
        </w:rPr>
        <w:t>. Immediately after the occurrence of the Effective Time, in accordance with the MGCL and the DGCL, the Surviving Company and the Acquiror shall consummate the Second Merger.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Coordination of Dividends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20" w:firstLine="419"/>
        <w:spacing w:after="0" w:line="256" w:lineRule="auto"/>
        <w:tabs>
          <w:tab w:leader="none" w:pos="11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Acquiror and the Company shall coordinate with each other in designating the record and payment dates for any periodic dividends or distributions to their stockholders declared in accordance with this Agreement in any calendar quarter in which the Closing Date might reasonably be expected to occur, and neither the Acquiror nor the Company shall authorize or declare any dividend or distribution to its stockholders after the Determination Date at any time on or before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foregoing shall not prohibit the Acquiror or the Company from authorizing, declaring or paying any dividend or distribution to its stockholders solely payable in cash in accordance with this Agreement, including, with respect to the Company, the Tax Dividend.</w:t>
      </w:r>
    </w:p>
    <w:p>
      <w:pPr>
        <w:spacing w:after="0" w:line="79"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shall declare and pay to the holders of Company Common Stock the Tax Dividend. For the avoidance of doubt, with respect to the taxable year that includes the Closing Date, the Company shall not be required to make distributions, and it is expected that any income or gain for such taxable year that is undistributed as of the Closing Date shall be distributed (i) by the Acquiror on the Company’s behalf pursuant to the Deficiency Dividend or (ii) through such other mechanism as agreed by the parties.</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NASDAQ Listing; Blue Sky</w:t>
      </w:r>
      <w:r>
        <w:rPr>
          <w:rFonts w:ascii="Times New Roman" w:cs="Times New Roman" w:eastAsia="Times New Roman" w:hAnsi="Times New Roman"/>
          <w:sz w:val="18"/>
          <w:szCs w:val="18"/>
          <w:color w:val="auto"/>
        </w:rPr>
        <w:t>. The Acquiror shall use reasonable best efforts to cause the shares of Acquiror Common Stock to be issued as Merger Consideration under this Agreement to be approved for listing on NASDAQ, subject to official notice of issuance, at or prior to the Effective Time. The Acquiror shall also use its reasonable best efforts to obtain all necessary state securities law or “blue sky” permits and approvals required to carry out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Acquiror be required to qualify to do business in any jurisdiction in which it is not now so qualified or file a general consent to service of process).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74" w:name="page75"/>
    <w:bookmarkEnd w:id="7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7.18. </w:t>
      </w:r>
      <w:r>
        <w:rPr>
          <w:rFonts w:ascii="Times New Roman" w:cs="Times New Roman" w:eastAsia="Times New Roman" w:hAnsi="Times New Roman"/>
          <w:sz w:val="18"/>
          <w:szCs w:val="18"/>
          <w:u w:val="single" w:color="auto"/>
          <w:color w:val="auto"/>
        </w:rPr>
        <w:t>Net Asset Value Calculation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19"/>
        <w:spacing w:after="0" w:line="253" w:lineRule="auto"/>
        <w:tabs>
          <w:tab w:leader="none" w:pos="67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facilitate the ability of the Company Special Committee to make a determination under </w:t>
      </w:r>
      <w:r>
        <w:rPr>
          <w:rFonts w:ascii="Times New Roman" w:cs="Times New Roman" w:eastAsia="Times New Roman" w:hAnsi="Times New Roman"/>
          <w:sz w:val="18"/>
          <w:szCs w:val="18"/>
          <w:u w:val="single" w:color="auto"/>
          <w:color w:val="auto"/>
        </w:rPr>
        <w:t>Section 9.1(c)(v)</w:t>
      </w:r>
      <w:r>
        <w:rPr>
          <w:rFonts w:ascii="Times New Roman" w:cs="Times New Roman" w:eastAsia="Times New Roman" w:hAnsi="Times New Roman"/>
          <w:sz w:val="18"/>
          <w:szCs w:val="18"/>
          <w:color w:val="auto"/>
        </w:rPr>
        <w:t>, the Acquiror shall deliver to the Company a calculation of the net asset value of the Acquiror as of a date mutually agreed between the Acquiror and the Company, such date to be no earlier than forty-eight (48) hours (excluding Sundays and holidays) prior to the Effective Time (such agreed date, the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calculated in good faith as of such date and based on the same assumptions and methodologies, and applying the same categories of adjustments to net asset value (except as may be mutually agreed by the parties) historically used in preparing the calculation of the net asset value per share of the Acquiror Common Stock (with an accrual for any dividend declared by the Acquiror and not yet paid) (the “</w:t>
      </w:r>
      <w:r>
        <w:rPr>
          <w:rFonts w:ascii="Times New Roman" w:cs="Times New Roman" w:eastAsia="Times New Roman" w:hAnsi="Times New Roman"/>
          <w:sz w:val="18"/>
          <w:szCs w:val="18"/>
          <w:u w:val="single" w:color="auto"/>
          <w:color w:val="auto"/>
        </w:rPr>
        <w:t>Closing Acquiror Net Asset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Acquiror shall update the calculation of the Closing Acquiror Net Asset Value in the event that the Closing is subsequently delayed or there is a more than de minimis change to the Closing Acquiror Net Asset Value prior to the Closing (including any dividend declared after the Determination Date but prior to Closing) and as needed to ensure the Closing Acquiror Net Asset Value is determined within forty-eight (48) hours (excluding Sundays and holidays)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Acquiror Adviser shall certify in writing to the Company, the calculation of the Closing Acquiror Net Asset Value.</w:t>
      </w:r>
    </w:p>
    <w:p>
      <w:pPr>
        <w:spacing w:after="0" w:line="83" w:lineRule="exact"/>
        <w:rPr>
          <w:rFonts w:ascii="Times New Roman" w:cs="Times New Roman" w:eastAsia="Times New Roman" w:hAnsi="Times New Roman"/>
          <w:sz w:val="18"/>
          <w:szCs w:val="18"/>
          <w:color w:val="auto"/>
        </w:rPr>
      </w:pPr>
    </w:p>
    <w:p>
      <w:pPr>
        <w:ind w:left="4" w:right="100" w:firstLine="419"/>
        <w:spacing w:after="0" w:line="253" w:lineRule="auto"/>
        <w:tabs>
          <w:tab w:leader="none" w:pos="68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to facilitate the ability of the Acquiror Special Committee to make a determination under </w:t>
      </w:r>
      <w:r>
        <w:rPr>
          <w:rFonts w:ascii="Times New Roman" w:cs="Times New Roman" w:eastAsia="Times New Roman" w:hAnsi="Times New Roman"/>
          <w:sz w:val="18"/>
          <w:szCs w:val="18"/>
          <w:u w:val="single" w:color="auto"/>
          <w:color w:val="auto"/>
        </w:rPr>
        <w:t>Section 9.1(d)(v)</w:t>
      </w:r>
      <w:r>
        <w:rPr>
          <w:rFonts w:ascii="Times New Roman" w:cs="Times New Roman" w:eastAsia="Times New Roman" w:hAnsi="Times New Roman"/>
          <w:sz w:val="18"/>
          <w:szCs w:val="18"/>
          <w:color w:val="auto"/>
        </w:rPr>
        <w:t>, the Company shall deliver to the Acquiror a calculation of the net asset value of the Company as of the Determination Date, calculated in good faith as of such date and based on the same assumptions and methodologies, and applying the same categories of adjustments to net asset value (except as otherwise may be mutually agreed by the parties) historically used in preparing the calculation of the net asset value per share of the Company Common Stock (with an accrual for any dividend declared by the Company and not yet paid) (the “</w:t>
      </w:r>
      <w:r>
        <w:rPr>
          <w:rFonts w:ascii="Times New Roman" w:cs="Times New Roman" w:eastAsia="Times New Roman" w:hAnsi="Times New Roman"/>
          <w:sz w:val="18"/>
          <w:szCs w:val="18"/>
          <w:u w:val="single" w:color="auto"/>
          <w:color w:val="auto"/>
        </w:rPr>
        <w:t>Closing Company Net Asset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update the calculation of the Closing Company Net Asset Value in the event that the Closing is subsequently delayed or there is a more than de minimis change to the Closing Company Net Asset Value prior to the Closing (including any dividend declared after the Determination Date but prior to Closing) and as needed to ensure the Closing Company Net Asset Value is determined within forty-eight</w:t>
      </w:r>
    </w:p>
    <w:p>
      <w:pPr>
        <w:ind w:left="4" w:right="220" w:hanging="4"/>
        <w:spacing w:after="0" w:line="260" w:lineRule="auto"/>
        <w:tabs>
          <w:tab w:leader="none" w:pos="34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hours (excluding Sundays and holidays)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Adviser shall certify in writing to the Acquiror, the calculation of the Closing Company Net Asset Value.</w:t>
      </w:r>
    </w:p>
    <w:p>
      <w:pPr>
        <w:spacing w:after="0" w:line="11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544"/>
          </w:cols>
          <w:pgMar w:left="876" w:top="270" w:right="479" w:bottom="1440" w:gutter="0" w:footer="0" w:header="0"/>
        </w:sectPr>
      </w:pPr>
    </w:p>
    <w:bookmarkStart w:id="75" w:name="page76"/>
    <w:bookmarkEnd w:id="75"/>
    <w:p>
      <w:pPr>
        <w:ind w:left="440" w:firstLine="419"/>
        <w:spacing w:after="0" w:line="261" w:lineRule="auto"/>
        <w:tabs>
          <w:tab w:leader="none" w:pos="110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connection with preparing the calculations provided pursuant to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each of the Company and the Acquiror will use the portfolio valuation methods adopted by their respective valuation designee and approved by the Company Board or the Acquiror Board, as applicable, for valuing the securities and other assets of the Company or the Acquiror, as applicable, under Rule 2a-5 of the Investment Company Act as of the date hereof, except as otherwise agreed by each of the Acquiror Board and the Company Board.</w:t>
      </w:r>
    </w:p>
    <w:p>
      <w:pPr>
        <w:spacing w:after="0" w:line="71" w:lineRule="exact"/>
        <w:rPr>
          <w:rFonts w:ascii="Times New Roman" w:cs="Times New Roman" w:eastAsia="Times New Roman" w:hAnsi="Times New Roman"/>
          <w:sz w:val="18"/>
          <w:szCs w:val="18"/>
          <w:color w:val="auto"/>
        </w:rPr>
      </w:pPr>
    </w:p>
    <w:p>
      <w:pPr>
        <w:ind w:left="440" w:right="240" w:firstLine="419"/>
        <w:spacing w:after="0" w:line="258" w:lineRule="auto"/>
        <w:tabs>
          <w:tab w:leader="none" w:pos="11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Acquiror Adviser and the Company Adviser agrees to give each of the Acquiror and the Company and their respective Representatives, upon reasonable request, reasonable access to the individuals who have prepared each calculation provided pursuant to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and to the information, books, records, work papers and back-up materials used or useful in preparing each such calculation, including any reports prepared by valuation agents, in order to assist such party with its review of such calculation so long as such individuals remain employed by the respective adviser or any of its respective Affiliates.</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29"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Conditions to Each Party’s Obligations to Effect the Merger</w:t>
      </w:r>
      <w:r>
        <w:rPr>
          <w:rFonts w:ascii="Times New Roman" w:cs="Times New Roman" w:eastAsia="Times New Roman" w:hAnsi="Times New Roman"/>
          <w:sz w:val="18"/>
          <w:szCs w:val="18"/>
          <w:color w:val="auto"/>
        </w:rPr>
        <w:t xml:space="preserve">. The respective obligations of the parties to effect the Merger shall be subject to the satisfaction or, other than with respect to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which shall not be waived by any party hereto, waiver, at or prior to the Effective Time, of the following conditions:</w:t>
      </w:r>
    </w:p>
    <w:p>
      <w:pPr>
        <w:spacing w:after="0" w:line="68" w:lineRule="exact"/>
        <w:rPr>
          <w:sz w:val="20"/>
          <w:szCs w:val="20"/>
          <w:color w:val="auto"/>
        </w:rPr>
      </w:pPr>
    </w:p>
    <w:p>
      <w:pPr>
        <w:ind w:left="440" w:right="440" w:firstLine="419"/>
        <w:spacing w:after="0" w:line="282" w:lineRule="auto"/>
        <w:tabs>
          <w:tab w:leader="none" w:pos="110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Approvals</w:t>
      </w:r>
      <w:r>
        <w:rPr>
          <w:rFonts w:ascii="Times New Roman" w:cs="Times New Roman" w:eastAsia="Times New Roman" w:hAnsi="Times New Roman"/>
          <w:sz w:val="18"/>
          <w:szCs w:val="18"/>
          <w:color w:val="auto"/>
        </w:rPr>
        <w:t>. (i) The Company Matters shall have been approved by the Company Requisite Vote, and (ii) the Acquiror Matters shall have been approved by the Acquiror Requisite Vote.</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become effective under the Securities Act and applicable state Law, and no stop Order suspending the effectiveness of the Registration Statement shall have been issued and no Proceedings for that purpose shall have been initiated by the SEC.</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0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 Ille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ality</w:t>
      </w:r>
      <w:r>
        <w:rPr>
          <w:rFonts w:ascii="Times New Roman" w:cs="Times New Roman" w:eastAsia="Times New Roman" w:hAnsi="Times New Roman"/>
          <w:sz w:val="18"/>
          <w:szCs w:val="18"/>
          <w:color w:val="auto"/>
        </w:rPr>
        <w:t>. No Order issued by any court or agency of competent jurisdiction or other Law preventing, enjoining, restraining or making illegal the consummation of the Mergers or any of the other Transactions shall be in effect.</w:t>
      </w:r>
    </w:p>
    <w:p>
      <w:pPr>
        <w:spacing w:after="0" w:line="53" w:lineRule="exact"/>
        <w:rPr>
          <w:rFonts w:ascii="Times New Roman" w:cs="Times New Roman" w:eastAsia="Times New Roman" w:hAnsi="Times New Roman"/>
          <w:sz w:val="18"/>
          <w:szCs w:val="18"/>
          <w:color w:val="auto"/>
        </w:rPr>
      </w:pPr>
    </w:p>
    <w:p>
      <w:pPr>
        <w:jc w:val="both"/>
        <w:ind w:left="440" w:firstLine="419"/>
        <w:spacing w:after="0" w:line="258"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and Other Approvals</w:t>
      </w:r>
      <w:r>
        <w:rPr>
          <w:rFonts w:ascii="Times New Roman" w:cs="Times New Roman" w:eastAsia="Times New Roman" w:hAnsi="Times New Roman"/>
          <w:sz w:val="18"/>
          <w:szCs w:val="18"/>
          <w:color w:val="auto"/>
        </w:rPr>
        <w:t>. All Regulatory Approvals required by applicable Law to consummate the Transactions, including the Mergers, shall have been obtained and shall remain in full force and effect and all statutory waiting periods required by applicable Law in respect thereof shall have expired (including expiration of the applicable waiting period under the HSR Act), other than those, in each case, the failure to be obtained or expired would not, and would not reasonably be expected to, be material and adverse to the Company and the Acquiror, taken as a whole.</w:t>
      </w:r>
    </w:p>
    <w:p>
      <w:pPr>
        <w:spacing w:after="0" w:line="75"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0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There shall be no Proceeding by any Governmental Entity of competent jurisdiction set forth on Section 8.1(e) of the Company Disclosure Schedule pending that challenges the Mergers or any of the other Transactions or that otherwise prevents, enjoins, restrains or makes illegal the consummation of the Mergers or any of the other Transactions.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00"/>
          </w:cols>
          <w:pgMar w:left="440" w:top="270" w:right="559" w:bottom="1440" w:gutter="0" w:footer="0" w:header="0"/>
        </w:sectPr>
      </w:pPr>
    </w:p>
    <w:bookmarkStart w:id="76" w:name="page77"/>
    <w:bookmarkEnd w:id="76"/>
    <w:p>
      <w:pPr>
        <w:ind w:left="440" w:right="200" w:firstLine="419"/>
        <w:spacing w:after="0" w:line="282" w:lineRule="auto"/>
        <w:tabs>
          <w:tab w:leader="none" w:pos="108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NASDAQ Listin</w:t>
      </w:r>
      <w:r>
        <w:rPr>
          <w:rFonts w:ascii="Times New Roman" w:cs="Times New Roman" w:eastAsia="Times New Roman" w:hAnsi="Times New Roman"/>
          <w:sz w:val="18"/>
          <w:szCs w:val="18"/>
          <w:color w:val="auto"/>
        </w:rPr>
        <w:t>g. The shares of Acquiror Common Stock to be issued under this Agreement in connection with the Merger shall have been authorized for listing on NASDAQ, subject to official notice of issuance.</w:t>
      </w:r>
    </w:p>
    <w:p>
      <w:pPr>
        <w:spacing w:after="0" w:line="53"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Indebtedness</w:t>
      </w:r>
      <w:r>
        <w:rPr>
          <w:rFonts w:ascii="Times New Roman" w:cs="Times New Roman" w:eastAsia="Times New Roman" w:hAnsi="Times New Roman"/>
          <w:sz w:val="18"/>
          <w:szCs w:val="18"/>
          <w:color w:val="auto"/>
        </w:rPr>
        <w:t>. Any consents, approvals, confirmations and authorizations required pursuant to the terms of the Company Indebtedness to consummate the Transactions (including the Merger) shall have been obtained.</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Acquiror Common Stock</w:t>
      </w:r>
      <w:r>
        <w:rPr>
          <w:rFonts w:ascii="Times New Roman" w:cs="Times New Roman" w:eastAsia="Times New Roman" w:hAnsi="Times New Roman"/>
          <w:sz w:val="18"/>
          <w:szCs w:val="18"/>
          <w:color w:val="auto"/>
        </w:rPr>
        <w:t>. The shares of Acquiror Common Stock to be sold under this Agreement in connection with the Merger shall be sold at a price equal to or greater than the net asset value per share.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Conditions to Obligations of the Acquiror and Merger Sub to Effect the Merger</w:t>
      </w:r>
      <w:r>
        <w:rPr>
          <w:rFonts w:ascii="Times New Roman" w:cs="Times New Roman" w:eastAsia="Times New Roman" w:hAnsi="Times New Roman"/>
          <w:sz w:val="18"/>
          <w:szCs w:val="18"/>
          <w:color w:val="auto"/>
        </w:rPr>
        <w:t>. The obligations of the Acquiror and Merger Sub to effect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are also subject to the satisfaction or waiver by the Acquiror, at or prior to the Effective Time, of the following conditions:</w:t>
      </w:r>
    </w:p>
    <w:p>
      <w:pPr>
        <w:spacing w:after="0" w:line="99" w:lineRule="exact"/>
        <w:rPr>
          <w:sz w:val="20"/>
          <w:szCs w:val="20"/>
          <w:color w:val="auto"/>
        </w:rPr>
      </w:pPr>
    </w:p>
    <w:p>
      <w:pPr>
        <w:ind w:left="440" w:firstLine="419"/>
        <w:spacing w:after="0" w:line="252" w:lineRule="auto"/>
        <w:tabs>
          <w:tab w:leader="none" w:pos="110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 and the Company Adviser</w:t>
      </w:r>
      <w:r>
        <w:rPr>
          <w:rFonts w:ascii="Times New Roman" w:cs="Times New Roman" w:eastAsia="Times New Roman" w:hAnsi="Times New Roman"/>
          <w:sz w:val="18"/>
          <w:szCs w:val="18"/>
          <w:color w:val="auto"/>
        </w:rPr>
        <w:t xml:space="preserve">. (i) The representations and warranties of the Company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shall be true and correct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 the Company set forth in </w:t>
      </w:r>
      <w:r>
        <w:rPr>
          <w:rFonts w:ascii="Times New Roman" w:cs="Times New Roman" w:eastAsia="Times New Roman" w:hAnsi="Times New Roman"/>
          <w:sz w:val="18"/>
          <w:szCs w:val="18"/>
          <w:u w:val="single" w:color="auto"/>
          <w:color w:val="auto"/>
        </w:rPr>
        <w:t>Section 3.8(ii)</w:t>
      </w:r>
      <w:r>
        <w:rPr>
          <w:rFonts w:ascii="Times New Roman" w:cs="Times New Roman" w:eastAsia="Times New Roman" w:hAnsi="Times New Roman"/>
          <w:sz w:val="18"/>
          <w:szCs w:val="18"/>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the Company set forth in </w:t>
      </w:r>
      <w:r>
        <w:rPr>
          <w:rFonts w:ascii="Times New Roman" w:cs="Times New Roman" w:eastAsia="Times New Roman" w:hAnsi="Times New Roman"/>
          <w:sz w:val="18"/>
          <w:szCs w:val="18"/>
          <w:u w:val="single" w:color="auto"/>
          <w:color w:val="auto"/>
        </w:rPr>
        <w:t>Sections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3.20</w:t>
      </w:r>
      <w:r>
        <w:rPr>
          <w:rFonts w:ascii="Times New Roman" w:cs="Times New Roman" w:eastAsia="Times New Roman" w:hAnsi="Times New Roman"/>
          <w:sz w:val="18"/>
          <w:szCs w:val="18"/>
          <w:color w:val="auto"/>
        </w:rPr>
        <w:t xml:space="preserve"> and the representations and warranties of the Company Adviser set forth in </w:t>
      </w:r>
      <w:r>
        <w:rPr>
          <w:rFonts w:ascii="Times New Roman" w:cs="Times New Roman" w:eastAsia="Times New Roman" w:hAnsi="Times New Roman"/>
          <w:sz w:val="18"/>
          <w:szCs w:val="18"/>
          <w:u w:val="single" w:color="auto"/>
          <w:color w:val="auto"/>
        </w:rPr>
        <w:t>Sections 5.2(a)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5.2(b)(i)</w:t>
      </w:r>
      <w:r>
        <w:rPr>
          <w:rFonts w:ascii="Times New Roman" w:cs="Times New Roman" w:eastAsia="Times New Roman" w:hAnsi="Times New Roman"/>
          <w:sz w:val="18"/>
          <w:szCs w:val="18"/>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the Company and the Company Adviser set forth in this Agreement (other than those set forth in the foregoing clauses (i), (ii) and (iii)), disregarding all qualifications and exceptions contained therein relating to the materiality or Material Adverse Effect or any similar qualification, shall be true and correct on and as of the date of this Agreement and on and as of the Closing Date as though such representations and warranties were made on and as of such date and time (except to the extent that any such representation and warranty speaks only as to a specified date, in which case such representation and warranty shall be true and correct as of such specified date), except where the circumstances causing the failure of such representations or warranties to be true and correct have not had and would not reasonably be expect to have, individually or in the aggregate, a Material Adverse Effect with respect to the Company or the Company Adviser (as applicable).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77" w:name="page78"/>
    <w:bookmarkEnd w:id="77"/>
    <w:p>
      <w:pPr>
        <w:ind w:left="440" w:right="140" w:firstLine="419"/>
        <w:spacing w:after="0" w:line="282" w:lineRule="auto"/>
        <w:tabs>
          <w:tab w:leader="none" w:pos="111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of Obli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ations of the Company and the Company Adviser</w:t>
      </w:r>
      <w:r>
        <w:rPr>
          <w:rFonts w:ascii="Times New Roman" w:cs="Times New Roman" w:eastAsia="Times New Roman" w:hAnsi="Times New Roman"/>
          <w:sz w:val="18"/>
          <w:szCs w:val="18"/>
          <w:color w:val="auto"/>
        </w:rPr>
        <w:t>. The Company and the Company Adviser shall have performed in all material respects its obligations required to be performed by them under this Agreement at or prior to the Effective Time.</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0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Company Material Adverse Effect</w:t>
      </w:r>
      <w:r>
        <w:rPr>
          <w:rFonts w:ascii="Times New Roman" w:cs="Times New Roman" w:eastAsia="Times New Roman" w:hAnsi="Times New Roman"/>
          <w:sz w:val="18"/>
          <w:szCs w:val="18"/>
          <w:color w:val="auto"/>
        </w:rPr>
        <w:t>. Since the date of this Agreement there shall not have occurred any condition, change or event that, individually or in the aggregate, has had or would reasonably be expected to have, a Material Adverse Effect in respect of the Company.</w:t>
      </w:r>
    </w:p>
    <w:p>
      <w:pPr>
        <w:spacing w:after="0" w:line="67" w:lineRule="exact"/>
        <w:rPr>
          <w:rFonts w:ascii="Times New Roman" w:cs="Times New Roman" w:eastAsia="Times New Roman" w:hAnsi="Times New Roman"/>
          <w:sz w:val="18"/>
          <w:szCs w:val="18"/>
          <w:color w:val="auto"/>
        </w:rPr>
      </w:pPr>
    </w:p>
    <w:p>
      <w:pPr>
        <w:ind w:left="440" w:right="300" w:firstLine="419"/>
        <w:spacing w:after="0" w:line="261" w:lineRule="auto"/>
        <w:tabs>
          <w:tab w:leader="none" w:pos="111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Receipt of Company Certificate; Company Adviser Certificate</w:t>
      </w:r>
      <w:r>
        <w:rPr>
          <w:rFonts w:ascii="Times New Roman" w:cs="Times New Roman" w:eastAsia="Times New Roman" w:hAnsi="Times New Roman"/>
          <w:sz w:val="18"/>
          <w:szCs w:val="18"/>
          <w:color w:val="auto"/>
        </w:rPr>
        <w:t>. The Acquiror shall have received a certificate signed on behalf of the Company by the Chief Executive Officer or the Chief Financial Officer of the Company to the effect that the conditions set forth in</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8.2(a)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have been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certificate shall not address the portion of the conditions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and</w:t>
      </w:r>
    </w:p>
    <w:p>
      <w:pPr>
        <w:spacing w:after="0" w:line="9" w:lineRule="exact"/>
        <w:rPr>
          <w:rFonts w:ascii="Times New Roman" w:cs="Times New Roman" w:eastAsia="Times New Roman" w:hAnsi="Times New Roman"/>
          <w:sz w:val="18"/>
          <w:szCs w:val="18"/>
          <w:color w:val="auto"/>
        </w:rPr>
      </w:pPr>
    </w:p>
    <w:p>
      <w:pPr>
        <w:ind w:left="440" w:right="460" w:hanging="4"/>
        <w:spacing w:after="0" w:line="290" w:lineRule="auto"/>
        <w:tabs>
          <w:tab w:leader="none" w:pos="695" w:val="left"/>
        </w:tabs>
        <w:numPr>
          <w:ilvl w:val="0"/>
          <w:numId w:val="10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that relate solely to the Company Adviser. The Acquiror shall have received a certificate signed by an authorized officer of the Company Adviser to the effect that the conditions set forth </w:t>
      </w:r>
      <w:r>
        <w:rPr>
          <w:rFonts w:ascii="Times New Roman" w:cs="Times New Roman" w:eastAsia="Times New Roman" w:hAnsi="Times New Roman"/>
          <w:sz w:val="17"/>
          <w:szCs w:val="17"/>
          <w:u w:val="single" w:color="auto"/>
          <w:color w:val="auto"/>
        </w:rPr>
        <w:t>Sections 8.2(a)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as they relate solely to the Company Adviser, have been satisfied.</w:t>
      </w:r>
    </w:p>
    <w:p>
      <w:pPr>
        <w:spacing w:after="0" w:line="49" w:lineRule="exact"/>
        <w:rPr>
          <w:rFonts w:ascii="Times New Roman" w:cs="Times New Roman" w:eastAsia="Times New Roman" w:hAnsi="Times New Roman"/>
          <w:sz w:val="17"/>
          <w:szCs w:val="17"/>
          <w:u w:val="single" w:color="auto"/>
          <w:color w:val="auto"/>
        </w:rPr>
      </w:pPr>
    </w:p>
    <w:p>
      <w:pPr>
        <w:ind w:left="440" w:firstLine="419"/>
        <w:spacing w:after="0" w:line="255" w:lineRule="auto"/>
        <w:tabs>
          <w:tab w:leader="none" w:pos="110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Tax Opinion</w:t>
      </w:r>
      <w:r>
        <w:rPr>
          <w:rFonts w:ascii="Times New Roman" w:cs="Times New Roman" w:eastAsia="Times New Roman" w:hAnsi="Times New Roman"/>
          <w:sz w:val="18"/>
          <w:szCs w:val="18"/>
          <w:color w:val="auto"/>
        </w:rPr>
        <w:t xml:space="preserve">. The Acquiror shall have received the opinion of its counsel, Simpson Thacher &amp; Bartlett LLP, dated as of the Closing Date and in form and substance reasonably acceptable to the Acquiror, substantially to the effect that, on the basis of facts, representations and assumptions that are consistent with the state of facts existing at the Closing Date, the Mergers will be treated as a reorganization within the meaning of Section 368(a) of the Code. In rendering such opinion, counsel may require and rely upon representations contained in certificates of officers of the Acquiror and the Company delivered pursuant to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 If counsel for the Acquiror will not render such an opinion, counsel for the Company reasonably acceptable to the Acquiror may render such opinion to the Acquiror in form and substance reasonably satisfactory to the Acquiror.</w:t>
      </w:r>
    </w:p>
    <w:p>
      <w:pPr>
        <w:spacing w:after="0" w:line="18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Conditions to Obligations of the Company to Effect the Merger</w:t>
      </w:r>
      <w:r>
        <w:rPr>
          <w:rFonts w:ascii="Times New Roman" w:cs="Times New Roman" w:eastAsia="Times New Roman" w:hAnsi="Times New Roman"/>
          <w:sz w:val="18"/>
          <w:szCs w:val="18"/>
          <w:color w:val="auto"/>
        </w:rPr>
        <w:t>. The obligation of the Company to effect the Merger is also subject to the satisfaction or waiver by the Company, at or prior to the Effective Time, of the following conditions:</w:t>
      </w:r>
    </w:p>
    <w:p>
      <w:pPr>
        <w:spacing w:after="0" w:line="54" w:lineRule="exact"/>
        <w:rPr>
          <w:sz w:val="20"/>
          <w:szCs w:val="20"/>
          <w:color w:val="auto"/>
        </w:rPr>
      </w:pPr>
    </w:p>
    <w:p>
      <w:pPr>
        <w:ind w:left="440" w:right="240" w:firstLine="419"/>
        <w:spacing w:after="0" w:line="261" w:lineRule="auto"/>
        <w:tabs>
          <w:tab w:leader="none" w:pos="110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Acquiror, Merger Sub and the Acquiror Adviser</w:t>
      </w:r>
      <w:r>
        <w:rPr>
          <w:rFonts w:ascii="Times New Roman" w:cs="Times New Roman" w:eastAsia="Times New Roman" w:hAnsi="Times New Roman"/>
          <w:sz w:val="18"/>
          <w:szCs w:val="18"/>
          <w:color w:val="auto"/>
        </w:rPr>
        <w:t xml:space="preserve">. (i) The representations and warranties of the Acquiror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shall be true and correct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78" w:name="page79"/>
    <w:bookmarkEnd w:id="78"/>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be true and correct as of such earlier date); (ii) the representations and warranties of the Acquiror and Merger Sub set forth in </w:t>
      </w:r>
      <w:r>
        <w:rPr>
          <w:rFonts w:ascii="Times New Roman" w:cs="Times New Roman" w:eastAsia="Times New Roman" w:hAnsi="Times New Roman"/>
          <w:sz w:val="18"/>
          <w:szCs w:val="18"/>
          <w:u w:val="single" w:color="auto"/>
          <w:color w:val="auto"/>
        </w:rPr>
        <w:t>Section 4.8(ii)</w:t>
      </w:r>
      <w:r>
        <w:rPr>
          <w:rFonts w:ascii="Times New Roman" w:cs="Times New Roman" w:eastAsia="Times New Roman" w:hAnsi="Times New Roman"/>
          <w:sz w:val="18"/>
          <w:szCs w:val="18"/>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the Acquiror and Merger Sub set forth in </w:t>
      </w:r>
      <w:r>
        <w:rPr>
          <w:rFonts w:ascii="Times New Roman" w:cs="Times New Roman" w:eastAsia="Times New Roman" w:hAnsi="Times New Roman"/>
          <w:sz w:val="18"/>
          <w:szCs w:val="18"/>
          <w:u w:val="single" w:color="auto"/>
          <w:color w:val="auto"/>
        </w:rPr>
        <w:t>Sections 4.3(a)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and the representations and warranties of the Acquiror Adviser set forth in </w:t>
      </w:r>
      <w:r>
        <w:rPr>
          <w:rFonts w:ascii="Times New Roman" w:cs="Times New Roman" w:eastAsia="Times New Roman" w:hAnsi="Times New Roman"/>
          <w:sz w:val="18"/>
          <w:szCs w:val="18"/>
          <w:u w:val="single" w:color="auto"/>
          <w:color w:val="auto"/>
        </w:rPr>
        <w:t>Sections 5.2(a)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5.2(b)(i)</w:t>
      </w:r>
      <w:r>
        <w:rPr>
          <w:rFonts w:ascii="Times New Roman" w:cs="Times New Roman" w:eastAsia="Times New Roman" w:hAnsi="Times New Roman"/>
          <w:sz w:val="18"/>
          <w:szCs w:val="18"/>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the Acquiror, Merger Sub and the Acquiror Adviser set forth in this Agreement (other than those set forth in the foregoing clauses (i), (ii) and (iii)), disregarding all qualifications and exceptions contained therein relating to the materiality or Material Adverse Effect or any similar qualification, shall be true and correct on and as of the date of this Agreement and on and as of the Closing Date as though such representations and warranties were made on and as of such date and time (except to the extent that any such representation and warranty speaks only as to a specified date, in which case such representation and warranty shall be true and correct as of such specified date), except where the circumstances causing the failure of such representations or warranties to be true and correct have not had and would not reasonably be expect to have, individually or in the aggregate, a Material Adverse Effect with respect to the Acquiror, Merger Sub, the Company or the Acquiror Adviser, as applicable.</w:t>
      </w:r>
    </w:p>
    <w:p>
      <w:pPr>
        <w:spacing w:after="0" w:line="88" w:lineRule="exact"/>
        <w:rPr>
          <w:sz w:val="20"/>
          <w:szCs w:val="20"/>
          <w:color w:val="auto"/>
        </w:rPr>
      </w:pPr>
    </w:p>
    <w:p>
      <w:pPr>
        <w:ind w:left="4" w:right="40" w:firstLine="419"/>
        <w:spacing w:after="0" w:line="266" w:lineRule="auto"/>
        <w:tabs>
          <w:tab w:leader="none" w:pos="68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ations of the Acquiror, Merger Sub and the Acquiror Adviser</w:t>
      </w:r>
      <w:r>
        <w:rPr>
          <w:rFonts w:ascii="Times New Roman" w:cs="Times New Roman" w:eastAsia="Times New Roman" w:hAnsi="Times New Roman"/>
          <w:sz w:val="18"/>
          <w:szCs w:val="18"/>
          <w:color w:val="auto"/>
        </w:rPr>
        <w:t>. The Acquiror, Merger Sub and the Acquiror Adviser shall have performed in all material respects their obligations required to be performed by them under this Agreement at or prior to the Effective Time.</w:t>
      </w:r>
    </w:p>
    <w:p>
      <w:pPr>
        <w:spacing w:after="0" w:line="67" w:lineRule="exact"/>
        <w:rPr>
          <w:rFonts w:ascii="Times New Roman" w:cs="Times New Roman" w:eastAsia="Times New Roman" w:hAnsi="Times New Roman"/>
          <w:sz w:val="18"/>
          <w:szCs w:val="18"/>
          <w:color w:val="auto"/>
        </w:rPr>
      </w:pPr>
    </w:p>
    <w:p>
      <w:pPr>
        <w:jc w:val="both"/>
        <w:ind w:left="4" w:right="240" w:firstLine="419"/>
        <w:spacing w:after="0" w:line="266" w:lineRule="auto"/>
        <w:tabs>
          <w:tab w:leader="none" w:pos="67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Acquiror or Acquiror Adviser Material Adverse Effect</w:t>
      </w:r>
      <w:r>
        <w:rPr>
          <w:rFonts w:ascii="Times New Roman" w:cs="Times New Roman" w:eastAsia="Times New Roman" w:hAnsi="Times New Roman"/>
          <w:sz w:val="18"/>
          <w:szCs w:val="18"/>
          <w:color w:val="auto"/>
        </w:rPr>
        <w:t>. Since the date of this Agreement there shall not have occurred any condition, change or event that, individually or in the aggregate, has had or would reasonably be expected to have, a Material Adverse Effect in respect of the Acquiror or the Acquiror Adviser.</w:t>
      </w:r>
    </w:p>
    <w:p>
      <w:pPr>
        <w:spacing w:after="0" w:line="67" w:lineRule="exact"/>
        <w:rPr>
          <w:rFonts w:ascii="Times New Roman" w:cs="Times New Roman" w:eastAsia="Times New Roman" w:hAnsi="Times New Roman"/>
          <w:sz w:val="18"/>
          <w:szCs w:val="18"/>
          <w:color w:val="auto"/>
        </w:rPr>
      </w:pPr>
    </w:p>
    <w:p>
      <w:pPr>
        <w:ind w:left="4" w:right="20" w:firstLine="419"/>
        <w:spacing w:after="0" w:line="272" w:lineRule="auto"/>
        <w:tabs>
          <w:tab w:leader="none" w:pos="681"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Receipt of Acquiror Certificate; Acquiror Adviser Certificate</w:t>
      </w:r>
      <w:r>
        <w:rPr>
          <w:rFonts w:ascii="Times New Roman" w:cs="Times New Roman" w:eastAsia="Times New Roman" w:hAnsi="Times New Roman"/>
          <w:sz w:val="17"/>
          <w:szCs w:val="17"/>
          <w:color w:val="auto"/>
        </w:rPr>
        <w:t xml:space="preserve">. The Company shall have received a certificate signed on behalf of the Acquiror and Merger Sub by the Chief Executive Officer or the Chief Financial Officer of the Acquiror to the effect that the conditions set forth in </w:t>
      </w:r>
      <w:r>
        <w:rPr>
          <w:rFonts w:ascii="Times New Roman" w:cs="Times New Roman" w:eastAsia="Times New Roman" w:hAnsi="Times New Roman"/>
          <w:sz w:val="17"/>
          <w:szCs w:val="17"/>
          <w:u w:val="single" w:color="auto"/>
          <w:color w:val="auto"/>
        </w:rPr>
        <w:t>Sections 8.3(a)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have been satisfied;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certificate shall not address the portion of the conditions in </w:t>
      </w:r>
      <w:r>
        <w:rPr>
          <w:rFonts w:ascii="Times New Roman" w:cs="Times New Roman" w:eastAsia="Times New Roman" w:hAnsi="Times New Roman"/>
          <w:sz w:val="17"/>
          <w:szCs w:val="17"/>
          <w:u w:val="single" w:color="auto"/>
          <w:color w:val="auto"/>
        </w:rPr>
        <w:t>Section 8.3(a)</w:t>
      </w:r>
      <w:r>
        <w:rPr>
          <w:rFonts w:ascii="Times New Roman" w:cs="Times New Roman" w:eastAsia="Times New Roman" w:hAnsi="Times New Roman"/>
          <w:sz w:val="17"/>
          <w:szCs w:val="17"/>
          <w:color w:val="auto"/>
        </w:rPr>
        <w:t xml:space="preserve"> and</w:t>
      </w:r>
    </w:p>
    <w:p>
      <w:pPr>
        <w:spacing w:after="0" w:line="1" w:lineRule="exact"/>
        <w:rPr>
          <w:rFonts w:ascii="Times New Roman" w:cs="Times New Roman" w:eastAsia="Times New Roman" w:hAnsi="Times New Roman"/>
          <w:sz w:val="17"/>
          <w:szCs w:val="17"/>
          <w:color w:val="auto"/>
        </w:rPr>
      </w:pPr>
    </w:p>
    <w:p>
      <w:pPr>
        <w:ind w:left="4" w:right="340" w:hanging="4"/>
        <w:spacing w:after="0" w:line="290" w:lineRule="auto"/>
        <w:tabs>
          <w:tab w:leader="none" w:pos="258" w:val="left"/>
        </w:tabs>
        <w:numPr>
          <w:ilvl w:val="0"/>
          <w:numId w:val="10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that relate solely to the Acquiror Adviser. The Company shall have received a certificate signed by an authorized officer of the Acquiror Adviser to the effect that the conditions set forth </w:t>
      </w:r>
      <w:r>
        <w:rPr>
          <w:rFonts w:ascii="Times New Roman" w:cs="Times New Roman" w:eastAsia="Times New Roman" w:hAnsi="Times New Roman"/>
          <w:sz w:val="17"/>
          <w:szCs w:val="17"/>
          <w:u w:val="single" w:color="auto"/>
          <w:color w:val="auto"/>
        </w:rPr>
        <w:t>Sections 8.3(a)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as they relate solely to the Acquiror Adviser, have been satisfied.</w:t>
      </w:r>
    </w:p>
    <w:p>
      <w:pPr>
        <w:spacing w:after="0" w:line="9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564"/>
          </w:cols>
          <w:pgMar w:left="876" w:top="270" w:right="459" w:bottom="1440" w:gutter="0" w:footer="0" w:header="0"/>
        </w:sectPr>
      </w:pPr>
    </w:p>
    <w:bookmarkStart w:id="79" w:name="page80"/>
    <w:bookmarkEnd w:id="79"/>
    <w:p>
      <w:pPr>
        <w:ind w:left="440" w:right="220" w:firstLine="419"/>
        <w:spacing w:after="0" w:line="255" w:lineRule="auto"/>
        <w:tabs>
          <w:tab w:leader="none" w:pos="110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Tax Opinion</w:t>
      </w:r>
      <w:r>
        <w:rPr>
          <w:rFonts w:ascii="Times New Roman" w:cs="Times New Roman" w:eastAsia="Times New Roman" w:hAnsi="Times New Roman"/>
          <w:sz w:val="18"/>
          <w:szCs w:val="18"/>
          <w:color w:val="auto"/>
        </w:rPr>
        <w:t xml:space="preserve">. The Company shall have received the opinion of its counsel, Simpson Thacher &amp; Bartlett LLP, dated as of the Closing Date and in form and substance reasonably acceptable to the Company, substantially to the effect that, on the basis of facts, representations and assumptions that are consistent with the state of facts existing at the Closing Date, the Mergers will be treated as a reorganization within the meaning of Section 368(a) of the Code. In rendering such opinion, counsel may require and rely upon representations contained in certificates of officers of the Acquiror and the Company delivered pursuant to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 If counsel for the Company will not render such an opinion, counsel for the Acquiror may render such opinion to the Company in form and substance reasonably satisfactory to the Company.</w:t>
      </w:r>
    </w:p>
    <w:p>
      <w:pPr>
        <w:spacing w:after="0" w:line="80" w:lineRule="exact"/>
        <w:rPr>
          <w:rFonts w:ascii="Times New Roman" w:cs="Times New Roman" w:eastAsia="Times New Roman" w:hAnsi="Times New Roman"/>
          <w:sz w:val="18"/>
          <w:szCs w:val="18"/>
          <w:color w:val="auto"/>
        </w:rPr>
      </w:pPr>
    </w:p>
    <w:p>
      <w:pPr>
        <w:ind w:left="440" w:right="300" w:firstLine="419"/>
        <w:spacing w:after="0" w:line="255" w:lineRule="auto"/>
        <w:tabs>
          <w:tab w:leader="none" w:pos="108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Acquiror Advisory Agreement</w:t>
      </w:r>
      <w:r>
        <w:rPr>
          <w:rFonts w:ascii="Times New Roman" w:cs="Times New Roman" w:eastAsia="Times New Roman" w:hAnsi="Times New Roman"/>
          <w:sz w:val="18"/>
          <w:szCs w:val="18"/>
          <w:color w:val="auto"/>
        </w:rPr>
        <w:t>. The (i) Investment Advisory Agreement, dated April 1, 2019, by and between the Acquiror and the Acquiror Adviser, as in effect on the date hereof (the “</w:t>
      </w:r>
      <w:r>
        <w:rPr>
          <w:rFonts w:ascii="Times New Roman" w:cs="Times New Roman" w:eastAsia="Times New Roman" w:hAnsi="Times New Roman"/>
          <w:sz w:val="18"/>
          <w:szCs w:val="18"/>
          <w:u w:val="single" w:color="auto"/>
          <w:color w:val="auto"/>
        </w:rPr>
        <w:t>Acquiror Advisory Agreement</w:t>
      </w:r>
      <w:r>
        <w:rPr>
          <w:rFonts w:ascii="Times New Roman" w:cs="Times New Roman" w:eastAsia="Times New Roman" w:hAnsi="Times New Roman"/>
          <w:sz w:val="18"/>
          <w:szCs w:val="18"/>
          <w:color w:val="auto"/>
        </w:rPr>
        <w:t>”), is in full force and effect and has not been amended or supplemented on or after the date hereof, (ii) Acquiror Adviser has not received any notice from the Acquiror, the Acquiror Board or anyone authorized to act by the Acquiror Board, regarding the proposed termination or amendment of the Acquiror Advisory Agreement and</w:t>
      </w:r>
    </w:p>
    <w:p>
      <w:pPr>
        <w:spacing w:after="0" w:line="2" w:lineRule="exact"/>
        <w:rPr>
          <w:rFonts w:ascii="Times New Roman" w:cs="Times New Roman" w:eastAsia="Times New Roman" w:hAnsi="Times New Roman"/>
          <w:sz w:val="18"/>
          <w:szCs w:val="18"/>
          <w:color w:val="auto"/>
        </w:rPr>
      </w:pPr>
    </w:p>
    <w:p>
      <w:pPr>
        <w:ind w:left="440" w:right="300" w:hanging="4"/>
        <w:spacing w:after="0" w:line="260" w:lineRule="auto"/>
        <w:tabs>
          <w:tab w:leader="none" w:pos="74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Acquiror Adviser has not delivered any notice to the Acquiror, the Acquiror Board or anyone authorized to act on behalf of the Acquiror’s board of directors, regarding the proposed termination or amendment of the Acquiror Advisory Agreement.</w:t>
      </w:r>
    </w:p>
    <w:p>
      <w:pPr>
        <w:spacing w:after="0" w:line="18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None of the Acquiror, Merger Sub or the Company may rely on the failure of any condition set forth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be satisfied to excuse performance by such party of its obligations under this Agreement if such failure was caused by such party’s failure to act in good faith or to use its commercially reasonable efforts to consummate the Merger and the other Transactions.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AND AMENDMENT</w:t>
      </w:r>
    </w:p>
    <w:p>
      <w:pPr>
        <w:spacing w:after="0" w:line="22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as follows (which, except as otherwise expressly provided herein, may be at any time prior to the Effective Time, whether before or after approval of the Company Matters by the stockholders of the Company or the Acquiror Matters by the stockholders of the Acquiror):</w:t>
      </w:r>
    </w:p>
    <w:p>
      <w:pPr>
        <w:spacing w:after="0" w:line="68" w:lineRule="exact"/>
        <w:rPr>
          <w:sz w:val="20"/>
          <w:szCs w:val="20"/>
          <w:color w:val="auto"/>
        </w:rPr>
      </w:pPr>
    </w:p>
    <w:p>
      <w:pPr>
        <w:ind w:left="440" w:firstLine="419"/>
        <w:spacing w:after="0" w:line="266" w:lineRule="auto"/>
        <w:tabs>
          <w:tab w:leader="none" w:pos="110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consent of the Company and the Acquiror in a written instrument authorized by each of the Company Board, including a majority of the Independent Directors of each of the Company and the Company Special Committee, and the Acquiror Board, including a majority of the Independent Directors of the Acquiror;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80" w:name="page81"/>
    <w:bookmarkEnd w:id="80"/>
    <w:p>
      <w:pPr>
        <w:ind w:left="1120" w:hanging="261"/>
        <w:spacing w:after="0"/>
        <w:tabs>
          <w:tab w:leader="none" w:pos="11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either the Company or the Acquiror, if:</w:t>
      </w:r>
    </w:p>
    <w:p>
      <w:pPr>
        <w:spacing w:after="0" w:line="117" w:lineRule="exact"/>
        <w:rPr>
          <w:rFonts w:ascii="Times New Roman" w:cs="Times New Roman" w:eastAsia="Times New Roman" w:hAnsi="Times New Roman"/>
          <w:sz w:val="18"/>
          <w:szCs w:val="18"/>
          <w:color w:val="auto"/>
        </w:rPr>
      </w:pPr>
    </w:p>
    <w:p>
      <w:pPr>
        <w:jc w:val="both"/>
        <w:ind w:left="980" w:right="80" w:firstLine="408"/>
        <w:spacing w:after="0" w:line="261" w:lineRule="auto"/>
        <w:tabs>
          <w:tab w:leader="none" w:pos="15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that must grant a Regulatory Approval has denied approval of the Transactions (including the Mergers) and such denial has become final and nonappealable, or any Governmental Entity of competent jurisdiction set forth on Section 8.1(e) of the Company Disclosure Schedule shall have issued a final and nonappealable Order, or promulgated any other Law, permanently enjoining or otherwise prohibiting or making illegal the consummation of the Transactions;</w:t>
      </w:r>
    </w:p>
    <w:p>
      <w:pPr>
        <w:spacing w:after="0" w:line="71" w:lineRule="exact"/>
        <w:rPr>
          <w:rFonts w:ascii="Times New Roman" w:cs="Times New Roman" w:eastAsia="Times New Roman" w:hAnsi="Times New Roman"/>
          <w:sz w:val="18"/>
          <w:szCs w:val="18"/>
          <w:color w:val="auto"/>
        </w:rPr>
      </w:pPr>
    </w:p>
    <w:p>
      <w:pPr>
        <w:jc w:val="both"/>
        <w:ind w:left="980" w:right="240" w:firstLine="408"/>
        <w:spacing w:after="0" w:line="261" w:lineRule="auto"/>
        <w:tabs>
          <w:tab w:leader="none" w:pos="164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shall not have been consummated on or before October 29, 2025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9.1(b)(ii)</w:t>
      </w:r>
      <w:r>
        <w:rPr>
          <w:rFonts w:ascii="Times New Roman" w:cs="Times New Roman" w:eastAsia="Times New Roman" w:hAnsi="Times New Roman"/>
          <w:sz w:val="18"/>
          <w:szCs w:val="18"/>
          <w:color w:val="auto"/>
        </w:rPr>
        <w:t xml:space="preserve"> shall not be available to any party whose failure to fulfill in any material respect any of its obligations under this Agreement (including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as applicable) has been the cause of, or resulted in, the event giving rise to the failure to close prior to the Outside Date;</w:t>
      </w:r>
    </w:p>
    <w:p>
      <w:pPr>
        <w:spacing w:after="0" w:line="71" w:lineRule="exact"/>
        <w:rPr>
          <w:rFonts w:ascii="Times New Roman" w:cs="Times New Roman" w:eastAsia="Times New Roman" w:hAnsi="Times New Roman"/>
          <w:sz w:val="18"/>
          <w:szCs w:val="18"/>
          <w:color w:val="auto"/>
        </w:rPr>
      </w:pPr>
    </w:p>
    <w:p>
      <w:pPr>
        <w:ind w:left="980" w:right="200" w:firstLine="408"/>
        <w:spacing w:after="0" w:line="266" w:lineRule="auto"/>
        <w:tabs>
          <w:tab w:leader="none" w:pos="169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shall have failed to approve the Company Matters by the Company Requisite Vote of the Company’s stockholders at a duly held meeting of the Company’s stockholders or at any adjournment or postponement thereof at which the Company Matters have been voted upon; or</w:t>
      </w:r>
    </w:p>
    <w:p>
      <w:pPr>
        <w:spacing w:after="0" w:line="67"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8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Acquiror shall have failed to approve the Acquiror Matters by the Acquiror Requisite Vote of the Acquiror’s stockholders at a duly held meeting of the Acquiror’s stockholders or at any adjournment or postponement thereof at which the Acquiror Matters have been voted upon;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shall not be available to any party that has breached in any material respect its obligations under this Agreement in any manner (including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as applicable) that has been the principal cause of or resulted in the failure to consummate the Transactions;</w:t>
      </w:r>
    </w:p>
    <w:p>
      <w:pPr>
        <w:spacing w:after="0" w:line="68" w:lineRule="exact"/>
        <w:rPr>
          <w:sz w:val="20"/>
          <w:szCs w:val="20"/>
          <w:color w:val="auto"/>
        </w:rPr>
      </w:pPr>
    </w:p>
    <w:p>
      <w:pPr>
        <w:ind w:left="1100" w:hanging="241"/>
        <w:spacing w:after="0"/>
        <w:tabs>
          <w:tab w:leader="none" w:pos="11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pacing w:after="0" w:line="117" w:lineRule="exact"/>
        <w:rPr>
          <w:rFonts w:ascii="Times New Roman" w:cs="Times New Roman" w:eastAsia="Times New Roman" w:hAnsi="Times New Roman"/>
          <w:sz w:val="18"/>
          <w:szCs w:val="18"/>
          <w:color w:val="auto"/>
        </w:rPr>
      </w:pPr>
    </w:p>
    <w:p>
      <w:pPr>
        <w:ind w:left="980" w:firstLine="408"/>
        <w:spacing w:after="0" w:line="255" w:lineRule="auto"/>
        <w:tabs>
          <w:tab w:leader="none" w:pos="159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have been a breach of or failure to perform any of the covenants or agreements or any of the representations or warranties set forth in this Agreement on the part of the Acquiror, Merger Sub or the Acquiror Adviser, which breach or failure, either individually or in the aggregate, would result in, if occurring or continuing on the Closing Date, the failure of the conditions set forth in </w:t>
      </w:r>
      <w:r>
        <w:rPr>
          <w:rFonts w:ascii="Times New Roman" w:cs="Times New Roman" w:eastAsia="Times New Roman" w:hAnsi="Times New Roman"/>
          <w:sz w:val="18"/>
          <w:szCs w:val="18"/>
          <w:u w:val="single" w:color="auto"/>
          <w:color w:val="auto"/>
        </w:rPr>
        <w:t>Sections 8.3(a)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and such breach or failure is not curable prior to the Outside Date or if curable prior to the Outside Date, has not been cured within thirty (30) days after the giving of notice thereof by the Company to the Acquiror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not then in material breach of this Agreement so as to cause any of the conditions set forth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8.2(c)</w:t>
      </w:r>
      <w:r>
        <w:rPr>
          <w:rFonts w:ascii="Times New Roman" w:cs="Times New Roman" w:eastAsia="Times New Roman" w:hAnsi="Times New Roman"/>
          <w:sz w:val="18"/>
          <w:szCs w:val="18"/>
          <w:color w:val="auto"/>
        </w:rPr>
        <w:t xml:space="preserve"> not to be satisfied);</w:t>
      </w:r>
    </w:p>
    <w:p>
      <w:pPr>
        <w:spacing w:after="0" w:line="80" w:lineRule="exact"/>
        <w:rPr>
          <w:rFonts w:ascii="Times New Roman" w:cs="Times New Roman" w:eastAsia="Times New Roman" w:hAnsi="Times New Roman"/>
          <w:sz w:val="18"/>
          <w:szCs w:val="18"/>
          <w:color w:val="auto"/>
        </w:rPr>
      </w:pPr>
    </w:p>
    <w:p>
      <w:pPr>
        <w:ind w:left="980" w:right="360" w:firstLine="408"/>
        <w:spacing w:after="0" w:line="266" w:lineRule="auto"/>
        <w:tabs>
          <w:tab w:leader="none" w:pos="164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obtaining approval of the Acquiror Matters by the stockholders of the Acquiror (A) an Acquiror Adverse Recommendation Change shall have occurred to the extent permitted by, and subject to the terms and conditions of,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(B) a Takeover Proposal is publicly announced and the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70" w:right="479" w:bottom="1440" w:gutter="0" w:footer="0" w:header="0"/>
        </w:sectPr>
      </w:pPr>
    </w:p>
    <w:bookmarkStart w:id="81" w:name="page82"/>
    <w:bookmarkEnd w:id="81"/>
    <w:p>
      <w:pPr>
        <w:ind w:left="121"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Acquiror fails to issue, within ten (10) Business Days after such Takeover Proposal is announced, a press release that reaffirms the Acquiror Recommendation or (C) a tender or exchange offer relating to any shares of Acquiror Common Stock shall have been commenced by a third party and the Acquiror shall not have sent to its stockholders, within ten (10) Business Days after the commencement of such tender or exchange offer, a statement disclosing that the Acquiror Board recommends rejection of such tender or exchange offer;</w:t>
      </w:r>
    </w:p>
    <w:p>
      <w:pPr>
        <w:spacing w:after="0" w:line="75" w:lineRule="exact"/>
        <w:rPr>
          <w:sz w:val="20"/>
          <w:szCs w:val="20"/>
          <w:color w:val="auto"/>
        </w:rPr>
      </w:pPr>
    </w:p>
    <w:p>
      <w:pPr>
        <w:ind w:left="121" w:right="20" w:firstLine="408"/>
        <w:spacing w:after="0" w:line="276" w:lineRule="auto"/>
        <w:tabs>
          <w:tab w:leader="none" w:pos="836"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Acquiror willfully breaches, in any material respect, its obligations under </w:t>
      </w:r>
      <w:r>
        <w:rPr>
          <w:rFonts w:ascii="Times New Roman" w:cs="Times New Roman" w:eastAsia="Times New Roman" w:hAnsi="Times New Roman"/>
          <w:sz w:val="17"/>
          <w:szCs w:val="17"/>
          <w:u w:val="single" w:color="auto"/>
          <w:color w:val="auto"/>
        </w:rPr>
        <w:t>Section 7.5</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7.7</w:t>
      </w:r>
      <w:r>
        <w:rPr>
          <w:rFonts w:ascii="Times New Roman" w:cs="Times New Roman" w:eastAsia="Times New Roman" w:hAnsi="Times New Roman"/>
          <w:sz w:val="17"/>
          <w:szCs w:val="17"/>
          <w:color w:val="auto"/>
        </w:rPr>
        <w:t>, other than in the case where (w) such breach is a result of an isolated action by a Representative of the Acquiror (other than a director or officer of the Acquiror),</w:t>
      </w:r>
    </w:p>
    <w:p>
      <w:pPr>
        <w:ind w:left="121" w:right="260" w:firstLine="7"/>
        <w:spacing w:after="0" w:line="253" w:lineRule="auto"/>
        <w:tabs>
          <w:tab w:leader="none" w:pos="3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breach was not caused by, or within the knowledge of, the Acquiror, (y) the Acquiror takes appropriate actions to remedy such breach promptly upon discovery thereof and (z) the Company is not harmed as a result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Company be entitled to terminate this Agreement pursuant to this </w:t>
      </w:r>
      <w:r>
        <w:rPr>
          <w:rFonts w:ascii="Times New Roman" w:cs="Times New Roman" w:eastAsia="Times New Roman" w:hAnsi="Times New Roman"/>
          <w:sz w:val="18"/>
          <w:szCs w:val="18"/>
          <w:u w:val="single" w:color="auto"/>
          <w:color w:val="auto"/>
        </w:rPr>
        <w:t>Section 9.11(c)(iii)</w:t>
      </w:r>
      <w:r>
        <w:rPr>
          <w:rFonts w:ascii="Times New Roman" w:cs="Times New Roman" w:eastAsia="Times New Roman" w:hAnsi="Times New Roman"/>
          <w:sz w:val="18"/>
          <w:szCs w:val="18"/>
          <w:color w:val="auto"/>
        </w:rPr>
        <w:t xml:space="preserve"> following approval of the Acquiror Matters by the stockholders of the Acquiror;</w:t>
      </w:r>
    </w:p>
    <w:p>
      <w:pPr>
        <w:spacing w:after="0" w:line="80" w:lineRule="exact"/>
        <w:rPr>
          <w:rFonts w:ascii="Times New Roman" w:cs="Times New Roman" w:eastAsia="Times New Roman" w:hAnsi="Times New Roman"/>
          <w:sz w:val="18"/>
          <w:szCs w:val="18"/>
          <w:color w:val="auto"/>
        </w:rPr>
      </w:pPr>
    </w:p>
    <w:p>
      <w:pPr>
        <w:ind w:left="841" w:hanging="312"/>
        <w:spacing w:after="0"/>
        <w:tabs>
          <w:tab w:leader="none" w:pos="84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time the approval of the Company’s stockholders with respect to the Company Matters is obtained,</w:t>
      </w:r>
    </w:p>
    <w:p>
      <w:pPr>
        <w:spacing w:after="0" w:line="27" w:lineRule="exact"/>
        <w:rPr>
          <w:sz w:val="20"/>
          <w:szCs w:val="20"/>
          <w:color w:val="auto"/>
        </w:rPr>
      </w:pPr>
    </w:p>
    <w:p>
      <w:pPr>
        <w:ind w:left="121" w:right="140" w:firstLine="7"/>
        <w:spacing w:after="0" w:line="255" w:lineRule="auto"/>
        <w:tabs>
          <w:tab w:leader="none" w:pos="41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not in material breach of any of the terms of this Agreement and (B) the Company Board, including a majority of the Independent Directors of the Company, authorizes the Company, subject to complying with the terms of this Agreement (including </w:t>
      </w:r>
      <w:r>
        <w:rPr>
          <w:rFonts w:ascii="Times New Roman" w:cs="Times New Roman" w:eastAsia="Times New Roman" w:hAnsi="Times New Roman"/>
          <w:sz w:val="18"/>
          <w:szCs w:val="18"/>
          <w:u w:val="single" w:color="auto"/>
          <w:color w:val="auto"/>
        </w:rPr>
        <w:t>Section 7.6(b)</w:t>
      </w:r>
      <w:r>
        <w:rPr>
          <w:rFonts w:ascii="Times New Roman" w:cs="Times New Roman" w:eastAsia="Times New Roman" w:hAnsi="Times New Roman"/>
          <w:sz w:val="18"/>
          <w:szCs w:val="18"/>
          <w:color w:val="auto"/>
        </w:rPr>
        <w:t>), to enter into, and the Company enters into, a definitive Contract with respect to a Company Superior Proposal; or</w:t>
      </w:r>
    </w:p>
    <w:p>
      <w:pPr>
        <w:spacing w:after="0" w:line="77" w:lineRule="exact"/>
        <w:rPr>
          <w:rFonts w:ascii="Times New Roman" w:cs="Times New Roman" w:eastAsia="Times New Roman" w:hAnsi="Times New Roman"/>
          <w:sz w:val="18"/>
          <w:szCs w:val="18"/>
          <w:color w:val="auto"/>
        </w:rPr>
      </w:pPr>
    </w:p>
    <w:p>
      <w:pPr>
        <w:ind w:left="121" w:right="40" w:firstLine="408"/>
        <w:spacing w:after="0" w:line="258" w:lineRule="auto"/>
        <w:tabs>
          <w:tab w:leader="none" w:pos="776"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Closing, the Company Special Committee has determined, reasonably and in good faith, after consultation with its outside legal counsel and, with respect to financial matters, its financial advisor, as a result of events or other circumstances occurring or arising after the date hereof that were not known to the Company Board as of the date hereof, and in compliance with </w:t>
      </w:r>
      <w:r>
        <w:rPr>
          <w:rFonts w:ascii="Times New Roman" w:cs="Times New Roman" w:eastAsia="Times New Roman" w:hAnsi="Times New Roman"/>
          <w:sz w:val="18"/>
          <w:szCs w:val="18"/>
          <w:u w:val="single" w:color="auto"/>
          <w:color w:val="auto"/>
        </w:rPr>
        <w:t>Section 7.6(d)</w:t>
      </w:r>
      <w:r>
        <w:rPr>
          <w:rFonts w:ascii="Times New Roman" w:cs="Times New Roman" w:eastAsia="Times New Roman" w:hAnsi="Times New Roman"/>
          <w:sz w:val="18"/>
          <w:szCs w:val="18"/>
          <w:color w:val="auto"/>
        </w:rPr>
        <w:t>, that, taking into account any proposed revised terms from the Acquiror, the interests of the Company’s existing stockholders will be diluted within the meaning of Rule 17a-8 under the Investment Company Act as a result of the Transactions;</w:t>
      </w:r>
    </w:p>
    <w:p>
      <w:pPr>
        <w:spacing w:after="0" w:line="75"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Acquiror, if:</w:t>
      </w:r>
    </w:p>
    <w:p>
      <w:pPr>
        <w:spacing w:after="0" w:line="117" w:lineRule="exact"/>
        <w:rPr>
          <w:rFonts w:ascii="Times New Roman" w:cs="Times New Roman" w:eastAsia="Times New Roman" w:hAnsi="Times New Roman"/>
          <w:sz w:val="18"/>
          <w:szCs w:val="18"/>
          <w:color w:val="auto"/>
        </w:rPr>
      </w:pPr>
    </w:p>
    <w:p>
      <w:pPr>
        <w:ind w:left="121" w:firstLine="408"/>
        <w:spacing w:after="0" w:line="256" w:lineRule="auto"/>
        <w:tabs>
          <w:tab w:leader="none" w:pos="736"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have been a breach or failure to perform of any of the covenants or agreements or any of the representations or warranties set forth in this Agreement on the part of the Company, which breach or failure, either individually or in the aggregate, would result in, if occurring or continuing on the Closing Date, the failure of the conditions set forth in </w:t>
      </w:r>
      <w:r>
        <w:rPr>
          <w:rFonts w:ascii="Times New Roman" w:cs="Times New Roman" w:eastAsia="Times New Roman" w:hAnsi="Times New Roman"/>
          <w:sz w:val="18"/>
          <w:szCs w:val="18"/>
          <w:u w:val="single" w:color="auto"/>
          <w:color w:val="auto"/>
        </w:rPr>
        <w:t>Sections 8.2(a)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and such breach or failure is not curable prior to the Outside Date or if curable prior to the Outside Date, has not been cured within thirty (30) days after the giving of notice thereof by the Acquiror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Acquiror, Merger Sub or the Acquiror Adviser is not then in material breach of this Agreement so as to cause any of the conditions set forth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8.3(c)</w:t>
      </w:r>
      <w:r>
        <w:rPr>
          <w:rFonts w:ascii="Times New Roman" w:cs="Times New Roman" w:eastAsia="Times New Roman" w:hAnsi="Times New Roman"/>
          <w:sz w:val="18"/>
          <w:szCs w:val="18"/>
          <w:color w:val="auto"/>
        </w:rPr>
        <w:t xml:space="preserve"> not to be satisfied);</w:t>
      </w:r>
    </w:p>
    <w:p>
      <w:pPr>
        <w:spacing w:after="0" w:line="120"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161"/>
          </w:cols>
          <w:pgMar w:left="1299" w:top="270" w:right="439" w:bottom="1440" w:gutter="0" w:footer="0" w:header="0"/>
        </w:sectPr>
      </w:pPr>
    </w:p>
    <w:bookmarkStart w:id="82" w:name="page83"/>
    <w:bookmarkEnd w:id="82"/>
    <w:p>
      <w:pPr>
        <w:ind w:left="980" w:right="40" w:firstLine="408"/>
        <w:spacing w:after="0" w:line="254" w:lineRule="auto"/>
        <w:tabs>
          <w:tab w:leader="none" w:pos="164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to obtaining approval of the Company Matters by the stockholders of the Company (A) a Company Adverse Recommendation Change shall have occurred to the extent permitted by, and subject to the terms and conditions of,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(B) a Takeover Proposal is publicly announced and the Company fails to issue, within ten (10) Business Days after such Takeover Proposal is announced, a press release that reaffirms the Company Recommendation or (C) a tender or exchange offer relating to any shares of Company Common Stock shall have been commenced by a third party and the Company shall not have sent to its stockholders, within ten</w:t>
      </w:r>
    </w:p>
    <w:p>
      <w:pPr>
        <w:spacing w:after="0" w:line="3" w:lineRule="exact"/>
        <w:rPr>
          <w:rFonts w:ascii="Times New Roman" w:cs="Times New Roman" w:eastAsia="Times New Roman" w:hAnsi="Times New Roman"/>
          <w:sz w:val="18"/>
          <w:szCs w:val="18"/>
          <w:color w:val="auto"/>
        </w:rPr>
      </w:pPr>
    </w:p>
    <w:p>
      <w:pPr>
        <w:ind w:left="980" w:right="920" w:firstLine="7"/>
        <w:spacing w:after="0" w:line="260" w:lineRule="auto"/>
        <w:tabs>
          <w:tab w:leader="none" w:pos="132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commencement of such tender or exchange offer, a statement disclosing that the Company Board recommends rejection of such tender or exchange offer;</w:t>
      </w:r>
    </w:p>
    <w:p>
      <w:pPr>
        <w:spacing w:after="0" w:line="73" w:lineRule="exact"/>
        <w:rPr>
          <w:rFonts w:ascii="Times New Roman" w:cs="Times New Roman" w:eastAsia="Times New Roman" w:hAnsi="Times New Roman"/>
          <w:sz w:val="18"/>
          <w:szCs w:val="18"/>
          <w:color w:val="auto"/>
        </w:rPr>
      </w:pPr>
    </w:p>
    <w:p>
      <w:pPr>
        <w:ind w:left="980" w:right="20" w:firstLine="408"/>
        <w:spacing w:after="0" w:line="256" w:lineRule="auto"/>
        <w:tabs>
          <w:tab w:leader="none" w:pos="169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willfully breaches, in any material respect, its obligations under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other than in the case where (w) such breach is a result of an isolated action by a Representative of the Company (other than a director or officer of the Company), (x) such breach was not caused by, or within the knowledge of, the Company, (y) the Company takes appropriate actions to remedy such breach promptly upon discovery thereof and (z) the Acquiror is not harmed as a result thereof; provided that in no event shall the Acquiror be entitled to terminate this Agreement pursuant to this </w:t>
      </w:r>
      <w:r>
        <w:rPr>
          <w:rFonts w:ascii="Times New Roman" w:cs="Times New Roman" w:eastAsia="Times New Roman" w:hAnsi="Times New Roman"/>
          <w:sz w:val="18"/>
          <w:szCs w:val="18"/>
          <w:u w:val="single" w:color="auto"/>
          <w:color w:val="auto"/>
        </w:rPr>
        <w:t>Section 9.11(d)(iii)</w:t>
      </w:r>
      <w:r>
        <w:rPr>
          <w:rFonts w:ascii="Times New Roman" w:cs="Times New Roman" w:eastAsia="Times New Roman" w:hAnsi="Times New Roman"/>
          <w:sz w:val="18"/>
          <w:szCs w:val="18"/>
          <w:color w:val="auto"/>
        </w:rPr>
        <w:t xml:space="preserve"> following approval of the Company Matters by the stockholders of the Company;</w:t>
      </w:r>
    </w:p>
    <w:p>
      <w:pPr>
        <w:spacing w:after="0" w:line="79"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8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time the approval of the Acquiror’s stockholders with respect to the Acquiror Matters is obtained, (A) the Acquiror is not in material breach of any of the terms of this Agreement and (B) the Acquiror Board, including a majority of the Independent Directors of the Acquiror, authorizes the Acquiror, subject to complying with the terms of this Agreement (including </w:t>
      </w:r>
      <w:r>
        <w:rPr>
          <w:rFonts w:ascii="Times New Roman" w:cs="Times New Roman" w:eastAsia="Times New Roman" w:hAnsi="Times New Roman"/>
          <w:sz w:val="18"/>
          <w:szCs w:val="18"/>
          <w:u w:val="single" w:color="auto"/>
          <w:color w:val="auto"/>
        </w:rPr>
        <w:t>Section 7.7(b)</w:t>
      </w:r>
      <w:r>
        <w:rPr>
          <w:rFonts w:ascii="Times New Roman" w:cs="Times New Roman" w:eastAsia="Times New Roman" w:hAnsi="Times New Roman"/>
          <w:sz w:val="18"/>
          <w:szCs w:val="18"/>
          <w:color w:val="auto"/>
        </w:rPr>
        <w:t>), to enter into, and the Acquiror enters into, a definitive Contract with respect to an Acquiror Superior Proposal; or</w:t>
      </w:r>
    </w:p>
    <w:p>
      <w:pPr>
        <w:spacing w:after="0" w:line="71" w:lineRule="exact"/>
        <w:rPr>
          <w:rFonts w:ascii="Times New Roman" w:cs="Times New Roman" w:eastAsia="Times New Roman" w:hAnsi="Times New Roman"/>
          <w:sz w:val="18"/>
          <w:szCs w:val="18"/>
          <w:color w:val="auto"/>
        </w:rPr>
      </w:pPr>
    </w:p>
    <w:p>
      <w:pPr>
        <w:ind w:left="980" w:right="40" w:firstLine="408"/>
        <w:spacing w:after="0" w:line="258" w:lineRule="auto"/>
        <w:tabs>
          <w:tab w:leader="none" w:pos="163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Closing, the Acquiror Special Committee has determined, reasonably and in good faith, after consultation with its outside legal counsel and, with respect to financial matters, its financial advisor, that, as a result of events or other circumstances occurring or arising after the date hereof that were not known to the Acquiror Board as of the date hereof, and in compliance with </w:t>
      </w:r>
      <w:r>
        <w:rPr>
          <w:rFonts w:ascii="Times New Roman" w:cs="Times New Roman" w:eastAsia="Times New Roman" w:hAnsi="Times New Roman"/>
          <w:sz w:val="18"/>
          <w:szCs w:val="18"/>
          <w:u w:val="single" w:color="auto"/>
          <w:color w:val="auto"/>
        </w:rPr>
        <w:t>Section 7.7(d)</w:t>
      </w:r>
      <w:r>
        <w:rPr>
          <w:rFonts w:ascii="Times New Roman" w:cs="Times New Roman" w:eastAsia="Times New Roman" w:hAnsi="Times New Roman"/>
          <w:sz w:val="18"/>
          <w:szCs w:val="18"/>
          <w:color w:val="auto"/>
        </w:rPr>
        <w:t>, that, taking into account any proposed revised terms from the Company, the interests of the Acquiror’s existing stockholders will be diluted within the meaning of Rule 17a-8 under the Investment Company Act as a result of the Transactions.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party desiring to terminate this Agreement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give written notice of such termination to the other party in accordance with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specifying the provision or provisions hereof pursuant to which such termination is effected.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440" w:top="270" w:right="479" w:bottom="1440" w:gutter="0" w:footer="0" w:header="0"/>
        </w:sectPr>
      </w:pPr>
    </w:p>
    <w:bookmarkStart w:id="83" w:name="page84"/>
    <w:bookmarkEnd w:id="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9.2. </w:t>
      </w: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73" w:lineRule="auto"/>
        <w:tabs>
          <w:tab w:leader="none" w:pos="1108"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this Agreement shall be terminated by the Acquiror or the Company pursuant to </w:t>
      </w:r>
      <w:r>
        <w:rPr>
          <w:rFonts w:ascii="Times New Roman" w:cs="Times New Roman" w:eastAsia="Times New Roman" w:hAnsi="Times New Roman"/>
          <w:sz w:val="17"/>
          <w:szCs w:val="17"/>
          <w:u w:val="single" w:color="auto"/>
          <w:color w:val="auto"/>
        </w:rPr>
        <w:t>Section 9.1(b)(iii)</w:t>
      </w:r>
      <w:r>
        <w:rPr>
          <w:rFonts w:ascii="Times New Roman" w:cs="Times New Roman" w:eastAsia="Times New Roman" w:hAnsi="Times New Roman"/>
          <w:sz w:val="17"/>
          <w:szCs w:val="17"/>
          <w:color w:val="auto"/>
        </w:rPr>
        <w:t>, then the Company shall reimburse the Acquiror and its Affiliates for all of their reasonable, documented out-of-pocket fees and expenses (including all reasonable, documented fees and expenses of outside counsel, financial advisors, accountants, experts and consultants to the Acquiror and its Affiliates) incurred and payable by the Acquiror or on its behalf in connection with or related to the authorization, preparation, investigation, negotiation, execution and performance of this Agreement and the Transactions (the “</w:t>
      </w:r>
      <w:r>
        <w:rPr>
          <w:rFonts w:ascii="Times New Roman" w:cs="Times New Roman" w:eastAsia="Times New Roman" w:hAnsi="Times New Roman"/>
          <w:sz w:val="17"/>
          <w:szCs w:val="17"/>
          <w:u w:val="single" w:color="auto"/>
          <w:color w:val="auto"/>
        </w:rPr>
        <w:t>Acquiror Expenses</w:t>
      </w:r>
      <w:r>
        <w:rPr>
          <w:rFonts w:ascii="Times New Roman" w:cs="Times New Roman" w:eastAsia="Times New Roman" w:hAnsi="Times New Roman"/>
          <w:sz w:val="17"/>
          <w:szCs w:val="17"/>
          <w:color w:val="auto"/>
        </w:rPr>
        <w:t>”). The Acquiror Expenses shall be promptly paid by the Company by wire transfer of immediately available funds to an account designated in writing to the Company by the Acquiror if the Acquiror shall have furnished to the Company wire payment instructions prior to the date of payment or, otherwise, by certified or official bank check.</w:t>
      </w:r>
    </w:p>
    <w:p>
      <w:pPr>
        <w:spacing w:after="0" w:line="63" w:lineRule="exact"/>
        <w:rPr>
          <w:rFonts w:ascii="Times New Roman" w:cs="Times New Roman" w:eastAsia="Times New Roman" w:hAnsi="Times New Roman"/>
          <w:sz w:val="17"/>
          <w:szCs w:val="17"/>
          <w:color w:val="auto"/>
        </w:rPr>
      </w:pPr>
    </w:p>
    <w:p>
      <w:pPr>
        <w:ind w:left="440" w:firstLine="419"/>
        <w:spacing w:after="0" w:line="254" w:lineRule="auto"/>
        <w:tabs>
          <w:tab w:leader="none" w:pos="11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shall be terminated by the Company or the Acquiror pursuant to </w:t>
      </w:r>
      <w:r>
        <w:rPr>
          <w:rFonts w:ascii="Times New Roman" w:cs="Times New Roman" w:eastAsia="Times New Roman" w:hAnsi="Times New Roman"/>
          <w:sz w:val="18"/>
          <w:szCs w:val="18"/>
          <w:u w:val="single" w:color="auto"/>
          <w:color w:val="auto"/>
        </w:rPr>
        <w:t>Section 9.1(b)(iv)</w:t>
      </w:r>
      <w:r>
        <w:rPr>
          <w:rFonts w:ascii="Times New Roman" w:cs="Times New Roman" w:eastAsia="Times New Roman" w:hAnsi="Times New Roman"/>
          <w:sz w:val="18"/>
          <w:szCs w:val="18"/>
          <w:color w:val="auto"/>
        </w:rPr>
        <w:t>, then the Acquiror shall reimburse the Company and its Affiliates for all of their reasonable, documented out-of-pocket fees and expenses (including all reasonable, documented fees and expenses of outside counsel, financial advisors, accountants, experts and consultants to the Company and its Affiliates) incurred and payable by the Company or on its behalf in connection with or related to the authorization, preparation, investigation, negotiation, execution and performance of this Agreement and the Transactions (the “</w:t>
      </w:r>
      <w:r>
        <w:rPr>
          <w:rFonts w:ascii="Times New Roman" w:cs="Times New Roman" w:eastAsia="Times New Roman" w:hAnsi="Times New Roman"/>
          <w:sz w:val="18"/>
          <w:szCs w:val="18"/>
          <w:u w:val="single" w:color="auto"/>
          <w:color w:val="auto"/>
        </w:rPr>
        <w:t>Company Expenses</w:t>
      </w:r>
      <w:r>
        <w:rPr>
          <w:rFonts w:ascii="Times New Roman" w:cs="Times New Roman" w:eastAsia="Times New Roman" w:hAnsi="Times New Roman"/>
          <w:sz w:val="18"/>
          <w:szCs w:val="18"/>
          <w:color w:val="auto"/>
        </w:rPr>
        <w:t>”). The Company Expenses shall be promptly paid by the Acquiror by wire transfer of immediately available funds to the Company or, at the election of the Company, to one of its Consolidated Subsidiaries, to an account designated in writing to the Acquiror by the Company if the Company shall have furnished to the Acquiror wire payment instructions prior to the date of payment or, otherwise, by certified or official bank check.</w:t>
      </w:r>
    </w:p>
    <w:p>
      <w:pPr>
        <w:spacing w:after="0" w:line="83" w:lineRule="exact"/>
        <w:rPr>
          <w:rFonts w:ascii="Times New Roman" w:cs="Times New Roman" w:eastAsia="Times New Roman" w:hAnsi="Times New Roman"/>
          <w:sz w:val="18"/>
          <w:szCs w:val="18"/>
          <w:color w:val="auto"/>
        </w:rPr>
      </w:pPr>
    </w:p>
    <w:p>
      <w:pPr>
        <w:ind w:left="440" w:firstLine="419"/>
        <w:spacing w:after="0" w:line="255" w:lineRule="auto"/>
        <w:tabs>
          <w:tab w:leader="none" w:pos="11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hereto acknowledges that (i) the agreements contained in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are an integral part of the transactions contemplated hereby, and (ii) without these agreements, the parties would not enter into this Agreement; accordingly, if the Company or the Acquiror, as applicable, fails to timely pay any amount due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in order to obtain such payment, the Acquiror or the Company, as applicable, commences a suit that results in a judgment against the other for the payment of any amount set forth in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the Company or the Acquiror, as applicable, shall pay the other its costs and expenses in connection with such suit, together with interest on such amount at the prime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 through the date such payment was actually received, or such lesser rate as is the maximum permitted by applicable Law.</w:t>
      </w:r>
    </w:p>
    <w:p>
      <w:pPr>
        <w:spacing w:after="0" w:line="189"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termination of this Agreement by either the Company or the Acquiror as provided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this Agreement shall forthwith become void and have no effect, and none of the Acquiror Adviser, the Acquiror, Merger Sub, the Company, any of their respective Affiliates or Consolidated Subsidiaries or any of the officers or directors of any of them shall have any liability of any nature whatsoever under this Agreement, or in connection with the Transactions, except that </w:t>
      </w:r>
      <w:r>
        <w:rPr>
          <w:rFonts w:ascii="Times New Roman" w:cs="Times New Roman" w:eastAsia="Times New Roman" w:hAnsi="Times New Roman"/>
          <w:sz w:val="18"/>
          <w:szCs w:val="18"/>
          <w:u w:val="single" w:color="auto"/>
          <w:color w:val="auto"/>
        </w:rPr>
        <w:t>Section 7.8(b)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(including, in each case, any applicable definitions) shall survive any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otherwise provided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nothing herein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60"/>
          </w:cols>
          <w:pgMar w:left="440" w:top="270" w:right="499" w:bottom="1440" w:gutter="0" w:footer="0" w:header="0"/>
        </w:sectPr>
      </w:pPr>
    </w:p>
    <w:bookmarkStart w:id="84" w:name="page85"/>
    <w:bookmarkEnd w:id="8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relieve any party from any liabilities for damages incurred or suffered by another party arising out of the willful or intentional breach by such party of any provision of this Agreement (including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as applicable) or a failure or refusal by such party to consummate this Agreement and the Transactions when such party was obligated to do so in accordance with the terms hereof.</w:t>
      </w:r>
    </w:p>
    <w:p>
      <w:pPr>
        <w:spacing w:after="0" w:line="176"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Except as otherwise provided by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all fees and expenses incurred in connection with this Agreement and the Transactions (including the Mergers) shall be paid by the party incurring such fees or expenses, whether or not the Transactions (including the Mergers) are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notwithstanding the foregoing, the following fees and expenses shall be borne proportionately by the Acquiror and the Company by reference to their respective net asset values as of September 30, 2024: (i) all costs and expenses of printing and mailing the Joint Proxy Statement/Prospectus, (ii) all filing and other fees paid to the SEC in connection with the Mergers, (iii) all filing and other fees in connection with any filing under the HSR Act and (iv) fees and expenses for legal services to the Company, the Acquiror and Merger Sub in connection with the Agreement and the Transactions.</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by the parties, by action taken or authorized by their respective boards of directors (and each of the Company Special Committee and Acquiror Special Committee), at any time before or after approval of the Acquiror Matters by the stockholders of the Acquiror or the Company Matters by the stockholders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any approval of the Acquiror Matters by the stockholders of the Acquiror or the Company Matters by the stockholders of the Company, there shall be no amendment or waiver that would require the further approval of the stockholders of the Company or the Acquiror under applicable Law without such approval having first been obtained. This Agreement may not be amended except by an instrument in writing signed on behalf of each of the parties.</w:t>
      </w:r>
    </w:p>
    <w:p>
      <w:pPr>
        <w:spacing w:after="0" w:line="187" w:lineRule="exact"/>
        <w:rPr>
          <w:sz w:val="20"/>
          <w:szCs w:val="20"/>
          <w:color w:val="auto"/>
        </w:rPr>
      </w:pPr>
    </w:p>
    <w:p>
      <w:pPr>
        <w:ind w:right="20" w:firstLine="440"/>
        <w:spacing w:after="0" w:line="273" w:lineRule="auto"/>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17"/>
          <w:szCs w:val="17"/>
          <w:u w:val="single" w:color="auto"/>
          <w:color w:val="auto"/>
        </w:rPr>
        <w:t>Extension; Waiver</w:t>
      </w:r>
      <w:r>
        <w:rPr>
          <w:rFonts w:ascii="Times New Roman" w:cs="Times New Roman" w:eastAsia="Times New Roman" w:hAnsi="Times New Roman"/>
          <w:sz w:val="17"/>
          <w:szCs w:val="17"/>
          <w:color w:val="auto"/>
        </w:rPr>
        <w:t>. At any time prior to the Effective Time, each party, by action taken or authorized by the Company Board, including the Company Special Committee, or the Acquiror Board, including the Acquiror Special Committee, or the Board of Directors of Merger Sub, as applicable, may, to the extent legally allowed, (a) extend the time for the performance of any of the obligations or other acts of the other parties, (b) waive any inaccuracies in the representations and warranties of the other parties contained in this Agreement or (c) waive compliance by the other parties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non-compliance.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440" w:top="270" w:right="4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jc w:val="both"/>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Dilution Intervening Event</w:t>
      </w:r>
      <w:r>
        <w:rPr>
          <w:rFonts w:ascii="Times New Roman" w:cs="Times New Roman" w:eastAsia="Times New Roman" w:hAnsi="Times New Roman"/>
          <w:sz w:val="18"/>
          <w:szCs w:val="18"/>
          <w:color w:val="auto"/>
        </w:rPr>
        <w:t>” means at any time prior to the Closing, events or other circumstances occurring or arising after the date hereof that were not known to the Acquiror Board as of the date hereof and that were not reasonably foreseeable by the Acquiror Board as of the date hereof which that would result, or would reasonably be expected to result, in the interests of the Acquiror’s existing stockholders being diluted within the meaning of Rule 17a-8 under the Investment Company Act as a result of the Transactions.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Disclosure Schedule</w:t>
      </w:r>
      <w:r>
        <w:rPr>
          <w:rFonts w:ascii="Times New Roman" w:cs="Times New Roman" w:eastAsia="Times New Roman" w:hAnsi="Times New Roman"/>
          <w:sz w:val="18"/>
          <w:szCs w:val="18"/>
          <w:color w:val="auto"/>
        </w:rPr>
        <w:t>” means that certain disclosure schedule of the Acquiror attached hereto.</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Matters</w:t>
      </w:r>
      <w:r>
        <w:rPr>
          <w:rFonts w:ascii="Times New Roman" w:cs="Times New Roman" w:eastAsia="Times New Roman" w:hAnsi="Times New Roman"/>
          <w:sz w:val="18"/>
          <w:szCs w:val="18"/>
          <w:color w:val="auto"/>
        </w:rPr>
        <w:t>” means (i) the approval of the proposed issuance of Acquiror Common Stock in connection with the Merger (including, if applicable, the sale of such Acquiror Common Stock at a price below the net asset value per share of the Acquiror Common Stock determined as of the Determination Date) and (ii) any other matters required to be approved or adopted by the stockholders of the Acquiror in order to effect the Transactions.</w:t>
      </w:r>
    </w:p>
    <w:p>
      <w:pPr>
        <w:spacing w:after="0" w:line="180"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Open Tax Years</w:t>
      </w:r>
      <w:r>
        <w:rPr>
          <w:rFonts w:ascii="Times New Roman" w:cs="Times New Roman" w:eastAsia="Times New Roman" w:hAnsi="Times New Roman"/>
          <w:sz w:val="18"/>
          <w:szCs w:val="18"/>
          <w:color w:val="auto"/>
        </w:rPr>
        <w:t>” means, in the case of a representation with respect to a Tax matter involving the Acquiror, the years for which the underlying statute of limitations with respect to such Tax matter has not yet expired.</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 Superior Proposal</w:t>
      </w:r>
      <w:r>
        <w:rPr>
          <w:rFonts w:ascii="Times New Roman" w:cs="Times New Roman" w:eastAsia="Times New Roman" w:hAnsi="Times New Roman"/>
          <w:sz w:val="18"/>
          <w:szCs w:val="18"/>
          <w:color w:val="auto"/>
        </w:rPr>
        <w:t xml:space="preserve">” means a bona fide written Takeover Proposal that was not knowingly solicited by, or the result of any knowing solicitation by, the Acquiror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the Acquiror or more than 75% of the assets of the Acquiror on a consolidated basis (a) on terms which the Acquiror Board determines in good faith to be superior for the stockholders of the Acquiror (in their capacity as stockholders), taken as a group, from a financial point of view as compared to the Merger (after giving effect to any alternative proposed by the Company in accordance with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Acquiror Board (upon the recommendation of the Acquiror Special Committee) to be reasonably likely to be obtained, as evidenced by a written commitment of a reputable financing source.</w:t>
      </w:r>
    </w:p>
    <w:p>
      <w:pPr>
        <w:spacing w:after="0" w:line="194"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Person means any other Person that, directly or indirectly through one or more intermediaries, controls or is controlled by or is under common control with the first Person (it being understood that (x) no portfolio company in which any Person has, directly or indirectly, made a debt or equity investment that is, would or should be reflected in the schedule of investments included in the quarterly or annual reports of such Person that are filed with the SEC shall be an Affiliate of such Person and (y) the Company Adviser and the Acquiror Adviser shall not be deemed to have “control” over any party hereto). The term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and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a meaning correlative thereto.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66" w:right="459" w:bottom="1440" w:gutter="0" w:footer="0" w:header="0"/>
        </w:sectPr>
      </w:pPr>
    </w:p>
    <w:bookmarkStart w:id="86" w:name="page87"/>
    <w:bookmarkEnd w:id="86"/>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Business Da</w:t>
      </w:r>
      <w:r>
        <w:rPr>
          <w:rFonts w:ascii="Times New Roman" w:cs="Times New Roman" w:eastAsia="Times New Roman" w:hAnsi="Times New Roman"/>
          <w:sz w:val="18"/>
          <w:szCs w:val="18"/>
          <w:color w:val="auto"/>
        </w:rPr>
        <w:t>y” means any day other than a Saturday or Sunday or a day on which banks are required or authorized to close in the City of New York, New York.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2026 Notes</w:t>
      </w:r>
      <w:r>
        <w:rPr>
          <w:rFonts w:ascii="Times New Roman" w:cs="Times New Roman" w:eastAsia="Times New Roman" w:hAnsi="Times New Roman"/>
          <w:sz w:val="18"/>
          <w:szCs w:val="18"/>
          <w:color w:val="auto"/>
        </w:rPr>
        <w:t>” means the 5.25% fixed-rate notes due October 30, 2026 that were issued by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2032 Convertible Notes</w:t>
      </w:r>
      <w:r>
        <w:rPr>
          <w:rFonts w:ascii="Times New Roman" w:cs="Times New Roman" w:eastAsia="Times New Roman" w:hAnsi="Times New Roman"/>
          <w:sz w:val="18"/>
          <w:szCs w:val="18"/>
          <w:color w:val="auto"/>
        </w:rPr>
        <w:t>” means the 5.25% fixed-rate convertible notes due April 1, 2032 that were issued by the Company.</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Administration Agreements</w:t>
      </w:r>
      <w:r>
        <w:rPr>
          <w:rFonts w:ascii="Times New Roman" w:cs="Times New Roman" w:eastAsia="Times New Roman" w:hAnsi="Times New Roman"/>
          <w:sz w:val="18"/>
          <w:szCs w:val="18"/>
          <w:color w:val="auto"/>
        </w:rPr>
        <w:t>” means (i) the custodian agreement between the Company (f/k/a Capitala Finance Corp.) and U.S. Bank National Association and (ii) the administration agreement between the Company and BC Partners Management LLC, each in effect as of the date of this Agreement (in each case, as may be amended or restated from time to time in accordance with its terms).</w:t>
      </w:r>
    </w:p>
    <w:p>
      <w:pPr>
        <w:spacing w:after="0" w:line="176" w:lineRule="exact"/>
        <w:rPr>
          <w:sz w:val="20"/>
          <w:szCs w:val="20"/>
          <w:color w:val="auto"/>
        </w:rPr>
      </w:pPr>
    </w:p>
    <w:p>
      <w:pPr>
        <w:jc w:val="both"/>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Advisory Agreement</w:t>
      </w:r>
      <w:r>
        <w:rPr>
          <w:rFonts w:ascii="Times New Roman" w:cs="Times New Roman" w:eastAsia="Times New Roman" w:hAnsi="Times New Roman"/>
          <w:sz w:val="18"/>
          <w:szCs w:val="18"/>
          <w:color w:val="auto"/>
        </w:rPr>
        <w:t>” means the investment advisory agreement between the Company and the Company Adviser in effect as of the date of this Agreement (as may be amended or restated from time to time in accordance with its terms).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Continuing Director</w:t>
      </w:r>
      <w:r>
        <w:rPr>
          <w:rFonts w:ascii="Times New Roman" w:cs="Times New Roman" w:eastAsia="Times New Roman" w:hAnsi="Times New Roman"/>
          <w:sz w:val="18"/>
          <w:szCs w:val="18"/>
          <w:color w:val="auto"/>
        </w:rPr>
        <w:t>” has the meaning ascribed to the term “Continuing Director” in the Company Charter.</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Credit Agreement</w:t>
      </w:r>
      <w:r>
        <w:rPr>
          <w:rFonts w:ascii="Times New Roman" w:cs="Times New Roman" w:eastAsia="Times New Roman" w:hAnsi="Times New Roman"/>
          <w:sz w:val="18"/>
          <w:szCs w:val="18"/>
          <w:color w:val="auto"/>
        </w:rPr>
        <w:t>” means that certain Revolving Credit and Security Agreement, dated as of October 30, 2020, by and between Capitala Business Lending, LLC, the Company Adviser, as collateral manager, the lenders from time to time parties thereto, KeyBank National Association, as administrative agent, and U.S. Bank National Association, as custodian (as may be amended or restated from time to time in accordance with its terms).</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Dilution Intervening Event</w:t>
      </w:r>
      <w:r>
        <w:rPr>
          <w:rFonts w:ascii="Times New Roman" w:cs="Times New Roman" w:eastAsia="Times New Roman" w:hAnsi="Times New Roman"/>
          <w:sz w:val="18"/>
          <w:szCs w:val="18"/>
          <w:color w:val="auto"/>
        </w:rPr>
        <w:t>” means at any time prior to the Closing, events or other circumstances occurring or arising after the date hereof that were not known to the Company Board as of the date hereof and that were not reasonably foreseeable by the Company Board as of the date hereof which would result, or would reasonably be expected to result, in the interests of the Company’s existing stockholders being diluted within the meaning of Rule 17a-8 under the Investment Company Act as a result of the Transactions.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means that certain disclosure schedule of the Company attached hereto.</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Indebtedness</w:t>
      </w:r>
      <w:r>
        <w:rPr>
          <w:rFonts w:ascii="Times New Roman" w:cs="Times New Roman" w:eastAsia="Times New Roman" w:hAnsi="Times New Roman"/>
          <w:sz w:val="18"/>
          <w:szCs w:val="18"/>
          <w:color w:val="auto"/>
        </w:rPr>
        <w:t>” means, taken together, (i) the Company Credit Agreement, (ii) the Company 2026 Notes and (iii) the Company 2032 Convertible Notes.</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Matters</w:t>
      </w:r>
      <w:r>
        <w:rPr>
          <w:rFonts w:ascii="Times New Roman" w:cs="Times New Roman" w:eastAsia="Times New Roman" w:hAnsi="Times New Roman"/>
          <w:sz w:val="18"/>
          <w:szCs w:val="18"/>
          <w:color w:val="auto"/>
        </w:rPr>
        <w:t>” means (i) the approval of the Merger and (ii) any other matters required to be approved or adopted by the stockholders of the Company in order to effect the Transactions.</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Open Tax Years</w:t>
      </w:r>
      <w:r>
        <w:rPr>
          <w:rFonts w:ascii="Times New Roman" w:cs="Times New Roman" w:eastAsia="Times New Roman" w:hAnsi="Times New Roman"/>
          <w:sz w:val="18"/>
          <w:szCs w:val="18"/>
          <w:color w:val="auto"/>
        </w:rPr>
        <w:t>” means, in the case of a representation with respect to a Tax matter involving the Company, the years for which the underlying statute of limitations with respect to such Tax matter has not yet expired.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40"/>
          </w:cols>
          <w:pgMar w:left="440" w:top="270" w:right="519" w:bottom="1440" w:gutter="0" w:footer="0" w:header="0"/>
        </w:sectPr>
      </w:pPr>
    </w:p>
    <w:bookmarkStart w:id="87" w:name="page88"/>
    <w:bookmarkEnd w:id="87"/>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xml:space="preserve">” means a bona fide written Takeover Proposal that was not knowingly solicited by, or the result of any knowing solicitation by, the Company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the Company or more than 75% of the assets of the Company on a consolidated basis (a) on terms which the Company Board determines in good faith to be superior for the stockholders of the Company (in their capacity as stockholders), taken as a group, from a financial point of view as compared to the Merger (after giving effect to any alternative proposed by the Acquiror in accordance with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Company Board (upon the recommendation of the Company Special Committee) to be reasonably likely to be obtained, as evidenced by a written commitment of a reputable financing source.</w:t>
      </w:r>
    </w:p>
    <w:p>
      <w:pPr>
        <w:spacing w:after="0" w:line="194"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Subsidiar</w:t>
      </w:r>
      <w:r>
        <w:rPr>
          <w:rFonts w:ascii="Times New Roman" w:cs="Times New Roman" w:eastAsia="Times New Roman" w:hAnsi="Times New Roman"/>
          <w:sz w:val="18"/>
          <w:szCs w:val="18"/>
          <w:color w:val="auto"/>
        </w:rPr>
        <w:t>y”, when used with respect to any Person, means any corporation, partnership, limited liability company or other Person, whether incorporated or unincorporated, that is consolidated with such Person for financial reporting purposes under GAAP.</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contract, lease, mortgage, evidence of indebtedness, indenture, license or instrument, whether oral or written, and shall include each amendment, supplement and modification to the foregoing, to which a Person or any of its Consolidated Subsidiaries is a party or by which any of them may be bound.</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“Deficiency Dividend” means one or more dividends paid by the Acquiror after the Closing Date that satisfy the requirements of Sections 860 and 381(c)(23) of the Code in order to cause the Company to maintain its qualification for taxation as a RIC and avoid the imposition on the Company of income tax on undistributed income, in each case with respect to the taxable year of the Company that will end on the Closing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taken together, the Acquiror Disclosure Schedule and the Company Disclosure Schedule.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means the SEC’s Electronic Data Gathering Analysis and Retrieval System.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Act</w:t>
      </w:r>
      <w:r>
        <w:rPr>
          <w:rFonts w:ascii="Times New Roman" w:cs="Times New Roman" w:eastAsia="Times New Roman" w:hAnsi="Times New Roman"/>
          <w:sz w:val="18"/>
          <w:szCs w:val="18"/>
          <w:color w:val="auto"/>
        </w:rPr>
        <w:t>” means the Securities Exchange Act of 1934, as amended, and the rules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Ratio</w:t>
      </w:r>
      <w:r>
        <w:rPr>
          <w:rFonts w:ascii="Times New Roman" w:cs="Times New Roman" w:eastAsia="Times New Roman" w:hAnsi="Times New Roman"/>
          <w:sz w:val="18"/>
          <w:szCs w:val="18"/>
          <w:color w:val="auto"/>
        </w:rPr>
        <w:t>” means 1.500.</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w:t>
      </w:r>
      <w:r>
        <w:rPr>
          <w:rFonts w:ascii="Times New Roman" w:cs="Times New Roman" w:eastAsia="Times New Roman" w:hAnsi="Times New Roman"/>
          <w:sz w:val="18"/>
          <w:szCs w:val="18"/>
          <w:color w:val="auto"/>
        </w:rPr>
        <w:t>y” means any federal, state, local or foreign government or other governmental body, any agency, commission or authority thereof, any regulatory or administrative authority, any quasi-governmental body, any self-regulatory agency, any court, tribunal or judicial body, or any political subdivision, department or branch of any of the foregoing.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88" w:name="page89"/>
    <w:bookmarkEnd w:id="88"/>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mean (a) any indebtedness or other obligation for borrowed money, (b) any indebtedness evidenced by a note, bond, debenture or similar instrument, (c) any liabilities or obligations with respect to interest rate swaps, collars, caps and similar hedging obligations, (d) any capitalized lease obligations, (e) any direct or contingent obligations under letters of credit, bankers’ acceptances, bank guarantees, surety bonds and similar instruments, each to the extent drawn upon and unpaid, (f) any obligation to pay the deferred purchase price of property or services (other than trade accounts payable in the ordinary course of business) and (g) guarantees in respect of clauses (a) through (f), in each case excluding obligations to fund commitments to portfolio companies entered into in the ordinary course of business.</w:t>
      </w:r>
    </w:p>
    <w:p>
      <w:pPr>
        <w:spacing w:after="0" w:line="1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means, with respect to the Acquiror or the Company, each director who is not an “interested person” of the Acquiror or the Company, as the case may be, as defined in the Investment Company Act.</w:t>
      </w:r>
    </w:p>
    <w:p>
      <w:pPr>
        <w:spacing w:after="0" w:line="162"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 any Acquiror Dilution Intervening Event; (b) any Company Dilution Intervening Event; or (c) any event, change or development first occurring or arising after the date hereof that is material to the Acquiror and its Consolidated Subsidiaries, taken as a whole, or the Company and its Consolidated Subsidiaries, taken as whole, that was not known to, or reasonably foreseeable by, the party’s board of directors, as of or prior to the date hereof (or if known or reasonably foreseeable, the material consequences of which were not known or reasonably foreseeable as of the date hereof) and did not result from or arise out of the announcement or pendency of, or any actions required to be taken by such party (or to be refrained from being taken by such party)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following events, changes or developments constitute an Intervening Event: (i)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shall be read without reference to the percentage thresholds set forth in the definition thereof); (ii) any change in the price, or change in trading volume, of the Acquiror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clause (ii) shall not apply to the underlying causes giving rise to or contributing to such change or prevent any of such underlying causes from being taken into account in determining whether an Intervening Event has occurred unless such underlying causes are otherwise excluded from the definition of Intervening Event); or (iii) any changes in general economic or political conditions, except to the extent that such changes have a materially disproportionate adverse impact on the Acquiror and its Consolidated Subsidiaries, taken as a whole, or the Company and its Consolidated Subsidiaries, taken as a whole, relative to other participants of similar sizes engaged in the industries in which, as applicable, the Acquiror or the Company conducts its businesses.</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Advisers Act</w:t>
      </w:r>
      <w:r>
        <w:rPr>
          <w:rFonts w:ascii="Times New Roman" w:cs="Times New Roman" w:eastAsia="Times New Roman" w:hAnsi="Times New Roman"/>
          <w:sz w:val="18"/>
          <w:szCs w:val="18"/>
          <w:color w:val="auto"/>
        </w:rPr>
        <w:t>” means the Investment Advisers Act of 1940, as amended, and the rules promulgated thereunder.</w:t>
      </w:r>
    </w:p>
    <w:p>
      <w:pPr>
        <w:spacing w:after="0" w:line="225"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for each of the Acquiror, the Company, the Acquiror Adviser and the Company Adviser, the actual knowledge of their respective executive officers and managing members, as applicable, as of the date of this Agreement, in each case after review of the relevant representation and warranty with the individual that has management responsibility over such function if such individual (i) has been involved in the process of due diligence relating to, or the negotiation of, this Agreement prior to the date of this Agreement, and (ii) would reasonably be expected to have actual knowledge of the matter in question.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20"/>
          </w:cols>
          <w:pgMar w:left="440" w:top="270" w:right="439" w:bottom="1440" w:gutter="0" w:footer="0" w:header="0"/>
        </w:sectPr>
      </w:pPr>
    </w:p>
    <w:bookmarkStart w:id="89" w:name="page90"/>
    <w:bookmarkEnd w:id="89"/>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or foreign law (including the common law), statute, code, ordinance, rule, regulation, judgment, Order, writ, decree or injunction or any Permit or similar right granted by any Governmental Entity.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all security interests, liens, claims, pledges, easements, mortgages, rights of first offer or refusal or other encumbrances.</w:t>
      </w:r>
    </w:p>
    <w:p>
      <w:pPr>
        <w:spacing w:after="0" w:line="22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with respect to the Acquiror, the Company, the Acquiror Adviser or the Company Adviser, as the case may be, any event, development, change, effect or occurrence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that is, or would reasonably be expected to be, individually or in the aggregate, materially adverse to (i) the business, operations, condition (financial or otherwise) or results of operations of such party and its Consolidated Subsidiaries, taken as a whole, other than (A) any Effect resulting from or attributable to (1) changes in general economic, social or political conditions or the financial markets in general, including the commencement or escalation of a war, armed hostilities or other material international or national calamity or acts of terrorism or earthquakes, hurricanes, other natural disasters or acts of God, the coronavirus (COVID-19) or any other pandemic (including the impact on economies generally and the results of any actions taken by Governmental Entities in response thereto), (2) general changes or developments in the industries in which such party and its Consolidated Subsidiaries operate, including general changes in Law after the date hereof across such industries, except, in the case of the foregoing clauses (1) and (2), to the extent such changes or developments referred to therein have a materially disproportionate adverse impact on such party and its Consolidated Subsidiaries, taken as a whole, relative to other participants of similar sizes engaged in the industries in which such party conducts its businesses or (3) the announcement of this Agreement or the Transactions or the identities of the parties to this Agreement or (B) any failure to meet internal or published projections or forecasts for any period, as the case may be, or any material decline in the price of shares of Company Common Stock or Acquiror Common Stock on NASDAQ or trading volume of Company Common Stock or Acquiror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causes of such failure shall be considered in determining whether there is a Material Adverse Effect) or (ii) the ability of such party to timely perform its material obligations under this Agreement or consummate the Merger and the other Transactions.</w:t>
      </w:r>
    </w:p>
    <w:p>
      <w:pPr>
        <w:spacing w:after="0" w:line="19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writ, injunction, judgment, order or decree entered, issued, made or rendered by any Governmental Entity.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license, permit, variance, exemption, approval, qualification, or Order of any Governmental Entity.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means Indebtedness of the Acquiror or the Company, as applicable, and its respective Consolidated Subsidiaries</w:t>
      </w:r>
    </w:p>
    <w:p>
      <w:pPr>
        <w:spacing w:after="0" w:line="27" w:lineRule="exact"/>
        <w:rPr>
          <w:sz w:val="20"/>
          <w:szCs w:val="20"/>
          <w:color w:val="auto"/>
        </w:rPr>
      </w:pPr>
    </w:p>
    <w:p>
      <w:pPr>
        <w:ind w:left="4" w:right="80" w:hanging="4"/>
        <w:spacing w:after="0" w:line="260" w:lineRule="auto"/>
        <w:tabs>
          <w:tab w:leader="none" w:pos="21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as of the date of this Agreement or (ii) incurred after the date of this Agreement to the extent permitted by the Investment Company Act that is substantially consistent with the past practices of the Acquiror or the Company, as applicable.</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64"/>
          </w:cols>
          <w:pgMar w:left="436" w:top="270" w:right="499" w:bottom="1440" w:gutter="0" w:footer="0" w:header="0"/>
        </w:sectPr>
      </w:pPr>
    </w:p>
    <w:bookmarkStart w:id="90" w:name="page91"/>
    <w:bookmarkEnd w:id="90"/>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(general or limited) partnership, a corporation, a limited liability company, an association, a trust, a joint venture, a Governmental Entity or other legal entity or organization.</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Previously Disclosed</w:t>
      </w:r>
      <w:r>
        <w:rPr>
          <w:rFonts w:ascii="Times New Roman" w:cs="Times New Roman" w:eastAsia="Times New Roman" w:hAnsi="Times New Roman"/>
          <w:sz w:val="18"/>
          <w:szCs w:val="18"/>
          <w:color w:val="auto"/>
        </w:rPr>
        <w:t xml:space="preserve">” means information (i) with respect to the Company, (A) set forth in the Company Disclosure Schedule or (B) previously disclosed since the Applicable Date in any Company SEC Report and (ii) with respect to the Acquiror, (A) set forth in the Acquiror Disclosure Schedule or (B) previously disclosed since the Applicable Date in any Acquiror SEC Report;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risk factor disclosures contained under the heading “Risk Factors,” any disclosure of risks included in any “forward-looking statements” disclaimer or any other statements that are similarly predictive or forward-looking in nature in any Company SEC Report or Acquiror SEC Report, as the case may be, shall not be deemed to be “Previously Disclosed.”</w:t>
      </w:r>
    </w:p>
    <w:p>
      <w:pPr>
        <w:spacing w:after="0" w:line="187"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w:t>
      </w:r>
      <w:r>
        <w:rPr>
          <w:rFonts w:ascii="Times New Roman" w:cs="Times New Roman" w:eastAsia="Times New Roman" w:hAnsi="Times New Roman"/>
          <w:sz w:val="18"/>
          <w:szCs w:val="18"/>
          <w:color w:val="auto"/>
        </w:rPr>
        <w:t>g” means an action, suit, arbitration, investigation, request to inspect books and records, examination, litigation, lawsuit or other proceeding, whether civil, criminal or administrative.</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means all applications and notices with, and receipt of consents, authorizations, approvals, exemptions or nonobjections from any Governmental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promulgated thereunder.</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Proposal</w:t>
      </w:r>
      <w:r>
        <w:rPr>
          <w:rFonts w:ascii="Times New Roman" w:cs="Times New Roman" w:eastAsia="Times New Roman" w:hAnsi="Times New Roman"/>
          <w:sz w:val="18"/>
          <w:szCs w:val="18"/>
          <w:color w:val="auto"/>
        </w:rPr>
        <w:t>” means any inquiry, proposal, discussions, negotiations or offer from any Person or group of Persons (other than the Acquiror or the Company or any of their respective Affiliates) (a) with respect to a merger, consolidation, tender offer, exchange offer, stock acquisition, asset acquisition, share exchange, business combination, recapitalization, liquidation, dissolution, joint venture or similar transaction involving the Company or the Acquiror, as applicable, or any of such party’s respective Consolidated Subsidiaries, as applicable, (b) relating to any direct or indirect acquisition, in one transaction or a series of transactions, of (i) assets or businesses (including any mortgage, pledge or similar disposition thereof but excluding any bona fide financing transaction) that constitute or represent, or would constitute or represent if such transaction is consummated, 25% or more of the total assets, net revenue or net income of the Company or the Acquiror, as applicable, and such party’s respective Consolidated Subsidiaries, taken as a whole, or (ii) 25% or more of the outstanding shares of capital stock of, or other equity or voting interests in, the Company or in any of the Company’s Consolidated Subsidiaries or, the Acquiror or in any of the Acquiror’s Consolidated Subsidiaries, as applicable, or (c) relating to any direct or indirect transaction or series of transactions that would result in any Person other than the Company Adviser or an Affiliate thereof (in the case of the Company) or the Acquiror Adviser or an Affiliate thereof (in the case of the Acquiror) serving as the external investment adviser to the Company or the Acquiror, as applicable, in each case other than the Merger and the other Transactions.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91" w:name="page92"/>
    <w:bookmarkEnd w:id="91"/>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all federal, state, local, and foreign income, excise, gross receipts, gross income, profits, gains, property, capital, sales, transfer, use, payroll, employment, severance, withholding, duties, franchise, value added and other taxes, charges, levies or like assessments together with all penalties and additions to tax and interest thereon imposed by any taxing authority.</w:t>
      </w:r>
    </w:p>
    <w:p>
      <w:pPr>
        <w:spacing w:after="0" w:line="176"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Dividend</w:t>
      </w:r>
      <w:r>
        <w:rPr>
          <w:rFonts w:ascii="Times New Roman" w:cs="Times New Roman" w:eastAsia="Times New Roman" w:hAnsi="Times New Roman"/>
          <w:sz w:val="18"/>
          <w:szCs w:val="18"/>
          <w:color w:val="auto"/>
        </w:rPr>
        <w:t>” means one or more dividends that are required to be paid in order for the Company to maintain its qualification for taxation as a RIC and to avoid the imposition of material income tax on undistributed income under Section 852(b) for any taxable year ending before the Closing Date, which amount shall be no less than $1.0 million and, as of the date hereof, is estimated to be (but is not required to be) less than approximately $1.5 million.</w:t>
      </w:r>
    </w:p>
    <w:p>
      <w:pPr>
        <w:spacing w:after="0" w:line="180"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 report, return, statement, form, election or other information (including any schedules, attachments or amendments thereto) required to be supplied to a taxing authority with respect to Taxes including, where permitted or required, consolidated, combined or unitary returns for any group of entities.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shall mean a day on which shares of Acquiror Common Stock are traded on NASDAQ.</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including the Mergers and the issuance of the Merger Consideration by the Acquiror.</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all final and temporary federal income tax regulations, as amended from time to time, issued under the Code by the United States Treasury Department.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1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Definitions</w:t>
            </w:r>
          </w:p>
        </w:tc>
        <w:tc>
          <w:tcPr>
            <w:tcW w:w="0" w:type="dxa"/>
            <w:vAlign w:val="bottom"/>
          </w:tcPr>
          <w:p>
            <w:pPr>
              <w:spacing w:after="0"/>
              <w:rPr>
                <w:sz w:val="1"/>
                <w:szCs w:val="1"/>
                <w:color w:val="auto"/>
              </w:rPr>
            </w:pPr>
          </w:p>
        </w:tc>
      </w:tr>
      <w:tr>
        <w:trPr>
          <w:trHeight w:val="392"/>
        </w:trPr>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Term:</w:t>
            </w:r>
          </w:p>
        </w:tc>
        <w:tc>
          <w:tcPr>
            <w:tcW w:w="3940" w:type="dxa"/>
            <w:vAlign w:val="bottom"/>
          </w:tcPr>
          <w:p>
            <w:pPr>
              <w:spacing w:after="0"/>
              <w:rPr>
                <w:sz w:val="24"/>
                <w:szCs w:val="24"/>
                <w:color w:val="auto"/>
              </w:rPr>
            </w:pP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Acceptable Courts</w:t>
            </w:r>
          </w:p>
        </w:tc>
        <w:tc>
          <w:tcPr>
            <w:tcW w:w="1420" w:type="dxa"/>
            <w:vAlign w:val="bottom"/>
            <w:vMerge w:val="continue"/>
          </w:tcPr>
          <w:p>
            <w:pPr>
              <w:spacing w:after="0"/>
              <w:rPr>
                <w:sz w:val="16"/>
                <w:szCs w:val="16"/>
                <w:color w:val="auto"/>
              </w:rPr>
            </w:pPr>
          </w:p>
        </w:tc>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11.6</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Acceptable Confidentiality Agreement</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7.6(a)</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w w:val="97"/>
              </w:rPr>
              <w:t>Preamble</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Adverse Recommendation Change</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7.7(a)</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Adviser</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w w:val="97"/>
              </w:rPr>
              <w:t>Preamble</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Advisory Agreement</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8.3(f)</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Balance Sheet</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4.6(b)</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Board</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Bylaws</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4.1(b)</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Capitalization Date</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4.2(a)</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Charter</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4.1(b)</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Common Stock</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1.5(b)</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Expenses</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9.2(a)</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Insurance Policy</w:t>
            </w:r>
          </w:p>
        </w:tc>
        <w:tc>
          <w:tcPr>
            <w:tcW w:w="1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4.15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Intellectual Property Rights</w:t>
            </w:r>
          </w:p>
        </w:tc>
        <w:tc>
          <w:tcPr>
            <w:tcW w:w="1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Intervening Event Notice Period</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7.7(d)</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Intervening Event Recommendation Change</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7.7(d)</w:t>
            </w:r>
          </w:p>
        </w:tc>
        <w:tc>
          <w:tcPr>
            <w:tcW w:w="0" w:type="dxa"/>
            <w:vAlign w:val="bottom"/>
          </w:tcPr>
          <w:p>
            <w:pPr>
              <w:spacing w:after="0"/>
              <w:rPr>
                <w:sz w:val="1"/>
                <w:szCs w:val="1"/>
                <w:color w:val="auto"/>
              </w:rPr>
            </w:pPr>
          </w:p>
        </w:tc>
      </w:t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Material Contracts</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80</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92" w:name="page93"/>
    <w:bookmarkEnd w:id="9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Term:</w:t>
            </w:r>
          </w:p>
        </w:tc>
        <w:tc>
          <w:tcPr>
            <w:tcW w:w="4300" w:type="dxa"/>
            <w:vAlign w:val="bottom"/>
          </w:tcPr>
          <w:p>
            <w:pPr>
              <w:spacing w:after="0"/>
              <w:rPr>
                <w:sz w:val="15"/>
                <w:szCs w:val="15"/>
                <w:color w:val="auto"/>
              </w:rPr>
            </w:pP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Acquiror Recommendation</w:t>
            </w:r>
          </w:p>
        </w:tc>
        <w:tc>
          <w:tcPr>
            <w:tcW w:w="1060" w:type="dxa"/>
            <w:vAlign w:val="bottom"/>
            <w:vMerge w:val="continue"/>
          </w:tcPr>
          <w:p>
            <w:pPr>
              <w:spacing w:after="0"/>
              <w:rPr>
                <w:sz w:val="16"/>
                <w:szCs w:val="16"/>
                <w:color w:val="auto"/>
              </w:rPr>
            </w:pPr>
          </w:p>
        </w:tc>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7.3(b)</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Requisite Vote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4.3(a)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SEC Reports</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4.5(a)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Special Committee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Stockholders Meeting</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4.3(a)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Acquiror Voting Debt</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4.2(a)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w w:val="97"/>
              </w:rPr>
              <w:t>Preamble</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Date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3.5(a)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 Topic 820</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3.6(h)</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BDC</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Book-Entry Share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1.5(d)</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 Shares</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1.5(b)</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1.5(d)</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1.7(a)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Acquiror Net Asset Value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7.18(a)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Company Net Asset Value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7.18(a)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Code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w w:val="97"/>
              </w:rPr>
              <w:t>Preamble</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Adverse Recommendation Change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7.6(a)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Adviser</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w w:val="97"/>
              </w:rPr>
              <w:t>Preamble</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Balance Sheet</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3.6(b)</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Bylaws</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3.1(b)</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Capitalization Date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3.2(a)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Charter</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3.1(b)</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Common Stock</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1.5(b)</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Expenses</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9.2(b)</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Insurance Policy</w:t>
            </w: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Intellectual Property Rights</w:t>
            </w: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Intervening Event Notice Period</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7.6(d)</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Intervening Event Recommendation Change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7.6(d)</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Material Contracts</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3.14(a)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Recommendation</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7.3(a)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Requisite Vote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3.3(a)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SEC Reports</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3.5(a)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Special Committee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3.3(a)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Voting Debt</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3.2(a)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Insurance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7.4(b)</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 Secretary</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1.7(a)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Deloitte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3.6(a)</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Determination Date</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7.18(a)</w:t>
            </w:r>
          </w:p>
        </w:tc>
        <w:tc>
          <w:tcPr>
            <w:tcW w:w="0" w:type="dxa"/>
            <w:vAlign w:val="bottom"/>
          </w:tcPr>
          <w:p>
            <w:pPr>
              <w:spacing w:after="0"/>
              <w:rPr>
                <w:sz w:val="1"/>
                <w:szCs w:val="1"/>
                <w:color w:val="auto"/>
              </w:rPr>
            </w:pPr>
          </w:p>
        </w:tc>
      </w:t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w:t>
            </w:r>
          </w:p>
        </w:tc>
        <w:tc>
          <w:tcPr>
            <w:tcW w:w="17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1.7(a)</w:t>
            </w: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81</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63" w:right="1440" w:bottom="1440" w:gutter="0" w:footer="0" w:header="0"/>
        </w:sectPr>
      </w:pPr>
    </w:p>
    <w:bookmarkStart w:id="93" w:name="page94"/>
    <w:bookmarkEnd w:id="9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91"/>
        </w:trPr>
        <w:tc>
          <w:tcPr>
            <w:tcW w:w="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DOJ</w:t>
            </w:r>
          </w:p>
        </w:tc>
        <w:tc>
          <w:tcPr>
            <w:tcW w:w="37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7.1(a)</w:t>
            </w:r>
          </w:p>
        </w:tc>
        <w:tc>
          <w:tcPr>
            <w:tcW w:w="180" w:type="dxa"/>
            <w:vAlign w:val="bottom"/>
          </w:tcPr>
          <w:p>
            <w:pPr>
              <w:spacing w:after="0"/>
              <w:rPr>
                <w:sz w:val="16"/>
                <w:szCs w:val="16"/>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20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Benefit Plans</w:t>
            </w:r>
          </w:p>
        </w:tc>
        <w:tc>
          <w:tcPr>
            <w:tcW w:w="20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Enforceability Exception</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3.3(a)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20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20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Articles of Merger</w:t>
            </w:r>
          </w:p>
        </w:tc>
        <w:tc>
          <w:tcPr>
            <w:tcW w:w="20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FTC</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7.1(a)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3.6(a)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HSR Act</w:t>
            </w:r>
          </w:p>
        </w:tc>
        <w:tc>
          <w:tcPr>
            <w:tcW w:w="20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Liabilities</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7.4(a)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7.4(a)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Insured Persons</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7.4(b)</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Intellectual Property Rights</w:t>
            </w:r>
          </w:p>
        </w:tc>
        <w:tc>
          <w:tcPr>
            <w:tcW w:w="20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Company Act</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IRS</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3.11(a)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Proxy Statement/Prospectus</w:t>
            </w:r>
          </w:p>
        </w:tc>
        <w:tc>
          <w:tcPr>
            <w:tcW w:w="20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Letter of Transmittal</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MD SDAT</w:t>
            </w:r>
          </w:p>
        </w:tc>
        <w:tc>
          <w:tcPr>
            <w:tcW w:w="20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1.5(c)</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Mergers</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MGCL</w:t>
            </w:r>
          </w:p>
        </w:tc>
        <w:tc>
          <w:tcPr>
            <w:tcW w:w="20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a Company Superior Proposal</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7.6(b)</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an Acquiror Superior Proposal</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7.7(b)</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9.1(b)(ii)</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Statement</w:t>
            </w:r>
          </w:p>
        </w:tc>
        <w:tc>
          <w:tcPr>
            <w:tcW w:w="20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7.5(a)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3.11(b)</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3.2(a)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3.6(f)</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Articles of Merger</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1.7(a)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Effective Time</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1.7(a)</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Merger</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Company</w:t>
            </w:r>
          </w:p>
        </w:tc>
        <w:tc>
          <w:tcPr>
            <w:tcW w:w="22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Recitals</w:t>
            </w:r>
          </w:p>
        </w:tc>
      </w:t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Takeover Statutes</w:t>
            </w:r>
          </w:p>
        </w:tc>
        <w:tc>
          <w:tcPr>
            <w:tcW w:w="20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tcPr>
          <w:p>
            <w:pPr>
              <w:spacing w:after="0"/>
              <w:rPr>
                <w:sz w:val="20"/>
                <w:szCs w:val="20"/>
                <w:color w:val="auto"/>
              </w:rPr>
            </w:pPr>
          </w:p>
        </w:tc>
      </w:tr>
      <w:tr>
        <w:trPr>
          <w:trHeight w:val="365"/>
        </w:trPr>
        <w:tc>
          <w:tcPr>
            <w:tcW w:w="3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82</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019"/>
          </w:cols>
          <w:pgMar w:left="440" w:top="263" w:right="1440" w:bottom="1440" w:gutter="0" w:footer="0" w:header="0"/>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Nonsurvival of Representations, Warranties and Agreements</w:t>
      </w:r>
      <w:r>
        <w:rPr>
          <w:rFonts w:ascii="Times New Roman" w:cs="Times New Roman" w:eastAsia="Times New Roman" w:hAnsi="Times New Roman"/>
          <w:sz w:val="18"/>
          <w:szCs w:val="18"/>
          <w:color w:val="auto"/>
        </w:rPr>
        <w:t xml:space="preserve">. None of the representations, warranties, covenants and agreements set forth in this Agreement or in any instrument delivered pursuant to this Agreement shall survive the Effective Time, except for and subject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and for those other covenants and agreements contained in this Agreement that by their express terms apply or are to be performed in whole or in part after the Effective Time.</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in connection with this Agreement shall be in writing and shall be deemed given if delivered personally, sent via email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transmission is followed up within one (1) Business Day by dispatch pursuant to one of the other methods described herein), mailed by registered or certified mail (return receipt requested) or delivered by an express courier (with confirmation) to the parties at the following addresses (or at such other address for a party as shall be specified by like notice):</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u w:val="single" w:color="auto"/>
          <w:color w:val="auto"/>
        </w:rPr>
        <w:t>the Company</w:t>
      </w:r>
      <w:r>
        <w:rPr>
          <w:rFonts w:ascii="Times New Roman" w:cs="Times New Roman" w:eastAsia="Times New Roman" w:hAnsi="Times New Roman"/>
          <w:sz w:val="18"/>
          <w:szCs w:val="18"/>
          <w:color w:val="auto"/>
        </w:rPr>
        <w:t>,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Logan Ridge Finance Corporation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Brandon Satoren</w:t>
      </w:r>
    </w:p>
    <w:p>
      <w:pPr>
        <w:spacing w:after="0" w:line="9" w:lineRule="exact"/>
        <w:rPr>
          <w:sz w:val="20"/>
          <w:szCs w:val="20"/>
          <w:color w:val="auto"/>
        </w:rPr>
      </w:pPr>
    </w:p>
    <w:p>
      <w:pPr>
        <w:ind w:left="1960" w:hanging="979"/>
        <w:spacing w:after="0"/>
        <w:tabs>
          <w:tab w:leader="none" w:pos="19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Schafer</w:t>
      </w:r>
    </w:p>
    <w:p>
      <w:pPr>
        <w:spacing w:after="0" w:line="207" w:lineRule="exact"/>
        <w:rPr>
          <w:sz w:val="20"/>
          <w:szCs w:val="20"/>
          <w:color w:val="auto"/>
        </w:rPr>
      </w:pPr>
    </w:p>
    <w:p>
      <w:pPr>
        <w:ind w:left="1960" w:hanging="979"/>
        <w:spacing w:after="0"/>
        <w:tabs>
          <w:tab w:leader="none" w:pos="1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patrick.schafer@bcpartners.com</w:t>
      </w:r>
    </w:p>
    <w:p>
      <w:pPr>
        <w:spacing w:after="0" w:line="11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Jonathan Corsico</w:t>
      </w:r>
    </w:p>
    <w:p>
      <w:pPr>
        <w:spacing w:after="0" w:line="9" w:lineRule="exact"/>
        <w:rPr>
          <w:sz w:val="20"/>
          <w:szCs w:val="20"/>
          <w:color w:val="auto"/>
        </w:rPr>
      </w:pPr>
    </w:p>
    <w:p>
      <w:pPr>
        <w:ind w:left="1960" w:hanging="979"/>
        <w:spacing w:after="0"/>
        <w:tabs>
          <w:tab w:leader="none" w:pos="19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Grigoriou</w:t>
      </w:r>
    </w:p>
    <w:p>
      <w:pPr>
        <w:spacing w:after="0" w:line="207" w:lineRule="exact"/>
        <w:rPr>
          <w:sz w:val="20"/>
          <w:szCs w:val="20"/>
          <w:color w:val="auto"/>
        </w:rPr>
      </w:pPr>
    </w:p>
    <w:p>
      <w:pPr>
        <w:ind w:left="1960" w:hanging="979"/>
        <w:spacing w:after="0"/>
        <w:tabs>
          <w:tab w:leader="none" w:pos="19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steven.grigoriou@stblaw.com</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NY10001</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Michael K. Hoffman</w:t>
      </w:r>
    </w:p>
    <w:p>
      <w:pPr>
        <w:spacing w:after="0" w:line="9" w:lineRule="exact"/>
        <w:rPr>
          <w:sz w:val="20"/>
          <w:szCs w:val="20"/>
          <w:color w:val="auto"/>
        </w:rPr>
      </w:pPr>
    </w:p>
    <w:p>
      <w:pPr>
        <w:ind w:left="1960" w:hanging="979"/>
        <w:spacing w:after="0"/>
        <w:tabs>
          <w:tab w:leader="none" w:pos="19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Blair T. Thetford</w:t>
      </w:r>
    </w:p>
    <w:p>
      <w:pPr>
        <w:spacing w:after="0" w:line="207" w:lineRule="exact"/>
        <w:rPr>
          <w:sz w:val="20"/>
          <w:szCs w:val="20"/>
          <w:color w:val="auto"/>
        </w:rPr>
      </w:pPr>
    </w:p>
    <w:p>
      <w:pPr>
        <w:ind w:left="1960" w:hanging="979"/>
        <w:spacing w:after="0"/>
        <w:tabs>
          <w:tab w:leader="none" w:pos="19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blair.thetford@skadden.com</w:t>
      </w:r>
    </w:p>
    <w:p>
      <w:pPr>
        <w:spacing w:after="0" w:line="11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u w:val="single" w:color="auto"/>
          <w:color w:val="auto"/>
        </w:rPr>
        <w:t>the Acquiror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Portman Ridge Finance Corporation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Brandon Satoren</w:t>
      </w:r>
    </w:p>
    <w:p>
      <w:pPr>
        <w:spacing w:after="0" w:line="9" w:lineRule="exact"/>
        <w:rPr>
          <w:sz w:val="20"/>
          <w:szCs w:val="20"/>
          <w:color w:val="auto"/>
        </w:rPr>
      </w:pPr>
    </w:p>
    <w:p>
      <w:pPr>
        <w:ind w:left="1960" w:hanging="979"/>
        <w:spacing w:after="0"/>
        <w:tabs>
          <w:tab w:leader="none" w:pos="19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Schafer</w:t>
      </w:r>
    </w:p>
    <w:p>
      <w:pPr>
        <w:spacing w:after="0" w:line="207" w:lineRule="exact"/>
        <w:rPr>
          <w:sz w:val="20"/>
          <w:szCs w:val="20"/>
          <w:color w:val="auto"/>
        </w:rPr>
      </w:pPr>
    </w:p>
    <w:p>
      <w:pPr>
        <w:ind w:left="1960" w:hanging="979"/>
        <w:spacing w:after="0"/>
        <w:tabs>
          <w:tab w:leader="none" w:pos="19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patrick.schafer@bcpartners.com</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60"/>
          </w:cols>
          <w:pgMar w:left="440" w:top="266" w:right="499" w:bottom="1440" w:gutter="0" w:footer="0" w:header="0"/>
        </w:sectPr>
      </w:pPr>
    </w:p>
    <w:bookmarkStart w:id="95" w:name="page96"/>
    <w:bookmarkEnd w:id="95"/>
    <w:p>
      <w:pPr>
        <w:jc w:val="center"/>
        <w:ind w:right="56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will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Jonathan Corsico</w:t>
      </w:r>
    </w:p>
    <w:p>
      <w:pPr>
        <w:spacing w:after="0" w:line="9" w:lineRule="exact"/>
        <w:rPr>
          <w:sz w:val="20"/>
          <w:szCs w:val="20"/>
          <w:color w:val="auto"/>
        </w:rPr>
      </w:pPr>
    </w:p>
    <w:p>
      <w:pPr>
        <w:ind w:left="1960" w:hanging="979"/>
        <w:spacing w:after="0"/>
        <w:tabs>
          <w:tab w:leader="none" w:pos="1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Grigoriou</w:t>
      </w:r>
    </w:p>
    <w:p>
      <w:pPr>
        <w:spacing w:after="0" w:line="207" w:lineRule="exact"/>
        <w:rPr>
          <w:sz w:val="20"/>
          <w:szCs w:val="20"/>
          <w:color w:val="auto"/>
        </w:rPr>
      </w:pPr>
    </w:p>
    <w:p>
      <w:pPr>
        <w:ind w:left="1960" w:hanging="979"/>
        <w:spacing w:after="0"/>
        <w:tabs>
          <w:tab w:leader="none" w:pos="19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steven.grigoriou@stblaw.com</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Stradley Ronon Stevens &amp; Young,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2000 K Street, N.W., Suite 700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Washington, DC 20006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Eric S. Purple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epurple@stradley.com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u w:val="single" w:color="auto"/>
          <w:color w:val="auto"/>
        </w:rPr>
        <w:t>the Acquiror Adviser</w:t>
      </w:r>
      <w:r>
        <w:rPr>
          <w:rFonts w:ascii="Times New Roman" w:cs="Times New Roman" w:eastAsia="Times New Roman" w:hAnsi="Times New Roman"/>
          <w:sz w:val="18"/>
          <w:szCs w:val="18"/>
          <w:color w:val="auto"/>
        </w:rPr>
        <w:t>,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Sierra Crest Investment Management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Brandon Satoren</w:t>
      </w:r>
    </w:p>
    <w:p>
      <w:pPr>
        <w:spacing w:after="0" w:line="9" w:lineRule="exact"/>
        <w:rPr>
          <w:sz w:val="20"/>
          <w:szCs w:val="20"/>
          <w:color w:val="auto"/>
        </w:rPr>
      </w:pPr>
    </w:p>
    <w:p>
      <w:pPr>
        <w:ind w:left="1960" w:hanging="979"/>
        <w:spacing w:after="0"/>
        <w:tabs>
          <w:tab w:leader="none" w:pos="19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Schafer</w:t>
      </w:r>
    </w:p>
    <w:p>
      <w:pPr>
        <w:spacing w:after="0" w:line="207" w:lineRule="exact"/>
        <w:rPr>
          <w:sz w:val="20"/>
          <w:szCs w:val="20"/>
          <w:color w:val="auto"/>
        </w:rPr>
      </w:pPr>
    </w:p>
    <w:p>
      <w:pPr>
        <w:ind w:left="1960" w:hanging="979"/>
        <w:spacing w:after="0"/>
        <w:tabs>
          <w:tab w:leader="none" w:pos="19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patrick.schafer@bcpartners.com</w:t>
      </w:r>
    </w:p>
    <w:p>
      <w:pPr>
        <w:spacing w:after="0" w:line="11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will not constitute notice,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Jonathan Corsico</w:t>
      </w:r>
    </w:p>
    <w:p>
      <w:pPr>
        <w:spacing w:after="0" w:line="9" w:lineRule="exact"/>
        <w:rPr>
          <w:sz w:val="20"/>
          <w:szCs w:val="20"/>
          <w:color w:val="auto"/>
        </w:rPr>
      </w:pPr>
    </w:p>
    <w:p>
      <w:pPr>
        <w:ind w:left="1960" w:hanging="979"/>
        <w:spacing w:after="0"/>
        <w:tabs>
          <w:tab w:leader="none" w:pos="19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Grigoriou</w:t>
      </w:r>
    </w:p>
    <w:p>
      <w:pPr>
        <w:spacing w:after="0" w:line="207" w:lineRule="exact"/>
        <w:rPr>
          <w:sz w:val="20"/>
          <w:szCs w:val="20"/>
          <w:color w:val="auto"/>
        </w:rPr>
      </w:pPr>
    </w:p>
    <w:p>
      <w:pPr>
        <w:ind w:left="1960" w:hanging="979"/>
        <w:spacing w:after="0"/>
        <w:tabs>
          <w:tab w:leader="none" w:pos="19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steven.grigoriou@stblaw.com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such notice or other communication shall be effective upon receipt (or refusal of receipt).</w:t>
      </w:r>
    </w:p>
    <w:p>
      <w:pPr>
        <w:spacing w:after="0" w:line="16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019"/>
          </w:cols>
          <w:pgMar w:left="440" w:top="270" w:right="1440" w:bottom="1440" w:gutter="0" w:footer="0" w:header="0"/>
        </w:sectPr>
      </w:pPr>
    </w:p>
    <w:bookmarkStart w:id="96" w:name="page97"/>
    <w:bookmarkEnd w:id="96"/>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 </w:t>
      </w:r>
      <w:r>
        <w:rPr>
          <w:rFonts w:ascii="Times New Roman" w:cs="Times New Roman" w:eastAsia="Times New Roman" w:hAnsi="Times New Roman"/>
          <w:sz w:val="18"/>
          <w:szCs w:val="18"/>
          <w:u w:val="single" w:color="auto"/>
          <w:color w:val="auto"/>
        </w:rPr>
        <w:t>Interpretation; Construction</w:t>
      </w:r>
      <w:r>
        <w:rPr>
          <w:rFonts w:ascii="Times New Roman" w:cs="Times New Roman" w:eastAsia="Times New Roman" w:hAnsi="Times New Roman"/>
          <w:sz w:val="18"/>
          <w:szCs w:val="18"/>
          <w:color w:val="auto"/>
        </w:rPr>
        <w:t>.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terms “cash,” “dollars” and “$” mean United States dollars. All schedules and exhibits hereto shall be deemed part of this Agreement and included in any reference to this Agreement. Any singular term in this Agreement shall be deemed to include the plural, and any plural term the singular.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term, provision, covenant or restriction is invalid, void or unenforceable, it is the express intention of the parties that such term, provision, covenant or restriction be enforced to the maximum extent permitted. The parties have jointly participated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all of which shall be considered one and the same agreement and shall become effective when counterparts have been signed by each of the parties and delivered to the other parties, it being understood that each party need not sign the same counterpart. Counterparts may be delivered via facsimile, electronic mail (including any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documents and the instruments referred to in this Agreement, including, without limitation, the Disclosure Schedules, which Disclosure Schedules, for the avoidance of doubt, shall not constitute part of this Agreement pursuant to Section 268 of the DGCL, but shall constitute “facts ascertainable” as that term is used in Section 251(b) of the DGCL and operate upon the terms of this Agreement as provided herein), once executed, constitutes the entire agreement and supersedes all prior agreements and understandings, both written and oral, between the parties with respect to the subject matter of this Agreement.</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 This Agreement shall be governed and construed in accordance with the Laws of the State of Delaware applicable to contracts made and performed entirely within such state, without regard to any applicable conflicts of law principles that would cause the application of the Laws of another jurisdiction, except to the extent governed by the Investment Company Act, in which case the Investment Company Act shall control. The parties hereto agree that any Proceeding brought by any party to enforce any provision of, or based on any matter arising out of or in connection with, this Agreement or the Transactions shall be brought in the Court of Chancery of the State of Delaware, or if jurisdiction over the matter is vested exclusively in federal courts, the federal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97" w:name="page98"/>
    <w:bookmarkEnd w:id="9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courts in the State of Delaware and the appellate courts to which Orders and judgments therefore may be appealed (collectively, the “</w:t>
      </w:r>
      <w:r>
        <w:rPr>
          <w:rFonts w:ascii="Times New Roman" w:cs="Times New Roman" w:eastAsia="Times New Roman" w:hAnsi="Times New Roman"/>
          <w:sz w:val="18"/>
          <w:szCs w:val="18"/>
          <w:u w:val="single" w:color="auto"/>
          <w:color w:val="auto"/>
        </w:rPr>
        <w:t>Acceptable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Courts</w:t>
      </w:r>
      <w:r>
        <w:rPr>
          <w:rFonts w:ascii="Times New Roman" w:cs="Times New Roman" w:eastAsia="Times New Roman" w:hAnsi="Times New Roman"/>
          <w:sz w:val="18"/>
          <w:szCs w:val="18"/>
          <w:color w:val="auto"/>
        </w:rPr>
        <w:t xml:space="preserve">”). Each of the parties hereto submits to the jurisdiction of any Acceptable Court in any Proceeding seeking to enforce any provision of, or based on any matter arising out of or in connection with, this Agreement or the Transactions and hereby irrevocably waives the benefit of jurisdiction derived from present or future domicile or otherwise in such Proceeding. Each party hereto irrevocably waives, to the fullest extent permitted by Law, any objection that it may now or hereafter have to the laying of the venue of any Proceeding in any such Acceptable Court or that any such Proceeding brought in any such Acceptable Court has been brought in an inconvenient forum. EACH PARTY HERETO ACKNOWLEDGES AND AGREES THAT ANY CONTROVERSY WHICH MAY ARISE UNDER THIS AGREEMENT IS LIKELY TO INVOLVE COMPLICATED AND DIFFICULT ISSUES, AND THEREFORE EACH SUCH PARTY HEREBY IRREVOCABLY AND UNCONDITIONALLY WAIVES ANY AND ALL RIGHT TO TRIAL BY JURY IN ANY LEGAL PROCEEDING ARISING OUT OF OR RELATING TO THIS AGREEMENT AND THE TRANSACTIONS CONTEMPLATED HEREBY. Each party hereto (a) certifies that no Representative of any other party has represented, expressly or otherwise, that such other party would not, in the event of any action, suit or proceeding, seek to enforce the foregoing waiver, (b) certifies that it makes this waiver voluntarily and (c) 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Assignment; Third Party Beneficiaries</w:t>
      </w:r>
      <w:r>
        <w:rPr>
          <w:rFonts w:ascii="Times New Roman" w:cs="Times New Roman" w:eastAsia="Times New Roman" w:hAnsi="Times New Roman"/>
          <w:sz w:val="18"/>
          <w:szCs w:val="18"/>
          <w:color w:val="auto"/>
        </w:rPr>
        <w:t xml:space="preserve">. Neither this Agreement nor any of the rights, interests or obligations under this Agreement shall be assigned by any of the parties (whether by operation of law or otherwise) without the prior written consent of the other parties. Any purported assignment in contravention hereof shall be null and void. Subject to the preceding sentence, this Agreement shall be binding upon, inure to the benefit of and be enforceable by each of the parties and their respective successors and assigns. Except as otherwise specifically provided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this Agreement (including the documents and instruments referred to in this Agreement) is not intended to and does not confer upon any Person other than the parties hereto any rights or remedies under this Agreement.</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the parties shall be entitled to an injunction or injunctions to prevent breaches of this Agreement and to enforce specifically the terms and provisions of this Agreement in any federal or state court located in the State of Delaware, without proof of actual damages (and each party hereby waives any requirement for the securing or posting of any bond in connection with such remedy), this being in addition to any other remedy to which such party is entitled at law or in equity. Each of the parties hereto agrees that it will not oppose the granting of an injunction, specific performance or other equitable relief on the basis that any other party hereto has an adequate remedy at law or that any award of specific performance is not an appropriate remedy for any reason at law or in equity.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98" w:name="page99"/>
    <w:bookmarkEnd w:id="98"/>
    <w:p>
      <w:pPr>
        <w:ind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11.9. </w:t>
      </w:r>
      <w:r>
        <w:rPr>
          <w:rFonts w:ascii="Times New Roman" w:cs="Times New Roman" w:eastAsia="Times New Roman" w:hAnsi="Times New Roman"/>
          <w:sz w:val="17"/>
          <w:szCs w:val="17"/>
          <w:u w:val="single" w:color="auto"/>
          <w:color w:val="auto"/>
        </w:rPr>
        <w:t>Special Committee Approval</w:t>
      </w:r>
      <w:r>
        <w:rPr>
          <w:rFonts w:ascii="Times New Roman" w:cs="Times New Roman" w:eastAsia="Times New Roman" w:hAnsi="Times New Roman"/>
          <w:sz w:val="17"/>
          <w:szCs w:val="17"/>
          <w:color w:val="auto"/>
        </w:rPr>
        <w:t>. Notwithstanding anything to the contrary herein, prior to the Effective Time, no amendment or waiver of any provision of this Agreement shall be made without first obtaining the approval of the Acquiror Special Committee and the Company Special Committee.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99" w:name="page100"/>
    <w:bookmarkEnd w:id="9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Acquiror, the Company, Merger Sub and the Acquiror Adviser have caused this Agreement to be executed by their respective officers thereunto duly authorized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PORTMAN RIDGE FINANCE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Ted Goldthorpe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LOGAN RIDGE FINANCE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Ted Goldthorpe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PORTMAN RIDGE MERGER SUB,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Ted Goldthorpe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SIERRA CREST INVESTMENT MANAGEMENT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Ted Goldthorpe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MOUNT LOGAN MANAGEMENT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Ted Goldthorpe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FEE WAIVER AGREEMENT</w:t>
      </w:r>
    </w:p>
    <w:p>
      <w:pPr>
        <w:spacing w:after="0" w:line="229"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This FEE WAIVER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January 29, 2025, is made by and between Sierra Crest Investment Management LLC, a Delaware limited liability company (the “</w:t>
      </w:r>
      <w:r>
        <w:rPr>
          <w:rFonts w:ascii="Times New Roman" w:cs="Times New Roman" w:eastAsia="Times New Roman" w:hAnsi="Times New Roman"/>
          <w:sz w:val="18"/>
          <w:szCs w:val="18"/>
          <w:u w:val="single" w:color="auto"/>
          <w:color w:val="auto"/>
        </w:rPr>
        <w:t>Investment Adviser</w:t>
      </w:r>
      <w:r>
        <w:rPr>
          <w:rFonts w:ascii="Times New Roman" w:cs="Times New Roman" w:eastAsia="Times New Roman" w:hAnsi="Times New Roman"/>
          <w:sz w:val="18"/>
          <w:szCs w:val="18"/>
          <w:color w:val="auto"/>
        </w:rPr>
        <w:t>”), and Portman Ridge Finance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has elected to be treated as a business development company under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WHEREAS, the Investment Adviser serves as investment adviser to the Company pursuant to the Investment Advisory Agreement between the Company and the Investment Adviser, dated April 1, 2019, as may be amended and restated from time to time (the “</w:t>
      </w:r>
      <w:r>
        <w:rPr>
          <w:rFonts w:ascii="Times New Roman" w:cs="Times New Roman" w:eastAsia="Times New Roman" w:hAnsi="Times New Roman"/>
          <w:sz w:val="18"/>
          <w:szCs w:val="18"/>
          <w:u w:val="single" w:color="auto"/>
          <w:color w:val="auto"/>
        </w:rPr>
        <w:t>Investment Advisory Agreement</w:t>
      </w:r>
      <w:r>
        <w:rPr>
          <w:rFonts w:ascii="Times New Roman" w:cs="Times New Roman" w:eastAsia="Times New Roman" w:hAnsi="Times New Roman"/>
          <w:sz w:val="18"/>
          <w:szCs w:val="18"/>
          <w:color w:val="auto"/>
        </w:rPr>
        <w:t>”), pursuant to which the Investment Adviser provides investment advisory services to the Company in consideration for a Management Fee and an Incentive Fee (in each case, as defined in the Investment Advisory Agreement);</w:t>
      </w:r>
    </w:p>
    <w:p>
      <w:pPr>
        <w:spacing w:after="0" w:line="180"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WHEREAS, the Company and the Investment Adviser have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Logan Ridge Finance Corporation, a Maryland corporation (“</w:t>
      </w:r>
      <w:r>
        <w:rPr>
          <w:rFonts w:ascii="Times New Roman" w:cs="Times New Roman" w:eastAsia="Times New Roman" w:hAnsi="Times New Roman"/>
          <w:sz w:val="18"/>
          <w:szCs w:val="18"/>
          <w:u w:val="single" w:color="auto"/>
          <w:color w:val="auto"/>
        </w:rPr>
        <w:t>LRFC</w:t>
      </w:r>
      <w:r>
        <w:rPr>
          <w:rFonts w:ascii="Times New Roman" w:cs="Times New Roman" w:eastAsia="Times New Roman" w:hAnsi="Times New Roman"/>
          <w:sz w:val="18"/>
          <w:szCs w:val="18"/>
          <w:color w:val="auto"/>
        </w:rPr>
        <w:t>”), Portman Ridge Merger Sub, Inc., a Maryland corporation and a direct wholly-owned subsidiary of the Company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Mount Logan Management LLC, a Delaware limited liability company and the investment adviser to LRFC, pursuant to which Merger Sub would merge with and into LRFC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LRFC continuing as the surviving company and as a wholly-owned subsidiary of the Company, and, immediately after the effectiveness of the First Merger, LRFC would merge with and into the Company, with the Company continuing as the surviving company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and</w:t>
      </w:r>
    </w:p>
    <w:p>
      <w:pPr>
        <w:spacing w:after="0" w:line="187"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WHEREAS, the Investment Adviser has agreed to waive a specified portion of its Incentive Fee as set forth herein to effect the reimbursement of certain costs and expenses incurred by the Company in connection with (and in pursuance of) the Mergers.</w:t>
      </w:r>
    </w:p>
    <w:p>
      <w:pPr>
        <w:spacing w:after="0" w:line="16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set forth herein and other good and valuable consideration, the receipt of which is hereby acknowledged, the parties hereto agree as follows: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INCENTIVE FEE WAIVER.</w:t>
      </w:r>
    </w:p>
    <w:p>
      <w:pPr>
        <w:spacing w:after="0" w:line="121"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1.1 For the fiscal quarter of the Company in which the Closing (as defined in the Merger Agreement) occurs (such fiscal quarter, the “</w:t>
      </w:r>
      <w:r>
        <w:rPr>
          <w:rFonts w:ascii="Times New Roman" w:cs="Times New Roman" w:eastAsia="Times New Roman" w:hAnsi="Times New Roman"/>
          <w:sz w:val="18"/>
          <w:szCs w:val="18"/>
          <w:u w:val="single" w:color="auto"/>
          <w:color w:val="auto"/>
        </w:rPr>
        <w:t>Initial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Quarter</w:t>
      </w:r>
      <w:r>
        <w:rPr>
          <w:rFonts w:ascii="Times New Roman" w:cs="Times New Roman" w:eastAsia="Times New Roman" w:hAnsi="Times New Roman"/>
          <w:sz w:val="18"/>
          <w:szCs w:val="18"/>
          <w:color w:val="auto"/>
        </w:rPr>
        <w:t>”), the Investment Adviser shall waive $187,500.00 of its Incentive Fees earned during the Initial Fiscal Quarter.</w:t>
      </w:r>
    </w:p>
    <w:p>
      <w:pPr>
        <w:spacing w:after="0" w:line="162" w:lineRule="exact"/>
        <w:rPr>
          <w:sz w:val="20"/>
          <w:szCs w:val="20"/>
          <w:color w:val="auto"/>
        </w:rPr>
      </w:pPr>
    </w:p>
    <w:p>
      <w:pPr>
        <w:ind w:left="4" w:right="40"/>
        <w:spacing w:after="0" w:line="276" w:lineRule="auto"/>
        <w:rPr>
          <w:sz w:val="20"/>
          <w:szCs w:val="20"/>
          <w:color w:val="auto"/>
        </w:rPr>
      </w:pPr>
      <w:r>
        <w:rPr>
          <w:rFonts w:ascii="Times New Roman" w:cs="Times New Roman" w:eastAsia="Times New Roman" w:hAnsi="Times New Roman"/>
          <w:sz w:val="17"/>
          <w:szCs w:val="17"/>
          <w:color w:val="auto"/>
        </w:rPr>
        <w:t>1.2 For each of the first through seventh full fiscal quarters of the Company after the Initial Fiscal Quarter (each such fiscal quarter, a “</w:t>
      </w:r>
      <w:r>
        <w:rPr>
          <w:rFonts w:ascii="Times New Roman" w:cs="Times New Roman" w:eastAsia="Times New Roman" w:hAnsi="Times New Roman"/>
          <w:sz w:val="17"/>
          <w:szCs w:val="17"/>
          <w:u w:val="single" w:color="auto"/>
          <w:color w:val="auto"/>
        </w:rPr>
        <w:t>Subsequent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Fiscal Quarter</w:t>
      </w:r>
      <w:r>
        <w:rPr>
          <w:rFonts w:ascii="Times New Roman" w:cs="Times New Roman" w:eastAsia="Times New Roman" w:hAnsi="Times New Roman"/>
          <w:sz w:val="17"/>
          <w:szCs w:val="17"/>
          <w:color w:val="auto"/>
        </w:rPr>
        <w:t>”), the Investment Adviser shall waive an amount of its Incentive Fees earned during such Subsequent Fiscal Quarter equal to the lesser of</w:t>
      </w:r>
    </w:p>
    <w:p>
      <w:pPr>
        <w:spacing w:after="0" w:line="1" w:lineRule="exact"/>
        <w:rPr>
          <w:sz w:val="20"/>
          <w:szCs w:val="20"/>
          <w:color w:val="auto"/>
        </w:rPr>
      </w:pPr>
    </w:p>
    <w:p>
      <w:pPr>
        <w:ind w:left="4" w:right="120" w:hanging="4"/>
        <w:spacing w:after="0" w:line="253" w:lineRule="auto"/>
        <w:tabs>
          <w:tab w:leader="none" w:pos="24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Incentive Fee earned by the Investment Adviser in such Subsequent Fiscal Quarter less $1,250,000.00 and (b) $187,500.00 (the “</w:t>
      </w:r>
      <w:r>
        <w:rPr>
          <w:rFonts w:ascii="Times New Roman" w:cs="Times New Roman" w:eastAsia="Times New Roman" w:hAnsi="Times New Roman"/>
          <w:sz w:val="18"/>
          <w:szCs w:val="18"/>
          <w:u w:val="single" w:color="auto"/>
          <w:color w:val="auto"/>
        </w:rPr>
        <w:t>Waiver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the Incentive Fees waived in any Subsequent Fiscal Quarter are less than the Waiver Cap, then each Subsequent Fiscal Quarter’s Waiver Cap shall be increased by the difference between such Waiver Cap and such waived Incentive Fees until the earlier of the (i) seventh full fiscal quarter end following the Initial Fiscal Quarter and (ii) the time that fees equal to the amount of such difference are waived by the Investment Adviser.</w:t>
      </w:r>
    </w:p>
    <w:p>
      <w:pPr>
        <w:sectPr>
          <w:pgSz w:w="11900" w:h="16838" w:orient="portrait"/>
          <w:cols w:equalWidth="0" w:num="1">
            <w:col w:w="11024"/>
          </w:cols>
          <w:pgMar w:left="436" w:top="117" w:right="439" w:bottom="1440" w:gutter="0" w:footer="0" w:header="0"/>
        </w:sectPr>
      </w:pPr>
    </w:p>
    <w:bookmarkStart w:id="101" w:name="page102"/>
    <w:bookmarkEnd w:id="10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 The amount of any Incentive Fees waived pursuant to this Section 1 shall not be subject to reimbursement or recoupment pursuant to this Agreement or otherwise.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TERM AND TERMINATION OF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This Agreement shall become effective as of, and is subject to the occurrence of, the Closing.</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2.2 This Agreement shall terminate automatically upon the termination of the Investment Advisory Agreement unless the Company enters into a new investment advisory agreement with the Investment Adviser (or an affiliate of the Investment Adviser).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MISCELLANEOUS.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3.1 No provision of this Agreement may be amended, waived, discharged or terminated orally, but only by an instrument in writing signed by the party against which enforcement of the amendment, waiver, discharge or termination is sought. Any amendment of this Agreement shall be subject to the 1940 Act. The Company shall promptly provide a copy of any such amendment or waiver to any party entitled thereto.</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3.2 Unless expressly provided otherwise herein, any notice, request, direction, demand or other communication required or permitted under this Agreement shall be in writing and shall be deemed to have been duly given, made and received if sent by hand or by overnight courier, when personally delivered, if sent by telecopier, when receipt is confirmed by telephone, or if sent by registered or certified mail, postage prepaid, return receipt requested, when actually received if addressed as set forth below:</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Portman Ridge Finance Corporation</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080"/>
        <w:spacing w:after="0"/>
        <w:tabs>
          <w:tab w:leader="none" w:pos="2020" w:val="left"/>
        </w:tabs>
        <w:rPr>
          <w:sz w:val="20"/>
          <w:szCs w:val="20"/>
          <w:color w:val="auto"/>
        </w:rPr>
      </w:pPr>
      <w:r>
        <w:rPr>
          <w:rFonts w:ascii="Times New Roman" w:cs="Times New Roman" w:eastAsia="Times New Roman" w:hAnsi="Times New Roman"/>
          <w:sz w:val="18"/>
          <w:szCs w:val="18"/>
          <w:color w:val="auto"/>
        </w:rPr>
        <w:t>Attention:</w:t>
        <w:tab/>
        <w:t>Brandon Satoren</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Patrick Schafer</w:t>
      </w:r>
    </w:p>
    <w:p>
      <w:pPr>
        <w:spacing w:after="0" w:line="9" w:lineRule="exact"/>
        <w:rPr>
          <w:sz w:val="20"/>
          <w:szCs w:val="20"/>
          <w:color w:val="auto"/>
        </w:rPr>
      </w:pPr>
    </w:p>
    <w:p>
      <w:pPr>
        <w:ind w:left="1080"/>
        <w:spacing w:after="0"/>
        <w:tabs>
          <w:tab w:leader="none" w:pos="20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brandon.satoren@bcpartners.com</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patrick.schafer@bcpartners.com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Investment Adviser:</w:t>
      </w:r>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Sierra Crest Investment Management LLC</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1080"/>
        <w:spacing w:after="0"/>
        <w:tabs>
          <w:tab w:leader="none" w:pos="2020" w:val="left"/>
        </w:tabs>
        <w:rPr>
          <w:sz w:val="20"/>
          <w:szCs w:val="20"/>
          <w:color w:val="auto"/>
        </w:rPr>
      </w:pPr>
      <w:r>
        <w:rPr>
          <w:rFonts w:ascii="Times New Roman" w:cs="Times New Roman" w:eastAsia="Times New Roman" w:hAnsi="Times New Roman"/>
          <w:sz w:val="18"/>
          <w:szCs w:val="18"/>
          <w:color w:val="auto"/>
        </w:rPr>
        <w:t>Attention:</w:t>
        <w:tab/>
        <w:t>Brandon Satoren</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Patrick Schafer</w:t>
      </w:r>
    </w:p>
    <w:p>
      <w:pPr>
        <w:spacing w:after="0" w:line="9" w:lineRule="exact"/>
        <w:rPr>
          <w:sz w:val="20"/>
          <w:szCs w:val="20"/>
          <w:color w:val="auto"/>
        </w:rPr>
      </w:pPr>
    </w:p>
    <w:p>
      <w:pPr>
        <w:ind w:left="1080"/>
        <w:spacing w:after="0"/>
        <w:tabs>
          <w:tab w:leader="none" w:pos="20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brandon.satoren@bcpartners.com</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patrick.schafer@bcpartners.com</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Either party to this Agreement may alter the address to which communications or copies are to be sent to it by giving notice of such change of address in conformity with the provisions of this Section 3.2.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This Agreement shall be binding upon and inure to the benefit of the parties hereto and their respective successors and assigns as provided herein.</w:t>
      </w:r>
    </w:p>
    <w:p>
      <w:pPr>
        <w:sectPr>
          <w:pgSz w:w="11900" w:h="16838" w:orient="portrait"/>
          <w:cols w:equalWidth="0" w:num="1">
            <w:col w:w="10980"/>
          </w:cols>
          <w:pgMar w:left="440" w:top="270" w:right="479" w:bottom="1440" w:gutter="0" w:footer="0" w:header="0"/>
        </w:sectPr>
      </w:pPr>
    </w:p>
    <w:bookmarkStart w:id="102" w:name="page103"/>
    <w:bookmarkEnd w:id="10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 This Agreement contains the entire agreement and understanding between the parties hereto with respect to the subject matter hereof, and supersedes all prior and contemporaneous agreements, understandings, inducements and conditions, express or implied, oral or written, of any nature whatsoever with respect to the subject matter hereof. The express terms hereof control and supersede any course of performance or usage of the trade inconsistent with any of the terms hereof.</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3.5 The titles of sections contained in this Agreement are for convenience of reference only, and they neither form a part of this Agreement nor are they to be used in the construction or interpretation hereof.</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3.6 The provisions of this Agreement are independent of and separable from each other, and, to the extent permitted by applicable law, no provision shall be affected or rendered invalid or unenforceable by virtue of the fact that for any reason any other or others of them may be invalid or unenforceable in whole or in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 This Agreement shall be governed and construed in accordance with the laws of the State of Delaware and, to the extent inconsistent therewith,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1940 Act.</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3.8 This Agreement may be executed in separate counterparts, each of which shall be an original and all of which taken together shall constitute one and the same instrument.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103" w:name="page104"/>
    <w:bookmarkEnd w:id="103"/>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signed by their respective officers thereunto duly authorized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PORTMAN RIDGE FINANCE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Ted Goldthorpe</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SIERRA CREST INVESTMENT MANAGEMENT LLC</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Ted Goldthorpe</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Fee Waiver Agreement</w:t>
      </w:r>
      <w:r>
        <w:rPr>
          <w:rFonts w:ascii="Times New Roman" w:cs="Times New Roman" w:eastAsia="Times New Roman" w:hAnsi="Times New Roman"/>
          <w:sz w:val="18"/>
          <w:szCs w:val="18"/>
          <w:color w:val="auto"/>
        </w:rPr>
        <w:t>]</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1)"/>
      <w:numFmt w:val="lowerLetter"/>
      <w:start w:val="1"/>
    </w:lvl>
  </w:abstractNum>
  <w:abstractNum w:abstractNumId="2">
    <w:nsid w:val="5DB70AE5"/>
    <w:multiLevelType w:val="hybridMultilevel"/>
    <w:lvl w:ilvl="0">
      <w:lvlJc w:val="left"/>
      <w:lvlText w:val="%1"/>
      <w:numFmt w:val="decimal"/>
      <w:start w:val="1"/>
    </w:lvl>
    <w:lvl w:ilvl="1">
      <w:lvlJc w:val="left"/>
      <w:lvlText w:val="(%2)"/>
      <w:numFmt w:val="lowerLetter"/>
      <w:start w:val="6"/>
    </w:lvl>
  </w:abstractNum>
  <w:abstractNum w:abstractNumId="3">
    <w:nsid w:val="100F8FCA"/>
    <w:multiLevelType w:val="hybridMultilevel"/>
    <w:lvl w:ilvl="0">
      <w:lvlJc w:val="left"/>
      <w:lvlText w:val="(%1)"/>
      <w:numFmt w:val="decimal"/>
      <w:start w:val="5"/>
    </w:lvl>
    <w:lvl w:ilvl="1">
      <w:lvlJc w:val="left"/>
      <w:lvlText w:val="%2"/>
      <w:numFmt w:val="lowerLetter"/>
      <w:start w:val="1"/>
    </w:lvl>
  </w:abstractNum>
  <w:abstractNum w:abstractNumId="4">
    <w:nsid w:val="6590700B"/>
    <w:multiLevelType w:val="hybridMultilevel"/>
    <w:lvl w:ilvl="0">
      <w:lvlJc w:val="left"/>
      <w:lvlText w:val="(%1)"/>
      <w:numFmt w:val="lowerLetter"/>
      <w:start w:val="1"/>
    </w:lvl>
  </w:abstractNum>
  <w:abstractNum w:abstractNumId="5">
    <w:nsid w:val="15014ACB"/>
    <w:multiLevelType w:val="hybridMultilevel"/>
    <w:lvl w:ilvl="0">
      <w:lvlJc w:val="left"/>
      <w:lvlText w:val="%1"/>
      <w:numFmt w:val="lowerLetter"/>
      <w:start w:val="1"/>
    </w:lvl>
    <w:lvl w:ilvl="1">
      <w:lvlJc w:val="left"/>
      <w:lvlText w:val="(%2)"/>
      <w:numFmt w:val="lowerLetter"/>
      <w:start w:val="2"/>
    </w:lvl>
  </w:abstractNum>
  <w:abstractNum w:abstractNumId="6">
    <w:nsid w:val="5F5E7FD0"/>
    <w:multiLevelType w:val="hybridMultilevel"/>
    <w:lvl w:ilvl="0">
      <w:lvlJc w:val="left"/>
      <w:lvlText w:val="(%1)"/>
      <w:numFmt w:val="lowerLetter"/>
      <w:start w:val="35"/>
    </w:lvl>
    <w:lvl w:ilvl="1">
      <w:lvlJc w:val="left"/>
      <w:lvlText w:val="%2"/>
      <w:numFmt w:val="lowerLetter"/>
      <w:start w:val="1"/>
    </w:lvl>
  </w:abstractNum>
  <w:abstractNum w:abstractNumId="7">
    <w:nsid w:val="98A3148"/>
    <w:multiLevelType w:val="hybridMultilevel"/>
    <w:lvl w:ilvl="0">
      <w:lvlJc w:val="left"/>
      <w:lvlText w:val="(%1)"/>
      <w:numFmt w:val="lowerLetter"/>
      <w:start w:val="1"/>
    </w:lvl>
  </w:abstractNum>
  <w:abstractNum w:abstractNumId="8">
    <w:nsid w:val="799D0247"/>
    <w:multiLevelType w:val="hybridMultilevel"/>
    <w:lvl w:ilvl="0">
      <w:lvlJc w:val="left"/>
      <w:lvlText w:val="(%1)"/>
      <w:numFmt w:val="lowerLetter"/>
      <w:start w:val="1"/>
    </w:lvl>
  </w:abstractNum>
  <w:abstractNum w:abstractNumId="9">
    <w:nsid w:val="6B94764"/>
    <w:multiLevelType w:val="hybridMultilevel"/>
    <w:lvl w:ilvl="0">
      <w:lvlJc w:val="left"/>
      <w:lvlText w:val="(%1)"/>
      <w:numFmt w:val="lowerLetter"/>
      <w:start w:val="2"/>
    </w:lvl>
  </w:abstractNum>
  <w:abstractNum w:abstractNumId="10">
    <w:nsid w:val="42C296BD"/>
    <w:multiLevelType w:val="hybridMultilevel"/>
    <w:lvl w:ilvl="0">
      <w:lvlJc w:val="left"/>
      <w:lvlText w:val="(%1)"/>
      <w:numFmt w:val="lowerLetter"/>
      <w:start w:val="4"/>
    </w:lvl>
  </w:abstractNum>
  <w:abstractNum w:abstractNumId="11">
    <w:nsid w:val="168E121F"/>
    <w:multiLevelType w:val="hybridMultilevel"/>
    <w:lvl w:ilvl="0">
      <w:lvlJc w:val="left"/>
      <w:lvlText w:val="%1"/>
      <w:numFmt w:val="upperLetter"/>
      <w:start w:val="35"/>
    </w:lvl>
  </w:abstractNum>
  <w:abstractNum w:abstractNumId="12">
    <w:nsid w:val="1EBA5D23"/>
    <w:multiLevelType w:val="hybridMultilevel"/>
    <w:lvl w:ilvl="0">
      <w:lvlJc w:val="left"/>
      <w:lvlText w:val="(%1)"/>
      <w:numFmt w:val="lowerLetter"/>
      <w:start w:val="1"/>
    </w:lvl>
  </w:abstractNum>
  <w:abstractNum w:abstractNumId="13">
    <w:nsid w:val="661E3F1E"/>
    <w:multiLevelType w:val="hybridMultilevel"/>
    <w:lvl w:ilvl="0">
      <w:lvlJc w:val="left"/>
      <w:lvlText w:val="(%1)"/>
      <w:numFmt w:val="lowerLetter"/>
      <w:start w:val="3"/>
    </w:lvl>
  </w:abstractNum>
  <w:abstractNum w:abstractNumId="14">
    <w:nsid w:val="5DC79EA8"/>
    <w:multiLevelType w:val="hybridMultilevel"/>
    <w:lvl w:ilvl="0">
      <w:lvlJc w:val="left"/>
      <w:lvlText w:val="%1"/>
      <w:numFmt w:val="lowerLetter"/>
      <w:start w:val="1"/>
    </w:lvl>
    <w:lvl w:ilvl="1">
      <w:lvlJc w:val="left"/>
      <w:lvlText w:val="(%2)"/>
      <w:numFmt w:val="lowerLetter"/>
      <w:start w:val="1"/>
    </w:lvl>
  </w:abstractNum>
  <w:abstractNum w:abstractNumId="15">
    <w:nsid w:val="540A471C"/>
    <w:multiLevelType w:val="hybridMultilevel"/>
    <w:lvl w:ilvl="0">
      <w:lvlJc w:val="left"/>
      <w:lvlText w:val="(%1)"/>
      <w:numFmt w:val="lowerLetter"/>
      <w:start w:val="35"/>
    </w:lvl>
    <w:lvl w:ilvl="1">
      <w:lvlJc w:val="left"/>
      <w:lvlText w:val="(%2)"/>
      <w:numFmt w:val="lowerLetter"/>
      <w:start w:val="2"/>
    </w:lvl>
  </w:abstractNum>
  <w:abstractNum w:abstractNumId="16">
    <w:nsid w:val="7BD3EE7B"/>
    <w:multiLevelType w:val="hybridMultilevel"/>
    <w:lvl w:ilvl="0">
      <w:lvlJc w:val="left"/>
      <w:lvlText w:val="%1"/>
      <w:numFmt w:val="lowerLetter"/>
      <w:start w:val="1"/>
    </w:lvl>
    <w:lvl w:ilvl="1">
      <w:lvlJc w:val="left"/>
      <w:lvlText w:val="(%2)"/>
      <w:numFmt w:val="lowerLetter"/>
      <w:start w:val="1"/>
    </w:lvl>
  </w:abstractNum>
  <w:abstractNum w:abstractNumId="17">
    <w:nsid w:val="51D9C564"/>
    <w:multiLevelType w:val="hybridMultilevel"/>
    <w:lvl w:ilvl="0">
      <w:lvlJc w:val="left"/>
      <w:lvlText w:val="(%1)"/>
      <w:numFmt w:val="lowerLetter"/>
      <w:start w:val="35"/>
    </w:lvl>
    <w:lvl w:ilvl="1">
      <w:lvlJc w:val="left"/>
      <w:lvlText w:val="%2"/>
      <w:numFmt w:val="lowerLetter"/>
      <w:start w:val="1"/>
    </w:lvl>
  </w:abstractNum>
  <w:abstractNum w:abstractNumId="18">
    <w:nsid w:val="613EFDC5"/>
    <w:multiLevelType w:val="hybridMultilevel"/>
    <w:lvl w:ilvl="0">
      <w:lvlJc w:val="left"/>
      <w:lvlText w:val="(%1)"/>
      <w:numFmt w:val="lowerLetter"/>
      <w:start w:val="1"/>
    </w:lvl>
  </w:abstractNum>
  <w:abstractNum w:abstractNumId="19">
    <w:nsid w:val="BF72B14"/>
    <w:multiLevelType w:val="hybridMultilevel"/>
    <w:lvl w:ilvl="0">
      <w:lvlJc w:val="left"/>
      <w:lvlText w:val="(%1)"/>
      <w:numFmt w:val="lowerLetter"/>
      <w:start w:val="3"/>
    </w:lvl>
  </w:abstractNum>
  <w:abstractNum w:abstractNumId="20">
    <w:nsid w:val="11447B73"/>
    <w:multiLevelType w:val="hybridMultilevel"/>
    <w:lvl w:ilvl="0">
      <w:lvlJc w:val="left"/>
      <w:lvlText w:val="(%1)"/>
      <w:numFmt w:val="lowerLetter"/>
      <w:start w:val="1"/>
    </w:lvl>
  </w:abstractNum>
  <w:abstractNum w:abstractNumId="21">
    <w:nsid w:val="42963E5A"/>
    <w:multiLevelType w:val="hybridMultilevel"/>
    <w:lvl w:ilvl="0">
      <w:lvlJc w:val="left"/>
      <w:lvlText w:val="(%1)"/>
      <w:numFmt w:val="lowerLetter"/>
      <w:start w:val="22"/>
    </w:lvl>
    <w:lvl w:ilvl="1">
      <w:lvlJc w:val="left"/>
      <w:lvlText w:val="(%2)"/>
      <w:numFmt w:val="lowerLetter"/>
      <w:start w:val="3"/>
    </w:lvl>
  </w:abstractNum>
  <w:abstractNum w:abstractNumId="22">
    <w:nsid w:val="A0382C5"/>
    <w:multiLevelType w:val="hybridMultilevel"/>
    <w:lvl w:ilvl="0">
      <w:lvlJc w:val="left"/>
      <w:lvlText w:val="(%1)"/>
      <w:numFmt w:val="lowerLetter"/>
      <w:start w:val="9"/>
    </w:lvl>
    <w:lvl w:ilvl="1">
      <w:lvlJc w:val="left"/>
      <w:lvlText w:val="(%2)"/>
      <w:numFmt w:val="lowerLetter"/>
      <w:start w:val="6"/>
    </w:lvl>
  </w:abstractNum>
  <w:abstractNum w:abstractNumId="23">
    <w:nsid w:val="8F2B15E"/>
    <w:multiLevelType w:val="hybridMultilevel"/>
    <w:lvl w:ilvl="0">
      <w:lvlJc w:val="left"/>
      <w:lvlText w:val="(%1)"/>
      <w:numFmt w:val="lowerLetter"/>
      <w:start w:val="7"/>
    </w:lvl>
    <w:lvl w:ilvl="1">
      <w:lvlJc w:val="left"/>
      <w:lvlText w:val="(%2)"/>
      <w:numFmt w:val="upperLetter"/>
      <w:start w:val="1"/>
    </w:lvl>
    <w:lvl w:ilvl="2">
      <w:lvlJc w:val="left"/>
      <w:lvlText w:val="(%3)"/>
      <w:numFmt w:val="lowerRoman"/>
      <w:start w:val="1"/>
    </w:lvl>
  </w:abstractNum>
  <w:abstractNum w:abstractNumId="24">
    <w:nsid w:val="1A32234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25">
    <w:nsid w:val="3B0FD379"/>
    <w:multiLevelType w:val="hybridMultilevel"/>
    <w:lvl w:ilvl="0">
      <w:lvlJc w:val="left"/>
      <w:lvlText w:val="(%1)"/>
      <w:numFmt w:val="lowerLetter"/>
      <w:start w:val="8"/>
    </w:lvl>
    <w:lvl w:ilvl="1">
      <w:lvlJc w:val="left"/>
      <w:lvlText w:val="%2"/>
      <w:numFmt w:val="upperLetter"/>
      <w:start w:val="1"/>
    </w:lvl>
    <w:lvl w:ilvl="2">
      <w:lvlJc w:val="left"/>
      <w:lvlText w:val="%3"/>
      <w:numFmt w:val="lowerRoman"/>
      <w:start w:val="1"/>
    </w:lvl>
  </w:abstractNum>
  <w:abstractNum w:abstractNumId="26">
    <w:nsid w:val="68EB2F63"/>
    <w:multiLevelType w:val="hybridMultilevel"/>
    <w:lvl w:ilvl="0">
      <w:lvlJc w:val="left"/>
      <w:lvlText w:val="(%1)"/>
      <w:numFmt w:val="lowerRoman"/>
      <w:start w:val="1"/>
    </w:lvl>
  </w:abstractNum>
  <w:abstractNum w:abstractNumId="27">
    <w:nsid w:val="4962813B"/>
    <w:multiLevelType w:val="hybridMultilevel"/>
    <w:lvl w:ilvl="0">
      <w:lvlJc w:val="left"/>
      <w:lvlText w:val="(%1)"/>
      <w:numFmt w:val="lowerLetter"/>
      <w:start w:val="1"/>
    </w:lvl>
  </w:abstractNum>
  <w:abstractNum w:abstractNumId="28">
    <w:nsid w:val="60B6DF70"/>
    <w:multiLevelType w:val="hybridMultilevel"/>
    <w:lvl w:ilvl="0">
      <w:lvlJc w:val="left"/>
      <w:lvlText w:val="(%1)"/>
      <w:numFmt w:val="lowerLetter"/>
      <w:start w:val="3"/>
    </w:lvl>
  </w:abstractNum>
  <w:abstractNum w:abstractNumId="29">
    <w:nsid w:val="6A5EE64"/>
    <w:multiLevelType w:val="hybridMultilevel"/>
    <w:lvl w:ilvl="0">
      <w:lvlJc w:val="left"/>
      <w:lvlText w:val="(%1)"/>
      <w:numFmt w:val="lowerRoman"/>
      <w:start w:val="1"/>
    </w:lvl>
  </w:abstractNum>
  <w:abstractNum w:abstractNumId="30">
    <w:nsid w:val="14330624"/>
    <w:multiLevelType w:val="hybridMultilevel"/>
    <w:lvl w:ilvl="0">
      <w:lvlJc w:val="left"/>
      <w:lvlText w:val="(%1)"/>
      <w:numFmt w:val="lowerLetter"/>
      <w:start w:val="1"/>
    </w:lvl>
  </w:abstractNum>
  <w:abstractNum w:abstractNumId="31">
    <w:nsid w:val="7FFFCA11"/>
    <w:multiLevelType w:val="hybridMultilevel"/>
    <w:lvl w:ilvl="0">
      <w:lvlJc w:val="left"/>
      <w:lvlText w:val="(%1)"/>
      <w:numFmt w:val="lowerLetter"/>
      <w:start w:val="2"/>
    </w:lvl>
  </w:abstractNum>
  <w:abstractNum w:abstractNumId="32">
    <w:nsid w:val="1A27709E"/>
    <w:multiLevelType w:val="hybridMultilevel"/>
    <w:lvl w:ilvl="0">
      <w:lvlJc w:val="left"/>
      <w:lvlText w:val="(%1)"/>
      <w:numFmt w:val="lowerLetter"/>
      <w:start w:val="11"/>
    </w:lvl>
  </w:abstractNum>
  <w:abstractNum w:abstractNumId="33">
    <w:nsid w:val="71EA1109"/>
    <w:multiLevelType w:val="hybridMultilevel"/>
    <w:lvl w:ilvl="0">
      <w:lvlJc w:val="left"/>
      <w:lvlText w:val="(%1)"/>
      <w:numFmt w:val="lowerLetter"/>
      <w:start w:val="1"/>
    </w:lvl>
    <w:lvl w:ilvl="1">
      <w:lvlJc w:val="left"/>
      <w:lvlText w:val="(%2)"/>
      <w:numFmt w:val="lowerRoman"/>
      <w:start w:val="1"/>
    </w:lvl>
  </w:abstractNum>
  <w:abstractNum w:abstractNumId="34">
    <w:nsid w:val="100F59DC"/>
    <w:multiLevelType w:val="hybridMultilevel"/>
    <w:lvl w:ilvl="0">
      <w:lvlJc w:val="left"/>
      <w:lvlText w:val="%1"/>
      <w:numFmt w:val="lowerLetter"/>
      <w:start w:val="1"/>
    </w:lvl>
    <w:lvl w:ilvl="1">
      <w:lvlJc w:val="left"/>
      <w:lvlText w:val="(%2)"/>
      <w:numFmt w:val="lowerRoman"/>
      <w:start w:val="4"/>
    </w:lvl>
  </w:abstractNum>
  <w:abstractNum w:abstractNumId="35">
    <w:nsid w:val="7FB7E0AA"/>
    <w:multiLevelType w:val="hybridMultilevel"/>
    <w:lvl w:ilvl="0">
      <w:lvlJc w:val="left"/>
      <w:lvlText w:val="(%1)"/>
      <w:numFmt w:val="lowerLetter"/>
      <w:start w:val="2"/>
    </w:lvl>
    <w:lvl w:ilvl="1">
      <w:lvlJc w:val="left"/>
      <w:lvlText w:val="%2"/>
      <w:numFmt w:val="lowerRoman"/>
      <w:start w:val="1"/>
    </w:lvl>
  </w:abstractNum>
  <w:abstractNum w:abstractNumId="36">
    <w:nsid w:val="6EB5BD4"/>
    <w:multiLevelType w:val="hybridMultilevel"/>
    <w:lvl w:ilvl="0">
      <w:lvlJc w:val="left"/>
      <w:lvlText w:val="(%1)"/>
      <w:numFmt w:val="lowerLetter"/>
      <w:start w:val="1"/>
    </w:lvl>
  </w:abstractNum>
  <w:abstractNum w:abstractNumId="37">
    <w:nsid w:val="6F6DD9AC"/>
    <w:multiLevelType w:val="hybridMultilevel"/>
    <w:lvl w:ilvl="0">
      <w:lvlJc w:val="left"/>
      <w:lvlText w:val="(%1)"/>
      <w:numFmt w:val="lowerLetter"/>
      <w:start w:val="2"/>
    </w:lvl>
  </w:abstractNum>
  <w:abstractNum w:abstractNumId="38">
    <w:nsid w:val="94211F2"/>
    <w:multiLevelType w:val="hybridMultilevel"/>
    <w:lvl w:ilvl="0">
      <w:lvlJc w:val="left"/>
      <w:lvlText w:val="(%1)"/>
      <w:numFmt w:val="lowerLetter"/>
      <w:start w:val="1"/>
    </w:lvl>
  </w:abstractNum>
  <w:abstractNum w:abstractNumId="39">
    <w:nsid w:val="885E1B"/>
    <w:multiLevelType w:val="hybridMultilevel"/>
    <w:lvl w:ilvl="0">
      <w:lvlJc w:val="left"/>
      <w:lvlText w:val="(%1)"/>
      <w:numFmt w:val="lowerLetter"/>
      <w:start w:val="2"/>
    </w:lvl>
  </w:abstractNum>
  <w:abstractNum w:abstractNumId="40">
    <w:nsid w:val="76272110"/>
    <w:multiLevelType w:val="hybridMultilevel"/>
    <w:lvl w:ilvl="0">
      <w:lvlJc w:val="left"/>
      <w:lvlText w:val="%1"/>
      <w:numFmt w:val="lowerLetter"/>
      <w:start w:val="1"/>
    </w:lvl>
    <w:lvl w:ilvl="1">
      <w:lvlJc w:val="left"/>
      <w:lvlText w:val="(%2)"/>
      <w:numFmt w:val="lowerLetter"/>
      <w:start w:val="1"/>
    </w:lvl>
  </w:abstractNum>
  <w:abstractNum w:abstractNumId="41">
    <w:nsid w:val="4C04A8AF"/>
    <w:multiLevelType w:val="hybridMultilevel"/>
    <w:lvl w:ilvl="0">
      <w:lvlJc w:val="left"/>
      <w:lvlText w:val="(%1)"/>
      <w:numFmt w:val="lowerLetter"/>
      <w:start w:val="35"/>
    </w:lvl>
    <w:lvl w:ilvl="1">
      <w:lvlJc w:val="left"/>
      <w:lvlText w:val="%2"/>
      <w:numFmt w:val="lowerLetter"/>
      <w:start w:val="1"/>
    </w:lvl>
  </w:abstractNum>
  <w:abstractNum w:abstractNumId="42">
    <w:nsid w:val="1716703B"/>
    <w:multiLevelType w:val="hybridMultilevel"/>
    <w:lvl w:ilvl="0">
      <w:lvlJc w:val="left"/>
      <w:lvlText w:val="(%1)"/>
      <w:numFmt w:val="lowerLetter"/>
      <w:start w:val="2"/>
    </w:lvl>
  </w:abstractNum>
  <w:abstractNum w:abstractNumId="43">
    <w:nsid w:val="14E17E33"/>
    <w:multiLevelType w:val="hybridMultilevel"/>
    <w:lvl w:ilvl="0">
      <w:lvlJc w:val="left"/>
      <w:lvlText w:val="(%1)"/>
      <w:numFmt w:val="lowerLetter"/>
      <w:start w:val="7"/>
    </w:lvl>
  </w:abstractNum>
  <w:abstractNum w:abstractNumId="44">
    <w:nsid w:val="3222E7CD"/>
    <w:multiLevelType w:val="hybridMultilevel"/>
    <w:lvl w:ilvl="0">
      <w:lvlJc w:val="left"/>
      <w:lvlText w:val="(%1)"/>
      <w:numFmt w:val="lowerLetter"/>
      <w:start w:val="1"/>
    </w:lvl>
  </w:abstractNum>
  <w:abstractNum w:abstractNumId="45">
    <w:nsid w:val="74DE0EE3"/>
    <w:multiLevelType w:val="hybridMultilevel"/>
    <w:lvl w:ilvl="0">
      <w:lvlJc w:val="left"/>
      <w:lvlText w:val="(%1)"/>
      <w:numFmt w:val="lowerLetter"/>
      <w:start w:val="1"/>
    </w:lvl>
  </w:abstractNum>
  <w:abstractNum w:abstractNumId="46">
    <w:nsid w:val="68EBC550"/>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abstractNum>
  <w:abstractNum w:abstractNumId="47">
    <w:nsid w:val="2DF6D64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48">
    <w:nsid w:val="46B7D447"/>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1"/>
    </w:lvl>
  </w:abstractNum>
  <w:abstractNum w:abstractNumId="49">
    <w:nsid w:val="4A2AC315"/>
    <w:multiLevelType w:val="hybridMultilevel"/>
    <w:lvl w:ilvl="0">
      <w:lvlJc w:val="left"/>
      <w:lvlText w:val="(%1)"/>
      <w:numFmt w:val="lowerLetter"/>
      <w:start w:val="35"/>
    </w:lvl>
    <w:lvl w:ilvl="1">
      <w:lvlJc w:val="left"/>
      <w:lvlText w:val="(%2)"/>
      <w:numFmt w:val="lowerLetter"/>
      <w:start w:val="9"/>
    </w:lvl>
    <w:lvl w:ilvl="2">
      <w:lvlJc w:val="left"/>
      <w:lvlText w:val="%3"/>
      <w:numFmt w:val="lowerLetter"/>
      <w:start w:val="1"/>
    </w:lvl>
  </w:abstractNum>
  <w:abstractNum w:abstractNumId="50">
    <w:nsid w:val="39EE015C"/>
    <w:multiLevelType w:val="hybridMultilevel"/>
    <w:lvl w:ilvl="0">
      <w:lvlJc w:val="left"/>
      <w:lvlText w:val="(%1)"/>
      <w:numFmt w:val="lowerLetter"/>
      <w:start w:val="1"/>
    </w:lvl>
  </w:abstractNum>
  <w:abstractNum w:abstractNumId="51">
    <w:nsid w:val="57FC4FBB"/>
    <w:multiLevelType w:val="hybridMultilevel"/>
    <w:lvl w:ilvl="0">
      <w:lvlJc w:val="left"/>
      <w:lvlText w:val="(%1)"/>
      <w:numFmt w:val="lowerLetter"/>
      <w:start w:val="5"/>
    </w:lvl>
  </w:abstractNum>
  <w:abstractNum w:abstractNumId="52">
    <w:nsid w:val="CC1016F"/>
    <w:multiLevelType w:val="hybridMultilevel"/>
    <w:lvl w:ilvl="0">
      <w:lvlJc w:val="left"/>
      <w:lvlText w:val="(%1)"/>
      <w:numFmt w:val="lowerRoman"/>
      <w:start w:val="1"/>
    </w:lvl>
  </w:abstractNum>
  <w:abstractNum w:abstractNumId="53">
    <w:nsid w:val="43F18422"/>
    <w:multiLevelType w:val="hybridMultilevel"/>
    <w:lvl w:ilvl="0">
      <w:lvlJc w:val="left"/>
      <w:lvlText w:val="(%1)"/>
      <w:numFmt w:val="lowerLetter"/>
      <w:start w:val="1"/>
    </w:lvl>
  </w:abstractNum>
  <w:abstractNum w:abstractNumId="54">
    <w:nsid w:val="60EF0119"/>
    <w:multiLevelType w:val="hybridMultilevel"/>
    <w:lvl w:ilvl="0">
      <w:lvlJc w:val="left"/>
      <w:lvlText w:val="(%1)"/>
      <w:numFmt w:val="lowerLetter"/>
      <w:start w:val="2"/>
    </w:lvl>
  </w:abstractNum>
  <w:abstractNum w:abstractNumId="55">
    <w:nsid w:val="26F324BA"/>
    <w:multiLevelType w:val="hybridMultilevel"/>
    <w:lvl w:ilvl="0">
      <w:lvlJc w:val="left"/>
      <w:lvlText w:val="(%1)"/>
      <w:numFmt w:val="lowerLetter"/>
      <w:start w:val="7"/>
    </w:lvl>
  </w:abstractNum>
  <w:abstractNum w:abstractNumId="56">
    <w:nsid w:val="7F01579B"/>
    <w:multiLevelType w:val="hybridMultilevel"/>
    <w:lvl w:ilvl="0">
      <w:lvlJc w:val="left"/>
      <w:lvlText w:val="(%1)"/>
      <w:numFmt w:val="lowerLetter"/>
      <w:start w:val="1"/>
    </w:lvl>
    <w:lvl w:ilvl="1">
      <w:lvlJc w:val="left"/>
      <w:lvlText w:val="(%2)"/>
      <w:numFmt w:val="lowerRoman"/>
      <w:start w:val="1"/>
    </w:lvl>
  </w:abstractNum>
  <w:abstractNum w:abstractNumId="57">
    <w:nsid w:val="49DA307D"/>
    <w:multiLevelType w:val="hybridMultilevel"/>
    <w:lvl w:ilvl="0">
      <w:lvlJc w:val="left"/>
      <w:lvlText w:val="(%1)"/>
      <w:numFmt w:val="lowerLetter"/>
      <w:start w:val="1"/>
    </w:lvl>
  </w:abstractNum>
  <w:abstractNum w:abstractNumId="58">
    <w:nsid w:val="7055A5F5"/>
    <w:multiLevelType w:val="hybridMultilevel"/>
    <w:lvl w:ilvl="0">
      <w:lvlJc w:val="left"/>
      <w:lvlText w:val="(%1)"/>
      <w:numFmt w:val="lowerLetter"/>
      <w:start w:val="1"/>
    </w:lvl>
  </w:abstractNum>
  <w:abstractNum w:abstractNumId="59">
    <w:nsid w:val="5FB8370B"/>
    <w:multiLevelType w:val="hybridMultilevel"/>
    <w:lvl w:ilvl="0">
      <w:lvlJc w:val="left"/>
      <w:lvlText w:val="(%1)"/>
      <w:numFmt w:val="lowerLetter"/>
      <w:start w:val="5"/>
    </w:lvl>
  </w:abstractNum>
  <w:abstractNum w:abstractNumId="60">
    <w:nsid w:val="50801EE1"/>
    <w:multiLevelType w:val="hybridMultilevel"/>
    <w:lvl w:ilvl="0">
      <w:lvlJc w:val="left"/>
      <w:lvlText w:val="%1"/>
      <w:numFmt w:val="lowerLetter"/>
      <w:start w:val="1"/>
    </w:lvl>
    <w:lvl w:ilvl="1">
      <w:lvlJc w:val="left"/>
      <w:lvlText w:val="(%2)"/>
      <w:numFmt w:val="lowerLetter"/>
      <w:start w:val="1"/>
    </w:lvl>
  </w:abstractNum>
  <w:abstractNum w:abstractNumId="61">
    <w:nsid w:val="488AC1A"/>
    <w:multiLevelType w:val="hybridMultilevel"/>
    <w:lvl w:ilvl="0">
      <w:lvlJc w:val="left"/>
      <w:lvlText w:val="(%1)"/>
      <w:numFmt w:val="lowerLetter"/>
      <w:start w:val="61"/>
    </w:lvl>
    <w:lvl w:ilvl="1">
      <w:lvlJc w:val="left"/>
      <w:lvlText w:val="(%2)"/>
      <w:numFmt w:val="lowerLetter"/>
      <w:start w:val="2"/>
    </w:lvl>
  </w:abstractNum>
  <w:abstractNum w:abstractNumId="62">
    <w:nsid w:val="5FB8011C"/>
    <w:multiLevelType w:val="hybridMultilevel"/>
    <w:lvl w:ilvl="0">
      <w:lvlJc w:val="left"/>
      <w:lvlText w:val="(%1)"/>
      <w:numFmt w:val="lowerLetter"/>
      <w:start w:val="3"/>
    </w:lvl>
  </w:abstractNum>
  <w:abstractNum w:abstractNumId="63">
    <w:nsid w:val="6AA78F7F"/>
    <w:multiLevelType w:val="hybridMultilevel"/>
    <w:lvl w:ilvl="0">
      <w:lvlJc w:val="left"/>
      <w:lvlText w:val="%1"/>
      <w:numFmt w:val="lowerLetter"/>
      <w:start w:val="1"/>
    </w:lvl>
    <w:lvl w:ilvl="1">
      <w:lvlJc w:val="left"/>
      <w:lvlText w:val="(%2)"/>
      <w:numFmt w:val="lowerLetter"/>
      <w:start w:val="11"/>
    </w:lvl>
  </w:abstractNum>
  <w:abstractNum w:abstractNumId="64">
    <w:nsid w:val="7672BD23"/>
    <w:multiLevelType w:val="hybridMultilevel"/>
    <w:lvl w:ilvl="0">
      <w:lvlJc w:val="left"/>
      <w:lvlText w:val="(%1)"/>
      <w:numFmt w:val="lowerLetter"/>
      <w:start w:val="61"/>
    </w:lvl>
    <w:lvl w:ilvl="1">
      <w:lvlJc w:val="left"/>
      <w:lvlText w:val="(%2)"/>
      <w:numFmt w:val="lowerLetter"/>
      <w:start w:val="16"/>
    </w:lvl>
  </w:abstractNum>
  <w:abstractNum w:abstractNumId="65">
    <w:nsid w:val="6FC75AF8"/>
    <w:multiLevelType w:val="hybridMultilevel"/>
    <w:lvl w:ilvl="0">
      <w:lvlJc w:val="left"/>
      <w:lvlText w:val="%1"/>
      <w:numFmt w:val="lowerLetter"/>
      <w:start w:val="1"/>
    </w:lvl>
    <w:lvl w:ilvl="1">
      <w:lvlJc w:val="left"/>
      <w:lvlText w:val="(%2)"/>
      <w:numFmt w:val="lowerLetter"/>
      <w:start w:val="1"/>
    </w:lvl>
  </w:abstractNum>
  <w:abstractNum w:abstractNumId="66">
    <w:nsid w:val="6A5F7029"/>
    <w:multiLevelType w:val="hybridMultilevel"/>
    <w:lvl w:ilvl="0">
      <w:lvlJc w:val="left"/>
      <w:lvlText w:val="(%1)"/>
      <w:numFmt w:val="lowerLetter"/>
      <w:start w:val="61"/>
    </w:lvl>
    <w:lvl w:ilvl="1">
      <w:lvlJc w:val="left"/>
      <w:lvlText w:val="(%2)"/>
      <w:numFmt w:val="lowerLetter"/>
      <w:start w:val="2"/>
    </w:lvl>
  </w:abstractNum>
  <w:abstractNum w:abstractNumId="67">
    <w:nsid w:val="7D5E18F8"/>
    <w:multiLevelType w:val="hybridMultilevel"/>
    <w:lvl w:ilvl="0">
      <w:lvlJc w:val="left"/>
      <w:lvlText w:val="(%1)"/>
      <w:numFmt w:val="lowerLetter"/>
      <w:start w:val="7"/>
    </w:lvl>
  </w:abstractNum>
  <w:abstractNum w:abstractNumId="68">
    <w:nsid w:val="5F3534A4"/>
    <w:multiLevelType w:val="hybridMultilevel"/>
    <w:lvl w:ilvl="0">
      <w:lvlJc w:val="left"/>
      <w:lvlText w:val="(%1)"/>
      <w:numFmt w:val="lowerLetter"/>
      <w:start w:val="16"/>
    </w:lvl>
  </w:abstractNum>
  <w:abstractNum w:abstractNumId="69">
    <w:nsid w:val="73A1821B"/>
    <w:multiLevelType w:val="hybridMultilevel"/>
    <w:lvl w:ilvl="0">
      <w:lvlJc w:val="left"/>
      <w:lvlText w:val="(%1)"/>
      <w:numFmt w:val="lowerLetter"/>
      <w:start w:val="1"/>
    </w:lvl>
  </w:abstractNum>
  <w:abstractNum w:abstractNumId="70">
    <w:nsid w:val="7DE67713"/>
    <w:multiLevelType w:val="hybridMultilevel"/>
    <w:lvl w:ilvl="0">
      <w:lvlJc w:val="left"/>
      <w:lvlText w:val="(%1)"/>
      <w:numFmt w:val="lowerLetter"/>
      <w:start w:val="35"/>
    </w:lvl>
    <w:lvl w:ilvl="1">
      <w:lvlJc w:val="left"/>
      <w:lvlText w:val="(%2)"/>
      <w:numFmt w:val="lowerLetter"/>
      <w:start w:val="2"/>
    </w:lvl>
  </w:abstractNum>
  <w:abstractNum w:abstractNumId="71">
    <w:nsid w:val="555C55B5"/>
    <w:multiLevelType w:val="hybridMultilevel"/>
    <w:lvl w:ilvl="0">
      <w:lvlJc w:val="left"/>
      <w:lvlText w:val="(%1)"/>
      <w:numFmt w:val="lowerLetter"/>
      <w:start w:val="1"/>
    </w:lvl>
  </w:abstractNum>
  <w:abstractNum w:abstractNumId="72">
    <w:nsid w:val="3FA62ACA"/>
    <w:multiLevelType w:val="hybridMultilevel"/>
    <w:lvl w:ilvl="0">
      <w:lvlJc w:val="left"/>
      <w:lvlText w:val="(%1)"/>
      <w:numFmt w:val="lowerLetter"/>
      <w:start w:val="3"/>
    </w:lvl>
  </w:abstractNum>
  <w:abstractNum w:abstractNumId="73">
    <w:nsid w:val="14FCE74E"/>
    <w:multiLevelType w:val="hybridMultilevel"/>
    <w:lvl w:ilvl="0">
      <w:lvlJc w:val="left"/>
      <w:lvlText w:val="(%1)"/>
      <w:numFmt w:val="lowerLetter"/>
      <w:start w:val="5"/>
    </w:lvl>
  </w:abstractNum>
  <w:abstractNum w:abstractNumId="74">
    <w:nsid w:val="6A3DD3E8"/>
    <w:multiLevelType w:val="hybridMultilevel"/>
    <w:lvl w:ilvl="0">
      <w:lvlJc w:val="left"/>
      <w:lvlText w:val="%1"/>
      <w:numFmt w:val="lowerLetter"/>
      <w:start w:val="1"/>
    </w:lvl>
    <w:lvl w:ilvl="1">
      <w:lvlJc w:val="left"/>
      <w:lvlText w:val="(%2)"/>
      <w:numFmt w:val="lowerLetter"/>
      <w:start w:val="1"/>
    </w:lvl>
  </w:abstractNum>
  <w:abstractNum w:abstractNumId="75">
    <w:nsid w:val="71C91298"/>
    <w:multiLevelType w:val="hybridMultilevel"/>
    <w:lvl w:ilvl="0">
      <w:lvlJc w:val="left"/>
      <w:lvlText w:val="(%1)"/>
      <w:numFmt w:val="lowerLetter"/>
      <w:start w:val="26"/>
    </w:lvl>
    <w:lvl w:ilvl="1">
      <w:lvlJc w:val="left"/>
      <w:lvlText w:val="%2"/>
      <w:numFmt w:val="lowerLetter"/>
      <w:start w:val="1"/>
    </w:lvl>
  </w:abstractNum>
  <w:abstractNum w:abstractNumId="76">
    <w:nsid w:val="9DAF632"/>
    <w:multiLevelType w:val="hybridMultilevel"/>
    <w:lvl w:ilvl="0">
      <w:lvlJc w:val="left"/>
      <w:lvlText w:val="(%1)"/>
      <w:numFmt w:val="decimal"/>
      <w:start w:val="6"/>
    </w:lvl>
    <w:lvl w:ilvl="1">
      <w:lvlJc w:val="left"/>
      <w:lvlText w:val="(%2)"/>
      <w:numFmt w:val="lowerLetter"/>
      <w:start w:val="2"/>
    </w:lvl>
  </w:abstractNum>
  <w:abstractNum w:abstractNumId="77">
    <w:nsid w:val="53299938"/>
    <w:multiLevelType w:val="hybridMultilevel"/>
    <w:lvl w:ilvl="0">
      <w:lvlJc w:val="left"/>
      <w:lvlText w:val="(%1)"/>
      <w:numFmt w:val="lowerLetter"/>
      <w:start w:val="1"/>
    </w:lvl>
  </w:abstractNum>
  <w:abstractNum w:abstractNumId="78">
    <w:nsid w:val="1FBFE8E0"/>
    <w:multiLevelType w:val="hybridMultilevel"/>
    <w:lvl w:ilvl="0">
      <w:lvlJc w:val="left"/>
      <w:lvlText w:val="(%1)"/>
      <w:numFmt w:val="lowerLetter"/>
      <w:start w:val="35"/>
    </w:lvl>
    <w:lvl w:ilvl="1">
      <w:lvlJc w:val="left"/>
      <w:lvlText w:val="(%2)"/>
      <w:numFmt w:val="lowerLetter"/>
      <w:start w:val="2"/>
    </w:lvl>
  </w:abstractNum>
  <w:abstractNum w:abstractNumId="79">
    <w:nsid w:val="5092CA79"/>
    <w:multiLevelType w:val="hybridMultilevel"/>
    <w:lvl w:ilvl="0">
      <w:lvlJc w:val="left"/>
      <w:lvlText w:val="(%1)"/>
      <w:numFmt w:val="lowerLetter"/>
      <w:start w:val="1"/>
    </w:lvl>
  </w:abstractNum>
  <w:abstractNum w:abstractNumId="80">
    <w:nsid w:val="1D545C4D"/>
    <w:multiLevelType w:val="hybridMultilevel"/>
    <w:lvl w:ilvl="0">
      <w:lvlJc w:val="left"/>
      <w:lvlText w:val="%1"/>
      <w:numFmt w:val="lowerLetter"/>
      <w:start w:val="1"/>
    </w:lvl>
    <w:lvl w:ilvl="1">
      <w:lvlJc w:val="left"/>
      <w:lvlText w:val="(%2)"/>
      <w:numFmt w:val="lowerLetter"/>
      <w:start w:val="2"/>
    </w:lvl>
  </w:abstractNum>
  <w:abstractNum w:abstractNumId="81">
    <w:nsid w:val="59ADEA3D"/>
    <w:multiLevelType w:val="hybridMultilevel"/>
    <w:lvl w:ilvl="0">
      <w:lvlJc w:val="left"/>
      <w:lvlText w:val="(%1)"/>
      <w:numFmt w:val="lowerLetter"/>
      <w:start w:val="35"/>
    </w:lvl>
    <w:lvl w:ilvl="1">
      <w:lvlJc w:val="left"/>
      <w:lvlText w:val="%2"/>
      <w:numFmt w:val="lowerLetter"/>
      <w:start w:val="1"/>
    </w:lvl>
  </w:abstractNum>
  <w:abstractNum w:abstractNumId="82">
    <w:nsid w:val="288F1A34"/>
    <w:multiLevelType w:val="hybridMultilevel"/>
    <w:lvl w:ilvl="0">
      <w:lvlJc w:val="left"/>
      <w:lvlText w:val="(%1)"/>
      <w:numFmt w:val="lowerLetter"/>
      <w:start w:val="1"/>
    </w:lvl>
  </w:abstractNum>
  <w:abstractNum w:abstractNumId="83">
    <w:nsid w:val="2A155DBC"/>
    <w:multiLevelType w:val="hybridMultilevel"/>
    <w:lvl w:ilvl="0">
      <w:lvlJc w:val="left"/>
      <w:lvlText w:val="%1"/>
      <w:numFmt w:val="lowerLetter"/>
      <w:start w:val="1"/>
    </w:lvl>
    <w:lvl w:ilvl="1">
      <w:lvlJc w:val="left"/>
      <w:lvlText w:val="(%2)"/>
      <w:numFmt w:val="lowerLetter"/>
      <w:start w:val="2"/>
    </w:lvl>
  </w:abstractNum>
  <w:abstractNum w:abstractNumId="84">
    <w:nsid w:val="1D9F6E5F"/>
    <w:multiLevelType w:val="hybridMultilevel"/>
    <w:lvl w:ilvl="0">
      <w:lvlJc w:val="left"/>
      <w:lvlText w:val="(%1)"/>
      <w:numFmt w:val="lowerLetter"/>
      <w:start w:val="61"/>
    </w:lvl>
    <w:lvl w:ilvl="1">
      <w:lvlJc w:val="left"/>
      <w:lvlText w:val="%2"/>
      <w:numFmt w:val="lowerLetter"/>
      <w:start w:val="1"/>
    </w:lvl>
  </w:abstractNum>
  <w:abstractNum w:abstractNumId="85">
    <w:nsid w:val="97E1B4E"/>
    <w:multiLevelType w:val="hybridMultilevel"/>
    <w:lvl w:ilvl="0">
      <w:lvlJc w:val="left"/>
      <w:lvlText w:val="(%1)"/>
      <w:numFmt w:val="lowerLetter"/>
      <w:start w:val="3"/>
    </w:lvl>
  </w:abstractNum>
  <w:abstractNum w:abstractNumId="86">
    <w:nsid w:val="51088277"/>
    <w:multiLevelType w:val="hybridMultilevel"/>
    <w:lvl w:ilvl="0">
      <w:lvlJc w:val="left"/>
      <w:lvlText w:val="(%1)"/>
      <w:numFmt w:val="lowerLetter"/>
      <w:start w:val="5"/>
    </w:lvl>
  </w:abstractNum>
  <w:abstractNum w:abstractNumId="87">
    <w:nsid w:val="1CA0C5FA"/>
    <w:multiLevelType w:val="hybridMultilevel"/>
    <w:lvl w:ilvl="0">
      <w:lvlJc w:val="left"/>
      <w:lvlText w:val="(%1)"/>
      <w:numFmt w:val="lowerLetter"/>
      <w:start w:val="1"/>
    </w:lvl>
  </w:abstractNum>
  <w:abstractNum w:abstractNumId="88">
    <w:nsid w:val="53584BCB"/>
    <w:multiLevelType w:val="hybridMultilevel"/>
    <w:lvl w:ilvl="0">
      <w:lvlJc w:val="left"/>
      <w:lvlText w:val="(%1)"/>
      <w:numFmt w:val="lowerLetter"/>
      <w:start w:val="2"/>
    </w:lvl>
  </w:abstractNum>
  <w:abstractNum w:abstractNumId="89">
    <w:nsid w:val="415E286C"/>
    <w:multiLevelType w:val="hybridMultilevel"/>
    <w:lvl w:ilvl="0">
      <w:lvlJc w:val="left"/>
      <w:lvlText w:val="%1"/>
      <w:numFmt w:val="upperLetter"/>
      <w:start w:val="1"/>
    </w:lvl>
    <w:lvl w:ilvl="1">
      <w:lvlJc w:val="left"/>
      <w:lvlText w:val="(%2)"/>
      <w:numFmt w:val="lowerLetter"/>
      <w:start w:val="4"/>
    </w:lvl>
  </w:abstractNum>
  <w:abstractNum w:abstractNumId="90">
    <w:nsid w:val="7C58FD05"/>
    <w:multiLevelType w:val="hybridMultilevel"/>
    <w:lvl w:ilvl="0">
      <w:lvlJc w:val="left"/>
      <w:lvlText w:val="(%1)"/>
      <w:numFmt w:val="upperLetter"/>
      <w:start w:val="3"/>
    </w:lvl>
    <w:lvl w:ilvl="1">
      <w:lvlJc w:val="left"/>
      <w:lvlText w:val="(%2)"/>
      <w:numFmt w:val="lowerLetter"/>
      <w:start w:val="5"/>
    </w:lvl>
  </w:abstractNum>
  <w:abstractNum w:abstractNumId="91">
    <w:nsid w:val="23D86AAC"/>
    <w:multiLevelType w:val="hybridMultilevel"/>
    <w:lvl w:ilvl="0">
      <w:lvlJc w:val="left"/>
      <w:lvlText w:val="(%1)"/>
      <w:numFmt w:val="lowerLetter"/>
      <w:start w:val="1"/>
    </w:lvl>
  </w:abstractNum>
  <w:abstractNum w:abstractNumId="92">
    <w:nsid w:val="45E6D486"/>
    <w:multiLevelType w:val="hybridMultilevel"/>
    <w:lvl w:ilvl="0">
      <w:lvlJc w:val="left"/>
      <w:lvlText w:val="(%1)"/>
      <w:numFmt w:val="lowerLetter"/>
      <w:start w:val="1"/>
    </w:lvl>
  </w:abstractNum>
  <w:abstractNum w:abstractNumId="93">
    <w:nsid w:val="5C10FE21"/>
    <w:multiLevelType w:val="hybridMultilevel"/>
    <w:lvl w:ilvl="0">
      <w:lvlJc w:val="left"/>
      <w:lvlText w:val="(%1)"/>
      <w:numFmt w:val="lowerLetter"/>
      <w:start w:val="1"/>
    </w:lvl>
  </w:abstractNum>
  <w:abstractNum w:abstractNumId="94">
    <w:nsid w:val="E7FFA2B"/>
    <w:multiLevelType w:val="hybridMultilevel"/>
    <w:lvl w:ilvl="0">
      <w:lvlJc w:val="left"/>
      <w:lvlText w:val="%1"/>
      <w:numFmt w:val="decimal"/>
      <w:start w:val="1"/>
    </w:lvl>
    <w:lvl w:ilvl="1">
      <w:lvlJc w:val="left"/>
      <w:lvlText w:val="(%2)"/>
      <w:numFmt w:val="lowerLetter"/>
      <w:start w:val="1"/>
    </w:lvl>
  </w:abstractNum>
  <w:abstractNum w:abstractNumId="95">
    <w:nsid w:val="3C5991AA"/>
    <w:multiLevelType w:val="hybridMultilevel"/>
    <w:lvl w:ilvl="0">
      <w:lvlJc w:val="left"/>
      <w:lvlText w:val="(%1)"/>
      <w:numFmt w:val="decimal"/>
      <w:start w:val="48"/>
    </w:lvl>
    <w:lvl w:ilvl="1">
      <w:lvlJc w:val="left"/>
      <w:lvlText w:val="%2"/>
      <w:numFmt w:val="lowerLetter"/>
      <w:start w:val="1"/>
    </w:lvl>
  </w:abstractNum>
  <w:abstractNum w:abstractNumId="96">
    <w:nsid w:val="4BD8591A"/>
    <w:multiLevelType w:val="hybridMultilevel"/>
    <w:lvl w:ilvl="0">
      <w:lvlJc w:val="left"/>
      <w:lvlText w:val="(%1)"/>
      <w:numFmt w:val="lowerLetter"/>
      <w:start w:val="3"/>
    </w:lvl>
  </w:abstractNum>
  <w:abstractNum w:abstractNumId="97">
    <w:nsid w:val="78DF6A55"/>
    <w:multiLevelType w:val="hybridMultilevel"/>
    <w:lvl w:ilvl="0">
      <w:lvlJc w:val="left"/>
      <w:lvlText w:val="(%1)"/>
      <w:numFmt w:val="lowerLetter"/>
      <w:start w:val="1"/>
    </w:lvl>
  </w:abstractNum>
  <w:abstractNum w:abstractNumId="98">
    <w:nsid w:val="39B7AAA2"/>
    <w:multiLevelType w:val="hybridMultilevel"/>
    <w:lvl w:ilvl="0">
      <w:lvlJc w:val="left"/>
      <w:lvlText w:val="(%1)"/>
      <w:numFmt w:val="lowerLetter"/>
      <w:start w:val="6"/>
    </w:lvl>
  </w:abstractNum>
  <w:abstractNum w:abstractNumId="99">
    <w:nsid w:val="2B0D8DBE"/>
    <w:multiLevelType w:val="hybridMultilevel"/>
    <w:lvl w:ilvl="0">
      <w:lvlJc w:val="left"/>
      <w:lvlText w:val="(%1)"/>
      <w:numFmt w:val="lowerLetter"/>
      <w:start w:val="1"/>
    </w:lvl>
  </w:abstractNum>
  <w:abstractNum w:abstractNumId="100">
    <w:nsid w:val="6C80EC70"/>
    <w:multiLevelType w:val="hybridMultilevel"/>
    <w:lvl w:ilvl="0">
      <w:lvlJc w:val="left"/>
      <w:lvlText w:val="%1"/>
      <w:numFmt w:val="lowerLetter"/>
      <w:start w:val="1"/>
    </w:lvl>
    <w:lvl w:ilvl="1">
      <w:lvlJc w:val="left"/>
      <w:lvlText w:val="(%2)"/>
      <w:numFmt w:val="lowerLetter"/>
      <w:start w:val="2"/>
    </w:lvl>
  </w:abstractNum>
  <w:abstractNum w:abstractNumId="101">
    <w:nsid w:val="379E21B5"/>
    <w:multiLevelType w:val="hybridMultilevel"/>
    <w:lvl w:ilvl="0">
      <w:lvlJc w:val="left"/>
      <w:lvlText w:val="(%1)"/>
      <w:numFmt w:val="lowerLetter"/>
      <w:start w:val="2"/>
    </w:lvl>
    <w:lvl w:ilvl="1">
      <w:lvlJc w:val="left"/>
      <w:lvlText w:val="(%2)"/>
      <w:numFmt w:val="lowerLetter"/>
      <w:start w:val="5"/>
    </w:lvl>
  </w:abstractNum>
  <w:abstractNum w:abstractNumId="102">
    <w:nsid w:val="69E373"/>
    <w:multiLevelType w:val="hybridMultilevel"/>
    <w:lvl w:ilvl="0">
      <w:lvlJc w:val="left"/>
      <w:lvlText w:val="(%1)"/>
      <w:numFmt w:val="lowerLetter"/>
      <w:start w:val="1"/>
    </w:lvl>
  </w:abstractNum>
  <w:abstractNum w:abstractNumId="103">
    <w:nsid w:val="2C27173B"/>
    <w:multiLevelType w:val="hybridMultilevel"/>
    <w:lvl w:ilvl="0">
      <w:lvlJc w:val="left"/>
      <w:lvlText w:val="%1"/>
      <w:numFmt w:val="lowerLetter"/>
      <w:start w:val="1"/>
    </w:lvl>
    <w:lvl w:ilvl="1">
      <w:lvlJc w:val="left"/>
      <w:lvlText w:val="(%2)"/>
      <w:numFmt w:val="lowerLetter"/>
      <w:start w:val="2"/>
    </w:lvl>
  </w:abstractNum>
  <w:abstractNum w:abstractNumId="104">
    <w:nsid w:val="4C9B0904"/>
    <w:multiLevelType w:val="hybridMultilevel"/>
    <w:lvl w:ilvl="0">
      <w:lvlJc w:val="left"/>
      <w:lvlText w:val="(%1)"/>
      <w:numFmt w:val="lowerLetter"/>
      <w:start w:val="2"/>
    </w:lvl>
    <w:lvl w:ilvl="1">
      <w:lvlJc w:val="left"/>
      <w:lvlText w:val="%2"/>
      <w:numFmt w:val="lowerLetter"/>
      <w:start w:val="1"/>
    </w:lvl>
  </w:abstractNum>
  <w:abstractNum w:abstractNumId="105">
    <w:nsid w:val="6AA7B75C"/>
    <w:multiLevelType w:val="hybridMultilevel"/>
    <w:lvl w:ilvl="0">
      <w:lvlJc w:val="left"/>
      <w:lvlText w:val="%1"/>
      <w:numFmt w:val="lowerLetter"/>
      <w:start w:val="1"/>
    </w:lvl>
    <w:lvl w:ilvl="1">
      <w:lvlJc w:val="left"/>
      <w:lvlText w:val="(%2)"/>
      <w:numFmt w:val="lowerLetter"/>
      <w:start w:val="5"/>
    </w:lvl>
  </w:abstractNum>
  <w:abstractNum w:abstractNumId="106">
    <w:nsid w:val="1DF029D3"/>
    <w:multiLevelType w:val="hybridMultilevel"/>
    <w:lvl w:ilvl="0">
      <w:lvlJc w:val="left"/>
      <w:lvlText w:val="(%1)"/>
      <w:numFmt w:val="lowerLetter"/>
      <w:start w:val="61"/>
    </w:lvl>
    <w:lvl w:ilvl="1">
      <w:lvlJc w:val="left"/>
      <w:lvlText w:val="%2"/>
      <w:numFmt w:val="lowerLetter"/>
      <w:start w:val="1"/>
    </w:lvl>
  </w:abstractNum>
  <w:abstractNum w:abstractNumId="107">
    <w:nsid w:val="5675FF36"/>
    <w:multiLevelType w:val="hybridMultilevel"/>
    <w:lvl w:ilvl="0">
      <w:lvlJc w:val="left"/>
      <w:lvlText w:val="(%1)"/>
      <w:numFmt w:val="lowerLetter"/>
      <w:start w:val="1"/>
    </w:lvl>
  </w:abstractNum>
  <w:abstractNum w:abstractNumId="108">
    <w:nsid w:val="3DD15094"/>
    <w:multiLevelType w:val="hybridMultilevel"/>
    <w:lvl w:ilvl="0">
      <w:lvlJc w:val="left"/>
      <w:lvlText w:val="(%1)"/>
      <w:numFmt w:val="lowerLetter"/>
      <w:start w:val="2"/>
    </w:lvl>
    <w:lvl w:ilvl="1">
      <w:lvlJc w:val="left"/>
      <w:lvlText w:val="(%2)"/>
      <w:numFmt w:val="lowerRoman"/>
      <w:start w:val="1"/>
    </w:lvl>
  </w:abstractNum>
  <w:abstractNum w:abstractNumId="109">
    <w:nsid w:val="3DB012B3"/>
    <w:multiLevelType w:val="hybridMultilevel"/>
    <w:lvl w:ilvl="0">
      <w:lvlJc w:val="left"/>
      <w:lvlText w:val="(%1)"/>
      <w:numFmt w:val="lowerLetter"/>
      <w:start w:val="3"/>
    </w:lvl>
    <w:lvl w:ilvl="1">
      <w:lvlJc w:val="left"/>
      <w:lvlText w:val="(%2)"/>
      <w:numFmt w:val="lowerRoman"/>
      <w:start w:val="1"/>
    </w:lvl>
  </w:abstractNum>
  <w:abstractNum w:abstractNumId="110">
    <w:nsid w:val="2708C9AF"/>
    <w:multiLevelType w:val="hybridMultilevel"/>
    <w:lvl w:ilvl="0">
      <w:lvlJc w:val="left"/>
      <w:lvlText w:val="%1"/>
      <w:numFmt w:val="lowerRoman"/>
      <w:start w:val="1"/>
    </w:lvl>
    <w:lvl w:ilvl="1">
      <w:lvlJc w:val="left"/>
      <w:lvlText w:val="(%2)"/>
      <w:numFmt w:val="lowerRoman"/>
      <w:start w:val="3"/>
    </w:lvl>
  </w:abstractNum>
  <w:abstractNum w:abstractNumId="111">
    <w:nsid w:val="5B25ACE2"/>
    <w:multiLevelType w:val="hybridMultilevel"/>
    <w:lvl w:ilvl="0">
      <w:lvlJc w:val="left"/>
      <w:lvlText w:val="(%1)"/>
      <w:numFmt w:val="lowerRoman"/>
      <w:start w:val="10"/>
    </w:lvl>
    <w:lvl w:ilvl="1">
      <w:lvlJc w:val="left"/>
      <w:lvlText w:val="(%2)"/>
      <w:numFmt w:val="lowerRoman"/>
      <w:start w:val="4"/>
    </w:lvl>
  </w:abstractNum>
  <w:abstractNum w:abstractNumId="112">
    <w:nsid w:val="175DFCF0"/>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2"/>
    </w:lvl>
  </w:abstractNum>
  <w:abstractNum w:abstractNumId="113">
    <w:nsid w:val="4F97E3E4"/>
    <w:multiLevelType w:val="hybridMultilevel"/>
    <w:lvl w:ilvl="0">
      <w:lvlJc w:val="left"/>
      <w:lvlText w:val="(%1)"/>
      <w:numFmt w:val="lowerLetter"/>
      <w:start w:val="4"/>
    </w:lvl>
    <w:lvl w:ilvl="1">
      <w:lvlJc w:val="left"/>
      <w:lvlText w:val="%2"/>
      <w:numFmt w:val="upperLetter"/>
      <w:start w:val="1"/>
    </w:lvl>
    <w:lvl w:ilvl="2">
      <w:lvlJc w:val="left"/>
      <w:lvlText w:val="(%3)"/>
      <w:numFmt w:val="lowerLetter"/>
      <w:start w:val="9"/>
    </w:lvl>
  </w:abstractNum>
  <w:abstractNum w:abstractNumId="114">
    <w:nsid w:val="53B0A9E"/>
    <w:multiLevelType w:val="hybridMultilevel"/>
    <w:lvl w:ilvl="0">
      <w:lvlJc w:val="left"/>
      <w:lvlText w:val="%1"/>
      <w:numFmt w:val="decimal"/>
      <w:start w:val="1"/>
    </w:lvl>
    <w:lvl w:ilvl="1">
      <w:lvlJc w:val="left"/>
      <w:lvlText w:val="(%2)"/>
      <w:numFmt w:val="lowerRoman"/>
      <w:start w:val="2"/>
    </w:lvl>
  </w:abstractNum>
  <w:abstractNum w:abstractNumId="115">
    <w:nsid w:val="34FD6B4F"/>
    <w:multiLevelType w:val="hybridMultilevel"/>
    <w:lvl w:ilvl="0">
      <w:lvlJc w:val="left"/>
      <w:lvlText w:val="(%1)"/>
      <w:numFmt w:val="decimal"/>
      <w:start w:val="10"/>
    </w:lvl>
    <w:lvl w:ilvl="1">
      <w:lvlJc w:val="left"/>
      <w:lvlText w:val="(%2)"/>
      <w:numFmt w:val="lowerRoman"/>
      <w:start w:val="3"/>
    </w:lvl>
  </w:abstractNum>
  <w:abstractNum w:abstractNumId="116">
    <w:nsid w:val="5915FF32"/>
    <w:multiLevelType w:val="hybridMultilevel"/>
    <w:lvl w:ilvl="0">
      <w:lvlJc w:val="left"/>
      <w:lvlText w:val="(%1)"/>
      <w:numFmt w:val="lowerLetter"/>
      <w:start w:val="1"/>
    </w:lvl>
  </w:abstractNum>
  <w:abstractNum w:abstractNumId="117">
    <w:nsid w:val="56438D15"/>
    <w:multiLevelType w:val="hybridMultilevel"/>
    <w:lvl w:ilvl="0">
      <w:lvlJc w:val="left"/>
      <w:lvlText w:val="(%1)"/>
      <w:numFmt w:val="lowerRoman"/>
      <w:start w:val="1"/>
    </w:lvl>
  </w:abstractNum>
  <w:abstractNum w:abstractNumId="118">
    <w:nsid w:val="519E3149"/>
    <w:multiLevelType w:val="hybridMultilevel"/>
    <w:lvl w:ilvl="0">
      <w:lvlJc w:val="left"/>
      <w:lvlText w:val=" "/>
      <w:numFmt w:val="bullet"/>
      <w:start w:val="1"/>
    </w:lvl>
  </w:abstractNum>
  <w:abstractNum w:abstractNumId="119">
    <w:nsid w:val="2C6E4AFD"/>
    <w:multiLevelType w:val="hybridMultilevel"/>
    <w:lvl w:ilvl="0">
      <w:lvlJc w:val="left"/>
      <w:lvlText w:val=" "/>
      <w:numFmt w:val="bullet"/>
      <w:start w:val="1"/>
    </w:lvl>
  </w:abstractNum>
  <w:abstractNum w:abstractNumId="120">
    <w:nsid w:val="17A1B582"/>
    <w:multiLevelType w:val="hybridMultilevel"/>
    <w:lvl w:ilvl="0">
      <w:lvlJc w:val="left"/>
      <w:lvlText w:val=" "/>
      <w:numFmt w:val="bullet"/>
      <w:start w:val="1"/>
    </w:lvl>
  </w:abstractNum>
  <w:abstractNum w:abstractNumId="121">
    <w:nsid w:val="4DF72E4E"/>
    <w:multiLevelType w:val="hybridMultilevel"/>
    <w:lvl w:ilvl="0">
      <w:lvlJc w:val="left"/>
      <w:lvlText w:val=" "/>
      <w:numFmt w:val="bullet"/>
      <w:start w:val="1"/>
    </w:lvl>
  </w:abstractNum>
  <w:abstractNum w:abstractNumId="122">
    <w:nsid w:val="5046B5A9"/>
    <w:multiLevelType w:val="hybridMultilevel"/>
    <w:lvl w:ilvl="0">
      <w:lvlJc w:val="left"/>
      <w:lvlText w:val=" "/>
      <w:numFmt w:val="bullet"/>
      <w:start w:val="1"/>
    </w:lvl>
  </w:abstractNum>
  <w:abstractNum w:abstractNumId="123">
    <w:nsid w:val="5D888A08"/>
    <w:multiLevelType w:val="hybridMultilevel"/>
    <w:lvl w:ilvl="0">
      <w:lvlJc w:val="left"/>
      <w:lvlText w:val=" "/>
      <w:numFmt w:val="bullet"/>
      <w:start w:val="1"/>
    </w:lvl>
  </w:abstractNum>
  <w:abstractNum w:abstractNumId="124">
    <w:nsid w:val="2A082C70"/>
    <w:multiLevelType w:val="hybridMultilevel"/>
    <w:lvl w:ilvl="0">
      <w:lvlJc w:val="left"/>
      <w:lvlText w:val=" "/>
      <w:numFmt w:val="bullet"/>
      <w:start w:val="1"/>
    </w:lvl>
  </w:abstractNum>
  <w:abstractNum w:abstractNumId="125">
    <w:nsid w:val="5EC6AFD4"/>
    <w:multiLevelType w:val="hybridMultilevel"/>
    <w:lvl w:ilvl="0">
      <w:lvlJc w:val="left"/>
      <w:lvlText w:val=" "/>
      <w:numFmt w:val="bullet"/>
      <w:start w:val="1"/>
    </w:lvl>
  </w:abstractNum>
  <w:abstractNum w:abstractNumId="126">
    <w:nsid w:val="19E21BB2"/>
    <w:multiLevelType w:val="hybridMultilevel"/>
    <w:lvl w:ilvl="0">
      <w:lvlJc w:val="left"/>
      <w:lvlText w:val=" "/>
      <w:numFmt w:val="bullet"/>
      <w:start w:val="1"/>
    </w:lvl>
  </w:abstractNum>
  <w:abstractNum w:abstractNumId="127">
    <w:nsid w:val="75E0858A"/>
    <w:multiLevelType w:val="hybridMultilevel"/>
    <w:lvl w:ilvl="0">
      <w:lvlJc w:val="left"/>
      <w:lvlText w:val=" "/>
      <w:numFmt w:val="bullet"/>
      <w:start w:val="1"/>
    </w:lvl>
  </w:abstractNum>
  <w:abstractNum w:abstractNumId="128">
    <w:nsid w:val="57A61A29"/>
    <w:multiLevelType w:val="hybridMultilevel"/>
    <w:lvl w:ilvl="0">
      <w:lvlJc w:val="left"/>
      <w:lvlText w:val=" "/>
      <w:numFmt w:val="bullet"/>
      <w:start w:val="1"/>
    </w:lvl>
  </w:abstractNum>
  <w:abstractNum w:abstractNumId="129">
    <w:nsid w:val="5399C654"/>
    <w:multiLevelType w:val="hybridMultilevel"/>
    <w:lvl w:ilvl="0">
      <w:lvlJc w:val="left"/>
      <w:lvlText w:val=" "/>
      <w:numFmt w:val="bullet"/>
      <w:start w:val="1"/>
    </w:lvl>
  </w:abstractNum>
  <w:abstractNum w:abstractNumId="130">
    <w:nsid w:val="20EE1348"/>
    <w:multiLevelType w:val="hybridMultilevel"/>
    <w:lvl w:ilvl="0">
      <w:lvlJc w:val="left"/>
      <w:lvlText w:val=" "/>
      <w:numFmt w:val="bullet"/>
      <w:start w:val="1"/>
    </w:lvl>
  </w:abstractNum>
  <w:abstractNum w:abstractNumId="131">
    <w:nsid w:val="4427069A"/>
    <w:multiLevelType w:val="hybridMultilevel"/>
    <w:lvl w:ilvl="0">
      <w:lvlJc w:val="left"/>
      <w:lvlText w:val=" "/>
      <w:numFmt w:val="bullet"/>
      <w:start w:val="1"/>
    </w:lvl>
  </w:abstractNum>
  <w:abstractNum w:abstractNumId="132">
    <w:nsid w:val="B37E80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2025-02-04T15:10:28Z</dcterms:created>
  <dcterms:modified xsi:type="dcterms:W3CDTF">2025-02-04T15:10:28Z</dcterms:modified>
</cp:coreProperties>
</file>