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176530</wp:posOffset>
            </wp:positionV>
            <wp:extent cx="252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58420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51" w:lineRule="exact"/>
        <w:rPr>
          <w:sz w:val="24"/>
          <w:szCs w:val="24"/>
          <w:color w:val="auto"/>
        </w:rPr>
      </w:pPr>
    </w:p>
    <w:p>
      <w:pPr>
        <w:ind w:left="660" w:right="1520" w:hanging="652"/>
        <w:spacing w:after="0" w:line="50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2016</w:t>
      </w:r>
    </w:p>
    <w:p>
      <w:pPr>
        <w:ind w:left="660" w:hanging="652"/>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660"/>
        <w:spacing w:after="0"/>
        <w:tabs>
          <w:tab w:leader="none" w:pos="3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814-00735</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KCAP Financial,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176530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1320"/>
          </w:cols>
          <w:pgMar w:left="240" w:top="747" w:right="3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800"/>
        <w:spacing w:after="0"/>
        <w:rPr>
          <w:sz w:val="20"/>
          <w:szCs w:val="20"/>
          <w:color w:val="auto"/>
        </w:rPr>
      </w:pPr>
      <w:r>
        <w:rPr>
          <w:rFonts w:ascii="Arial" w:cs="Arial" w:eastAsia="Arial" w:hAnsi="Arial"/>
          <w:sz w:val="18"/>
          <w:szCs w:val="18"/>
          <w:b w:val="1"/>
          <w:bCs w:val="1"/>
          <w:color w:val="auto"/>
        </w:rPr>
        <w:t>20-5951150</w:t>
      </w:r>
    </w:p>
    <w:p>
      <w:pPr>
        <w:spacing w:after="0" w:line="27" w:lineRule="exact"/>
        <w:rPr>
          <w:sz w:val="24"/>
          <w:szCs w:val="24"/>
          <w:color w:val="auto"/>
        </w:rPr>
      </w:pPr>
    </w:p>
    <w:p>
      <w:pPr>
        <w:jc w:val="center"/>
        <w:ind w:right="18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7020" w:space="720"/>
            <w:col w:w="3580"/>
          </w:cols>
          <w:pgMar w:left="240" w:top="747" w:right="33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295 Madison Avenue, 6th Floor</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320"/>
          </w:cols>
          <w:pgMar w:left="240" w:top="747" w:right="339" w:bottom="1440" w:gutter="0" w:footer="0" w:header="0"/>
          <w:type w:val="continuous"/>
        </w:sect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(212) 455-8300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177165</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1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right="24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20"/>
          </w:cols>
          <w:pgMar w:left="240" w:top="747" w:right="33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1620" w:space="680"/>
            <w:col w:w="4640" w:space="720"/>
            <w:col w:w="2240" w:space="720"/>
            <w:col w:w="700"/>
          </w:cols>
          <w:pgMar w:left="240" w:top="747"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5">
            <w:col w:w="1580" w:space="720"/>
            <w:col w:w="100" w:space="700"/>
            <w:col w:w="3840" w:space="720"/>
            <w:col w:w="2240" w:space="720"/>
            <w:col w:w="700"/>
          </w:cols>
          <w:pgMar w:left="240" w:top="747" w:right="339" w:bottom="1440" w:gutter="0" w:footer="0" w:header="0"/>
          <w:type w:val="continuous"/>
        </w:sectPr>
      </w:pPr>
    </w:p>
    <w:p>
      <w:pPr>
        <w:spacing w:after="0" w:line="4"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o No </w:t>
      </w:r>
      <w:r>
        <w:rPr>
          <w:rFonts w:ascii="MS PGothic" w:cs="MS PGothic" w:eastAsia="MS PGothic" w:hAnsi="MS PGothic"/>
          <w:sz w:val="16"/>
          <w:szCs w:val="16"/>
          <w:color w:val="auto"/>
        </w:rPr>
        <w:t>☒</w:t>
      </w:r>
    </w:p>
    <w:p>
      <w:pPr>
        <w:spacing w:after="0" w:line="281"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 number of outstanding shares of common stock of the registrant as of August 1, 2016 was 37,160,770.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74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60" w:type="dxa"/>
            <w:vAlign w:val="bottom"/>
            <w:gridSpan w:val="14"/>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ind w:left="7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80" w:type="dxa"/>
            <w:vAlign w:val="bottom"/>
            <w:gridSpan w:val="16"/>
            <w:shd w:val="clear" w:color="auto" w:fill="CCEEFF"/>
          </w:tcPr>
          <w:p>
            <w:pPr>
              <w:jc w:val="center"/>
              <w:ind w:right="2000"/>
              <w:spacing w:after="0" w:line="176" w:lineRule="exact"/>
              <w:rPr>
                <w:sz w:val="20"/>
                <w:szCs w:val="20"/>
                <w:color w:val="auto"/>
              </w:rPr>
            </w:pPr>
            <w:r>
              <w:rPr>
                <w:rFonts w:ascii="Arial" w:cs="Arial" w:eastAsia="Arial" w:hAnsi="Arial"/>
                <w:sz w:val="18"/>
                <w:szCs w:val="18"/>
                <w:b w:val="1"/>
                <w:bCs w:val="1"/>
                <w:color w:val="auto"/>
                <w:w w:val="94"/>
              </w:rPr>
              <w:t>Part I. Financial Information</w:t>
            </w: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880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1460" w:type="dxa"/>
            <w:vAlign w:val="bottom"/>
            <w:shd w:val="clear" w:color="auto" w:fill="CCEEFF"/>
          </w:tcPr>
          <w:p>
            <w:pPr>
              <w:jc w:val="center"/>
              <w:ind w:left="23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2016 (unaudited) and December 31, 2015</w:t>
              </w:r>
            </w:hyperlink>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0" w:type="dxa"/>
            <w:vAlign w:val="bottom"/>
            <w:gridSpan w:val="22"/>
            <w:shd w:val="clear" w:color="auto" w:fill="CCEEFF"/>
          </w:tcPr>
          <w:p>
            <w:pPr>
              <w:spacing w:after="0" w:line="17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Consolidated Statements of Operations (unaudited) for the three and six months ended June 30, 2016 and 2015</w:t>
              </w:r>
            </w:hyperlink>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0" w:type="dxa"/>
            <w:vAlign w:val="bottom"/>
            <w:gridSpan w:val="22"/>
            <w:shd w:val="clear" w:color="auto" w:fill="CCEEFF"/>
          </w:tcPr>
          <w:p>
            <w:pPr>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Consolidated Statements of Changes in Net Assets (unaudited) for the six months ended June 30, 2016 and 2015</w:t>
              </w:r>
            </w:hyperlink>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0" w:type="dxa"/>
            <w:vAlign w:val="bottom"/>
            <w:gridSpan w:val="2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six months ended June 30, 2016 and 2015</w:t>
              </w:r>
            </w:hyperlink>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0" w:type="dxa"/>
            <w:vAlign w:val="bottom"/>
            <w:gridSpan w:val="2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June 30, 2016 (unaudited) and December 31, 2015</w:t>
              </w:r>
            </w:hyperlink>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0" w:type="dxa"/>
            <w:vAlign w:val="bottom"/>
            <w:gridSpan w:val="22"/>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Consolidated Financial Highlights (unaudited) for the six months ended June 30, 2016 and 2015</w:t>
              </w:r>
            </w:hyperlink>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0" w:type="dxa"/>
            <w:vAlign w:val="bottom"/>
            <w:gridSpan w:val="22"/>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Notes to Consolidated Financial Statements (unaudited)</w:t>
              </w:r>
            </w:hyperlink>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800" w:type="dxa"/>
            <w:vAlign w:val="bottom"/>
            <w:gridSpan w:val="22"/>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Management’s Discussion and Analysis of Financial Condition and Results of Operations</w:t>
              </w:r>
            </w:hyperlink>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800" w:type="dxa"/>
            <w:vAlign w:val="bottom"/>
            <w:gridSpan w:val="22"/>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Quantitative and Qualitative Disclosures About Market Risk</w:t>
              </w:r>
            </w:hyperlink>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800" w:type="dxa"/>
            <w:vAlign w:val="bottom"/>
            <w:gridSpan w:val="22"/>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Changes in and Disagreements with Accountants on Accounting and Financial Disclosure</w:t>
              </w:r>
            </w:hyperlink>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800" w:type="dxa"/>
            <w:vAlign w:val="bottom"/>
            <w:gridSpan w:val="22"/>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Controls and Procedures</w:t>
              </w:r>
            </w:hyperlink>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60" w:type="dxa"/>
            <w:vAlign w:val="bottom"/>
            <w:gridSpan w:val="14"/>
            <w:shd w:val="clear" w:color="auto" w:fill="CCEEFF"/>
          </w:tcPr>
          <w:p>
            <w:pPr>
              <w:jc w:val="center"/>
              <w:ind w:right="3200"/>
              <w:spacing w:after="0" w:line="176" w:lineRule="exact"/>
              <w:rPr>
                <w:rFonts w:ascii="Arial" w:cs="Arial" w:eastAsia="Arial" w:hAnsi="Arial"/>
                <w:sz w:val="18"/>
                <w:szCs w:val="18"/>
                <w:b w:val="1"/>
                <w:bCs w:val="1"/>
                <w:color w:val="0000EE"/>
                <w:w w:val="97"/>
              </w:rPr>
            </w:pPr>
            <w:hyperlink w:anchor="page86">
              <w:r>
                <w:rPr>
                  <w:rFonts w:ascii="Arial" w:cs="Arial" w:eastAsia="Arial" w:hAnsi="Arial"/>
                  <w:sz w:val="18"/>
                  <w:szCs w:val="18"/>
                  <w:b w:val="1"/>
                  <w:bCs w:val="1"/>
                  <w:color w:val="0000EE"/>
                  <w:w w:val="97"/>
                </w:rPr>
                <w:t>Part II. Other Information</w:t>
              </w:r>
            </w:hyperlink>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8800" w:type="dxa"/>
            <w:vAlign w:val="bottom"/>
            <w:gridSpan w:val="22"/>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Legal Proceedings</w:t>
              </w:r>
            </w:hyperlink>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8800" w:type="dxa"/>
            <w:vAlign w:val="bottom"/>
            <w:gridSpan w:val="22"/>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Risk Factors</w:t>
              </w:r>
            </w:hyperlink>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800" w:type="dxa"/>
            <w:vAlign w:val="bottom"/>
            <w:gridSpan w:val="22"/>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Unregistered Sales of Equity Securities and Use of Proceeds</w:t>
              </w:r>
            </w:hyperlink>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8800" w:type="dxa"/>
            <w:vAlign w:val="bottom"/>
            <w:gridSpan w:val="22"/>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Defaults Upon Senior Securities</w:t>
              </w:r>
            </w:hyperlink>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800" w:type="dxa"/>
            <w:vAlign w:val="bottom"/>
            <w:gridSpan w:val="22"/>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Mine Safety Disclosures</w:t>
              </w:r>
            </w:hyperlink>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800" w:type="dxa"/>
            <w:vAlign w:val="bottom"/>
            <w:gridSpan w:val="22"/>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8800" w:type="dxa"/>
            <w:vAlign w:val="bottom"/>
            <w:gridSpan w:val="22"/>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Exhibits</w:t>
              </w:r>
            </w:hyperlink>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60" w:type="dxa"/>
            <w:vAlign w:val="bottom"/>
            <w:shd w:val="clear" w:color="auto" w:fill="CCEEFF"/>
          </w:tcPr>
          <w:p>
            <w:pPr>
              <w:jc w:val="center"/>
              <w:ind w:left="230"/>
              <w:spacing w:after="0" w:line="176" w:lineRule="exact"/>
              <w:rPr>
                <w:sz w:val="20"/>
                <w:szCs w:val="20"/>
                <w:color w:val="auto"/>
              </w:rPr>
            </w:pPr>
            <w:r>
              <w:rPr>
                <w:rFonts w:ascii="Arial" w:cs="Arial" w:eastAsia="Arial" w:hAnsi="Arial"/>
                <w:sz w:val="18"/>
                <w:szCs w:val="18"/>
                <w:color w:val="auto"/>
                <w:w w:val="89"/>
              </w:rPr>
              <w:t>79</w:t>
            </w: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146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40" w:type="dxa"/>
            <w:vAlign w:val="bottom"/>
          </w:tcPr>
          <w:p>
            <w:pPr>
              <w:ind w:left="4680"/>
              <w:spacing w:after="0"/>
              <w:rPr>
                <w:sz w:val="20"/>
                <w:szCs w:val="20"/>
                <w:color w:val="auto"/>
              </w:rPr>
            </w:pPr>
            <w:r>
              <w:rPr>
                <w:rFonts w:ascii="Arial" w:cs="Arial" w:eastAsia="Arial" w:hAnsi="Arial"/>
                <w:sz w:val="18"/>
                <w:szCs w:val="18"/>
                <w:b w:val="1"/>
                <w:bCs w:val="1"/>
                <w:color w:val="auto"/>
              </w:rPr>
              <w:t>KCAP FINANCIAL, INC.</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40" w:type="dxa"/>
            <w:vAlign w:val="bottom"/>
          </w:tcPr>
          <w:p>
            <w:pPr>
              <w:ind w:left="4140"/>
              <w:spacing w:after="0"/>
              <w:rPr>
                <w:sz w:val="20"/>
                <w:szCs w:val="20"/>
                <w:color w:val="auto"/>
              </w:rPr>
            </w:pPr>
            <w:r>
              <w:rPr>
                <w:rFonts w:ascii="Arial" w:cs="Arial" w:eastAsia="Arial" w:hAnsi="Arial"/>
                <w:sz w:val="18"/>
                <w:szCs w:val="18"/>
                <w:b w:val="1"/>
                <w:bCs w:val="1"/>
                <w:color w:val="auto"/>
              </w:rPr>
              <w:t>CONSOLIDATED BALANCE SHEETS</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As of</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June 30, 2016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 (cost: 2016 - $7,191,009; 2015 - $2,129,381)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7,191,009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2,129,381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Debt securities (cost: 2016 - $276,526,638; 2015 - $298,308,845)</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264,939,841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284,639,244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 Fund securities managed by affiliates (cost: 2016 - $61,341,828; 2015 - $77,764,568)</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44,018,825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53,557,570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CLO Fund securities managed by non-affiliates (cost: 2016 - $5,296,106; 2015 - $5,450,379)</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2,161,242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2,314,812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 (cost: 2016 - $10,467,786; 2015 - $10,467,786)</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9,231,202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9,548,488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Asset Manager Affiliates (cost: 2016 - $56,091,230; 2015 - $56,591,230)</w:t>
            </w:r>
          </w:p>
        </w:tc>
        <w:tc>
          <w:tcPr>
            <w:tcW w:w="22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45,288,000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57,381,000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 (cost: 2016 - $416,914,597; 2015 - $450,712,189)</w:t>
            </w: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372,830,119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409,570,495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2,837,207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6,420,566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1,506,148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1,812,624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open trades</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2,390,625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Due from affiliates</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1,469,812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2,117,095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466,373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566,211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387,920,850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421,204,697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7.375% Notes Due 2019 (net of offering costs of: 2016 - $738,853; 2015 - $890,344)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38,261,497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40,509,656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Notes issued by KCAP Senior Funding I, LLC (net of discount and offering costs of: 2016 - $2,599,083</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and $2,794,883, respectively; 2015 - $2,907,595 and $3,126,009, respectively)</w:t>
            </w:r>
          </w:p>
        </w:tc>
        <w:tc>
          <w:tcPr>
            <w:tcW w:w="2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141,956,034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141,316,396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Convertible Notes (net of offering costs of: 2015 - $21,292)</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19,277,709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Payable for open trades</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3,008,395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1,564,043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2,218,065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906,056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Due to affiliates</w:t>
            </w:r>
          </w:p>
        </w:tc>
        <w:tc>
          <w:tcPr>
            <w:tcW w:w="22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554,333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185,696,115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205,104,227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par value $0.01 per share, 100,000,000 common shares authorized; 37,240,591 issued,</w:t>
            </w: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4"/>
              </w:rPr>
              <w:t>and 37,136,898 outstanding at June 30, 2016, and 37,136,353 issued, and 37,100,005 outstanding at</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22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371,369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22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362,924,515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361,962,511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Excess distribution of net investment income</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(22,768,289)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(21,638,184)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Accumulated net realized losses</w:t>
            </w:r>
          </w:p>
        </w:tc>
        <w:tc>
          <w:tcPr>
            <w:tcW w:w="22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(92,819,337)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(82,054,107)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(45,483,523)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(42,540,750)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202,224,735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216,100,470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387,920,850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421,204,697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4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9"/>
                <w:szCs w:val="19"/>
                <w:color w:val="auto"/>
              </w:rPr>
            </w:pPr>
          </w:p>
        </w:tc>
        <w:tc>
          <w:tcPr>
            <w:tcW w:w="27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Interest from investments in debt securities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5,214,331</w:t>
            </w:r>
          </w:p>
        </w:tc>
        <w:tc>
          <w:tcPr>
            <w:tcW w:w="240" w:type="dxa"/>
            <w:vAlign w:val="bottom"/>
          </w:tcPr>
          <w:p>
            <w:pPr>
              <w:spacing w:after="0"/>
              <w:rPr>
                <w:sz w:val="18"/>
                <w:szCs w:val="18"/>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5,879,930</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10,919,908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12,077,758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from cash and time deposits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6,981</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3,657</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14,353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w w:val="94"/>
              </w:rPr>
              <w:t>Investment income on CLO Fund Securities managed by affiliates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3,235,756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3,599,699</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6,287,572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7,939,842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Investment income on CLO Fund Securities managed by non-</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affiliates</w:t>
            </w:r>
          </w:p>
        </w:tc>
        <w:tc>
          <w:tcPr>
            <w:tcW w:w="3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155,859</w:t>
            </w:r>
          </w:p>
        </w:tc>
        <w:tc>
          <w:tcPr>
            <w:tcW w:w="3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396,398</w:t>
            </w: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308,176</w:t>
            </w:r>
          </w:p>
        </w:tc>
        <w:tc>
          <w:tcPr>
            <w:tcW w:w="3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Dividends from Asset Manager Affiliates</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850,000</w:t>
            </w:r>
          </w:p>
        </w:tc>
        <w:tc>
          <w:tcPr>
            <w:tcW w:w="3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1,235,439</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1,400,000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2,649,414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structuring service fees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116,473</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56,263</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159,711</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investment income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9,579,400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11,171,386</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19,089,720</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23,513,515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Interest and amortization of debt issuance costs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2,264,590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2,990,782</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4,838,030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5,957,969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1,046,886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1,057,452</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2,013,473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562,176</w:t>
            </w:r>
          </w:p>
        </w:tc>
        <w:tc>
          <w:tcPr>
            <w:tcW w:w="3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705,132</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1,214,115</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1,876,574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106,830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107,094</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213,053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Administrative and other</w:t>
            </w:r>
          </w:p>
        </w:tc>
        <w:tc>
          <w:tcPr>
            <w:tcW w:w="3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490,898</w:t>
            </w:r>
          </w:p>
        </w:tc>
        <w:tc>
          <w:tcPr>
            <w:tcW w:w="3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478,674</w:t>
            </w: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938,260</w:t>
            </w:r>
          </w:p>
        </w:tc>
        <w:tc>
          <w:tcPr>
            <w:tcW w:w="3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989,966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4,471,380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5,339,134</w:t>
            </w: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9,216,931</w:t>
            </w:r>
          </w:p>
        </w:tc>
        <w:tc>
          <w:tcPr>
            <w:tcW w:w="3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11,174,315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5,108,020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5,832,252</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9,872,789</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12,339,200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Gains (Losses) On Investments: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Net realized (losses) gains from investment transactions</w:t>
            </w:r>
          </w:p>
        </w:tc>
        <w:tc>
          <w:tcPr>
            <w:tcW w:w="3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(2,882,152)</w:t>
            </w:r>
          </w:p>
        </w:tc>
        <w:tc>
          <w:tcPr>
            <w:tcW w:w="3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26,050</w:t>
            </w:r>
          </w:p>
        </w:tc>
        <w:tc>
          <w:tcPr>
            <w:tcW w:w="2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(10,694,039)</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98,406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Net change in unrealized appreciation (depreciation) appreciation</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on:</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Debt securities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3,814,803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(2,502,825)</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2,082,813</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(1,252,614)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securities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(1,696,700)</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(207,148)</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(317,286)</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CLO Fund securities managed by affiliates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3,613,455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(4,970,933)</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6,883,996</w:t>
            </w:r>
          </w:p>
        </w:tc>
        <w:tc>
          <w:tcPr>
            <w:tcW w:w="3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(5,629,804)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CLO Fund securities managed by non-affiliates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181,248</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(222,252)</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(148,508)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Asset Manager Affiliates investments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(5,060,000)</w:t>
            </w:r>
          </w:p>
        </w:tc>
        <w:tc>
          <w:tcPr>
            <w:tcW w:w="3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3,277,561</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(11,593,000)</w:t>
            </w:r>
          </w:p>
        </w:tc>
        <w:tc>
          <w:tcPr>
            <w:tcW w:w="3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3,761,586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Total net change in unrealized appreciation (depreciation)</w:t>
            </w:r>
          </w:p>
        </w:tc>
        <w:tc>
          <w:tcPr>
            <w:tcW w:w="3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852,806</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(4,625,597)</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(2,942,774)</w:t>
            </w:r>
          </w:p>
        </w:tc>
        <w:tc>
          <w:tcPr>
            <w:tcW w:w="3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(3,532,611)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Net realized and unrealized depreciation on investments</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(2,029,346)</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(4,599,547)</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(13,636,813)</w:t>
            </w:r>
          </w:p>
        </w:tc>
        <w:tc>
          <w:tcPr>
            <w:tcW w:w="3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(3,434,205)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Realized losses on extinguishments of debt</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(71,190)</w:t>
            </w:r>
          </w:p>
        </w:tc>
        <w:tc>
          <w:tcPr>
            <w:tcW w:w="3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(71,190)</w:t>
            </w:r>
          </w:p>
        </w:tc>
        <w:tc>
          <w:tcPr>
            <w:tcW w:w="3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3"/>
              </w:rPr>
              <w:t>Net Increase (Decrease) In Stockholders’ Equity Resulting From</w:t>
            </w: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3,007,484</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1,232,705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(3,835,214)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8,904,995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Net Increase (Decrease) In Stockholders' Equity Resulting from</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per Common Share:</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0.03</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(0.10)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Net Investment Income Per Common Share:</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0.14</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0.16</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0.16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w w:val="94"/>
              </w:rPr>
              <w:t>Weighted Average Shares of Common Stock Outstanding—Basic</w:t>
            </w:r>
          </w:p>
        </w:tc>
        <w:tc>
          <w:tcPr>
            <w:tcW w:w="3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37,163,534</w:t>
            </w:r>
          </w:p>
        </w:tc>
        <w:tc>
          <w:tcPr>
            <w:tcW w:w="3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36,886,129</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37,136,634</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36,860,341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Weighted Average Shares of Common Stock Outstanding—Diluted</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37,163,534</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36,891,931</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37,136,634</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36,867,887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investment income</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9,872,789</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12,339,200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from investment transactions</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(10,694,039)</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change in unrealized (depreciation) appreciation on investments</w:t>
            </w: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(2,942,774)</w:t>
            </w:r>
          </w:p>
        </w:tc>
        <w:tc>
          <w:tcPr>
            <w:tcW w:w="3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(3,532,611)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from extinguishments of debt</w:t>
            </w:r>
          </w:p>
        </w:tc>
        <w:tc>
          <w:tcPr>
            <w:tcW w:w="1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(71,190)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1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Net (decrease) increase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of ordinary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Return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0"/>
        <w:spacing w:after="0"/>
        <w:tabs>
          <w:tab w:leader="none" w:pos="1720" w:val="left"/>
        </w:tabs>
        <w:rPr>
          <w:sz w:val="20"/>
          <w:szCs w:val="20"/>
          <w:color w:val="auto"/>
        </w:rPr>
      </w:pPr>
      <w:r>
        <w:rPr>
          <w:rFonts w:ascii="Arial" w:cs="Arial" w:eastAsia="Arial" w:hAnsi="Arial"/>
          <w:sz w:val="18"/>
          <w:szCs w:val="18"/>
          <w:color w:val="auto"/>
        </w:rPr>
        <w:t>(3,835,214)</w:t>
      </w:r>
      <w:r>
        <w:rPr>
          <w:sz w:val="20"/>
          <w:szCs w:val="20"/>
          <w:color w:val="auto"/>
        </w:rPr>
        <w:tab/>
      </w:r>
      <w:r>
        <w:rPr>
          <w:rFonts w:ascii="Arial" w:cs="Arial" w:eastAsia="Arial" w:hAnsi="Arial"/>
          <w:sz w:val="16"/>
          <w:szCs w:val="16"/>
          <w:color w:val="auto"/>
        </w:rPr>
        <w:t>8,904,995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23495</wp:posOffset>
            </wp:positionV>
            <wp:extent cx="1878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(10,261,985)</w:t>
      </w:r>
      <w:r>
        <w:rPr>
          <w:sz w:val="20"/>
          <w:szCs w:val="20"/>
          <w:color w:val="auto"/>
        </w:rPr>
        <w:tab/>
      </w:r>
      <w:r>
        <w:rPr>
          <w:rFonts w:ascii="Arial" w:cs="Arial" w:eastAsia="Arial" w:hAnsi="Arial"/>
          <w:sz w:val="16"/>
          <w:szCs w:val="16"/>
          <w:color w:val="auto"/>
        </w:rPr>
        <w:t>(7,645,458)</w:t>
      </w:r>
    </w:p>
    <w:p>
      <w:pPr>
        <w:spacing w:after="0" w:line="46" w:lineRule="exact"/>
        <w:rPr>
          <w:sz w:val="20"/>
          <w:szCs w:val="20"/>
          <w:color w:val="auto"/>
        </w:rPr>
      </w:pPr>
    </w:p>
    <w:p>
      <w:pPr>
        <w:ind w:left="220"/>
        <w:spacing w:after="0"/>
        <w:tabs>
          <w:tab w:leader="none" w:pos="2380" w:val="left"/>
        </w:tabs>
        <w:rPr>
          <w:sz w:val="20"/>
          <w:szCs w:val="20"/>
          <w:color w:val="auto"/>
        </w:rPr>
      </w:pPr>
      <w:r>
        <w:rPr>
          <w:rFonts w:ascii="Arial" w:cs="Arial" w:eastAsia="Arial" w:hAnsi="Arial"/>
          <w:sz w:val="18"/>
          <w:szCs w:val="18"/>
          <w:color w:val="auto"/>
        </w:rPr>
        <w:t>(740,910)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14605</wp:posOffset>
            </wp:positionV>
            <wp:extent cx="1878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40" w:space="720"/>
            <w:col w:w="2560"/>
          </w:cols>
          <w:pgMar w:left="240" w:top="904" w:right="2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decrease in net assets resulting from stockholder distributions</w:t>
            </w: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(11,002,895)</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(7,645,458)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(Repurchase) issuance of common stock for:</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(246,695)</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ind w:left="160"/>
              <w:spacing w:after="0"/>
              <w:rPr>
                <w:sz w:val="20"/>
                <w:szCs w:val="20"/>
                <w:color w:val="auto"/>
              </w:rPr>
            </w:pPr>
            <w:r>
              <w:rPr>
                <w:rFonts w:ascii="Arial" w:cs="Arial" w:eastAsia="Arial" w:hAnsi="Arial"/>
                <w:sz w:val="18"/>
                <w:szCs w:val="18"/>
                <w:color w:val="auto"/>
              </w:rPr>
              <w:t>Dividend reinvestment plan</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448,552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708,417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760,517</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730,239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net assets resulting from capital transactions</w:t>
            </w: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962,374</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1,220,120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216,100,470</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255,316,701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w w:val="95"/>
              </w:rPr>
              <w:t>Net assets at end of period (including undistributed net investment income of $0 in 2016 and $0 in 2015)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202,224,735</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257,796,358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Common shares outstanding at end of period</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37,136,898</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37,032,825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Net (decrease) increase in stockholder's equity resulting from operations</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(3,835,214)</w:t>
            </w: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8,904,995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Adjustments to reconcile net (decrease) increase in stockholder’s equity resulting from operations to net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provided by in operating activities:</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Net realized losses (gains) on investment transactions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10,694,039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(98,406)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unrealized depreciation on investments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2,942,774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Purchases of investments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(21,762,184)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(62,257,431)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sales and redemptions of investments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43,478,564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60,112,789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Net accretion of amortization on investments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2,054,863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5,032,797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original issue discount on indebtedness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308,513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432,718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594,525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Realized losses on extinguishments of debt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71,190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Payment-in-kind interest income</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(667,679)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(716,524)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760,770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receivable for open trades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(2,390,625)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Increase (decrease) in payable for open trades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3,008,395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(10,551,850)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(increase) in interest and dividends receivable</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306,476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Decrease (increase) in other assets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99,838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(377,858)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due from affiliates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647,282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(Decrease) increase in due to affiliates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(554,243)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2,185,091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accounts payable</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(654,022)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(845,347)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(Decrease) increase in accrued interest payable</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(322,012)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145,794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34,619,443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7,138,381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(Forfeitures) issuance of restricted shares</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Distributions to stockholders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(10,554,343)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(16,019,236)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treasury stock</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(246,695)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Repayment/repurchase of Convertible Notes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(19,299,000)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7.375% Notes Due 2019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(2,399,650)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Decrease (increase) in restricted cash</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717,706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10,684,204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tcPr>
          <w:p>
            <w:pPr>
              <w:ind w:left="48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(31,782,236)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(5,551,747)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CHANGE IN CASH</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2,837,207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1,586,634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1,220,798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END OF PERIOD</w:t>
            </w:r>
          </w:p>
        </w:tc>
        <w:tc>
          <w:tcPr>
            <w:tcW w:w="2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2,837,207</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2,807,432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Supplemental Information:</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paid during the period</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4,394,255</w:t>
            </w:r>
          </w:p>
        </w:tc>
        <w:tc>
          <w:tcPr>
            <w:tcW w:w="4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4,917,229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448,552</w:t>
            </w: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708,417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Portfolio Company / Principal Business</w:t>
      </w:r>
    </w:p>
    <w:p>
      <w:pPr>
        <w:spacing w:after="0" w:line="53" w:lineRule="exact"/>
        <w:rPr>
          <w:sz w:val="20"/>
          <w:szCs w:val="20"/>
          <w:color w:val="auto"/>
        </w:rPr>
      </w:pPr>
    </w:p>
    <w:p>
      <w:pPr>
        <w:ind w:left="140" w:right="780" w:hanging="129"/>
        <w:spacing w:after="0"/>
        <w:rPr>
          <w:sz w:val="20"/>
          <w:szCs w:val="20"/>
          <w:color w:val="auto"/>
        </w:rPr>
      </w:pPr>
      <w:r>
        <w:rPr>
          <w:rFonts w:ascii="Arial" w:cs="Arial" w:eastAsia="Arial" w:hAnsi="Arial"/>
          <w:sz w:val="16"/>
          <w:szCs w:val="16"/>
          <w:color w:val="auto"/>
        </w:rPr>
        <w:t>1A Smart Start LLC</w:t>
      </w:r>
      <w:r>
        <w:rPr>
          <w:rFonts w:ascii="Arial" w:cs="Arial" w:eastAsia="Arial" w:hAnsi="Arial"/>
          <w:sz w:val="26"/>
          <w:szCs w:val="26"/>
          <w:color w:val="auto"/>
          <w:vertAlign w:val="superscript"/>
        </w:rPr>
        <w:t>9, 10</w:t>
      </w:r>
      <w:r>
        <w:rPr>
          <w:rFonts w:ascii="Arial" w:cs="Arial" w:eastAsia="Arial" w:hAnsi="Arial"/>
          <w:sz w:val="16"/>
          <w:szCs w:val="16"/>
          <w:color w:val="auto"/>
        </w:rPr>
        <w:t xml:space="preserve"> Consumer goods: Non-durable</w:t>
      </w:r>
    </w:p>
    <w:p>
      <w:pPr>
        <w:spacing w:after="0" w:line="378" w:lineRule="exact"/>
        <w:rPr>
          <w:sz w:val="20"/>
          <w:szCs w:val="20"/>
          <w:color w:val="auto"/>
        </w:rPr>
      </w:pPr>
    </w:p>
    <w:p>
      <w:pPr>
        <w:ind w:left="140" w:hanging="129"/>
        <w:spacing w:after="0" w:line="212" w:lineRule="auto"/>
        <w:rPr>
          <w:sz w:val="20"/>
          <w:szCs w:val="20"/>
          <w:color w:val="auto"/>
        </w:rPr>
      </w:pPr>
      <w:r>
        <w:rPr>
          <w:rFonts w:ascii="Arial" w:cs="Arial" w:eastAsia="Arial" w:hAnsi="Arial"/>
          <w:sz w:val="18"/>
          <w:szCs w:val="18"/>
          <w:color w:val="auto"/>
        </w:rPr>
        <w:t>4L Technologies Inc. (fka Clover Holdings,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Consumer goods: Non-durable</w:t>
      </w:r>
    </w:p>
    <w:p>
      <w:pPr>
        <w:spacing w:after="0" w:line="213" w:lineRule="exact"/>
        <w:rPr>
          <w:sz w:val="20"/>
          <w:szCs w:val="20"/>
          <w:color w:val="auto"/>
        </w:rPr>
      </w:pPr>
    </w:p>
    <w:p>
      <w:pPr>
        <w:ind w:left="140" w:right="80" w:hanging="129"/>
        <w:spacing w:after="0" w:line="210" w:lineRule="auto"/>
        <w:rPr>
          <w:sz w:val="20"/>
          <w:szCs w:val="20"/>
          <w:color w:val="auto"/>
        </w:rPr>
      </w:pPr>
      <w:r>
        <w:rPr>
          <w:rFonts w:ascii="Arial" w:cs="Arial" w:eastAsia="Arial" w:hAnsi="Arial"/>
          <w:sz w:val="18"/>
          <w:szCs w:val="18"/>
          <w:color w:val="auto"/>
        </w:rPr>
        <w:t>Advanced Lighting Technologies, Inc.</w:t>
      </w:r>
      <w:r>
        <w:rPr>
          <w:rFonts w:ascii="Arial" w:cs="Arial" w:eastAsia="Arial" w:hAnsi="Arial"/>
          <w:sz w:val="30"/>
          <w:szCs w:val="30"/>
          <w:color w:val="auto"/>
          <w:vertAlign w:val="superscript"/>
        </w:rPr>
        <w:t>9, 10</w:t>
      </w:r>
      <w:r>
        <w:rPr>
          <w:rFonts w:ascii="Arial" w:cs="Arial" w:eastAsia="Arial" w:hAnsi="Arial"/>
          <w:sz w:val="18"/>
          <w:szCs w:val="18"/>
          <w:color w:val="auto"/>
        </w:rPr>
        <w:t xml:space="preserve"> Consumer goods: Durable</w:t>
      </w:r>
    </w:p>
    <w:p>
      <w:pPr>
        <w:spacing w:after="0" w:line="381" w:lineRule="exact"/>
        <w:rPr>
          <w:sz w:val="20"/>
          <w:szCs w:val="20"/>
          <w:color w:val="auto"/>
        </w:rPr>
      </w:pPr>
    </w:p>
    <w:p>
      <w:pPr>
        <w:ind w:left="140" w:right="560" w:hanging="129"/>
        <w:spacing w:after="0" w:line="210" w:lineRule="auto"/>
        <w:rPr>
          <w:sz w:val="20"/>
          <w:szCs w:val="20"/>
          <w:color w:val="auto"/>
        </w:rPr>
      </w:pPr>
      <w:r>
        <w:rPr>
          <w:rFonts w:ascii="Arial" w:cs="Arial" w:eastAsia="Arial" w:hAnsi="Arial"/>
          <w:sz w:val="18"/>
          <w:szCs w:val="18"/>
          <w:color w:val="auto"/>
        </w:rPr>
        <w:t>Advantage Sales &amp; Marketing Inc.</w:t>
      </w:r>
      <w:r>
        <w:rPr>
          <w:rFonts w:ascii="Arial" w:cs="Arial" w:eastAsia="Arial" w:hAnsi="Arial"/>
          <w:sz w:val="30"/>
          <w:szCs w:val="30"/>
          <w:color w:val="auto"/>
          <w:vertAlign w:val="superscript"/>
        </w:rPr>
        <w:t>9</w:t>
      </w:r>
      <w:r>
        <w:rPr>
          <w:rFonts w:ascii="Arial" w:cs="Arial" w:eastAsia="Arial" w:hAnsi="Arial"/>
          <w:sz w:val="18"/>
          <w:szCs w:val="18"/>
          <w:color w:val="auto"/>
        </w:rPr>
        <w:t xml:space="preserve"> Services: Business</w:t>
      </w:r>
    </w:p>
    <w:p>
      <w:pPr>
        <w:spacing w:after="0" w:line="381" w:lineRule="exact"/>
        <w:rPr>
          <w:sz w:val="20"/>
          <w:szCs w:val="20"/>
          <w:color w:val="auto"/>
        </w:rPr>
      </w:pPr>
    </w:p>
    <w:p>
      <w:pPr>
        <w:ind w:left="140" w:right="200" w:hanging="129"/>
        <w:spacing w:after="0"/>
        <w:rPr>
          <w:sz w:val="20"/>
          <w:szCs w:val="20"/>
          <w:color w:val="auto"/>
        </w:rPr>
      </w:pPr>
      <w:r>
        <w:rPr>
          <w:rFonts w:ascii="Arial" w:cs="Arial" w:eastAsia="Arial" w:hAnsi="Arial"/>
          <w:sz w:val="16"/>
          <w:szCs w:val="16"/>
          <w:color w:val="auto"/>
        </w:rPr>
        <w:t>Alere Inc. (fka IM US Holdings, LLC)</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Healthcare &amp; Pharmaceuticals</w:t>
      </w:r>
    </w:p>
    <w:p>
      <w:pPr>
        <w:spacing w:after="0" w:line="206" w:lineRule="exact"/>
        <w:rPr>
          <w:sz w:val="20"/>
          <w:szCs w:val="20"/>
          <w:color w:val="auto"/>
        </w:rPr>
      </w:pPr>
    </w:p>
    <w:p>
      <w:pPr>
        <w:ind w:left="140" w:right="520" w:hanging="129"/>
        <w:spacing w:after="0"/>
        <w:rPr>
          <w:sz w:val="20"/>
          <w:szCs w:val="20"/>
          <w:color w:val="auto"/>
        </w:rPr>
      </w:pPr>
      <w:r>
        <w:rPr>
          <w:rFonts w:ascii="Arial" w:cs="Arial" w:eastAsia="Arial" w:hAnsi="Arial"/>
          <w:sz w:val="16"/>
          <w:szCs w:val="16"/>
          <w:color w:val="auto"/>
        </w:rPr>
        <w:t>American Seafoods Group LLC</w:t>
      </w:r>
      <w:r>
        <w:rPr>
          <w:rFonts w:ascii="Arial" w:cs="Arial" w:eastAsia="Arial" w:hAnsi="Arial"/>
          <w:sz w:val="26"/>
          <w:szCs w:val="26"/>
          <w:color w:val="auto"/>
          <w:vertAlign w:val="superscript"/>
        </w:rPr>
        <w:t>9, 10</w:t>
      </w:r>
      <w:r>
        <w:rPr>
          <w:rFonts w:ascii="Arial" w:cs="Arial" w:eastAsia="Arial" w:hAnsi="Arial"/>
          <w:sz w:val="16"/>
          <w:szCs w:val="16"/>
          <w:color w:val="auto"/>
        </w:rPr>
        <w:t xml:space="preserve"> Beverage, Food and Tobacco</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Anaren, Inc.</w:t>
      </w:r>
      <w:r>
        <w:rPr>
          <w:rFonts w:ascii="Arial" w:cs="Arial" w:eastAsia="Arial" w:hAnsi="Arial"/>
          <w:sz w:val="30"/>
          <w:szCs w:val="30"/>
          <w:color w:val="auto"/>
          <w:vertAlign w:val="superscript"/>
        </w:rPr>
        <w:t>9, 10</w:t>
      </w:r>
    </w:p>
    <w:p>
      <w:pPr>
        <w:ind w:left="140"/>
        <w:spacing w:after="0"/>
        <w:rPr>
          <w:sz w:val="20"/>
          <w:szCs w:val="20"/>
          <w:color w:val="auto"/>
        </w:rPr>
      </w:pPr>
      <w:r>
        <w:rPr>
          <w:rFonts w:ascii="Arial" w:cs="Arial" w:eastAsia="Arial" w:hAnsi="Arial"/>
          <w:sz w:val="18"/>
          <w:szCs w:val="18"/>
          <w:color w:val="auto"/>
        </w:rPr>
        <w:t>Aerospace and Defense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Apco Holdings, Inc.</w:t>
      </w:r>
      <w:r>
        <w:rPr>
          <w:rFonts w:ascii="Arial" w:cs="Arial" w:eastAsia="Arial" w:hAnsi="Arial"/>
          <w:sz w:val="30"/>
          <w:szCs w:val="30"/>
          <w:color w:val="auto"/>
          <w:vertAlign w:val="superscript"/>
        </w:rPr>
        <w:t>9, 10</w:t>
      </w:r>
    </w:p>
    <w:p>
      <w:pPr>
        <w:ind w:left="140"/>
        <w:spacing w:after="0"/>
        <w:rPr>
          <w:sz w:val="20"/>
          <w:szCs w:val="20"/>
          <w:color w:val="auto"/>
        </w:rPr>
      </w:pPr>
      <w:r>
        <w:rPr>
          <w:rFonts w:ascii="Arial" w:cs="Arial" w:eastAsia="Arial" w:hAnsi="Arial"/>
          <w:sz w:val="18"/>
          <w:szCs w:val="18"/>
          <w:color w:val="auto"/>
        </w:rPr>
        <w:t>Services: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API Technologies Corp.</w:t>
      </w:r>
      <w:r>
        <w:rPr>
          <w:rFonts w:ascii="Arial" w:cs="Arial" w:eastAsia="Arial" w:hAnsi="Arial"/>
          <w:sz w:val="30"/>
          <w:szCs w:val="30"/>
          <w:color w:val="auto"/>
          <w:vertAlign w:val="superscript"/>
        </w:rPr>
        <w:t>9, 10</w:t>
      </w:r>
    </w:p>
    <w:p>
      <w:pPr>
        <w:ind w:left="140"/>
        <w:spacing w:after="0"/>
        <w:rPr>
          <w:sz w:val="20"/>
          <w:szCs w:val="20"/>
          <w:color w:val="auto"/>
        </w:rPr>
      </w:pPr>
      <w:r>
        <w:rPr>
          <w:rFonts w:ascii="Arial" w:cs="Arial" w:eastAsia="Arial" w:hAnsi="Arial"/>
          <w:sz w:val="18"/>
          <w:szCs w:val="18"/>
          <w:color w:val="auto"/>
        </w:rPr>
        <w:t>Electronics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Aristotle Corporation, The</w:t>
      </w:r>
      <w:r>
        <w:rPr>
          <w:rFonts w:ascii="Arial" w:cs="Arial" w:eastAsia="Arial" w:hAnsi="Arial"/>
          <w:sz w:val="30"/>
          <w:szCs w:val="30"/>
          <w:color w:val="auto"/>
          <w:vertAlign w:val="superscript"/>
        </w:rPr>
        <w:t>9, 10</w:t>
      </w:r>
    </w:p>
    <w:p>
      <w:pPr>
        <w:ind w:left="140"/>
        <w:spacing w:after="0"/>
        <w:rPr>
          <w:sz w:val="20"/>
          <w:szCs w:val="20"/>
          <w:color w:val="auto"/>
        </w:rPr>
      </w:pPr>
      <w:r>
        <w:rPr>
          <w:rFonts w:ascii="Arial" w:cs="Arial" w:eastAsia="Arial" w:hAnsi="Arial"/>
          <w:sz w:val="18"/>
          <w:szCs w:val="18"/>
          <w:color w:val="auto"/>
        </w:rPr>
        <w:t>Consumer goods: Non-durable</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As of June 30, 2016</w:t>
      </w:r>
    </w:p>
    <w:p>
      <w:pPr>
        <w:spacing w:after="0" w:line="9"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Initial Term Loan</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 Due 2/22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2,985,000</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2,958,965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2,833,661</w:t>
            </w:r>
          </w:p>
        </w:tc>
      </w:tr>
      <w:tr>
        <w:trPr>
          <w:trHeight w:val="674"/>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 Due 5/20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2,734,465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2,716,883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2,552,618</w:t>
            </w: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 Bond — 10.5% - 06/2019 -</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00753CAE2</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10.5% Cash, Due 6/19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1,564,800</w:t>
            </w: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7.5% Cash, 1.0% Libor Floor, Due 7/22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1,001,912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940,300</w:t>
            </w: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B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4.3% Cash, 1.0% Libor Floor, Due 6/22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1,545,660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1,547,025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1,540,675</w:t>
            </w: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 Due 8/21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3,912,963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3,896,174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3,848,399</w:t>
            </w: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 Due 2/21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1,881,561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1,869,054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1,804,229</w:t>
            </w: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7.0% Cash, 1.0% Libor Floor, Due 1/22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3,975,000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3,863,867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3,879,998</w:t>
            </w: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7.5% Cash, 1.0% Libor Floor, Due 4/22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3,500,000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3,431,926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3,430,000</w:t>
            </w: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 Due 6/21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3,684,469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3,669,060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3,517,194</w:t>
            </w:r>
          </w:p>
        </w:tc>
      </w:tr>
      <w:tr>
        <w:trPr>
          <w:trHeight w:val="648"/>
        </w:trPr>
        <w:tc>
          <w:tcPr>
            <w:tcW w:w="3440" w:type="dxa"/>
            <w:vAlign w:val="bottom"/>
          </w:tcPr>
          <w:p>
            <w:pPr>
              <w:ind w:left="2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-4792980</wp:posOffset>
            </wp:positionV>
            <wp:extent cx="7246620" cy="43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-4218940</wp:posOffset>
            </wp:positionV>
            <wp:extent cx="724662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-3669665</wp:posOffset>
            </wp:positionV>
            <wp:extent cx="724662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-3121025</wp:posOffset>
            </wp:positionV>
            <wp:extent cx="7246620" cy="300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-2683510</wp:posOffset>
            </wp:positionV>
            <wp:extent cx="724662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-2134870</wp:posOffset>
            </wp:positionV>
            <wp:extent cx="724662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-1585595</wp:posOffset>
            </wp:positionV>
            <wp:extent cx="7246620" cy="300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-1148715</wp:posOffset>
            </wp:positionV>
            <wp:extent cx="7246620" cy="3003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-711200</wp:posOffset>
            </wp:positionV>
            <wp:extent cx="724662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-5350510</wp:posOffset>
            </wp:positionV>
            <wp:extent cx="7246620" cy="420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140" w:space="420"/>
            <w:col w:w="7760"/>
          </w:cols>
          <w:pgMar w:left="24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Asurion, LLC (fka Asurion Corporation)</w:t>
            </w:r>
            <w:r>
              <w:rPr>
                <w:rFonts w:ascii="Arial" w:cs="Arial" w:eastAsia="Arial" w:hAnsi="Arial"/>
                <w:sz w:val="22"/>
                <w:szCs w:val="22"/>
                <w:color w:val="auto"/>
                <w:vertAlign w:val="superscript"/>
              </w:rPr>
              <w:t>9, 10</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4"/>
              </w:rPr>
              <w:t>Senior Secured Loan — Incremental Tranche</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Banking, Finance, Insurance &amp; Real Estate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B-1 Term Loan</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913,034</w:t>
            </w:r>
          </w:p>
        </w:tc>
        <w:tc>
          <w:tcPr>
            <w:tcW w:w="48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914,156</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909,994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 Cash, 1.3% Libor Floor, Due 5/19</w:t>
            </w:r>
          </w:p>
        </w:tc>
        <w:tc>
          <w:tcPr>
            <w:tcW w:w="18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Asurion, LLC (fka Asurion Corporation)</w:t>
            </w:r>
            <w:r>
              <w:rPr>
                <w:rFonts w:ascii="Arial" w:cs="Arial" w:eastAsia="Arial" w:hAnsi="Arial"/>
                <w:sz w:val="23"/>
                <w:szCs w:val="23"/>
                <w:color w:val="auto"/>
                <w:vertAlign w:val="superscript"/>
              </w:rPr>
              <w:t>9, 10</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Senior Secured Loan — Incremental Tranche</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Banking, Finance, Insurance &amp; Real Estate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B-4 Term Loan</w:t>
            </w:r>
          </w:p>
        </w:tc>
        <w:tc>
          <w:tcPr>
            <w:tcW w:w="1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881,414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877,565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871,057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 Cash, 1.0% Libor Floor, Due 8/22</w:t>
            </w:r>
          </w:p>
        </w:tc>
        <w:tc>
          <w:tcPr>
            <w:tcW w:w="18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5" w:lineRule="exact"/>
        <w:rPr>
          <w:sz w:val="20"/>
          <w:szCs w:val="20"/>
          <w:color w:val="auto"/>
        </w:rPr>
      </w:pPr>
    </w:p>
    <w:p>
      <w:pPr>
        <w:ind w:left="140" w:right="680" w:hanging="129"/>
        <w:spacing w:after="0"/>
        <w:rPr>
          <w:sz w:val="20"/>
          <w:szCs w:val="20"/>
          <w:color w:val="auto"/>
        </w:rPr>
      </w:pPr>
      <w:r>
        <w:rPr>
          <w:rFonts w:ascii="Arial" w:cs="Arial" w:eastAsia="Arial" w:hAnsi="Arial"/>
          <w:sz w:val="16"/>
          <w:szCs w:val="16"/>
          <w:color w:val="auto"/>
        </w:rPr>
        <w:t>Avalign Technologies, Inc.</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Healthcare &amp; Pharmaceuticals</w:t>
      </w:r>
    </w:p>
    <w:p>
      <w:pPr>
        <w:spacing w:after="0" w:line="381" w:lineRule="exact"/>
        <w:rPr>
          <w:sz w:val="20"/>
          <w:szCs w:val="20"/>
          <w:color w:val="auto"/>
        </w:rPr>
      </w:pPr>
    </w:p>
    <w:p>
      <w:pPr>
        <w:ind w:left="140" w:right="680" w:hanging="129"/>
        <w:spacing w:after="0"/>
        <w:rPr>
          <w:sz w:val="20"/>
          <w:szCs w:val="20"/>
          <w:color w:val="auto"/>
        </w:rPr>
      </w:pPr>
      <w:r>
        <w:rPr>
          <w:rFonts w:ascii="Arial" w:cs="Arial" w:eastAsia="Arial" w:hAnsi="Arial"/>
          <w:sz w:val="16"/>
          <w:szCs w:val="16"/>
          <w:color w:val="auto"/>
        </w:rPr>
        <w:t>Avalign Technologies, Inc.</w:t>
      </w:r>
      <w:r>
        <w:rPr>
          <w:rFonts w:ascii="Arial" w:cs="Arial" w:eastAsia="Arial" w:hAnsi="Arial"/>
          <w:sz w:val="26"/>
          <w:szCs w:val="26"/>
          <w:color w:val="auto"/>
          <w:vertAlign w:val="superscript"/>
        </w:rPr>
        <w:t>9, 10</w:t>
      </w:r>
      <w:r>
        <w:rPr>
          <w:rFonts w:ascii="Arial" w:cs="Arial" w:eastAsia="Arial" w:hAnsi="Arial"/>
          <w:sz w:val="16"/>
          <w:szCs w:val="16"/>
          <w:color w:val="auto"/>
        </w:rPr>
        <w:t xml:space="preserve"> Healthcare &amp; Pharmaceuticals</w:t>
      </w:r>
    </w:p>
    <w:p>
      <w:pPr>
        <w:spacing w:after="0" w:line="381" w:lineRule="exact"/>
        <w:rPr>
          <w:sz w:val="20"/>
          <w:szCs w:val="20"/>
          <w:color w:val="auto"/>
        </w:rPr>
      </w:pPr>
    </w:p>
    <w:p>
      <w:pPr>
        <w:ind w:left="140" w:hanging="129"/>
        <w:spacing w:after="0" w:line="210" w:lineRule="auto"/>
        <w:rPr>
          <w:sz w:val="20"/>
          <w:szCs w:val="20"/>
          <w:color w:val="auto"/>
        </w:rPr>
      </w:pPr>
      <w:r>
        <w:rPr>
          <w:rFonts w:ascii="Arial" w:cs="Arial" w:eastAsia="Arial" w:hAnsi="Arial"/>
          <w:sz w:val="18"/>
          <w:szCs w:val="18"/>
          <w:color w:val="auto"/>
        </w:rPr>
        <w:t>Bankruptcy Management Solutions, Inc.</w:t>
      </w:r>
      <w:r>
        <w:rPr>
          <w:rFonts w:ascii="Arial" w:cs="Arial" w:eastAsia="Arial" w:hAnsi="Arial"/>
          <w:sz w:val="30"/>
          <w:szCs w:val="30"/>
          <w:color w:val="auto"/>
          <w:vertAlign w:val="superscript"/>
        </w:rPr>
        <w:t>9</w:t>
      </w:r>
      <w:r>
        <w:rPr>
          <w:rFonts w:ascii="Arial" w:cs="Arial" w:eastAsia="Arial" w:hAnsi="Arial"/>
          <w:sz w:val="18"/>
          <w:szCs w:val="18"/>
          <w:color w:val="auto"/>
        </w:rPr>
        <w:t xml:space="preserve"> Services: Business</w:t>
      </w:r>
    </w:p>
    <w:p>
      <w:pPr>
        <w:spacing w:after="0" w:line="206" w:lineRule="exact"/>
        <w:rPr>
          <w:sz w:val="20"/>
          <w:szCs w:val="20"/>
          <w:color w:val="auto"/>
        </w:rPr>
      </w:pPr>
    </w:p>
    <w:p>
      <w:pPr>
        <w:ind w:left="140" w:right="60" w:hanging="129"/>
        <w:spacing w:after="0" w:line="210" w:lineRule="auto"/>
        <w:rPr>
          <w:sz w:val="20"/>
          <w:szCs w:val="20"/>
          <w:color w:val="auto"/>
        </w:rPr>
      </w:pPr>
      <w:r>
        <w:rPr>
          <w:rFonts w:ascii="Arial" w:cs="Arial" w:eastAsia="Arial" w:hAnsi="Arial"/>
          <w:sz w:val="18"/>
          <w:szCs w:val="18"/>
          <w:color w:val="auto"/>
        </w:rPr>
        <w:t>BarBri, Inc. (Gemini Holdings, Inc.)</w:t>
      </w:r>
      <w:r>
        <w:rPr>
          <w:rFonts w:ascii="Arial" w:cs="Arial" w:eastAsia="Arial" w:hAnsi="Arial"/>
          <w:sz w:val="30"/>
          <w:szCs w:val="30"/>
          <w:color w:val="auto"/>
          <w:vertAlign w:val="superscript"/>
        </w:rPr>
        <w:t>9, 10</w:t>
      </w:r>
      <w:r>
        <w:rPr>
          <w:rFonts w:ascii="Arial" w:cs="Arial" w:eastAsia="Arial" w:hAnsi="Arial"/>
          <w:sz w:val="18"/>
          <w:szCs w:val="18"/>
          <w:color w:val="auto"/>
        </w:rPr>
        <w:t xml:space="preserve"> Services: Consumer</w:t>
      </w:r>
    </w:p>
    <w:p>
      <w:pPr>
        <w:spacing w:after="0" w:line="206" w:lineRule="exact"/>
        <w:rPr>
          <w:sz w:val="20"/>
          <w:szCs w:val="20"/>
          <w:color w:val="auto"/>
        </w:rPr>
      </w:pPr>
    </w:p>
    <w:p>
      <w:pPr>
        <w:ind w:left="140" w:right="240" w:hanging="132"/>
        <w:spacing w:after="0" w:line="210" w:lineRule="auto"/>
        <w:tabs>
          <w:tab w:leader="none" w:pos="416"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Industries US Holdings, Inc.</w:t>
      </w:r>
      <w:r>
        <w:rPr>
          <w:rFonts w:ascii="Arial" w:cs="Arial" w:eastAsia="Arial" w:hAnsi="Arial"/>
          <w:sz w:val="30"/>
          <w:szCs w:val="30"/>
          <w:color w:val="auto"/>
          <w:vertAlign w:val="superscript"/>
        </w:rPr>
        <w:t>9, 10</w:t>
      </w:r>
      <w:r>
        <w:rPr>
          <w:rFonts w:ascii="Arial" w:cs="Arial" w:eastAsia="Arial" w:hAnsi="Arial"/>
          <w:sz w:val="18"/>
          <w:szCs w:val="18"/>
          <w:color w:val="auto"/>
        </w:rPr>
        <w:t xml:space="preserve"> Automotive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Bellisio Foods, Inc.</w:t>
      </w:r>
      <w:r>
        <w:rPr>
          <w:rFonts w:ascii="Arial" w:cs="Arial" w:eastAsia="Arial" w:hAnsi="Arial"/>
          <w:sz w:val="30"/>
          <w:szCs w:val="30"/>
          <w:color w:val="auto"/>
          <w:vertAlign w:val="superscript"/>
        </w:rPr>
        <w:t>9, 10</w:t>
      </w:r>
    </w:p>
    <w:p>
      <w:pPr>
        <w:ind w:left="140"/>
        <w:spacing w:after="0"/>
        <w:rPr>
          <w:sz w:val="20"/>
          <w:szCs w:val="20"/>
          <w:color w:val="auto"/>
        </w:rPr>
      </w:pPr>
      <w:r>
        <w:rPr>
          <w:rFonts w:ascii="Arial" w:cs="Arial" w:eastAsia="Arial" w:hAnsi="Arial"/>
          <w:sz w:val="18"/>
          <w:szCs w:val="18"/>
          <w:color w:val="auto"/>
        </w:rPr>
        <w:t>Beverage, Food and Tobacco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Bestop, Inc.</w:t>
      </w:r>
      <w:r>
        <w:rPr>
          <w:rFonts w:ascii="Arial" w:cs="Arial" w:eastAsia="Arial" w:hAnsi="Arial"/>
          <w:sz w:val="30"/>
          <w:szCs w:val="30"/>
          <w:color w:val="auto"/>
          <w:vertAlign w:val="superscript"/>
        </w:rPr>
        <w:t>9, 10</w:t>
      </w:r>
    </w:p>
    <w:p>
      <w:pPr>
        <w:ind w:left="140"/>
        <w:spacing w:after="0"/>
        <w:rPr>
          <w:sz w:val="20"/>
          <w:szCs w:val="20"/>
          <w:color w:val="auto"/>
        </w:rPr>
      </w:pPr>
      <w:r>
        <w:rPr>
          <w:rFonts w:ascii="Arial" w:cs="Arial" w:eastAsia="Arial" w:hAnsi="Arial"/>
          <w:sz w:val="18"/>
          <w:szCs w:val="18"/>
          <w:color w:val="auto"/>
        </w:rPr>
        <w:t>Automotive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Bestop, Inc.</w:t>
      </w:r>
      <w:r>
        <w:rPr>
          <w:rFonts w:ascii="Arial" w:cs="Arial" w:eastAsia="Arial" w:hAnsi="Arial"/>
          <w:sz w:val="30"/>
          <w:szCs w:val="30"/>
          <w:color w:val="auto"/>
          <w:vertAlign w:val="superscript"/>
        </w:rPr>
        <w:t>9, 10</w:t>
      </w:r>
    </w:p>
    <w:p>
      <w:pPr>
        <w:ind w:left="140"/>
        <w:spacing w:after="0"/>
        <w:rPr>
          <w:sz w:val="20"/>
          <w:szCs w:val="20"/>
          <w:color w:val="auto"/>
        </w:rPr>
      </w:pPr>
      <w:r>
        <w:rPr>
          <w:rFonts w:ascii="Arial" w:cs="Arial" w:eastAsia="Arial" w:hAnsi="Arial"/>
          <w:sz w:val="18"/>
          <w:szCs w:val="18"/>
          <w:color w:val="auto"/>
        </w:rPr>
        <w:t>Automotive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40" w:type="dxa"/>
            <w:vAlign w:val="bottom"/>
            <w:gridSpan w:val="4"/>
          </w:tcPr>
          <w:p>
            <w:pPr>
              <w:spacing w:after="0"/>
              <w:rPr>
                <w:sz w:val="20"/>
                <w:szCs w:val="20"/>
                <w:color w:val="auto"/>
              </w:rPr>
            </w:pPr>
            <w:r>
              <w:rPr>
                <w:rFonts w:ascii="Arial" w:cs="Arial" w:eastAsia="Arial" w:hAnsi="Arial"/>
                <w:sz w:val="18"/>
                <w:szCs w:val="18"/>
                <w:color w:val="auto"/>
              </w:rPr>
              <w:t>Junior Secured Loan — Initial Term Loan</w:t>
            </w: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260" w:type="dxa"/>
            <w:vAlign w:val="bottom"/>
            <w:gridSpan w:val="3"/>
          </w:tcPr>
          <w:p>
            <w:pPr>
              <w:spacing w:after="0"/>
              <w:rPr>
                <w:sz w:val="20"/>
                <w:szCs w:val="20"/>
                <w:color w:val="auto"/>
              </w:rPr>
            </w:pPr>
            <w:r>
              <w:rPr>
                <w:rFonts w:ascii="Arial" w:cs="Arial" w:eastAsia="Arial" w:hAnsi="Arial"/>
                <w:sz w:val="18"/>
                <w:szCs w:val="18"/>
                <w:color w:val="auto"/>
              </w:rPr>
              <w:t>(Second Lien)</w:t>
            </w:r>
          </w:p>
        </w:tc>
        <w:tc>
          <w:tcPr>
            <w:tcW w:w="2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9.3%</w:t>
            </w:r>
          </w:p>
        </w:tc>
        <w:tc>
          <w:tcPr>
            <w:tcW w:w="440" w:type="dxa"/>
            <w:vAlign w:val="bottom"/>
          </w:tcPr>
          <w:p>
            <w:pPr>
              <w:ind w:left="20"/>
              <w:spacing w:after="0"/>
              <w:rPr>
                <w:sz w:val="20"/>
                <w:szCs w:val="20"/>
                <w:color w:val="auto"/>
              </w:rPr>
            </w:pPr>
            <w:r>
              <w:rPr>
                <w:rFonts w:ascii="Arial" w:cs="Arial" w:eastAsia="Arial" w:hAnsi="Arial"/>
                <w:sz w:val="18"/>
                <w:szCs w:val="18"/>
                <w:color w:val="auto"/>
                <w:w w:val="84"/>
              </w:rPr>
              <w:t>Cash,</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1.0%</w:t>
            </w:r>
          </w:p>
        </w:tc>
        <w:tc>
          <w:tcPr>
            <w:tcW w:w="2380" w:type="dxa"/>
            <w:vAlign w:val="bottom"/>
          </w:tcPr>
          <w:p>
            <w:pPr>
              <w:ind w:left="20"/>
              <w:spacing w:after="0"/>
              <w:rPr>
                <w:sz w:val="20"/>
                <w:szCs w:val="20"/>
                <w:color w:val="auto"/>
              </w:rPr>
            </w:pPr>
            <w:r>
              <w:rPr>
                <w:rFonts w:ascii="Arial" w:cs="Arial" w:eastAsia="Arial" w:hAnsi="Arial"/>
                <w:sz w:val="18"/>
                <w:szCs w:val="18"/>
                <w:color w:val="auto"/>
              </w:rPr>
              <w:t>Libor Floor, Due 7/22</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1,000,000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991,356</w:t>
            </w:r>
          </w:p>
        </w:tc>
        <w:tc>
          <w:tcPr>
            <w:tcW w:w="1100" w:type="dxa"/>
            <w:vAlign w:val="bottom"/>
          </w:tcPr>
          <w:p>
            <w:pPr>
              <w:jc w:val="right"/>
              <w:spacing w:after="0"/>
              <w:rPr>
                <w:sz w:val="20"/>
                <w:szCs w:val="20"/>
                <w:color w:val="auto"/>
              </w:rPr>
            </w:pPr>
            <w:r>
              <w:rPr>
                <w:rFonts w:ascii="Arial" w:cs="Arial" w:eastAsia="Arial" w:hAnsi="Arial"/>
                <w:sz w:val="18"/>
                <w:szCs w:val="18"/>
                <w:color w:val="auto"/>
              </w:rPr>
              <w:t>985,000</w:t>
            </w:r>
          </w:p>
        </w:tc>
      </w:tr>
      <w:tr>
        <w:trPr>
          <w:trHeight w:val="418"/>
        </w:trPr>
        <w:tc>
          <w:tcPr>
            <w:tcW w:w="3640" w:type="dxa"/>
            <w:vAlign w:val="bottom"/>
            <w:gridSpan w:val="4"/>
          </w:tcPr>
          <w:p>
            <w:pPr>
              <w:spacing w:after="0"/>
              <w:rPr>
                <w:sz w:val="20"/>
                <w:szCs w:val="20"/>
                <w:color w:val="auto"/>
              </w:rPr>
            </w:pPr>
            <w:r>
              <w:rPr>
                <w:rFonts w:ascii="Arial" w:cs="Arial" w:eastAsia="Arial" w:hAnsi="Arial"/>
                <w:sz w:val="18"/>
                <w:szCs w:val="18"/>
                <w:color w:val="auto"/>
              </w:rPr>
              <w:t>Senior Secured Loan — Initial Term Loan</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w w:val="95"/>
              </w:rPr>
              <w:t>(First Lien)</w:t>
            </w:r>
          </w:p>
        </w:tc>
        <w:tc>
          <w:tcPr>
            <w:tcW w:w="4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5.5%</w:t>
            </w:r>
          </w:p>
        </w:tc>
        <w:tc>
          <w:tcPr>
            <w:tcW w:w="440" w:type="dxa"/>
            <w:vAlign w:val="bottom"/>
          </w:tcPr>
          <w:p>
            <w:pPr>
              <w:ind w:left="20"/>
              <w:spacing w:after="0"/>
              <w:rPr>
                <w:sz w:val="20"/>
                <w:szCs w:val="20"/>
                <w:color w:val="auto"/>
              </w:rPr>
            </w:pPr>
            <w:r>
              <w:rPr>
                <w:rFonts w:ascii="Arial" w:cs="Arial" w:eastAsia="Arial" w:hAnsi="Arial"/>
                <w:sz w:val="18"/>
                <w:szCs w:val="18"/>
                <w:color w:val="auto"/>
                <w:w w:val="84"/>
              </w:rPr>
              <w:t>Cash,</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1.0%</w:t>
            </w:r>
          </w:p>
        </w:tc>
        <w:tc>
          <w:tcPr>
            <w:tcW w:w="2380" w:type="dxa"/>
            <w:vAlign w:val="bottom"/>
          </w:tcPr>
          <w:p>
            <w:pPr>
              <w:ind w:left="20"/>
              <w:spacing w:after="0"/>
              <w:rPr>
                <w:sz w:val="20"/>
                <w:szCs w:val="20"/>
                <w:color w:val="auto"/>
              </w:rPr>
            </w:pPr>
            <w:r>
              <w:rPr>
                <w:rFonts w:ascii="Arial" w:cs="Arial" w:eastAsia="Arial" w:hAnsi="Arial"/>
                <w:sz w:val="18"/>
                <w:szCs w:val="18"/>
                <w:color w:val="auto"/>
              </w:rPr>
              <w:t>Libor Floor, Due 7/21</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2,925,000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2,912,690</w:t>
            </w:r>
          </w:p>
        </w:tc>
        <w:tc>
          <w:tcPr>
            <w:tcW w:w="1100" w:type="dxa"/>
            <w:vAlign w:val="bottom"/>
          </w:tcPr>
          <w:p>
            <w:pPr>
              <w:jc w:val="right"/>
              <w:spacing w:after="0"/>
              <w:rPr>
                <w:sz w:val="20"/>
                <w:szCs w:val="20"/>
                <w:color w:val="auto"/>
              </w:rPr>
            </w:pPr>
            <w:r>
              <w:rPr>
                <w:rFonts w:ascii="Arial" w:cs="Arial" w:eastAsia="Arial" w:hAnsi="Arial"/>
                <w:sz w:val="18"/>
                <w:szCs w:val="18"/>
                <w:color w:val="auto"/>
              </w:rPr>
              <w:t>2,895,750</w:t>
            </w:r>
          </w:p>
        </w:tc>
      </w:tr>
      <w:tr>
        <w:trPr>
          <w:trHeight w:val="458"/>
        </w:trPr>
        <w:tc>
          <w:tcPr>
            <w:tcW w:w="3640" w:type="dxa"/>
            <w:vAlign w:val="bottom"/>
            <w:gridSpan w:val="4"/>
          </w:tcPr>
          <w:p>
            <w:pPr>
              <w:spacing w:after="0"/>
              <w:rPr>
                <w:sz w:val="20"/>
                <w:szCs w:val="20"/>
                <w:color w:val="auto"/>
              </w:rPr>
            </w:pPr>
            <w:r>
              <w:rPr>
                <w:rFonts w:ascii="Arial" w:cs="Arial" w:eastAsia="Arial" w:hAnsi="Arial"/>
                <w:sz w:val="18"/>
                <w:szCs w:val="18"/>
                <w:color w:val="auto"/>
              </w:rPr>
              <w:t>Senior Secured Loan — Term B Loan</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7.0%</w:t>
            </w:r>
          </w:p>
        </w:tc>
        <w:tc>
          <w:tcPr>
            <w:tcW w:w="440" w:type="dxa"/>
            <w:vAlign w:val="bottom"/>
          </w:tcPr>
          <w:p>
            <w:pPr>
              <w:ind w:left="20"/>
              <w:spacing w:after="0"/>
              <w:rPr>
                <w:sz w:val="20"/>
                <w:szCs w:val="20"/>
                <w:color w:val="auto"/>
              </w:rPr>
            </w:pPr>
            <w:r>
              <w:rPr>
                <w:rFonts w:ascii="Arial" w:cs="Arial" w:eastAsia="Arial" w:hAnsi="Arial"/>
                <w:sz w:val="18"/>
                <w:szCs w:val="18"/>
                <w:color w:val="auto"/>
                <w:w w:val="84"/>
              </w:rPr>
              <w:t>Cash,</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1.0%</w:t>
            </w:r>
          </w:p>
        </w:tc>
        <w:tc>
          <w:tcPr>
            <w:tcW w:w="2380" w:type="dxa"/>
            <w:vAlign w:val="bottom"/>
          </w:tcPr>
          <w:p>
            <w:pPr>
              <w:ind w:left="20"/>
              <w:spacing w:after="0"/>
              <w:rPr>
                <w:sz w:val="20"/>
                <w:szCs w:val="20"/>
                <w:color w:val="auto"/>
              </w:rPr>
            </w:pPr>
            <w:r>
              <w:rPr>
                <w:rFonts w:ascii="Arial" w:cs="Arial" w:eastAsia="Arial" w:hAnsi="Arial"/>
                <w:sz w:val="18"/>
                <w:szCs w:val="18"/>
                <w:color w:val="auto"/>
              </w:rPr>
              <w:t>Libor Floor, Due 6/18</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674,080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674,080</w:t>
            </w:r>
          </w:p>
        </w:tc>
        <w:tc>
          <w:tcPr>
            <w:tcW w:w="1100" w:type="dxa"/>
            <w:vAlign w:val="bottom"/>
          </w:tcPr>
          <w:p>
            <w:pPr>
              <w:jc w:val="right"/>
              <w:spacing w:after="0"/>
              <w:rPr>
                <w:sz w:val="20"/>
                <w:szCs w:val="20"/>
                <w:color w:val="auto"/>
              </w:rPr>
            </w:pPr>
            <w:r>
              <w:rPr>
                <w:rFonts w:ascii="Arial" w:cs="Arial" w:eastAsia="Arial" w:hAnsi="Arial"/>
                <w:sz w:val="18"/>
                <w:szCs w:val="18"/>
                <w:color w:val="auto"/>
              </w:rPr>
              <w:t>656,014</w:t>
            </w:r>
          </w:p>
        </w:tc>
      </w:tr>
      <w:tr>
        <w:trPr>
          <w:trHeight w:val="458"/>
        </w:trPr>
        <w:tc>
          <w:tcPr>
            <w:tcW w:w="3640" w:type="dxa"/>
            <w:vAlign w:val="bottom"/>
            <w:gridSpan w:val="4"/>
          </w:tcPr>
          <w:p>
            <w:pPr>
              <w:spacing w:after="0"/>
              <w:rPr>
                <w:sz w:val="20"/>
                <w:szCs w:val="20"/>
                <w:color w:val="auto"/>
              </w:rPr>
            </w:pPr>
            <w:r>
              <w:rPr>
                <w:rFonts w:ascii="Arial" w:cs="Arial" w:eastAsia="Arial" w:hAnsi="Arial"/>
                <w:sz w:val="18"/>
                <w:szCs w:val="18"/>
                <w:color w:val="auto"/>
              </w:rPr>
              <w:t>Senior Secured Loan — Term Loan</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4.5%</w:t>
            </w:r>
          </w:p>
        </w:tc>
        <w:tc>
          <w:tcPr>
            <w:tcW w:w="440" w:type="dxa"/>
            <w:vAlign w:val="bottom"/>
          </w:tcPr>
          <w:p>
            <w:pPr>
              <w:ind w:left="20"/>
              <w:spacing w:after="0"/>
              <w:rPr>
                <w:sz w:val="20"/>
                <w:szCs w:val="20"/>
                <w:color w:val="auto"/>
              </w:rPr>
            </w:pPr>
            <w:r>
              <w:rPr>
                <w:rFonts w:ascii="Arial" w:cs="Arial" w:eastAsia="Arial" w:hAnsi="Arial"/>
                <w:sz w:val="18"/>
                <w:szCs w:val="18"/>
                <w:color w:val="auto"/>
                <w:w w:val="84"/>
              </w:rPr>
              <w:t>Cash,</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1.0%</w:t>
            </w:r>
          </w:p>
        </w:tc>
        <w:tc>
          <w:tcPr>
            <w:tcW w:w="2380" w:type="dxa"/>
            <w:vAlign w:val="bottom"/>
          </w:tcPr>
          <w:p>
            <w:pPr>
              <w:ind w:left="20"/>
              <w:spacing w:after="0"/>
              <w:rPr>
                <w:sz w:val="20"/>
                <w:szCs w:val="20"/>
                <w:color w:val="auto"/>
              </w:rPr>
            </w:pPr>
            <w:r>
              <w:rPr>
                <w:rFonts w:ascii="Arial" w:cs="Arial" w:eastAsia="Arial" w:hAnsi="Arial"/>
                <w:sz w:val="18"/>
                <w:szCs w:val="18"/>
                <w:color w:val="auto"/>
              </w:rPr>
              <w:t>Libor Floor, Due 7/19</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2,664,698</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2,657,895</w:t>
            </w:r>
          </w:p>
        </w:tc>
        <w:tc>
          <w:tcPr>
            <w:tcW w:w="1100" w:type="dxa"/>
            <w:vAlign w:val="bottom"/>
          </w:tcPr>
          <w:p>
            <w:pPr>
              <w:jc w:val="right"/>
              <w:spacing w:after="0"/>
              <w:rPr>
                <w:sz w:val="20"/>
                <w:szCs w:val="20"/>
                <w:color w:val="auto"/>
              </w:rPr>
            </w:pPr>
            <w:r>
              <w:rPr>
                <w:rFonts w:ascii="Arial" w:cs="Arial" w:eastAsia="Arial" w:hAnsi="Arial"/>
                <w:sz w:val="18"/>
                <w:szCs w:val="18"/>
                <w:color w:val="auto"/>
              </w:rPr>
              <w:t>2,539,990</w:t>
            </w:r>
          </w:p>
        </w:tc>
      </w:tr>
      <w:tr>
        <w:trPr>
          <w:trHeight w:val="418"/>
        </w:trPr>
        <w:tc>
          <w:tcPr>
            <w:tcW w:w="3640" w:type="dxa"/>
            <w:vAlign w:val="bottom"/>
            <w:gridSpan w:val="4"/>
          </w:tcPr>
          <w:p>
            <w:pPr>
              <w:spacing w:after="0"/>
              <w:rPr>
                <w:sz w:val="20"/>
                <w:szCs w:val="20"/>
                <w:color w:val="auto"/>
              </w:rPr>
            </w:pPr>
            <w:r>
              <w:rPr>
                <w:rFonts w:ascii="Arial" w:cs="Arial" w:eastAsia="Arial" w:hAnsi="Arial"/>
                <w:sz w:val="18"/>
                <w:szCs w:val="18"/>
                <w:color w:val="auto"/>
              </w:rPr>
              <w:t>Senior Secured Loan — Initial Term Loan</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840" w:type="dxa"/>
            <w:vAlign w:val="bottom"/>
            <w:gridSpan w:val="2"/>
          </w:tcPr>
          <w:p>
            <w:pPr>
              <w:spacing w:after="0"/>
              <w:rPr>
                <w:sz w:val="20"/>
                <w:szCs w:val="20"/>
                <w:color w:val="auto"/>
              </w:rPr>
            </w:pPr>
            <w:r>
              <w:rPr>
                <w:rFonts w:ascii="Arial" w:cs="Arial" w:eastAsia="Arial" w:hAnsi="Arial"/>
                <w:sz w:val="18"/>
                <w:szCs w:val="18"/>
                <w:color w:val="auto"/>
                <w:w w:val="95"/>
              </w:rPr>
              <w:t>(First Lien)</w:t>
            </w:r>
          </w:p>
        </w:tc>
        <w:tc>
          <w:tcPr>
            <w:tcW w:w="4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6.0%</w:t>
            </w:r>
          </w:p>
        </w:tc>
        <w:tc>
          <w:tcPr>
            <w:tcW w:w="440" w:type="dxa"/>
            <w:vAlign w:val="bottom"/>
          </w:tcPr>
          <w:p>
            <w:pPr>
              <w:ind w:left="20"/>
              <w:spacing w:after="0"/>
              <w:rPr>
                <w:sz w:val="20"/>
                <w:szCs w:val="20"/>
                <w:color w:val="auto"/>
              </w:rPr>
            </w:pPr>
            <w:r>
              <w:rPr>
                <w:rFonts w:ascii="Arial" w:cs="Arial" w:eastAsia="Arial" w:hAnsi="Arial"/>
                <w:sz w:val="18"/>
                <w:szCs w:val="18"/>
                <w:color w:val="auto"/>
                <w:w w:val="84"/>
              </w:rPr>
              <w:t>Cash,</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1.0%</w:t>
            </w:r>
          </w:p>
        </w:tc>
        <w:tc>
          <w:tcPr>
            <w:tcW w:w="2380" w:type="dxa"/>
            <w:vAlign w:val="bottom"/>
          </w:tcPr>
          <w:p>
            <w:pPr>
              <w:ind w:left="20"/>
              <w:spacing w:after="0"/>
              <w:rPr>
                <w:sz w:val="20"/>
                <w:szCs w:val="20"/>
                <w:color w:val="auto"/>
              </w:rPr>
            </w:pPr>
            <w:r>
              <w:rPr>
                <w:rFonts w:ascii="Arial" w:cs="Arial" w:eastAsia="Arial" w:hAnsi="Arial"/>
                <w:sz w:val="18"/>
                <w:szCs w:val="18"/>
                <w:color w:val="auto"/>
              </w:rPr>
              <w:t>Libor Floor, Due 11/21</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2,962,500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2,917,239</w:t>
            </w:r>
          </w:p>
        </w:tc>
        <w:tc>
          <w:tcPr>
            <w:tcW w:w="1100" w:type="dxa"/>
            <w:vAlign w:val="bottom"/>
          </w:tcPr>
          <w:p>
            <w:pPr>
              <w:jc w:val="right"/>
              <w:spacing w:after="0"/>
              <w:rPr>
                <w:sz w:val="20"/>
                <w:szCs w:val="20"/>
                <w:color w:val="auto"/>
              </w:rPr>
            </w:pPr>
            <w:r>
              <w:rPr>
                <w:rFonts w:ascii="Arial" w:cs="Arial" w:eastAsia="Arial" w:hAnsi="Arial"/>
                <w:sz w:val="18"/>
                <w:szCs w:val="18"/>
                <w:color w:val="auto"/>
              </w:rPr>
              <w:t>2,780,010</w:t>
            </w:r>
          </w:p>
        </w:tc>
      </w:tr>
      <w:tr>
        <w:trPr>
          <w:trHeight w:val="458"/>
        </w:trPr>
        <w:tc>
          <w:tcPr>
            <w:tcW w:w="3640" w:type="dxa"/>
            <w:vAlign w:val="bottom"/>
            <w:gridSpan w:val="4"/>
          </w:tcPr>
          <w:p>
            <w:pPr>
              <w:spacing w:after="0"/>
              <w:rPr>
                <w:sz w:val="20"/>
                <w:szCs w:val="20"/>
                <w:color w:val="auto"/>
              </w:rPr>
            </w:pPr>
            <w:r>
              <w:rPr>
                <w:rFonts w:ascii="Arial" w:cs="Arial" w:eastAsia="Arial" w:hAnsi="Arial"/>
                <w:sz w:val="18"/>
                <w:szCs w:val="18"/>
                <w:color w:val="auto"/>
              </w:rPr>
              <w:t>Senior Secured Loan — U.S. Term B Loans</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5.3%</w:t>
            </w:r>
          </w:p>
        </w:tc>
        <w:tc>
          <w:tcPr>
            <w:tcW w:w="440" w:type="dxa"/>
            <w:vAlign w:val="bottom"/>
          </w:tcPr>
          <w:p>
            <w:pPr>
              <w:ind w:left="20"/>
              <w:spacing w:after="0"/>
              <w:rPr>
                <w:sz w:val="20"/>
                <w:szCs w:val="20"/>
                <w:color w:val="auto"/>
              </w:rPr>
            </w:pPr>
            <w:r>
              <w:rPr>
                <w:rFonts w:ascii="Arial" w:cs="Arial" w:eastAsia="Arial" w:hAnsi="Arial"/>
                <w:sz w:val="18"/>
                <w:szCs w:val="18"/>
                <w:color w:val="auto"/>
                <w:w w:val="84"/>
              </w:rPr>
              <w:t>Cash,</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1.0%</w:t>
            </w:r>
          </w:p>
        </w:tc>
        <w:tc>
          <w:tcPr>
            <w:tcW w:w="2380" w:type="dxa"/>
            <w:vAlign w:val="bottom"/>
          </w:tcPr>
          <w:p>
            <w:pPr>
              <w:ind w:left="20"/>
              <w:spacing w:after="0"/>
              <w:rPr>
                <w:sz w:val="20"/>
                <w:szCs w:val="20"/>
                <w:color w:val="auto"/>
              </w:rPr>
            </w:pPr>
            <w:r>
              <w:rPr>
                <w:rFonts w:ascii="Arial" w:cs="Arial" w:eastAsia="Arial" w:hAnsi="Arial"/>
                <w:sz w:val="18"/>
                <w:szCs w:val="18"/>
                <w:color w:val="auto"/>
              </w:rPr>
              <w:t>Libor Floor, Due 8/19</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1,876,982</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1,871,925</w:t>
            </w:r>
          </w:p>
        </w:tc>
        <w:tc>
          <w:tcPr>
            <w:tcW w:w="1100" w:type="dxa"/>
            <w:vAlign w:val="bottom"/>
          </w:tcPr>
          <w:p>
            <w:pPr>
              <w:jc w:val="right"/>
              <w:spacing w:after="0"/>
              <w:rPr>
                <w:sz w:val="20"/>
                <w:szCs w:val="20"/>
                <w:color w:val="auto"/>
              </w:rPr>
            </w:pPr>
            <w:r>
              <w:rPr>
                <w:rFonts w:ascii="Arial" w:cs="Arial" w:eastAsia="Arial" w:hAnsi="Arial"/>
                <w:sz w:val="18"/>
                <w:szCs w:val="18"/>
                <w:color w:val="auto"/>
              </w:rPr>
              <w:t>1,857,274</w:t>
            </w:r>
          </w:p>
        </w:tc>
      </w:tr>
      <w:tr>
        <w:trPr>
          <w:trHeight w:val="458"/>
        </w:trPr>
        <w:tc>
          <w:tcPr>
            <w:tcW w:w="3640" w:type="dxa"/>
            <w:vAlign w:val="bottom"/>
            <w:gridSpan w:val="4"/>
          </w:tcPr>
          <w:p>
            <w:pPr>
              <w:spacing w:after="0"/>
              <w:rPr>
                <w:sz w:val="20"/>
                <w:szCs w:val="20"/>
                <w:color w:val="auto"/>
              </w:rPr>
            </w:pPr>
            <w:r>
              <w:rPr>
                <w:rFonts w:ascii="Arial" w:cs="Arial" w:eastAsia="Arial" w:hAnsi="Arial"/>
                <w:sz w:val="18"/>
                <w:szCs w:val="18"/>
                <w:color w:val="auto"/>
              </w:rPr>
              <w:t>Senior Secured Loan — Revolving Loan</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6.3%</w:t>
            </w:r>
          </w:p>
        </w:tc>
        <w:tc>
          <w:tcPr>
            <w:tcW w:w="440" w:type="dxa"/>
            <w:vAlign w:val="bottom"/>
          </w:tcPr>
          <w:p>
            <w:pPr>
              <w:ind w:left="20"/>
              <w:spacing w:after="0"/>
              <w:rPr>
                <w:sz w:val="20"/>
                <w:szCs w:val="20"/>
                <w:color w:val="auto"/>
              </w:rPr>
            </w:pPr>
            <w:r>
              <w:rPr>
                <w:rFonts w:ascii="Arial" w:cs="Arial" w:eastAsia="Arial" w:hAnsi="Arial"/>
                <w:sz w:val="18"/>
                <w:szCs w:val="18"/>
                <w:color w:val="auto"/>
                <w:w w:val="84"/>
              </w:rPr>
              <w:t>Cash,</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1.0%</w:t>
            </w:r>
          </w:p>
        </w:tc>
        <w:tc>
          <w:tcPr>
            <w:tcW w:w="2380" w:type="dxa"/>
            <w:vAlign w:val="bottom"/>
          </w:tcPr>
          <w:p>
            <w:pPr>
              <w:ind w:left="20"/>
              <w:spacing w:after="0"/>
              <w:rPr>
                <w:sz w:val="20"/>
                <w:szCs w:val="20"/>
                <w:color w:val="auto"/>
              </w:rPr>
            </w:pPr>
            <w:r>
              <w:rPr>
                <w:rFonts w:ascii="Arial" w:cs="Arial" w:eastAsia="Arial" w:hAnsi="Arial"/>
                <w:sz w:val="18"/>
                <w:szCs w:val="18"/>
                <w:color w:val="auto"/>
              </w:rPr>
              <w:t>Libor Floor, Due 7/20</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135,000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130,107</w:t>
            </w:r>
          </w:p>
        </w:tc>
        <w:tc>
          <w:tcPr>
            <w:tcW w:w="1100" w:type="dxa"/>
            <w:vAlign w:val="bottom"/>
          </w:tcPr>
          <w:p>
            <w:pPr>
              <w:jc w:val="right"/>
              <w:spacing w:after="0"/>
              <w:rPr>
                <w:sz w:val="20"/>
                <w:szCs w:val="20"/>
                <w:color w:val="auto"/>
              </w:rPr>
            </w:pPr>
            <w:r>
              <w:rPr>
                <w:rFonts w:ascii="Arial" w:cs="Arial" w:eastAsia="Arial" w:hAnsi="Arial"/>
                <w:sz w:val="18"/>
                <w:szCs w:val="18"/>
                <w:color w:val="auto"/>
              </w:rPr>
              <w:t>122,121</w:t>
            </w:r>
          </w:p>
        </w:tc>
      </w:tr>
      <w:tr>
        <w:trPr>
          <w:trHeight w:val="458"/>
        </w:trPr>
        <w:tc>
          <w:tcPr>
            <w:tcW w:w="3640" w:type="dxa"/>
            <w:vAlign w:val="bottom"/>
            <w:gridSpan w:val="4"/>
          </w:tcPr>
          <w:p>
            <w:pPr>
              <w:spacing w:after="0"/>
              <w:rPr>
                <w:sz w:val="20"/>
                <w:szCs w:val="20"/>
                <w:color w:val="auto"/>
              </w:rPr>
            </w:pPr>
            <w:r>
              <w:rPr>
                <w:rFonts w:ascii="Arial" w:cs="Arial" w:eastAsia="Arial" w:hAnsi="Arial"/>
                <w:sz w:val="18"/>
                <w:szCs w:val="18"/>
                <w:color w:val="auto"/>
              </w:rPr>
              <w:t>Senior Secured Loan — Term Loan</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6.3%</w:t>
            </w:r>
          </w:p>
        </w:tc>
        <w:tc>
          <w:tcPr>
            <w:tcW w:w="440" w:type="dxa"/>
            <w:vAlign w:val="bottom"/>
          </w:tcPr>
          <w:p>
            <w:pPr>
              <w:ind w:left="20"/>
              <w:spacing w:after="0"/>
              <w:rPr>
                <w:sz w:val="20"/>
                <w:szCs w:val="20"/>
                <w:color w:val="auto"/>
              </w:rPr>
            </w:pPr>
            <w:r>
              <w:rPr>
                <w:rFonts w:ascii="Arial" w:cs="Arial" w:eastAsia="Arial" w:hAnsi="Arial"/>
                <w:sz w:val="18"/>
                <w:szCs w:val="18"/>
                <w:color w:val="auto"/>
                <w:w w:val="84"/>
              </w:rPr>
              <w:t>Cash,</w:t>
            </w:r>
          </w:p>
        </w:tc>
        <w:tc>
          <w:tcPr>
            <w:tcW w:w="420" w:type="dxa"/>
            <w:vAlign w:val="bottom"/>
          </w:tcPr>
          <w:p>
            <w:pPr>
              <w:jc w:val="right"/>
              <w:spacing w:after="0"/>
              <w:rPr>
                <w:sz w:val="20"/>
                <w:szCs w:val="20"/>
                <w:color w:val="auto"/>
              </w:rPr>
            </w:pPr>
            <w:r>
              <w:rPr>
                <w:rFonts w:ascii="Arial" w:cs="Arial" w:eastAsia="Arial" w:hAnsi="Arial"/>
                <w:sz w:val="18"/>
                <w:szCs w:val="18"/>
                <w:color w:val="auto"/>
                <w:w w:val="92"/>
              </w:rPr>
              <w:t>1.0%</w:t>
            </w:r>
          </w:p>
        </w:tc>
        <w:tc>
          <w:tcPr>
            <w:tcW w:w="2380" w:type="dxa"/>
            <w:vAlign w:val="bottom"/>
          </w:tcPr>
          <w:p>
            <w:pPr>
              <w:ind w:left="20"/>
              <w:spacing w:after="0"/>
              <w:rPr>
                <w:sz w:val="20"/>
                <w:szCs w:val="20"/>
                <w:color w:val="auto"/>
              </w:rPr>
            </w:pPr>
            <w:r>
              <w:rPr>
                <w:rFonts w:ascii="Arial" w:cs="Arial" w:eastAsia="Arial" w:hAnsi="Arial"/>
                <w:sz w:val="18"/>
                <w:szCs w:val="18"/>
                <w:color w:val="auto"/>
              </w:rPr>
              <w:t>Libor Floor, Due 7/21</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1,540,000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1,520,451</w:t>
            </w:r>
          </w:p>
        </w:tc>
        <w:tc>
          <w:tcPr>
            <w:tcW w:w="1100" w:type="dxa"/>
            <w:vAlign w:val="bottom"/>
          </w:tcPr>
          <w:p>
            <w:pPr>
              <w:jc w:val="right"/>
              <w:spacing w:after="0"/>
              <w:rPr>
                <w:sz w:val="20"/>
                <w:szCs w:val="20"/>
                <w:color w:val="auto"/>
              </w:rPr>
            </w:pPr>
            <w:r>
              <w:rPr>
                <w:rFonts w:ascii="Arial" w:cs="Arial" w:eastAsia="Arial" w:hAnsi="Arial"/>
                <w:sz w:val="18"/>
                <w:szCs w:val="18"/>
                <w:color w:val="auto"/>
              </w:rPr>
              <w:t>1,393,084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-3695700</wp:posOffset>
            </wp:positionV>
            <wp:extent cx="7246620"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-3146425</wp:posOffset>
            </wp:positionV>
            <wp:extent cx="7246620" cy="411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-2597785</wp:posOffset>
            </wp:positionV>
            <wp:extent cx="724662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-2160270</wp:posOffset>
            </wp:positionV>
            <wp:extent cx="7246620" cy="30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-1723390</wp:posOffset>
            </wp:positionV>
            <wp:extent cx="7246620"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-1174115</wp:posOffset>
            </wp:positionV>
            <wp:extent cx="7246620"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-736600</wp:posOffset>
            </wp:positionV>
            <wp:extent cx="7246620"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246620" cy="30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3000" w:space="560"/>
            <w:col w:w="786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Carolina Beverage Group LLC</w:t>
            </w:r>
            <w:r>
              <w:rPr>
                <w:rFonts w:ascii="Arial" w:cs="Arial" w:eastAsia="Arial" w:hAnsi="Arial"/>
                <w:sz w:val="30"/>
                <w:szCs w:val="30"/>
                <w:color w:val="auto"/>
                <w:vertAlign w:val="superscript"/>
              </w:rPr>
              <w:t>9</w:t>
            </w: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Secured Bond — 10.625% - 08/2018 -</w:t>
            </w:r>
          </w:p>
        </w:tc>
        <w:tc>
          <w:tcPr>
            <w:tcW w:w="15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Beverage, Food and Tobacco</w:t>
            </w: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143818AA0 144A</w:t>
            </w:r>
          </w:p>
        </w:tc>
        <w:tc>
          <w:tcPr>
            <w:tcW w:w="1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1,500,000</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1,508,522</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1,464,000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10.6% Cash, Due 8/18</w:t>
            </w:r>
          </w:p>
        </w:tc>
        <w:tc>
          <w:tcPr>
            <w:tcW w:w="150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CCS Intermediate Holdings, LLC</w:t>
            </w:r>
            <w:r>
              <w:rPr>
                <w:rFonts w:ascii="Arial" w:cs="Arial" w:eastAsia="Arial" w:hAnsi="Arial"/>
                <w:sz w:val="23"/>
                <w:szCs w:val="23"/>
                <w:color w:val="auto"/>
                <w:vertAlign w:val="superscript"/>
              </w:rPr>
              <w:t>9, 10</w:t>
            </w:r>
          </w:p>
        </w:tc>
        <w:tc>
          <w:tcPr>
            <w:tcW w:w="412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Senior Secured Loan — Initial Term Loan</w:t>
            </w:r>
          </w:p>
        </w:tc>
        <w:tc>
          <w:tcPr>
            <w:tcW w:w="1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(First Lien)</w:t>
            </w:r>
          </w:p>
        </w:tc>
        <w:tc>
          <w:tcPr>
            <w:tcW w:w="1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2,947,500</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2,936,756</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2,498,301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5.0% Cash, 1.0% Libor Floor, Due 7/21</w:t>
            </w:r>
          </w:p>
        </w:tc>
        <w:tc>
          <w:tcPr>
            <w:tcW w:w="150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ind w:left="2540"/>
              <w:spacing w:after="0"/>
              <w:rPr>
                <w:sz w:val="20"/>
                <w:szCs w:val="20"/>
                <w:color w:val="auto"/>
              </w:rPr>
            </w:pPr>
            <w:r>
              <w:rPr>
                <w:rFonts w:ascii="Arial" w:cs="Arial" w:eastAsia="Arial" w:hAnsi="Arial"/>
                <w:sz w:val="18"/>
                <w:szCs w:val="18"/>
                <w:color w:val="auto"/>
              </w:rPr>
              <w:t>6</w:t>
            </w:r>
          </w:p>
        </w:tc>
        <w:tc>
          <w:tcPr>
            <w:tcW w:w="15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Cengage Learning, Inc.</w:t>
            </w:r>
            <w:r>
              <w:rPr>
                <w:rFonts w:ascii="Arial" w:cs="Arial" w:eastAsia="Arial" w:hAnsi="Arial"/>
                <w:sz w:val="22"/>
                <w:szCs w:val="22"/>
                <w:color w:val="auto"/>
                <w:vertAlign w:val="superscript"/>
              </w:rPr>
              <w:t>9, 10</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 2016 Refinancing</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Advertising, Printing &amp; Publishing</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Loan</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3,812,977</w:t>
            </w:r>
          </w:p>
        </w:tc>
        <w:tc>
          <w:tcPr>
            <w:tcW w:w="120" w:type="dxa"/>
            <w:vAlign w:val="bottom"/>
            <w:shd w:val="clear" w:color="auto" w:fill="CCEEFF"/>
          </w:tcPr>
          <w:p>
            <w:pPr>
              <w:spacing w:after="0"/>
              <w:rPr>
                <w:sz w:val="18"/>
                <w:szCs w:val="18"/>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3,807,648</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3,774,848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6/23</w:t>
            </w:r>
          </w:p>
        </w:tc>
        <w:tc>
          <w:tcPr>
            <w:tcW w:w="18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6"/>
              </w:rPr>
              <w:t>Charter Communications Operating, LLC (aka</w:t>
            </w:r>
          </w:p>
        </w:tc>
        <w:tc>
          <w:tcPr>
            <w:tcW w:w="4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CCO Safari LLC)</w:t>
            </w:r>
            <w:r>
              <w:rPr>
                <w:rFonts w:ascii="Arial" w:cs="Arial" w:eastAsia="Arial" w:hAnsi="Arial"/>
                <w:sz w:val="29"/>
                <w:szCs w:val="29"/>
                <w:color w:val="auto"/>
                <w:vertAlign w:val="superscript"/>
              </w:rPr>
              <w:t>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I Loan (2016)</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Broadcasting &amp; Subscription</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3.5%</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0.8% Libor Floor, Due 1/23</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997,500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998,724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999,839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Checkout Holding Corp. (fka Catalina</w:t>
            </w:r>
          </w:p>
        </w:tc>
        <w:tc>
          <w:tcPr>
            <w:tcW w:w="356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Term B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Marketing)</w:t>
            </w:r>
            <w:r>
              <w:rPr>
                <w:rFonts w:ascii="Arial" w:cs="Arial" w:eastAsia="Arial" w:hAnsi="Arial"/>
                <w:sz w:val="29"/>
                <w:szCs w:val="29"/>
                <w:color w:val="auto"/>
                <w:vertAlign w:val="superscript"/>
              </w:rPr>
              <w:t>9, 10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Advertising, Printing &amp; Publishing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4.5%</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4/21</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980,000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976,652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824,837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CHS/Community Health Systems, Inc.</w:t>
            </w:r>
            <w:r>
              <w:rPr>
                <w:rFonts w:ascii="Arial" w:cs="Arial" w:eastAsia="Arial" w:hAnsi="Arial"/>
                <w:sz w:val="23"/>
                <w:szCs w:val="23"/>
                <w:color w:val="auto"/>
                <w:vertAlign w:val="superscript"/>
              </w:rPr>
              <w:t>10</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Incremental 2021</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Term H Loan</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1,984,962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1,982,794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1,938,365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1/21</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Consolidated Communications, Inc.</w:t>
            </w:r>
            <w:r>
              <w:rPr>
                <w:rFonts w:ascii="Arial" w:cs="Arial" w:eastAsia="Arial" w:hAnsi="Arial"/>
                <w:sz w:val="28"/>
                <w:szCs w:val="28"/>
                <w:color w:val="auto"/>
                <w:vertAlign w:val="superscript"/>
              </w:rPr>
              <w:t>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Telecommunications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2,947,103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2,955,329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2,941,946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CRGT Inc.</w:t>
            </w:r>
            <w:r>
              <w:rPr>
                <w:rFonts w:ascii="Arial" w:cs="Arial" w:eastAsia="Arial" w:hAnsi="Arial"/>
                <w:sz w:val="28"/>
                <w:szCs w:val="28"/>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High Tech Industries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7.5%</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3,812,025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3,767,174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3,682,035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CSM Bakery Solutions Limited (fka CSM</w:t>
            </w:r>
          </w:p>
        </w:tc>
        <w:tc>
          <w:tcPr>
            <w:tcW w:w="356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Bakery Supplies Limited)</w:t>
            </w:r>
            <w:r>
              <w:rPr>
                <w:rFonts w:ascii="Arial" w:cs="Arial" w:eastAsia="Arial" w:hAnsi="Arial"/>
                <w:sz w:val="29"/>
                <w:szCs w:val="29"/>
                <w:color w:val="auto"/>
                <w:vertAlign w:val="superscript"/>
              </w:rPr>
              <w:t>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Beverage, Food and Tobacco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8.8%</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7/21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3,012,595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2,836,500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9"/>
              </w:rPr>
              <w:t>CT Technologies Intermediate Holdings, Inc.</w:t>
            </w:r>
          </w:p>
        </w:tc>
        <w:tc>
          <w:tcPr>
            <w:tcW w:w="356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New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w w:val="93"/>
              </w:rPr>
              <w:t>(Smart Holdings Corp.) (aka HealthPort)</w:t>
            </w:r>
            <w:r>
              <w:rPr>
                <w:rFonts w:ascii="Arial" w:cs="Arial" w:eastAsia="Arial" w:hAnsi="Arial"/>
                <w:sz w:val="29"/>
                <w:szCs w:val="29"/>
                <w:color w:val="auto"/>
                <w:w w:val="93"/>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Facility</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2,955,150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2,930,211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2,910,823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DBI Holding LLC</w:t>
            </w:r>
            <w:r>
              <w:rPr>
                <w:rFonts w:ascii="Arial" w:cs="Arial" w:eastAsia="Arial" w:hAnsi="Arial"/>
                <w:sz w:val="23"/>
                <w:szCs w:val="23"/>
                <w:color w:val="auto"/>
                <w:vertAlign w:val="superscript"/>
              </w:rPr>
              <w:t>9</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Unsecured Bond — 09/2019 – PIK</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9"/>
              </w:rPr>
              <w:t>Note</w:t>
            </w:r>
          </w:p>
        </w:tc>
        <w:tc>
          <w:tcPr>
            <w:tcW w:w="3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Cash, 13.0% PIK, Due 9/19</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4,379,296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4,220,321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4,379,296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0.0%</w:t>
            </w:r>
          </w:p>
        </w:tc>
        <w:tc>
          <w:tcPr>
            <w:tcW w:w="3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DBI Holding LLC</w:t>
            </w:r>
            <w:r>
              <w:rPr>
                <w:rFonts w:ascii="Arial" w:cs="Arial" w:eastAsia="Arial" w:hAnsi="Arial"/>
                <w:sz w:val="23"/>
                <w:szCs w:val="23"/>
                <w:color w:val="auto"/>
                <w:vertAlign w:val="superscript"/>
              </w:rPr>
              <w:t>9</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w w:val="95"/>
              </w:rPr>
              <w:t>Senior Subordinated Bond — 09/2019 - Senior</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4,572,715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4,560,314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4,709,896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12.0% Cash, 1.0% PIK, Due 9/19</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DJO Finance LLC</w:t>
            </w:r>
            <w:r>
              <w:rPr>
                <w:rFonts w:ascii="Arial" w:cs="Arial" w:eastAsia="Arial" w:hAnsi="Arial"/>
                <w:sz w:val="28"/>
                <w:szCs w:val="28"/>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6/20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1,492,481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1,484,449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Drew Marine Group Inc.</w:t>
            </w:r>
            <w:r>
              <w:rPr>
                <w:rFonts w:ascii="Arial" w:cs="Arial" w:eastAsia="Arial" w:hAnsi="Arial"/>
                <w:sz w:val="23"/>
                <w:szCs w:val="23"/>
                <w:color w:val="auto"/>
                <w:vertAlign w:val="superscript"/>
              </w:rPr>
              <w:t>9</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Transportation: Cargo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Cash, 1.0% Libor Floor, Due 5/21</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2,495,909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2,275,750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8.0%</w:t>
            </w:r>
          </w:p>
        </w:tc>
        <w:tc>
          <w:tcPr>
            <w:tcW w:w="3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8"/>
              </w:rPr>
              <w:t>Investment</w:t>
            </w: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5"/>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ELO Touch Solutions, Inc.</w:t>
            </w:r>
            <w:r>
              <w:rPr>
                <w:rFonts w:ascii="Arial" w:cs="Arial" w:eastAsia="Arial" w:hAnsi="Arial"/>
                <w:sz w:val="22"/>
                <w:szCs w:val="22"/>
                <w:color w:val="auto"/>
                <w:vertAlign w:val="superscript"/>
              </w:rPr>
              <w:t>9, 10</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 Term Loan (First</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1.5%</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6/18</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1,483,754</w:t>
            </w:r>
          </w:p>
        </w:tc>
        <w:tc>
          <w:tcPr>
            <w:tcW w:w="120" w:type="dxa"/>
            <w:vAlign w:val="bottom"/>
            <w:shd w:val="clear" w:color="auto" w:fill="CCEEFF"/>
          </w:tcPr>
          <w:p>
            <w:pPr>
              <w:spacing w:after="0"/>
              <w:rPr>
                <w:sz w:val="18"/>
                <w:szCs w:val="18"/>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1,449,967</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1,423,811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8.5%</w:t>
            </w:r>
          </w:p>
        </w:tc>
        <w:tc>
          <w:tcPr>
            <w:tcW w:w="46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EWT Holdings III Corp. (fka WTG Holdings</w:t>
            </w:r>
          </w:p>
        </w:tc>
        <w:tc>
          <w:tcPr>
            <w:tcW w:w="3560" w:type="dxa"/>
            <w:vAlign w:val="bottom"/>
            <w:gridSpan w:val="5"/>
            <w:shd w:val="clear" w:color="auto" w:fill="CCEEFF"/>
          </w:tcPr>
          <w:p>
            <w:pPr>
              <w:spacing w:after="0" w:line="206"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III Corp.)</w:t>
            </w:r>
            <w:r>
              <w:rPr>
                <w:rFonts w:ascii="Arial" w:cs="Arial" w:eastAsia="Arial" w:hAnsi="Arial"/>
                <w:sz w:val="29"/>
                <w:szCs w:val="29"/>
                <w:color w:val="auto"/>
                <w:vertAlign w:val="superscript"/>
              </w:rPr>
              <w:t>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Environmental Industries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3,986,137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3,703,600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Fender Musical Instruments Corporation</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Consumer goods: Durable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5.8%</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4/19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1,353,065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1,360,750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1,352,524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FHC Health Systems, Inc.</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3,858,304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3,827,812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3,716,820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First American Payment Systems, L.P.</w:t>
            </w:r>
            <w:r>
              <w:rPr>
                <w:rFonts w:ascii="Arial" w:cs="Arial" w:eastAsia="Arial" w:hAnsi="Arial"/>
                <w:sz w:val="23"/>
                <w:szCs w:val="23"/>
                <w:color w:val="auto"/>
                <w:vertAlign w:val="superscript"/>
              </w:rPr>
              <w:t>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Banking, Finance, Insurance &amp; Real Estate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1,796,448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1,781,048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1,728,542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10.8% Cash, 1.3% Libor Floor, Due 4/19</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Getty Images, Inc.</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Advertising, Printing &amp; Publishing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4.8%</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10/19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2,151,718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2,160,170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1,607,064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GI Advo Opco, LLC</w:t>
            </w:r>
            <w:r>
              <w:rPr>
                <w:rFonts w:ascii="Arial" w:cs="Arial" w:eastAsia="Arial" w:hAnsi="Arial"/>
                <w:sz w:val="28"/>
                <w:szCs w:val="28"/>
                <w:color w:val="auto"/>
                <w:vertAlign w:val="superscript"/>
              </w:rPr>
              <w:t>9</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11/21</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248,750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246,785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GI Advo Opco, LLC</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11/21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2,736,250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2,711,556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2,714,634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GK Holdings, Inc. (aka Global Knowledge)</w:t>
            </w:r>
            <w:r>
              <w:rPr>
                <w:rFonts w:ascii="Arial" w:cs="Arial" w:eastAsia="Arial" w:hAnsi="Arial"/>
                <w:sz w:val="23"/>
                <w:szCs w:val="23"/>
                <w:color w:val="auto"/>
                <w:vertAlign w:val="superscript"/>
              </w:rPr>
              <w:t>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Lien)</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1,476,033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1,372,500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10.5% Cash, 1.0% Libor Floor, Due 1/22</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540" w:type="dxa"/>
            <w:vAlign w:val="bottom"/>
            <w:gridSpan w:val="2"/>
            <w:shd w:val="clear" w:color="auto" w:fill="CCEEFF"/>
          </w:tcPr>
          <w:p>
            <w:pPr>
              <w:spacing w:after="0" w:line="228" w:lineRule="exact"/>
              <w:rPr>
                <w:sz w:val="20"/>
                <w:szCs w:val="20"/>
                <w:color w:val="auto"/>
              </w:rPr>
            </w:pPr>
            <w:r>
              <w:rPr>
                <w:rFonts w:ascii="Arial" w:cs="Arial" w:eastAsia="Arial" w:hAnsi="Arial"/>
                <w:sz w:val="16"/>
                <w:szCs w:val="16"/>
                <w:color w:val="auto"/>
              </w:rPr>
              <w:t>GK Holdings, Inc. (aka Global Knowledge)</w:t>
            </w:r>
            <w:r>
              <w:rPr>
                <w:rFonts w:ascii="Arial" w:cs="Arial" w:eastAsia="Arial" w:hAnsi="Arial"/>
                <w:sz w:val="26"/>
                <w:szCs w:val="26"/>
                <w:color w:val="auto"/>
                <w:vertAlign w:val="superscript"/>
              </w:rPr>
              <w:t>9,</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10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2,462,500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2,443,660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Global Tel*Link Corporation</w:t>
            </w:r>
            <w:r>
              <w:rPr>
                <w:rFonts w:ascii="Arial" w:cs="Arial" w:eastAsia="Arial" w:hAnsi="Arial"/>
                <w:sz w:val="23"/>
                <w:szCs w:val="23"/>
                <w:color w:val="auto"/>
                <w:vertAlign w:val="superscript"/>
              </w:rPr>
              <w:t>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Telecommunications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11/20</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3,952,006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3,380,000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9.0%</w:t>
            </w:r>
          </w:p>
        </w:tc>
        <w:tc>
          <w:tcPr>
            <w:tcW w:w="46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Gold Standard Baking, Inc.</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Beverage, Food and Tobacco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4/21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2,464,957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2,414,363</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Grande Communications Networks LLC</w:t>
            </w:r>
            <w:r>
              <w:rPr>
                <w:rFonts w:ascii="Arial" w:cs="Arial" w:eastAsia="Arial" w:hAnsi="Arial"/>
                <w:sz w:val="27"/>
                <w:szCs w:val="27"/>
                <w:color w:val="auto"/>
                <w:vertAlign w:val="superscript"/>
              </w:rPr>
              <w:t>9, 10</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Telecommunications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4.5%</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5/20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3,880,119</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3,885,579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3,876,626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Grifols Worldwide Operations Limited</w:t>
            </w:r>
            <w:r>
              <w:rPr>
                <w:rFonts w:ascii="Arial" w:cs="Arial" w:eastAsia="Arial" w:hAnsi="Arial"/>
                <w:sz w:val="23"/>
                <w:szCs w:val="23"/>
                <w:color w:val="auto"/>
                <w:vertAlign w:val="superscript"/>
              </w:rPr>
              <w:t>10</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w w:val="96"/>
              </w:rPr>
              <w:t>Senior Secured Loan — U.S. Tranche B Term</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Loan</w:t>
            </w:r>
          </w:p>
        </w:tc>
        <w:tc>
          <w:tcPr>
            <w:tcW w:w="3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Cash, Due 2/21</w:t>
            </w:r>
          </w:p>
        </w:tc>
        <w:tc>
          <w:tcPr>
            <w:tcW w:w="1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992,386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990,174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992,639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3.5%</w:t>
            </w:r>
          </w:p>
        </w:tc>
        <w:tc>
          <w:tcPr>
            <w:tcW w:w="3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Grupo HIMA San Pablo, Inc.</w:t>
            </w:r>
            <w:r>
              <w:rPr>
                <w:rFonts w:ascii="Arial" w:cs="Arial" w:eastAsia="Arial" w:hAnsi="Arial"/>
                <w:sz w:val="23"/>
                <w:szCs w:val="23"/>
                <w:color w:val="auto"/>
                <w:vertAlign w:val="superscript"/>
              </w:rPr>
              <w:t>9</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B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Cash, 1.5% Libor Floor, Due 1/18</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2,902,500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2,884,083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2,836,323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8.5%</w:t>
            </w:r>
          </w:p>
        </w:tc>
        <w:tc>
          <w:tcPr>
            <w:tcW w:w="31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Grupo HIMA San Pablo, Inc.</w:t>
            </w:r>
            <w:r>
              <w:rPr>
                <w:rFonts w:ascii="Arial" w:cs="Arial" w:eastAsia="Arial" w:hAnsi="Arial"/>
                <w:sz w:val="23"/>
                <w:szCs w:val="23"/>
                <w:color w:val="auto"/>
                <w:vertAlign w:val="superscript"/>
              </w:rPr>
              <w:t>9</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6,938,801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6,493,900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13.8% Cash, Due 7/18</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Gymboree Corporation., The</w:t>
            </w:r>
            <w:r>
              <w:rPr>
                <w:rFonts w:ascii="Arial" w:cs="Arial" w:eastAsia="Arial" w:hAnsi="Arial"/>
                <w:sz w:val="28"/>
                <w:szCs w:val="28"/>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Retail</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1.5% Libor Floor, Due 2/18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1,421,105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1,412,971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1,110,459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Hargray Communications Group, Inc. (HCP</w:t>
            </w:r>
          </w:p>
        </w:tc>
        <w:tc>
          <w:tcPr>
            <w:tcW w:w="4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Acquisition LLC)</w:t>
            </w:r>
            <w:r>
              <w:rPr>
                <w:rFonts w:ascii="Arial" w:cs="Arial" w:eastAsia="Arial" w:hAnsi="Arial"/>
                <w:sz w:val="29"/>
                <w:szCs w:val="29"/>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Broadcasting &amp; Subscription</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6/19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2,880,811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2,895,004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Harland Clarke Holdings Corp. (fka Clarke</w:t>
            </w:r>
          </w:p>
        </w:tc>
        <w:tc>
          <w:tcPr>
            <w:tcW w:w="356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Tranche B-3 Term</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American Corp.)</w:t>
            </w:r>
            <w:r>
              <w:rPr>
                <w:rFonts w:ascii="Arial" w:cs="Arial" w:eastAsia="Arial" w:hAnsi="Arial"/>
                <w:sz w:val="29"/>
                <w:szCs w:val="29"/>
                <w:color w:val="auto"/>
                <w:vertAlign w:val="superscript"/>
              </w:rPr>
              <w:t>9, 10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Loan</w:t>
            </w:r>
          </w:p>
        </w:tc>
        <w:tc>
          <w:tcPr>
            <w:tcW w:w="3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Advertising, Printing &amp; Publishing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1.5% Libor Floor, Due 5/18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1,789,785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1,780,346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Harland Clarke Holdings Corp. (fka Clarke</w:t>
            </w:r>
          </w:p>
        </w:tc>
        <w:tc>
          <w:tcPr>
            <w:tcW w:w="356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Tranche B-4 Term</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American Corp.)</w:t>
            </w:r>
            <w:r>
              <w:rPr>
                <w:rFonts w:ascii="Arial" w:cs="Arial" w:eastAsia="Arial" w:hAnsi="Arial"/>
                <w:sz w:val="29"/>
                <w:szCs w:val="29"/>
                <w:color w:val="auto"/>
                <w:vertAlign w:val="superscript"/>
              </w:rPr>
              <w:t>9, 10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Loan</w:t>
            </w:r>
          </w:p>
        </w:tc>
        <w:tc>
          <w:tcPr>
            <w:tcW w:w="3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Advertising, Printing &amp; Publishing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8/19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1,402,289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1,342,969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Harland Clarke Holdings Corp. (fka Clarke</w:t>
            </w:r>
          </w:p>
        </w:tc>
        <w:tc>
          <w:tcPr>
            <w:tcW w:w="356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Tranche B-5 Term</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American Corp.)</w:t>
            </w:r>
            <w:r>
              <w:rPr>
                <w:rFonts w:ascii="Arial" w:cs="Arial" w:eastAsia="Arial" w:hAnsi="Arial"/>
                <w:sz w:val="29"/>
                <w:szCs w:val="29"/>
                <w:color w:val="auto"/>
                <w:vertAlign w:val="superscript"/>
              </w:rPr>
              <w:t>9, 10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Loan</w:t>
            </w:r>
          </w:p>
        </w:tc>
        <w:tc>
          <w:tcPr>
            <w:tcW w:w="3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Advertising, Printing &amp; Publishing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12/19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1,458,333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1,438,499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1,414,583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Hoffmaster Group, Inc.</w:t>
            </w:r>
            <w:r>
              <w:rPr>
                <w:rFonts w:ascii="Arial" w:cs="Arial" w:eastAsia="Arial" w:hAnsi="Arial"/>
                <w:sz w:val="23"/>
                <w:szCs w:val="23"/>
                <w:color w:val="auto"/>
                <w:vertAlign w:val="superscript"/>
              </w:rPr>
              <w:t>9</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Forest Products &amp; Paper</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Lien)</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1,979,158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1,862,800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10.0% Cash, 1.0% Libor Floor, Due 5/21</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Hoffmaster Group, Inc.</w:t>
            </w:r>
            <w:r>
              <w:rPr>
                <w:rFonts w:ascii="Arial" w:cs="Arial" w:eastAsia="Arial" w:hAnsi="Arial"/>
                <w:sz w:val="23"/>
                <w:szCs w:val="23"/>
                <w:color w:val="auto"/>
                <w:vertAlign w:val="superscript"/>
              </w:rPr>
              <w:t>9, 10</w:t>
            </w:r>
          </w:p>
        </w:tc>
        <w:tc>
          <w:tcPr>
            <w:tcW w:w="35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Forest Products &amp; Paper</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Lien)</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3,920,000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3,894,693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3,830,232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5/20</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Industrial Services Acquisition, LLC (aka</w:t>
            </w:r>
          </w:p>
        </w:tc>
        <w:tc>
          <w:tcPr>
            <w:tcW w:w="4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Evergreen / NAIC)</w:t>
            </w:r>
            <w:r>
              <w:rPr>
                <w:rFonts w:ascii="Arial" w:cs="Arial" w:eastAsia="Arial" w:hAnsi="Arial"/>
                <w:sz w:val="29"/>
                <w:szCs w:val="29"/>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Ecological</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Due 12/22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2,970,013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2,970,000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8"/>
              </w:rPr>
              <w:t>Investment</w:t>
            </w: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5"/>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Integra Telecom Holdings, Inc.</w:t>
            </w:r>
            <w:r>
              <w:rPr>
                <w:rFonts w:ascii="Arial" w:cs="Arial" w:eastAsia="Arial" w:hAnsi="Arial"/>
                <w:sz w:val="27"/>
                <w:szCs w:val="27"/>
                <w:color w:val="auto"/>
                <w:vertAlign w:val="superscript"/>
              </w:rPr>
              <w:t>9, 10</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Senior Secured Loan — Term B-1 Loan</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Telecommunications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8/20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2,947,462</w:t>
            </w:r>
          </w:p>
        </w:tc>
        <w:tc>
          <w:tcPr>
            <w:tcW w:w="1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2,938,793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2,883,915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International Architectural Products, Inc.</w:t>
            </w:r>
            <w:r>
              <w:rPr>
                <w:rFonts w:ascii="Arial" w:cs="Arial" w:eastAsia="Arial" w:hAnsi="Arial"/>
                <w:sz w:val="23"/>
                <w:szCs w:val="23"/>
                <w:color w:val="auto"/>
                <w:vertAlign w:val="superscript"/>
              </w:rPr>
              <w:t>7, 9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Metals &amp; Mining</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0.0%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PIK, 2.5% Libor Floor, Due</w:t>
            </w:r>
          </w:p>
        </w:tc>
        <w:tc>
          <w:tcPr>
            <w:tcW w:w="1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247,636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228,563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5/15</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Kellermeyer Bergensons Services, LLC</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10/21</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1,950,120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1,935,233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1,846,764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Key Safety Systems, Inc.</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Automotive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8/21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1,394,077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1,388,938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1,392,682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7"/>
              </w:rPr>
              <w:t>Landslide Holdings, Inc. (Crimson Acquisition</w:t>
            </w:r>
          </w:p>
        </w:tc>
        <w:tc>
          <w:tcPr>
            <w:tcW w:w="3560" w:type="dxa"/>
            <w:vAlign w:val="bottom"/>
            <w:gridSpan w:val="5"/>
            <w:shd w:val="clear" w:color="auto" w:fill="CCEEFF"/>
          </w:tcPr>
          <w:p>
            <w:pPr>
              <w:spacing w:after="0" w:line="206" w:lineRule="exact"/>
              <w:rPr>
                <w:sz w:val="20"/>
                <w:szCs w:val="20"/>
                <w:color w:val="auto"/>
              </w:rPr>
            </w:pPr>
            <w:r>
              <w:rPr>
                <w:rFonts w:ascii="Arial" w:cs="Arial" w:eastAsia="Arial" w:hAnsi="Arial"/>
                <w:sz w:val="18"/>
                <w:szCs w:val="18"/>
                <w:color w:val="auto"/>
                <w:w w:val="95"/>
              </w:rPr>
              <w:t>Senior Secured Loan — New Term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Corp.)</w:t>
            </w:r>
            <w:r>
              <w:rPr>
                <w:rFonts w:ascii="Arial" w:cs="Arial" w:eastAsia="Arial" w:hAnsi="Arial"/>
                <w:sz w:val="29"/>
                <w:szCs w:val="29"/>
                <w:color w:val="auto"/>
                <w:vertAlign w:val="superscript"/>
              </w:rPr>
              <w:t>9, 10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High Tech Industries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2/20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3,404,144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3,410,066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3,402,782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MB Aerospace ACP Holdings II Corp.</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Aerospace and Defense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1,224,424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1,213,016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1,216,097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Medical Specialties Distributors, LLC</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6.5%</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12/19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3,877,696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3,898,050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Medrisk, Inc.</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6.3%</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2/23</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1,975,929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MGOC, Inc. (fka Media General, Inc.)</w:t>
            </w:r>
            <w:r>
              <w:rPr>
                <w:rFonts w:ascii="Arial" w:cs="Arial" w:eastAsia="Arial" w:hAnsi="Arial"/>
                <w:sz w:val="28"/>
                <w:szCs w:val="28"/>
                <w:color w:val="auto"/>
                <w:vertAlign w:val="superscript"/>
              </w:rPr>
              <w:t>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Media: Broadcasting &amp; Subscription</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4.0%</w:t>
            </w: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2,717,813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2,720,314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2,719,512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Nellson Nutraceutical, LLC</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w w:val="97"/>
              </w:rPr>
              <w:t>Senior Secured Loan — Term A-1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Beverage, Food and Tobacco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12/21</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2,362,641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2,346,161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2,290,344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6.0%</w:t>
            </w:r>
          </w:p>
        </w:tc>
        <w:tc>
          <w:tcPr>
            <w:tcW w:w="46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Nellson Nutraceutical, LLC</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w w:val="97"/>
              </w:rPr>
              <w:t>Senior Secured Loan — Term A-2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Beverage, Food and Tobacco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Lien)</w:t>
            </w:r>
          </w:p>
        </w:tc>
        <w:tc>
          <w:tcPr>
            <w:tcW w:w="4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9"/>
              </w:rPr>
              <w:t>Cash,</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12/21</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2,082,369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2,067,208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2,018,649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6.0%</w:t>
            </w:r>
          </w:p>
        </w:tc>
        <w:tc>
          <w:tcPr>
            <w:tcW w:w="46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Arial" w:cs="Arial" w:eastAsia="Arial" w:hAnsi="Arial"/>
                <w:sz w:val="18"/>
                <w:szCs w:val="18"/>
                <w:b w:val="1"/>
                <w:bCs w:val="1"/>
                <w:color w:val="auto"/>
                <w:w w:val="88"/>
              </w:rPr>
              <w:t>Investment</w:t>
            </w: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5"/>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Nielsen &amp; Bainbridge, LLC</w:t>
            </w:r>
            <w:r>
              <w:rPr>
                <w:rFonts w:ascii="Arial" w:cs="Arial" w:eastAsia="Arial" w:hAnsi="Arial"/>
                <w:sz w:val="22"/>
                <w:szCs w:val="22"/>
                <w:color w:val="auto"/>
                <w:vertAlign w:val="superscript"/>
              </w:rPr>
              <w:t>9, 10</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Senior Secured Loan — Term Loan (First</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Consumer goods: Durable</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Lien)</w:t>
            </w:r>
          </w:p>
        </w:tc>
        <w:tc>
          <w:tcPr>
            <w:tcW w:w="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8/20</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5,361,360</w:t>
            </w:r>
          </w:p>
        </w:tc>
        <w:tc>
          <w:tcPr>
            <w:tcW w:w="120" w:type="dxa"/>
            <w:vAlign w:val="bottom"/>
            <w:shd w:val="clear" w:color="auto" w:fill="CCEEFF"/>
          </w:tcPr>
          <w:p>
            <w:pPr>
              <w:spacing w:after="0"/>
              <w:rPr>
                <w:sz w:val="18"/>
                <w:szCs w:val="18"/>
                <w:color w:val="auto"/>
              </w:rPr>
            </w:pPr>
          </w:p>
        </w:tc>
        <w:tc>
          <w:tcPr>
            <w:tcW w:w="4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5,321,234</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5,307,746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6.0%</w:t>
            </w:r>
          </w:p>
        </w:tc>
        <w:tc>
          <w:tcPr>
            <w:tcW w:w="44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NM Z Parent Inc. (aka Zep, Inc.)</w:t>
            </w:r>
            <w:r>
              <w:rPr>
                <w:rFonts w:ascii="Arial" w:cs="Arial" w:eastAsia="Arial" w:hAnsi="Arial"/>
                <w:sz w:val="28"/>
                <w:szCs w:val="28"/>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Chemicals, Plastics and Rubber</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5.5%</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6/22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3,475,643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3,393,621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Novitex Acquisition, LLC (fka ARSloane</w:t>
            </w:r>
          </w:p>
        </w:tc>
        <w:tc>
          <w:tcPr>
            <w:tcW w:w="3560" w:type="dxa"/>
            <w:vAlign w:val="bottom"/>
            <w:gridSpan w:val="5"/>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Tranche B-2 Term</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Acquisition, LLC)</w:t>
            </w:r>
            <w:r>
              <w:rPr>
                <w:rFonts w:ascii="Arial" w:cs="Arial" w:eastAsia="Arial" w:hAnsi="Arial"/>
                <w:sz w:val="29"/>
                <w:szCs w:val="29"/>
                <w:color w:val="auto"/>
                <w:vertAlign w:val="superscript"/>
              </w:rPr>
              <w:t>9, 10</w:t>
            </w:r>
          </w:p>
        </w:tc>
        <w:tc>
          <w:tcPr>
            <w:tcW w:w="12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Loan (First Lien)</w:t>
            </w:r>
          </w:p>
        </w:tc>
        <w:tc>
          <w:tcPr>
            <w:tcW w:w="2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7.5%</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7/20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960,244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953,817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903,685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Onex Carestream Finance LP</w:t>
            </w:r>
            <w:r>
              <w:rPr>
                <w:rFonts w:ascii="Arial" w:cs="Arial" w:eastAsia="Arial" w:hAnsi="Arial"/>
                <w:sz w:val="23"/>
                <w:szCs w:val="23"/>
                <w:color w:val="auto"/>
                <w:vertAlign w:val="superscript"/>
              </w:rPr>
              <w:t>9</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Lien)</w:t>
            </w:r>
          </w:p>
        </w:tc>
        <w:tc>
          <w:tcPr>
            <w:tcW w:w="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12/19</w:t>
            </w:r>
          </w:p>
        </w:tc>
        <w:tc>
          <w:tcPr>
            <w:tcW w:w="1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1,932,311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1,932,311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1,902,553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9.5%</w:t>
            </w:r>
          </w:p>
        </w:tc>
        <w:tc>
          <w:tcPr>
            <w:tcW w:w="44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Onex Carestream Finance LP</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w w:val="95"/>
              </w:rPr>
              <w:t>Senior Secured Loan — Term Loan (First Lien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6"/>
              </w:rPr>
              <w:t>2013)</w:t>
            </w:r>
          </w:p>
        </w:tc>
        <w:tc>
          <w:tcPr>
            <w:tcW w:w="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6/19</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1,803,169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1,807,215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1,778,466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5.0%</w:t>
            </w:r>
          </w:p>
        </w:tc>
        <w:tc>
          <w:tcPr>
            <w:tcW w:w="44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Otter Products, LLC (OtterBox Holdings,</w:t>
            </w: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Inc.)</w:t>
            </w:r>
            <w:r>
              <w:rPr>
                <w:rFonts w:ascii="Arial" w:cs="Arial" w:eastAsia="Arial" w:hAnsi="Arial"/>
                <w:sz w:val="29"/>
                <w:szCs w:val="29"/>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Consumer goods: Durable</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5.8%</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6/20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2,600,266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2,585,159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2,435,929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PGX Holdings, Inc.</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Services: Consumer</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9/20</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3,798,571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3,771,595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3,795,912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5.8%</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Playpower, Inc.</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Construction &amp; Building</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6/21</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1,967,650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1,929,906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5.8%</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9"/>
              </w:rPr>
              <w:t>PrimeLine Utility Services LLC (fka FR Utility</w:t>
            </w: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Services LLC)</w:t>
            </w:r>
            <w:r>
              <w:rPr>
                <w:rFonts w:ascii="Arial" w:cs="Arial" w:eastAsia="Arial" w:hAnsi="Arial"/>
                <w:sz w:val="29"/>
                <w:szCs w:val="29"/>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Energy: Electricity</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6.5%</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11/22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3,455,699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3,424,176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3,447,060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PSC Industrial Holdings Corp.</w:t>
            </w:r>
            <w:r>
              <w:rPr>
                <w:rFonts w:ascii="Arial" w:cs="Arial" w:eastAsia="Arial" w:hAnsi="Arial"/>
                <w:sz w:val="23"/>
                <w:szCs w:val="23"/>
                <w:color w:val="auto"/>
                <w:vertAlign w:val="superscript"/>
              </w:rPr>
              <w:t>9, 10</w:t>
            </w:r>
          </w:p>
        </w:tc>
        <w:tc>
          <w:tcPr>
            <w:tcW w:w="356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Term Loan (First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Environmental Industries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Lien)</w:t>
            </w:r>
          </w:p>
        </w:tc>
        <w:tc>
          <w:tcPr>
            <w:tcW w:w="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Libor Floor, Due 12/20</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2,989,475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2,965,953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2,916,532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5.8%</w:t>
            </w:r>
          </w:p>
        </w:tc>
        <w:tc>
          <w:tcPr>
            <w:tcW w:w="44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3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Quad-C JH Holdings Inc. (aka Joerns</w:t>
            </w: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Healthcare)</w:t>
            </w:r>
            <w:r>
              <w:rPr>
                <w:rFonts w:ascii="Arial" w:cs="Arial" w:eastAsia="Arial" w:hAnsi="Arial"/>
                <w:sz w:val="29"/>
                <w:szCs w:val="29"/>
                <w:color w:val="auto"/>
                <w:vertAlign w:val="superscript"/>
              </w:rPr>
              <w:t>9, 10</w:t>
            </w:r>
          </w:p>
        </w:tc>
        <w:tc>
          <w:tcPr>
            <w:tcW w:w="3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Loan — Term Loan A</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7"/>
              </w:rPr>
              <w:t>6.0%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w w:val="89"/>
              </w:rPr>
              <w:t>Cash,</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 Floor, Due 5/20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3,920,053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3,900,959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3,782,851</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13" w:name="page14"/>
    <w:bookmarkEnd w:id="13"/>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Company / Principal Business</w:t>
      </w:r>
    </w:p>
    <w:p>
      <w:pPr>
        <w:spacing w:after="0" w:line="216" w:lineRule="auto"/>
        <w:rPr>
          <w:sz w:val="20"/>
          <w:szCs w:val="20"/>
          <w:color w:val="auto"/>
        </w:rPr>
      </w:pPr>
      <w:r>
        <w:rPr>
          <w:rFonts w:ascii="Arial" w:cs="Arial" w:eastAsia="Arial" w:hAnsi="Arial"/>
          <w:sz w:val="18"/>
          <w:szCs w:val="18"/>
          <w:color w:val="auto"/>
        </w:rPr>
        <w:t>Ravn Air Group, Inc.</w:t>
      </w:r>
      <w:r>
        <w:rPr>
          <w:rFonts w:ascii="Arial" w:cs="Arial" w:eastAsia="Arial" w:hAnsi="Arial"/>
          <w:sz w:val="30"/>
          <w:szCs w:val="30"/>
          <w:color w:val="auto"/>
          <w:vertAlign w:val="superscript"/>
        </w:rPr>
        <w:t>9, 10</w:t>
      </w:r>
    </w:p>
    <w:p>
      <w:pPr>
        <w:ind w:left="140"/>
        <w:spacing w:after="0"/>
        <w:rPr>
          <w:sz w:val="20"/>
          <w:szCs w:val="20"/>
          <w:color w:val="auto"/>
        </w:rPr>
      </w:pPr>
      <w:r>
        <w:rPr>
          <w:rFonts w:ascii="Arial" w:cs="Arial" w:eastAsia="Arial" w:hAnsi="Arial"/>
          <w:sz w:val="18"/>
          <w:szCs w:val="18"/>
          <w:color w:val="auto"/>
        </w:rPr>
        <w:t>Transportation: Consumer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Roscoe Medical, Inc.</w:t>
      </w:r>
      <w:r>
        <w:rPr>
          <w:rFonts w:ascii="Arial" w:cs="Arial" w:eastAsia="Arial" w:hAnsi="Arial"/>
          <w:sz w:val="30"/>
          <w:szCs w:val="30"/>
          <w:color w:val="auto"/>
          <w:vertAlign w:val="superscript"/>
        </w:rPr>
        <w:t>9</w:t>
      </w:r>
    </w:p>
    <w:p>
      <w:pPr>
        <w:ind w:left="140"/>
        <w:spacing w:after="0"/>
        <w:rPr>
          <w:sz w:val="20"/>
          <w:szCs w:val="20"/>
          <w:color w:val="auto"/>
        </w:rPr>
      </w:pPr>
      <w:r>
        <w:rPr>
          <w:rFonts w:ascii="Arial" w:cs="Arial" w:eastAsia="Arial" w:hAnsi="Arial"/>
          <w:sz w:val="18"/>
          <w:szCs w:val="18"/>
          <w:color w:val="auto"/>
        </w:rPr>
        <w:t>Healthcare &amp; Pharmaceuticals</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Rovi Solutions Corporation / Rovi Guides,</w:t>
      </w:r>
    </w:p>
    <w:p>
      <w:pPr>
        <w:ind w:left="140"/>
        <w:spacing w:after="0" w:line="203" w:lineRule="auto"/>
        <w:rPr>
          <w:sz w:val="20"/>
          <w:szCs w:val="20"/>
          <w:color w:val="auto"/>
        </w:rPr>
      </w:pPr>
      <w:r>
        <w:rPr>
          <w:rFonts w:ascii="Arial" w:cs="Arial" w:eastAsia="Arial" w:hAnsi="Arial"/>
          <w:sz w:val="18"/>
          <w:szCs w:val="18"/>
          <w:color w:val="auto"/>
        </w:rPr>
        <w:t>Inc.</w:t>
      </w:r>
      <w:r>
        <w:rPr>
          <w:rFonts w:ascii="Arial" w:cs="Arial" w:eastAsia="Arial" w:hAnsi="Arial"/>
          <w:sz w:val="30"/>
          <w:szCs w:val="30"/>
          <w:color w:val="auto"/>
          <w:vertAlign w:val="superscript"/>
        </w:rPr>
        <w:t>10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High Tech Industries</w:t>
      </w:r>
    </w:p>
    <w:p>
      <w:pPr>
        <w:spacing w:after="0" w:line="213" w:lineRule="exact"/>
        <w:rPr>
          <w:sz w:val="20"/>
          <w:szCs w:val="20"/>
          <w:color w:val="auto"/>
        </w:rPr>
      </w:pPr>
    </w:p>
    <w:p>
      <w:pPr>
        <w:ind w:left="140" w:right="280" w:hanging="129"/>
        <w:spacing w:after="0" w:line="210" w:lineRule="auto"/>
        <w:rPr>
          <w:sz w:val="20"/>
          <w:szCs w:val="20"/>
          <w:color w:val="auto"/>
        </w:rPr>
      </w:pPr>
      <w:r>
        <w:rPr>
          <w:rFonts w:ascii="Arial" w:cs="Arial" w:eastAsia="Arial" w:hAnsi="Arial"/>
          <w:sz w:val="18"/>
          <w:szCs w:val="18"/>
          <w:color w:val="auto"/>
        </w:rPr>
        <w:t>Sandy Creek Energy Associates, L.P.</w:t>
      </w:r>
      <w:r>
        <w:rPr>
          <w:rFonts w:ascii="Arial" w:cs="Arial" w:eastAsia="Arial" w:hAnsi="Arial"/>
          <w:sz w:val="30"/>
          <w:szCs w:val="30"/>
          <w:color w:val="auto"/>
          <w:vertAlign w:val="superscript"/>
        </w:rPr>
        <w:t>9, 10</w:t>
      </w:r>
      <w:r>
        <w:rPr>
          <w:rFonts w:ascii="Arial" w:cs="Arial" w:eastAsia="Arial" w:hAnsi="Arial"/>
          <w:sz w:val="18"/>
          <w:szCs w:val="18"/>
          <w:color w:val="auto"/>
        </w:rPr>
        <w:t xml:space="preserve"> Utilities: Electric</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Stafford Logistics, Inc.(dba Custom Ecology,</w:t>
      </w:r>
    </w:p>
    <w:p>
      <w:pPr>
        <w:ind w:left="140"/>
        <w:spacing w:after="0" w:line="211" w:lineRule="auto"/>
        <w:rPr>
          <w:sz w:val="20"/>
          <w:szCs w:val="20"/>
          <w:color w:val="auto"/>
        </w:rPr>
      </w:pPr>
      <w:r>
        <w:rPr>
          <w:rFonts w:ascii="Arial" w:cs="Arial" w:eastAsia="Arial" w:hAnsi="Arial"/>
          <w:sz w:val="18"/>
          <w:szCs w:val="18"/>
          <w:color w:val="auto"/>
        </w:rPr>
        <w:t>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Environmental Industries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Sun Products Corporation, The (fka Huish</w:t>
      </w:r>
    </w:p>
    <w:p>
      <w:pPr>
        <w:spacing w:after="0" w:line="35" w:lineRule="exact"/>
        <w:rPr>
          <w:sz w:val="20"/>
          <w:szCs w:val="20"/>
          <w:color w:val="auto"/>
        </w:rPr>
      </w:pPr>
    </w:p>
    <w:p>
      <w:pPr>
        <w:ind w:left="140" w:right="900"/>
        <w:spacing w:after="0" w:line="234" w:lineRule="auto"/>
        <w:rPr>
          <w:sz w:val="20"/>
          <w:szCs w:val="20"/>
          <w:color w:val="auto"/>
        </w:rPr>
      </w:pPr>
      <w:r>
        <w:rPr>
          <w:rFonts w:ascii="Arial" w:cs="Arial" w:eastAsia="Arial" w:hAnsi="Arial"/>
          <w:sz w:val="16"/>
          <w:szCs w:val="16"/>
          <w:color w:val="auto"/>
        </w:rPr>
        <w:t>Detergents Inc.)</w:t>
      </w:r>
      <w:r>
        <w:rPr>
          <w:rFonts w:ascii="Arial" w:cs="Arial" w:eastAsia="Arial" w:hAnsi="Arial"/>
          <w:sz w:val="26"/>
          <w:szCs w:val="26"/>
          <w:color w:val="auto"/>
          <w:vertAlign w:val="superscript"/>
        </w:rPr>
        <w:t>9, 10</w:t>
      </w:r>
      <w:r>
        <w:rPr>
          <w:rFonts w:ascii="Arial" w:cs="Arial" w:eastAsia="Arial" w:hAnsi="Arial"/>
          <w:sz w:val="16"/>
          <w:szCs w:val="16"/>
          <w:color w:val="auto"/>
        </w:rPr>
        <w:t xml:space="preserve"> Consumer goods: Non-durable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Tank Partners Holdings, LLC</w:t>
      </w:r>
      <w:r>
        <w:rPr>
          <w:rFonts w:ascii="Arial" w:cs="Arial" w:eastAsia="Arial" w:hAnsi="Arial"/>
          <w:sz w:val="30"/>
          <w:szCs w:val="30"/>
          <w:color w:val="auto"/>
          <w:vertAlign w:val="superscript"/>
        </w:rPr>
        <w:t>9</w:t>
      </w:r>
    </w:p>
    <w:p>
      <w:pPr>
        <w:ind w:left="140"/>
        <w:spacing w:after="0"/>
        <w:rPr>
          <w:sz w:val="20"/>
          <w:szCs w:val="20"/>
          <w:color w:val="auto"/>
        </w:rPr>
      </w:pPr>
      <w:r>
        <w:rPr>
          <w:rFonts w:ascii="Arial" w:cs="Arial" w:eastAsia="Arial" w:hAnsi="Arial"/>
          <w:sz w:val="18"/>
          <w:szCs w:val="18"/>
          <w:color w:val="auto"/>
        </w:rPr>
        <w:t>Energy: Oil &amp; Gas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TPF II Power, LLC (TPF II Covert Midco,</w:t>
      </w:r>
    </w:p>
    <w:p>
      <w:pPr>
        <w:ind w:left="140"/>
        <w:spacing w:after="0" w:line="195" w:lineRule="auto"/>
        <w:rPr>
          <w:sz w:val="20"/>
          <w:szCs w:val="20"/>
          <w:color w:val="auto"/>
        </w:rPr>
      </w:pPr>
      <w:r>
        <w:rPr>
          <w:rFonts w:ascii="Arial" w:cs="Arial" w:eastAsia="Arial" w:hAnsi="Arial"/>
          <w:sz w:val="18"/>
          <w:szCs w:val="18"/>
          <w:color w:val="auto"/>
        </w:rPr>
        <w:t>LLC)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Utilities: Electric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Trimaran Advisors, L.L.C.</w:t>
      </w:r>
      <w:r>
        <w:rPr>
          <w:rFonts w:ascii="Arial" w:cs="Arial" w:eastAsia="Arial" w:hAnsi="Arial"/>
          <w:sz w:val="30"/>
          <w:szCs w:val="30"/>
          <w:color w:val="auto"/>
          <w:vertAlign w:val="superscript"/>
        </w:rPr>
        <w:t>9</w:t>
      </w:r>
    </w:p>
    <w:p>
      <w:pPr>
        <w:ind w:left="140"/>
        <w:spacing w:after="0"/>
        <w:rPr>
          <w:sz w:val="20"/>
          <w:szCs w:val="20"/>
          <w:color w:val="auto"/>
        </w:rPr>
      </w:pPr>
      <w:r>
        <w:rPr>
          <w:rFonts w:ascii="Arial" w:cs="Arial" w:eastAsia="Arial" w:hAnsi="Arial"/>
          <w:sz w:val="18"/>
          <w:szCs w:val="18"/>
          <w:color w:val="auto"/>
        </w:rPr>
        <w:t>Related Party Loan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TRSO I, Inc.</w:t>
      </w:r>
      <w:r>
        <w:rPr>
          <w:rFonts w:ascii="Arial" w:cs="Arial" w:eastAsia="Arial" w:hAnsi="Arial"/>
          <w:sz w:val="30"/>
          <w:szCs w:val="30"/>
          <w:color w:val="auto"/>
          <w:vertAlign w:val="superscript"/>
        </w:rPr>
        <w:t>9</w:t>
      </w:r>
    </w:p>
    <w:p>
      <w:pPr>
        <w:ind w:left="140"/>
        <w:spacing w:after="0"/>
        <w:rPr>
          <w:sz w:val="20"/>
          <w:szCs w:val="20"/>
          <w:color w:val="auto"/>
        </w:rPr>
      </w:pPr>
      <w:r>
        <w:rPr>
          <w:rFonts w:ascii="Arial" w:cs="Arial" w:eastAsia="Arial" w:hAnsi="Arial"/>
          <w:sz w:val="18"/>
          <w:szCs w:val="18"/>
          <w:color w:val="auto"/>
        </w:rPr>
        <w:t>Energy: Oil &amp; Gas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Interest Rate¹ / Maturity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r>
      <w:tr>
        <w:trPr>
          <w:trHeight w:val="23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 Due 7/21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2,453,125</w:t>
            </w:r>
          </w:p>
        </w:tc>
        <w:tc>
          <w:tcPr>
            <w:tcW w:w="120" w:type="dxa"/>
            <w:vAlign w:val="bottom"/>
          </w:tcPr>
          <w:p>
            <w:pPr>
              <w:spacing w:after="0"/>
              <w:rPr>
                <w:sz w:val="20"/>
                <w:szCs w:val="20"/>
                <w:color w:val="auto"/>
              </w:rPr>
            </w:pP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2,442,712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2,450,672</w:t>
            </w: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11.3% Cash, Due 9/19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6,660,600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6,434,680</w:t>
            </w:r>
          </w:p>
        </w:tc>
      </w:tr>
      <w:tr>
        <w:trPr>
          <w:trHeight w:val="674"/>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3.8% Cash, 0.8% Libor Floor, Due 7/21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2,947,368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2,918,603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2,905,015</w:t>
            </w: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 Due 11/20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2,647,585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2,639,311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2,124,687</w:t>
            </w:r>
          </w:p>
        </w:tc>
      </w:tr>
      <w:tr>
        <w:trPr>
          <w:trHeight w:val="674"/>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7.5% Cash, 1.3% Libor Floor, Due 8/21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2,840,471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2,822,531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2,704,412</w:t>
            </w:r>
          </w:p>
        </w:tc>
      </w:tr>
      <w:tr>
        <w:trPr>
          <w:trHeight w:val="674"/>
        </w:trPr>
        <w:tc>
          <w:tcPr>
            <w:tcW w:w="3560" w:type="dxa"/>
            <w:vAlign w:val="bottom"/>
            <w:gridSpan w:val="2"/>
          </w:tcPr>
          <w:p>
            <w:pPr>
              <w:spacing w:after="0"/>
              <w:rPr>
                <w:sz w:val="20"/>
                <w:szCs w:val="20"/>
                <w:color w:val="auto"/>
              </w:rPr>
            </w:pPr>
            <w:r>
              <w:rPr>
                <w:rFonts w:ascii="Arial" w:cs="Arial" w:eastAsia="Arial" w:hAnsi="Arial"/>
                <w:sz w:val="18"/>
                <w:szCs w:val="18"/>
                <w:color w:val="auto"/>
                <w:w w:val="95"/>
              </w:rPr>
              <w:t>Senior Secured Loan — Tranche B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5.5% Cash, 1.3% Libor Floor, Due 3/20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3,853,388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3,862,744</w:t>
            </w: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10.0% Cash, 4.0% PIK, 3.0%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10,458,384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10,346,733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7,387,802</w:t>
            </w:r>
          </w:p>
        </w:tc>
      </w:tr>
      <w:tr>
        <w:trPr>
          <w:trHeight w:val="674"/>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 Due 10/21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2,859,126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2,879,101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2,852,579</w:t>
            </w: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Senior Unsecured Loan — Revolving Credit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9.0% Cash, Due 11/17</w:t>
            </w: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16,000,000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16,000,000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16,000,000</w:t>
            </w: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11.0% Cash, 1.0% Libor Floor, Due 12/17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994,098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838,900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-4792980</wp:posOffset>
            </wp:positionV>
            <wp:extent cx="7246620"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-4244340</wp:posOffset>
            </wp:positionV>
            <wp:extent cx="7246620" cy="437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-3669665</wp:posOffset>
            </wp:positionV>
            <wp:extent cx="7246620" cy="30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-3232150</wp:posOffset>
            </wp:positionV>
            <wp:extent cx="7246620" cy="437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-2658110</wp:posOffset>
            </wp:positionV>
            <wp:extent cx="7246620" cy="437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-2083435</wp:posOffset>
            </wp:positionV>
            <wp:extent cx="724662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-1534160</wp:posOffset>
            </wp:positionV>
            <wp:extent cx="7246620" cy="437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-960120</wp:posOffset>
            </wp:positionV>
            <wp:extent cx="7246620"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-410845</wp:posOffset>
            </wp:positionV>
            <wp:extent cx="7246620"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-5239385</wp:posOffset>
            </wp:positionV>
            <wp:extent cx="724662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300"/>
            <w:col w:w="7860"/>
          </w:cols>
          <w:pgMar w:left="240" w:top="958" w:right="239" w:bottom="1440" w:gutter="0" w:footer="0" w:header="0"/>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U.S. Shipping Corp (fka U.S. Shipping</w:t>
            </w:r>
          </w:p>
        </w:tc>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Senior Secured Loan — Tranche B-2 Term</w:t>
            </w:r>
          </w:p>
        </w:tc>
        <w:tc>
          <w:tcPr>
            <w:tcW w:w="16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53"/>
        </w:trPr>
        <w:tc>
          <w:tcPr>
            <w:tcW w:w="3200" w:type="dxa"/>
            <w:vAlign w:val="bottom"/>
            <w:shd w:val="clear" w:color="auto" w:fill="CCEEFF"/>
          </w:tcPr>
          <w:p>
            <w:pPr>
              <w:ind w:left="140"/>
              <w:spacing w:after="0" w:line="253" w:lineRule="exact"/>
              <w:rPr>
                <w:sz w:val="20"/>
                <w:szCs w:val="20"/>
                <w:color w:val="auto"/>
              </w:rPr>
            </w:pPr>
            <w:r>
              <w:rPr>
                <w:rFonts w:ascii="Arial" w:cs="Arial" w:eastAsia="Arial" w:hAnsi="Arial"/>
                <w:sz w:val="18"/>
                <w:szCs w:val="18"/>
                <w:color w:val="auto"/>
              </w:rPr>
              <w:t>Partners LP)</w:t>
            </w:r>
            <w:r>
              <w:rPr>
                <w:rFonts w:ascii="Arial" w:cs="Arial" w:eastAsia="Arial" w:hAnsi="Arial"/>
                <w:sz w:val="29"/>
                <w:szCs w:val="29"/>
                <w:color w:val="auto"/>
                <w:vertAlign w:val="superscript"/>
              </w:rPr>
              <w:t>9, 10</w:t>
            </w:r>
          </w:p>
        </w:tc>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w:t>
            </w:r>
          </w:p>
        </w:tc>
        <w:tc>
          <w:tcPr>
            <w:tcW w:w="16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Transportation: Cargo</w:t>
            </w:r>
          </w:p>
        </w:tc>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5.3% Cash, 1.0% Libor Floor, Due 6/21</w:t>
            </w:r>
          </w:p>
        </w:tc>
        <w:tc>
          <w:tcPr>
            <w:tcW w:w="1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1,411,023</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1,410,062</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1,410,882</w:t>
            </w:r>
          </w:p>
        </w:tc>
      </w:tr>
      <w:tr>
        <w:trPr>
          <w:trHeight w:val="648"/>
        </w:trPr>
        <w:tc>
          <w:tcPr>
            <w:tcW w:w="32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color w:val="auto"/>
              </w:rPr>
              <w:t>12</w:t>
            </w:r>
          </w:p>
        </w:tc>
        <w:tc>
          <w:tcPr>
            <w:tcW w:w="16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58" w:right="239" w:bottom="1440" w:gutter="0" w:footer="0" w:header="0"/>
          <w:type w:val="continuous"/>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Interest Rate¹ / Maturity</w:t>
            </w:r>
          </w:p>
        </w:tc>
        <w:tc>
          <w:tcPr>
            <w:tcW w:w="18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USJ-IMECO Holding Company, LLC</w:t>
            </w:r>
            <w:r>
              <w:rPr>
                <w:rFonts w:ascii="Arial" w:cs="Arial" w:eastAsia="Arial" w:hAnsi="Arial"/>
                <w:sz w:val="27"/>
                <w:szCs w:val="27"/>
                <w:color w:val="auto"/>
                <w:vertAlign w:val="superscript"/>
              </w:rPr>
              <w:t>9, 10</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Transportation: Cargo</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7.0%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4/20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3,698,675</w:t>
            </w:r>
          </w:p>
        </w:tc>
        <w:tc>
          <w:tcPr>
            <w:tcW w:w="1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3,686,883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3,697,566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Vantiv, LLC (fka Fifth Third Processing</w:t>
            </w:r>
          </w:p>
        </w:tc>
        <w:tc>
          <w:tcPr>
            <w:tcW w:w="4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Solutions, LLC)</w:t>
            </w:r>
            <w:r>
              <w:rPr>
                <w:rFonts w:ascii="Arial" w:cs="Arial" w:eastAsia="Arial" w:hAnsi="Arial"/>
                <w:sz w:val="29"/>
                <w:szCs w:val="29"/>
                <w:color w:val="auto"/>
                <w:vertAlign w:val="superscript"/>
              </w:rPr>
              <w:t>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Banking, Finance, Insurance &amp; Real Estate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3.5%</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0.8% Libor Floor, Due 6/21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1,668,457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1,671,628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1,672,895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Verdesian Life Sciences, LLC</w:t>
            </w:r>
            <w:r>
              <w:rPr>
                <w:rFonts w:ascii="Arial" w:cs="Arial" w:eastAsia="Arial" w:hAnsi="Arial"/>
                <w:sz w:val="28"/>
                <w:szCs w:val="28"/>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Environmental Industries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7/20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3,873,791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3,835,696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3,694,822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Vestcom International, Inc. (fka Vector</w:t>
            </w:r>
          </w:p>
        </w:tc>
        <w:tc>
          <w:tcPr>
            <w:tcW w:w="4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Investment Holdings, Inc.)</w:t>
            </w:r>
            <w:r>
              <w:rPr>
                <w:rFonts w:ascii="Arial" w:cs="Arial" w:eastAsia="Arial" w:hAnsi="Arial"/>
                <w:sz w:val="29"/>
                <w:szCs w:val="29"/>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Retail</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9/21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2,974,464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2,989,405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2,839,721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Weiman Products, LLC</w:t>
            </w:r>
            <w:r>
              <w:rPr>
                <w:rFonts w:ascii="Arial" w:cs="Arial" w:eastAsia="Arial" w:hAnsi="Arial"/>
                <w:sz w:val="28"/>
                <w:szCs w:val="28"/>
                <w:color w:val="auto"/>
                <w:vertAlign w:val="superscript"/>
              </w:rPr>
              <w:t>9</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Consumer goods: Non-durable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11/18</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969,930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965,177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969,736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Weiman Products, LLC</w:t>
            </w:r>
            <w:r>
              <w:rPr>
                <w:rFonts w:ascii="Arial" w:cs="Arial" w:eastAsia="Arial" w:hAnsi="Arial"/>
                <w:sz w:val="28"/>
                <w:szCs w:val="28"/>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Consumer goods: Non-durable</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6.0%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1.0% Libor Floor, Due 11/18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4,836,349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4,813,034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4,835,382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WireCo WorldGroup Inc.</w:t>
            </w:r>
            <w:r>
              <w:rPr>
                <w:rFonts w:ascii="Arial" w:cs="Arial" w:eastAsia="Arial" w:hAnsi="Arial"/>
                <w:sz w:val="28"/>
                <w:szCs w:val="28"/>
                <w:color w:val="auto"/>
                <w:vertAlign w:val="superscript"/>
              </w:rPr>
              <w:t>9</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Senior Unsecured Bond — 9.000% - 05/2017</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Capital Equipment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9.0%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Due 5/17</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4,984,623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WireCo WorldGroup Inc.</w:t>
            </w:r>
            <w:r>
              <w:rPr>
                <w:rFonts w:ascii="Arial" w:cs="Arial" w:eastAsia="Arial" w:hAnsi="Arial"/>
                <w:sz w:val="28"/>
                <w:szCs w:val="28"/>
                <w:color w:val="auto"/>
                <w:vertAlign w:val="superscript"/>
              </w:rPr>
              <w:t>9, 10</w:t>
            </w: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Senior Unsecured Bond — 9.000% - 05/2017</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Capital Equipment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2"/>
              </w:rPr>
              <w:t>9.0%</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Due 5/17</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3,027,679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Debt Securities</w:t>
            </w:r>
          </w:p>
        </w:tc>
        <w:tc>
          <w:tcPr>
            <w:tcW w:w="40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(131% of net asset value at fair value)</w:t>
            </w:r>
          </w:p>
        </w:tc>
        <w:tc>
          <w:tcPr>
            <w:tcW w:w="40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278,105,678</w:t>
            </w:r>
          </w:p>
        </w:tc>
        <w:tc>
          <w:tcPr>
            <w:tcW w:w="1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276,526,638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264,939,841</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13"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 Portfolio</w:t>
            </w: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Percentage</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1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Investment</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Ownership/Shares</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8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7"/>
                <w:szCs w:val="27"/>
                <w:color w:val="auto"/>
                <w:vertAlign w:val="superscript"/>
              </w:rPr>
              <w:t>5, 9</w:t>
            </w:r>
          </w:p>
        </w:tc>
        <w:tc>
          <w:tcPr>
            <w:tcW w:w="100" w:type="dxa"/>
            <w:vAlign w:val="bottom"/>
            <w:tcBorders>
              <w:top w:val="single" w:sz="8" w:color="CCEEFF"/>
            </w:tcBorders>
            <w:shd w:val="clear" w:color="auto" w:fill="CCEEFF"/>
          </w:tcPr>
          <w:p>
            <w:pPr>
              <w:spacing w:after="0"/>
              <w:rPr>
                <w:sz w:val="20"/>
                <w:szCs w:val="20"/>
                <w:color w:val="auto"/>
              </w:rPr>
            </w:pPr>
          </w:p>
        </w:tc>
        <w:tc>
          <w:tcPr>
            <w:tcW w:w="206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Aerospace and Defense</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Partnership Interests</w:t>
            </w:r>
          </w:p>
        </w:tc>
        <w:tc>
          <w:tcPr>
            <w:tcW w:w="3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1,139,594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Aerospace and Defense</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1"/>
              </w:rPr>
              <w:t>Series A Preferred Interests</w:t>
            </w:r>
          </w:p>
        </w:tc>
        <w:tc>
          <w:tcPr>
            <w:tcW w:w="3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250,960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w:t>
            </w: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38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Investments Incorporated)</w:t>
            </w:r>
            <w:r>
              <w:rPr>
                <w:rFonts w:ascii="Arial" w:cs="Arial" w:eastAsia="Arial" w:hAnsi="Arial"/>
                <w:sz w:val="29"/>
                <w:szCs w:val="29"/>
                <w:color w:val="auto"/>
                <w:vertAlign w:val="superscript"/>
              </w:rPr>
              <w:t>5, 9</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Media: Advertising, Printing &amp; Publishing</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3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359,765</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483,392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DBI Holding LLC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Services: Business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Warrants</w:t>
            </w:r>
          </w:p>
        </w:tc>
        <w:tc>
          <w:tcPr>
            <w:tcW w:w="3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258,940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4,967,317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eInstruction Acquisition, LLC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Healthcare, Education and Childcare</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Membership Units</w:t>
            </w:r>
          </w:p>
        </w:tc>
        <w:tc>
          <w:tcPr>
            <w:tcW w:w="3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1,079,617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FP WRCA Coinvestment Fund VII, Ltd.</w:t>
            </w:r>
            <w:r>
              <w:rPr>
                <w:rFonts w:ascii="Arial" w:cs="Arial" w:eastAsia="Arial" w:hAnsi="Arial"/>
                <w:sz w:val="28"/>
                <w:szCs w:val="28"/>
                <w:color w:val="auto"/>
                <w:vertAlign w:val="superscript"/>
              </w:rPr>
              <w:t>3, 5</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Equipment</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Shares</w:t>
            </w:r>
          </w:p>
        </w:tc>
        <w:tc>
          <w:tcPr>
            <w:tcW w:w="30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1,500</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750,749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Perseus Holding Corp.</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Hotel, Gaming &amp; Leisure</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3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Roscoe Investors, LLC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Class A Units</w:t>
            </w:r>
          </w:p>
        </w:tc>
        <w:tc>
          <w:tcPr>
            <w:tcW w:w="3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 5,</w:t>
            </w:r>
            <w:r>
              <w:rPr>
                <w:rFonts w:ascii="Arial" w:cs="Arial" w:eastAsia="Arial" w:hAnsi="Arial"/>
                <w:sz w:val="28"/>
                <w:szCs w:val="28"/>
                <w:color w:val="auto"/>
                <w:vertAlign w:val="superscript"/>
              </w:rPr>
              <w:t>9, 12</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Energy: Oil &amp; Gas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Unit</w:t>
            </w:r>
          </w:p>
        </w:tc>
        <w:tc>
          <w:tcPr>
            <w:tcW w:w="3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980,000</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Energy: Oil &amp; Gas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Warrants</w:t>
            </w:r>
          </w:p>
        </w:tc>
        <w:tc>
          <w:tcPr>
            <w:tcW w:w="3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185,205</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TRSO II, Inc.</w:t>
            </w:r>
            <w:r>
              <w:rPr>
                <w:rFonts w:ascii="Arial" w:cs="Arial" w:eastAsia="Arial" w:hAnsi="Arial"/>
                <w:sz w:val="28"/>
                <w:szCs w:val="28"/>
                <w:color w:val="auto"/>
                <w:vertAlign w:val="superscript"/>
              </w:rPr>
              <w:t>5, 9</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Energy: Oil &amp; Gas</w:t>
            </w:r>
          </w:p>
        </w:tc>
        <w:tc>
          <w:tcPr>
            <w:tcW w:w="2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3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933,053</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120" w:type="dxa"/>
            <w:vAlign w:val="bottom"/>
          </w:tcPr>
          <w:p>
            <w:pPr>
              <w:spacing w:after="0"/>
              <w:rPr>
                <w:sz w:val="20"/>
                <w:szCs w:val="20"/>
                <w:color w:val="auto"/>
              </w:rPr>
            </w:pPr>
          </w:p>
        </w:tc>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Investment</w:t>
            </w:r>
          </w:p>
        </w:tc>
        <w:tc>
          <w:tcPr>
            <w:tcW w:w="152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89"/>
              </w:rPr>
              <w:t>Interest/Shares</w:t>
            </w: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20" w:type="dxa"/>
            <w:vAlign w:val="bottom"/>
            <w:tcBorders>
              <w:top w:val="single" w:sz="8" w:color="auto"/>
              <w:right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New Millennium Holdco, Inc. (Millennium</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3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20" w:type="dxa"/>
            <w:vAlign w:val="bottom"/>
            <w:tcBorders>
              <w:right w:val="single" w:sz="8" w:color="CCEEFF"/>
            </w:tcBorders>
            <w:shd w:val="clear" w:color="auto" w:fill="CCEEFF"/>
          </w:tcPr>
          <w:p>
            <w:pPr>
              <w:ind w:left="120"/>
              <w:spacing w:after="0" w:line="253" w:lineRule="exact"/>
              <w:rPr>
                <w:sz w:val="20"/>
                <w:szCs w:val="20"/>
                <w:color w:val="auto"/>
              </w:rPr>
            </w:pPr>
            <w:r>
              <w:rPr>
                <w:rFonts w:ascii="Arial" w:cs="Arial" w:eastAsia="Arial" w:hAnsi="Arial"/>
                <w:sz w:val="18"/>
                <w:szCs w:val="18"/>
                <w:color w:val="auto"/>
              </w:rPr>
              <w:t>Health, LLC)</w:t>
            </w:r>
            <w:r>
              <w:rPr>
                <w:rFonts w:ascii="Arial" w:cs="Arial" w:eastAsia="Arial" w:hAnsi="Arial"/>
                <w:sz w:val="29"/>
                <w:szCs w:val="29"/>
                <w:color w:val="auto"/>
                <w:vertAlign w:val="superscript"/>
              </w:rPr>
              <w:t>5, 9</w:t>
            </w:r>
          </w:p>
        </w:tc>
        <w:tc>
          <w:tcPr>
            <w:tcW w:w="120" w:type="dxa"/>
            <w:vAlign w:val="bottom"/>
            <w:tcBorders>
              <w:right w:val="single" w:sz="8" w:color="CCEEFF"/>
            </w:tcBorders>
            <w:shd w:val="clear" w:color="auto" w:fill="CCEEFF"/>
          </w:tcPr>
          <w:p>
            <w:pPr>
              <w:spacing w:after="0"/>
              <w:rPr>
                <w:sz w:val="21"/>
                <w:szCs w:val="21"/>
                <w:color w:val="auto"/>
              </w:rPr>
            </w:pPr>
          </w:p>
        </w:tc>
        <w:tc>
          <w:tcPr>
            <w:tcW w:w="3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tcBorders>
              <w:left w:val="single" w:sz="8" w:color="CCEEFF"/>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Healthcare &amp; Pharmaceuticals</w:t>
            </w:r>
          </w:p>
        </w:tc>
        <w:tc>
          <w:tcPr>
            <w:tcW w:w="120" w:type="dxa"/>
            <w:vAlign w:val="bottom"/>
            <w:tcBorders>
              <w:right w:val="single" w:sz="8" w:color="CCEEFF"/>
            </w:tcBorders>
            <w:shd w:val="clear" w:color="auto" w:fill="CCEEFF"/>
          </w:tcPr>
          <w:p>
            <w:pPr>
              <w:spacing w:after="0"/>
              <w:rPr>
                <w:sz w:val="21"/>
                <w:szCs w:val="21"/>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Common</w:t>
            </w:r>
          </w:p>
        </w:tc>
        <w:tc>
          <w:tcPr>
            <w:tcW w:w="152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1,953,299</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89,097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tcBorders>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Equity Securities</w:t>
            </w:r>
          </w:p>
        </w:tc>
        <w:tc>
          <w:tcPr>
            <w:tcW w:w="120" w:type="dxa"/>
            <w:vAlign w:val="bottom"/>
            <w:tcBorders>
              <w:right w:val="single" w:sz="8" w:color="CCEEFF"/>
            </w:tcBorders>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tcBorders>
              <w:left w:val="single" w:sz="8" w:color="CCEEFF"/>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(5% of net asset value at fair value)</w:t>
            </w:r>
          </w:p>
        </w:tc>
        <w:tc>
          <w:tcPr>
            <w:tcW w:w="120" w:type="dxa"/>
            <w:vAlign w:val="bottom"/>
            <w:tcBorders>
              <w:right w:val="single" w:sz="8" w:color="CCEEFF"/>
            </w:tcBorders>
            <w:shd w:val="clear" w:color="auto" w:fill="CCEEFF"/>
          </w:tcPr>
          <w:p>
            <w:pPr>
              <w:spacing w:after="0"/>
              <w:rPr>
                <w:sz w:val="21"/>
                <w:szCs w:val="21"/>
                <w:color w:val="auto"/>
              </w:rPr>
            </w:pPr>
          </w:p>
        </w:tc>
        <w:tc>
          <w:tcPr>
            <w:tcW w:w="3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tcBorders>
              <w:left w:val="single" w:sz="8" w:color="CCEEFF"/>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10,467,786</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9,231,202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CLO Subordinated Investments</w:t>
            </w: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13</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Pr>
          <w:p>
            <w:pPr>
              <w:spacing w:after="0"/>
              <w:rPr>
                <w:sz w:val="20"/>
                <w:szCs w:val="20"/>
                <w:color w:val="auto"/>
              </w:rPr>
            </w:pPr>
          </w:p>
        </w:tc>
        <w:tc>
          <w:tcPr>
            <w:tcW w:w="3540" w:type="dxa"/>
            <w:vAlign w:val="bottom"/>
            <w:gridSpan w:val="4"/>
            <w:vMerge w:val="continue"/>
          </w:tcPr>
          <w:p>
            <w:pPr>
              <w:spacing w:after="0"/>
              <w:rPr>
                <w:sz w:val="20"/>
                <w:szCs w:val="20"/>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340" w:type="dxa"/>
            <w:vAlign w:val="bottom"/>
          </w:tcPr>
          <w:p>
            <w:pPr>
              <w:spacing w:after="0"/>
              <w:rPr>
                <w:sz w:val="20"/>
                <w:szCs w:val="20"/>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right w:val="single" w:sz="8" w:color="CCEEFF"/>
            </w:tcBorders>
            <w:shd w:val="clear" w:color="auto" w:fill="CCEEFF"/>
          </w:tcPr>
          <w:p>
            <w:pPr>
              <w:spacing w:after="0" w:line="197" w:lineRule="exact"/>
              <w:rPr>
                <w:sz w:val="20"/>
                <w:szCs w:val="20"/>
                <w:color w:val="auto"/>
              </w:rPr>
            </w:pPr>
            <w:r>
              <w:rPr>
                <w:rFonts w:ascii="Arial" w:cs="Arial" w:eastAsia="Arial" w:hAnsi="Arial"/>
                <w:sz w:val="14"/>
                <w:szCs w:val="14"/>
                <w:color w:val="auto"/>
              </w:rPr>
              <w:t>Grant Grove CLO, Ltd.</w:t>
            </w:r>
            <w:r>
              <w:rPr>
                <w:rFonts w:ascii="Arial" w:cs="Arial" w:eastAsia="Arial" w:hAnsi="Arial"/>
                <w:sz w:val="22"/>
                <w:szCs w:val="22"/>
                <w:color w:val="auto"/>
                <w:vertAlign w:val="superscript"/>
              </w:rPr>
              <w:t>3</w:t>
            </w:r>
          </w:p>
        </w:tc>
        <w:tc>
          <w:tcPr>
            <w:tcW w:w="120" w:type="dxa"/>
            <w:vAlign w:val="bottom"/>
            <w:tcBorders>
              <w:right w:val="single" w:sz="8" w:color="CCEEFF"/>
            </w:tcBorders>
            <w:shd w:val="clear" w:color="auto" w:fill="CCEEFF"/>
          </w:tcPr>
          <w:p>
            <w:pPr>
              <w:spacing w:after="0"/>
              <w:rPr>
                <w:sz w:val="17"/>
                <w:szCs w:val="17"/>
                <w:color w:val="auto"/>
              </w:rPr>
            </w:pPr>
          </w:p>
        </w:tc>
        <w:tc>
          <w:tcPr>
            <w:tcW w:w="34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Subordinated Securities, effective interest</w:t>
            </w:r>
          </w:p>
        </w:tc>
        <w:tc>
          <w:tcPr>
            <w:tcW w:w="100" w:type="dxa"/>
            <w:vAlign w:val="bottom"/>
            <w:vMerge w:val="continue"/>
            <w:shd w:val="clear" w:color="auto" w:fill="CCEEFF"/>
          </w:tcPr>
          <w:p>
            <w:pPr>
              <w:spacing w:after="0"/>
              <w:rPr>
                <w:sz w:val="17"/>
                <w:szCs w:val="17"/>
                <w:color w:val="auto"/>
              </w:rPr>
            </w:pPr>
          </w:p>
        </w:tc>
        <w:tc>
          <w:tcPr>
            <w:tcW w:w="1520" w:type="dxa"/>
            <w:vAlign w:val="bottom"/>
            <w:tcBorders>
              <w:right w:val="single" w:sz="8" w:color="CCEEFF"/>
            </w:tcBorders>
            <w:gridSpan w:val="3"/>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220" w:type="dxa"/>
            <w:vAlign w:val="bottom"/>
            <w:vMerge w:val="restart"/>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2,465,495</w:t>
            </w:r>
          </w:p>
        </w:tc>
        <w:tc>
          <w:tcPr>
            <w:tcW w:w="10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91,518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7.2%, 1/21 maturity</w:t>
            </w:r>
          </w:p>
        </w:tc>
        <w:tc>
          <w:tcPr>
            <w:tcW w:w="1520" w:type="dxa"/>
            <w:vAlign w:val="bottom"/>
            <w:tcBorders>
              <w:right w:val="single" w:sz="8" w:color="CCEEFF"/>
            </w:tcBorders>
            <w:gridSpan w:val="3"/>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04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120" w:type="dxa"/>
            <w:vAlign w:val="bottom"/>
            <w:tcBorders>
              <w:right w:val="single" w:sz="8" w:color="CCEEFF"/>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5"/>
                <w:szCs w:val="15"/>
                <w:color w:val="auto"/>
              </w:rPr>
              <w:t>Katonah III, Ltd.</w:t>
            </w:r>
            <w:r>
              <w:rPr>
                <w:rFonts w:ascii="Arial" w:cs="Arial" w:eastAsia="Arial" w:hAnsi="Arial"/>
                <w:sz w:val="23"/>
                <w:szCs w:val="23"/>
                <w:color w:val="auto"/>
                <w:vertAlign w:val="superscript"/>
              </w:rPr>
              <w:t>3</w:t>
            </w:r>
          </w:p>
        </w:tc>
        <w:tc>
          <w:tcPr>
            <w:tcW w:w="120" w:type="dxa"/>
            <w:vAlign w:val="bottom"/>
          </w:tcPr>
          <w:p>
            <w:pPr>
              <w:spacing w:after="0"/>
              <w:rPr>
                <w:sz w:val="17"/>
                <w:szCs w:val="17"/>
                <w:color w:val="auto"/>
              </w:rPr>
            </w:pPr>
          </w:p>
        </w:tc>
        <w:tc>
          <w:tcPr>
            <w:tcW w:w="3540" w:type="dxa"/>
            <w:vAlign w:val="bottom"/>
            <w:gridSpan w:val="4"/>
          </w:tcPr>
          <w:p>
            <w:pPr>
              <w:spacing w:after="0" w:line="202" w:lineRule="exact"/>
              <w:rPr>
                <w:sz w:val="20"/>
                <w:szCs w:val="20"/>
                <w:color w:val="auto"/>
              </w:rPr>
            </w:pPr>
            <w:r>
              <w:rPr>
                <w:rFonts w:ascii="Arial" w:cs="Arial" w:eastAsia="Arial" w:hAnsi="Arial"/>
                <w:sz w:val="18"/>
                <w:szCs w:val="18"/>
                <w:color w:val="auto"/>
                <w:w w:val="95"/>
              </w:rPr>
              <w:t>Preferred Shares, effective interest 2.0%, 5/15</w:t>
            </w:r>
          </w:p>
        </w:tc>
        <w:tc>
          <w:tcPr>
            <w:tcW w:w="152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1,387,049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325,000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maturity</w:t>
            </w:r>
          </w:p>
        </w:tc>
        <w:tc>
          <w:tcPr>
            <w:tcW w:w="15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5"/>
                <w:szCs w:val="15"/>
                <w:color w:val="auto"/>
              </w:rPr>
              <w:t>Katonah 2007-I CLO Ltd.</w:t>
            </w:r>
            <w:r>
              <w:rPr>
                <w:rFonts w:ascii="Arial" w:cs="Arial" w:eastAsia="Arial" w:hAnsi="Arial"/>
                <w:sz w:val="23"/>
                <w:szCs w:val="23"/>
                <w:color w:val="auto"/>
                <w:vertAlign w:val="superscript"/>
              </w:rPr>
              <w:t>3, 6</w:t>
            </w:r>
          </w:p>
        </w:tc>
        <w:tc>
          <w:tcPr>
            <w:tcW w:w="120" w:type="dxa"/>
            <w:vAlign w:val="bottom"/>
            <w:tcBorders>
              <w:right w:val="single" w:sz="8" w:color="CCEEFF"/>
            </w:tcBorders>
            <w:shd w:val="clear" w:color="auto" w:fill="CCEEFF"/>
          </w:tcPr>
          <w:p>
            <w:pPr>
              <w:spacing w:after="0"/>
              <w:rPr>
                <w:sz w:val="17"/>
                <w:szCs w:val="17"/>
                <w:color w:val="auto"/>
              </w:rPr>
            </w:pPr>
          </w:p>
        </w:tc>
        <w:tc>
          <w:tcPr>
            <w:tcW w:w="35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w w:val="92"/>
              </w:rPr>
              <w:t>Preferred Shares, effective interest 33.3%, 4/22</w:t>
            </w:r>
          </w:p>
        </w:tc>
        <w:tc>
          <w:tcPr>
            <w:tcW w:w="1520" w:type="dxa"/>
            <w:vAlign w:val="bottom"/>
            <w:tcBorders>
              <w:right w:val="single" w:sz="8" w:color="CCEEFF"/>
            </w:tcBorders>
            <w:gridSpan w:val="3"/>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7"/>
                <w:szCs w:val="17"/>
                <w:color w:val="auto"/>
              </w:rPr>
            </w:pPr>
          </w:p>
        </w:tc>
        <w:tc>
          <w:tcPr>
            <w:tcW w:w="10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25,788,253</w:t>
            </w: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20,940,687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maturity</w:t>
            </w:r>
          </w:p>
        </w:tc>
        <w:tc>
          <w:tcPr>
            <w:tcW w:w="1520" w:type="dxa"/>
            <w:vAlign w:val="bottom"/>
            <w:tcBorders>
              <w:right w:val="single" w:sz="8" w:color="CCEEFF"/>
            </w:tcBorders>
            <w:gridSpan w:val="3"/>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CCEEFF"/>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5"/>
                <w:szCs w:val="15"/>
                <w:color w:val="auto"/>
              </w:rPr>
              <w:t>Trimaran CLO VII, Ltd.</w:t>
            </w:r>
            <w:r>
              <w:rPr>
                <w:rFonts w:ascii="Arial" w:cs="Arial" w:eastAsia="Arial" w:hAnsi="Arial"/>
                <w:sz w:val="23"/>
                <w:szCs w:val="23"/>
                <w:color w:val="auto"/>
                <w:vertAlign w:val="superscript"/>
              </w:rPr>
              <w:t>3,6</w:t>
            </w:r>
          </w:p>
        </w:tc>
        <w:tc>
          <w:tcPr>
            <w:tcW w:w="120" w:type="dxa"/>
            <w:vAlign w:val="bottom"/>
          </w:tcPr>
          <w:p>
            <w:pPr>
              <w:spacing w:after="0"/>
              <w:rPr>
                <w:sz w:val="17"/>
                <w:szCs w:val="17"/>
                <w:color w:val="auto"/>
              </w:rPr>
            </w:pPr>
          </w:p>
        </w:tc>
        <w:tc>
          <w:tcPr>
            <w:tcW w:w="3540" w:type="dxa"/>
            <w:vAlign w:val="bottom"/>
            <w:gridSpan w:val="4"/>
          </w:tcPr>
          <w:p>
            <w:pPr>
              <w:spacing w:after="0" w:line="202" w:lineRule="exact"/>
              <w:rPr>
                <w:sz w:val="20"/>
                <w:szCs w:val="20"/>
                <w:color w:val="auto"/>
              </w:rPr>
            </w:pPr>
            <w:r>
              <w:rPr>
                <w:rFonts w:ascii="Arial" w:cs="Arial" w:eastAsia="Arial" w:hAnsi="Arial"/>
                <w:sz w:val="18"/>
                <w:szCs w:val="18"/>
                <w:color w:val="auto"/>
                <w:w w:val="99"/>
              </w:rPr>
              <w:t>Income Notes, effective interest 42.7%, 6/21</w:t>
            </w:r>
          </w:p>
        </w:tc>
        <w:tc>
          <w:tcPr>
            <w:tcW w:w="152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1,450,534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1,509,754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maturity</w:t>
            </w:r>
          </w:p>
        </w:tc>
        <w:tc>
          <w:tcPr>
            <w:tcW w:w="15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5"/>
                <w:szCs w:val="15"/>
                <w:color w:val="auto"/>
              </w:rPr>
              <w:t>Catamaran CLO 2012-1 Ltd.</w:t>
            </w:r>
            <w:r>
              <w:rPr>
                <w:rFonts w:ascii="Arial" w:cs="Arial" w:eastAsia="Arial" w:hAnsi="Arial"/>
                <w:sz w:val="23"/>
                <w:szCs w:val="23"/>
                <w:color w:val="auto"/>
                <w:vertAlign w:val="superscript"/>
              </w:rPr>
              <w:t>3, 6</w:t>
            </w:r>
          </w:p>
        </w:tc>
        <w:tc>
          <w:tcPr>
            <w:tcW w:w="120" w:type="dxa"/>
            <w:vAlign w:val="bottom"/>
            <w:tcBorders>
              <w:right w:val="single" w:sz="8" w:color="CCEEFF"/>
            </w:tcBorders>
            <w:shd w:val="clear" w:color="auto" w:fill="CCEEFF"/>
          </w:tcPr>
          <w:p>
            <w:pPr>
              <w:spacing w:after="0"/>
              <w:rPr>
                <w:sz w:val="17"/>
                <w:szCs w:val="17"/>
                <w:color w:val="auto"/>
              </w:rPr>
            </w:pPr>
          </w:p>
        </w:tc>
        <w:tc>
          <w:tcPr>
            <w:tcW w:w="35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Subordinated Notes, effective interest 4.6%,</w:t>
            </w:r>
          </w:p>
        </w:tc>
        <w:tc>
          <w:tcPr>
            <w:tcW w:w="1520" w:type="dxa"/>
            <w:vAlign w:val="bottom"/>
            <w:tcBorders>
              <w:right w:val="single" w:sz="8" w:color="CCEEFF"/>
            </w:tcBorders>
            <w:gridSpan w:val="3"/>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spacing w:after="0"/>
              <w:rPr>
                <w:sz w:val="17"/>
                <w:szCs w:val="17"/>
                <w:color w:val="auto"/>
              </w:rPr>
            </w:pPr>
          </w:p>
        </w:tc>
        <w:tc>
          <w:tcPr>
            <w:tcW w:w="10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6,306,230</w:t>
            </w: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2,669,020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12/23 maturity</w:t>
            </w:r>
          </w:p>
        </w:tc>
        <w:tc>
          <w:tcPr>
            <w:tcW w:w="1520" w:type="dxa"/>
            <w:vAlign w:val="bottom"/>
            <w:tcBorders>
              <w:right w:val="single" w:sz="8" w:color="CCEEFF"/>
            </w:tcBorders>
            <w:gridSpan w:val="3"/>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CCEEFF"/>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5"/>
                <w:szCs w:val="15"/>
                <w:color w:val="auto"/>
              </w:rPr>
              <w:t>Catamaran CLO 2013- 1 Ltd.</w:t>
            </w:r>
            <w:r>
              <w:rPr>
                <w:rFonts w:ascii="Arial" w:cs="Arial" w:eastAsia="Arial" w:hAnsi="Arial"/>
                <w:sz w:val="23"/>
                <w:szCs w:val="23"/>
                <w:color w:val="auto"/>
                <w:vertAlign w:val="superscript"/>
              </w:rPr>
              <w:t>3, 6</w:t>
            </w:r>
          </w:p>
        </w:tc>
        <w:tc>
          <w:tcPr>
            <w:tcW w:w="120" w:type="dxa"/>
            <w:vAlign w:val="bottom"/>
          </w:tcPr>
          <w:p>
            <w:pPr>
              <w:spacing w:after="0"/>
              <w:rPr>
                <w:sz w:val="17"/>
                <w:szCs w:val="17"/>
                <w:color w:val="auto"/>
              </w:rPr>
            </w:pPr>
          </w:p>
        </w:tc>
        <w:tc>
          <w:tcPr>
            <w:tcW w:w="3540" w:type="dxa"/>
            <w:vAlign w:val="bottom"/>
            <w:gridSpan w:val="4"/>
          </w:tcPr>
          <w:p>
            <w:pPr>
              <w:spacing w:after="0" w:line="202" w:lineRule="exact"/>
              <w:rPr>
                <w:sz w:val="20"/>
                <w:szCs w:val="20"/>
                <w:color w:val="auto"/>
              </w:rPr>
            </w:pPr>
            <w:r>
              <w:rPr>
                <w:rFonts w:ascii="Arial" w:cs="Arial" w:eastAsia="Arial" w:hAnsi="Arial"/>
                <w:sz w:val="18"/>
                <w:szCs w:val="18"/>
                <w:color w:val="auto"/>
                <w:w w:val="97"/>
              </w:rPr>
              <w:t>Subordinated Notes, effective interest 14.4%,</w:t>
            </w:r>
          </w:p>
        </w:tc>
        <w:tc>
          <w:tcPr>
            <w:tcW w:w="152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5,715,958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5,196,495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1/25 maturity</w:t>
            </w:r>
          </w:p>
        </w:tc>
        <w:tc>
          <w:tcPr>
            <w:tcW w:w="15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5"/>
                <w:szCs w:val="15"/>
                <w:color w:val="auto"/>
              </w:rPr>
              <w:t>Catamaran CLO 2014-1 Ltd.</w:t>
            </w:r>
            <w:r>
              <w:rPr>
                <w:rFonts w:ascii="Arial" w:cs="Arial" w:eastAsia="Arial" w:hAnsi="Arial"/>
                <w:sz w:val="23"/>
                <w:szCs w:val="23"/>
                <w:color w:val="auto"/>
                <w:vertAlign w:val="superscript"/>
              </w:rPr>
              <w:t>3, 6</w:t>
            </w:r>
          </w:p>
        </w:tc>
        <w:tc>
          <w:tcPr>
            <w:tcW w:w="120" w:type="dxa"/>
            <w:vAlign w:val="bottom"/>
            <w:tcBorders>
              <w:right w:val="single" w:sz="8" w:color="CCEEFF"/>
            </w:tcBorders>
            <w:shd w:val="clear" w:color="auto" w:fill="CCEEFF"/>
          </w:tcPr>
          <w:p>
            <w:pPr>
              <w:spacing w:after="0"/>
              <w:rPr>
                <w:sz w:val="17"/>
                <w:szCs w:val="17"/>
                <w:color w:val="auto"/>
              </w:rPr>
            </w:pPr>
          </w:p>
        </w:tc>
        <w:tc>
          <w:tcPr>
            <w:tcW w:w="35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Subordinated Notes, effective interest 9.6%,</w:t>
            </w:r>
          </w:p>
        </w:tc>
        <w:tc>
          <w:tcPr>
            <w:tcW w:w="1520" w:type="dxa"/>
            <w:vAlign w:val="bottom"/>
            <w:tcBorders>
              <w:right w:val="single" w:sz="8" w:color="CCEEFF"/>
            </w:tcBorders>
            <w:gridSpan w:val="3"/>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spacing w:after="0"/>
              <w:rPr>
                <w:sz w:val="17"/>
                <w:szCs w:val="17"/>
                <w:color w:val="auto"/>
              </w:rPr>
            </w:pPr>
          </w:p>
        </w:tc>
        <w:tc>
          <w:tcPr>
            <w:tcW w:w="10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8,381,930</w:t>
            </w: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4,700,325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4/26 maturity</w:t>
            </w:r>
          </w:p>
        </w:tc>
        <w:tc>
          <w:tcPr>
            <w:tcW w:w="1520" w:type="dxa"/>
            <w:vAlign w:val="bottom"/>
            <w:tcBorders>
              <w:right w:val="single" w:sz="8" w:color="CCEEFF"/>
            </w:tcBorders>
            <w:gridSpan w:val="3"/>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CCEEFF"/>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5"/>
                <w:szCs w:val="15"/>
                <w:color w:val="auto"/>
              </w:rPr>
              <w:t>Dryden 30 Senior Loan Fund</w:t>
            </w:r>
            <w:r>
              <w:rPr>
                <w:rFonts w:ascii="Arial" w:cs="Arial" w:eastAsia="Arial" w:hAnsi="Arial"/>
                <w:sz w:val="23"/>
                <w:szCs w:val="23"/>
                <w:color w:val="auto"/>
                <w:vertAlign w:val="superscript"/>
              </w:rPr>
              <w:t>3</w:t>
            </w:r>
          </w:p>
        </w:tc>
        <w:tc>
          <w:tcPr>
            <w:tcW w:w="120" w:type="dxa"/>
            <w:vAlign w:val="bottom"/>
          </w:tcPr>
          <w:p>
            <w:pPr>
              <w:spacing w:after="0"/>
              <w:rPr>
                <w:sz w:val="17"/>
                <w:szCs w:val="17"/>
                <w:color w:val="auto"/>
              </w:rPr>
            </w:pPr>
          </w:p>
        </w:tc>
        <w:tc>
          <w:tcPr>
            <w:tcW w:w="3540" w:type="dxa"/>
            <w:vAlign w:val="bottom"/>
            <w:gridSpan w:val="4"/>
          </w:tcPr>
          <w:p>
            <w:pPr>
              <w:spacing w:after="0" w:line="202" w:lineRule="exact"/>
              <w:rPr>
                <w:sz w:val="20"/>
                <w:szCs w:val="20"/>
                <w:color w:val="auto"/>
              </w:rPr>
            </w:pPr>
            <w:r>
              <w:rPr>
                <w:rFonts w:ascii="Arial" w:cs="Arial" w:eastAsia="Arial" w:hAnsi="Arial"/>
                <w:sz w:val="18"/>
                <w:szCs w:val="18"/>
                <w:color w:val="auto"/>
                <w:w w:val="97"/>
              </w:rPr>
              <w:t>Subordinated Notes, effective interest 27.3%,</w:t>
            </w:r>
          </w:p>
        </w:tc>
        <w:tc>
          <w:tcPr>
            <w:tcW w:w="1520" w:type="dxa"/>
            <w:vAlign w:val="bottom"/>
            <w:gridSpan w:val="3"/>
            <w:vMerge w:val="restart"/>
          </w:tcPr>
          <w:p>
            <w:pPr>
              <w:jc w:val="right"/>
              <w:ind w:right="3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1,443,562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1,744,724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11/25 maturity</w:t>
            </w:r>
          </w:p>
        </w:tc>
        <w:tc>
          <w:tcPr>
            <w:tcW w:w="1520" w:type="dxa"/>
            <w:vAlign w:val="bottom"/>
            <w:gridSpan w:val="3"/>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5"/>
                <w:szCs w:val="15"/>
                <w:color w:val="auto"/>
              </w:rPr>
              <w:t>Catamaran CLO 2014-2 Ltd.</w:t>
            </w:r>
            <w:r>
              <w:rPr>
                <w:rFonts w:ascii="Arial" w:cs="Arial" w:eastAsia="Arial" w:hAnsi="Arial"/>
                <w:sz w:val="23"/>
                <w:szCs w:val="23"/>
                <w:color w:val="auto"/>
                <w:vertAlign w:val="superscript"/>
              </w:rPr>
              <w:t>3, 6</w:t>
            </w:r>
          </w:p>
        </w:tc>
        <w:tc>
          <w:tcPr>
            <w:tcW w:w="120" w:type="dxa"/>
            <w:vAlign w:val="bottom"/>
            <w:tcBorders>
              <w:right w:val="single" w:sz="8" w:color="CCEEFF"/>
            </w:tcBorders>
            <w:shd w:val="clear" w:color="auto" w:fill="CCEEFF"/>
          </w:tcPr>
          <w:p>
            <w:pPr>
              <w:spacing w:after="0"/>
              <w:rPr>
                <w:sz w:val="17"/>
                <w:szCs w:val="17"/>
                <w:color w:val="auto"/>
              </w:rPr>
            </w:pPr>
          </w:p>
        </w:tc>
        <w:tc>
          <w:tcPr>
            <w:tcW w:w="35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w w:val="97"/>
              </w:rPr>
              <w:t>Subordinated Notes, effective interest 12.5%,</w:t>
            </w:r>
          </w:p>
        </w:tc>
        <w:tc>
          <w:tcPr>
            <w:tcW w:w="1520" w:type="dxa"/>
            <w:vAlign w:val="bottom"/>
            <w:tcBorders>
              <w:right w:val="single" w:sz="8" w:color="CCEEFF"/>
            </w:tcBorders>
            <w:gridSpan w:val="3"/>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spacing w:after="0"/>
              <w:rPr>
                <w:sz w:val="17"/>
                <w:szCs w:val="17"/>
                <w:color w:val="auto"/>
              </w:rPr>
            </w:pPr>
          </w:p>
        </w:tc>
        <w:tc>
          <w:tcPr>
            <w:tcW w:w="10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7,535,156</w:t>
            </w:r>
          </w:p>
        </w:tc>
        <w:tc>
          <w:tcPr>
            <w:tcW w:w="1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4,981,344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10/26 maturity</w:t>
            </w:r>
          </w:p>
        </w:tc>
        <w:tc>
          <w:tcPr>
            <w:tcW w:w="1520" w:type="dxa"/>
            <w:vAlign w:val="bottom"/>
            <w:tcBorders>
              <w:right w:val="single" w:sz="8" w:color="CCEEFF"/>
            </w:tcBorders>
            <w:gridSpan w:val="3"/>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tcBorders>
              <w:right w:val="single" w:sz="8" w:color="CCEEFF"/>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tcBorders>
              <w:right w:val="single" w:sz="8" w:color="CCEEFF"/>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line="202" w:lineRule="exact"/>
              <w:rPr>
                <w:sz w:val="20"/>
                <w:szCs w:val="20"/>
                <w:color w:val="auto"/>
              </w:rPr>
            </w:pPr>
            <w:r>
              <w:rPr>
                <w:rFonts w:ascii="Arial" w:cs="Arial" w:eastAsia="Arial" w:hAnsi="Arial"/>
                <w:sz w:val="15"/>
                <w:szCs w:val="15"/>
                <w:color w:val="auto"/>
              </w:rPr>
              <w:t>Catamaran CLO 2015-1 Ltd.</w:t>
            </w:r>
            <w:r>
              <w:rPr>
                <w:rFonts w:ascii="Arial" w:cs="Arial" w:eastAsia="Arial" w:hAnsi="Arial"/>
                <w:sz w:val="23"/>
                <w:szCs w:val="23"/>
                <w:color w:val="auto"/>
                <w:vertAlign w:val="superscript"/>
              </w:rPr>
              <w:t>3, 6</w:t>
            </w:r>
          </w:p>
        </w:tc>
        <w:tc>
          <w:tcPr>
            <w:tcW w:w="120" w:type="dxa"/>
            <w:vAlign w:val="bottom"/>
          </w:tcPr>
          <w:p>
            <w:pPr>
              <w:spacing w:after="0"/>
              <w:rPr>
                <w:sz w:val="17"/>
                <w:szCs w:val="17"/>
                <w:color w:val="auto"/>
              </w:rPr>
            </w:pPr>
          </w:p>
        </w:tc>
        <w:tc>
          <w:tcPr>
            <w:tcW w:w="3540" w:type="dxa"/>
            <w:vAlign w:val="bottom"/>
            <w:gridSpan w:val="4"/>
          </w:tcPr>
          <w:p>
            <w:pPr>
              <w:spacing w:after="0" w:line="202" w:lineRule="exact"/>
              <w:rPr>
                <w:sz w:val="20"/>
                <w:szCs w:val="20"/>
                <w:color w:val="auto"/>
              </w:rPr>
            </w:pPr>
            <w:r>
              <w:rPr>
                <w:rFonts w:ascii="Arial" w:cs="Arial" w:eastAsia="Arial" w:hAnsi="Arial"/>
                <w:sz w:val="18"/>
                <w:szCs w:val="18"/>
                <w:color w:val="auto"/>
              </w:rPr>
              <w:t>Subordinated Notes, effective interest 8.7%,</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gridSpan w:val="4"/>
          </w:tcPr>
          <w:p>
            <w:pPr>
              <w:spacing w:after="0"/>
              <w:rPr>
                <w:sz w:val="20"/>
                <w:szCs w:val="20"/>
                <w:color w:val="auto"/>
              </w:rPr>
            </w:pPr>
            <w:r>
              <w:rPr>
                <w:rFonts w:ascii="Arial" w:cs="Arial" w:eastAsia="Arial" w:hAnsi="Arial"/>
                <w:sz w:val="18"/>
                <w:szCs w:val="18"/>
                <w:color w:val="auto"/>
              </w:rPr>
              <w:t>4/27 maturity</w:t>
            </w:r>
          </w:p>
        </w:tc>
        <w:tc>
          <w:tcPr>
            <w:tcW w:w="1520" w:type="dxa"/>
            <w:vAlign w:val="bottom"/>
            <w:gridSpan w:val="3"/>
          </w:tcPr>
          <w:p>
            <w:pPr>
              <w:jc w:val="right"/>
              <w:ind w:right="30"/>
              <w:spacing w:after="0"/>
              <w:rPr>
                <w:sz w:val="20"/>
                <w:szCs w:val="20"/>
                <w:color w:val="auto"/>
              </w:rPr>
            </w:pPr>
            <w:r>
              <w:rPr>
                <w:rFonts w:ascii="Arial" w:cs="Arial" w:eastAsia="Arial" w:hAnsi="Arial"/>
                <w:sz w:val="18"/>
                <w:szCs w:val="18"/>
                <w:color w:val="auto"/>
              </w:rPr>
              <w:t>9.94%</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4,728,697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2,971,200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gridSpan w:val="6"/>
            <w:shd w:val="clear" w:color="auto" w:fill="CCEEFF"/>
          </w:tcPr>
          <w:p>
            <w:pPr>
              <w:spacing w:after="0"/>
              <w:rPr>
                <w:sz w:val="20"/>
                <w:szCs w:val="20"/>
                <w:color w:val="auto"/>
              </w:rPr>
            </w:pPr>
            <w:r>
              <w:rPr>
                <w:rFonts w:ascii="Arial" w:cs="Arial" w:eastAsia="Arial" w:hAnsi="Arial"/>
                <w:sz w:val="18"/>
                <w:szCs w:val="18"/>
                <w:b w:val="1"/>
                <w:bCs w:val="1"/>
                <w:color w:val="auto"/>
              </w:rPr>
              <w:t>Total Investment in CLO Subordinated Securities</w:t>
            </w:r>
          </w:p>
        </w:tc>
        <w:tc>
          <w:tcPr>
            <w:tcW w:w="9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65,202,864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45,130,067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CLO Rated-Note Investment</w:t>
            </w: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Pr>
          <w:p>
            <w:pPr>
              <w:spacing w:after="0"/>
              <w:rPr>
                <w:sz w:val="20"/>
                <w:szCs w:val="20"/>
                <w:color w:val="auto"/>
              </w:rPr>
            </w:pPr>
          </w:p>
        </w:tc>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Investment</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340" w:type="dxa"/>
            <w:vAlign w:val="bottom"/>
          </w:tcPr>
          <w:p>
            <w:pPr>
              <w:spacing w:after="0"/>
              <w:rPr>
                <w:sz w:val="20"/>
                <w:szCs w:val="20"/>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auto"/>
              <w:right w:val="single" w:sz="8" w:color="CCEEFF"/>
            </w:tcBorders>
            <w:shd w:val="clear" w:color="auto" w:fill="CCEEFF"/>
          </w:tcPr>
          <w:p>
            <w:pPr>
              <w:spacing w:after="0" w:line="197" w:lineRule="exact"/>
              <w:rPr>
                <w:sz w:val="20"/>
                <w:szCs w:val="20"/>
                <w:color w:val="auto"/>
              </w:rPr>
            </w:pPr>
            <w:r>
              <w:rPr>
                <w:rFonts w:ascii="Arial" w:cs="Arial" w:eastAsia="Arial" w:hAnsi="Arial"/>
                <w:sz w:val="14"/>
                <w:szCs w:val="14"/>
                <w:color w:val="auto"/>
              </w:rPr>
              <w:t>Catamaran CLO 2014-1 Ltd.</w:t>
            </w:r>
            <w:r>
              <w:rPr>
                <w:rFonts w:ascii="Arial" w:cs="Arial" w:eastAsia="Arial" w:hAnsi="Arial"/>
                <w:sz w:val="22"/>
                <w:szCs w:val="22"/>
                <w:color w:val="auto"/>
                <w:vertAlign w:val="superscript"/>
              </w:rPr>
              <w:t>3, 6</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344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w w:val="92"/>
              </w:rPr>
              <w:t>Float - 04/2026 - E - 14889FAC7, Par Value of</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$1,525,000 6.4% Cash, 4/26 maturity</w:t>
            </w:r>
          </w:p>
        </w:tc>
        <w:tc>
          <w:tcPr>
            <w:tcW w:w="152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1,435,070</w:t>
            </w:r>
          </w:p>
        </w:tc>
        <w:tc>
          <w:tcPr>
            <w:tcW w:w="10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Investment in CLO Rated-Note</w:t>
            </w:r>
          </w:p>
        </w:tc>
        <w:tc>
          <w:tcPr>
            <w:tcW w:w="120" w:type="dxa"/>
            <w:vAlign w:val="bottom"/>
            <w:tcBorders>
              <w:bottom w:val="single" w:sz="8" w:color="CCEEFF"/>
            </w:tcBorders>
          </w:tcPr>
          <w:p>
            <w:pPr>
              <w:spacing w:after="0"/>
              <w:rPr>
                <w:sz w:val="18"/>
                <w:szCs w:val="18"/>
                <w:color w:val="auto"/>
              </w:rPr>
            </w:pPr>
          </w:p>
        </w:tc>
        <w:tc>
          <w:tcPr>
            <w:tcW w:w="3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1,435,070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1,050,000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20" w:type="dxa"/>
            <w:vAlign w:val="bottom"/>
            <w:tcBorders>
              <w:right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7"/>
              </w:rPr>
              <w:t>Total Investment in CLO Fund Securities</w:t>
            </w:r>
          </w:p>
        </w:tc>
        <w:tc>
          <w:tcPr>
            <w:tcW w:w="120" w:type="dxa"/>
            <w:vAlign w:val="bottom"/>
            <w:tcBorders>
              <w:right w:val="single" w:sz="8" w:color="CCEEFF"/>
            </w:tcBorders>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tcBorders>
              <w:left w:val="single" w:sz="8" w:color="CCEEFF"/>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(23% of net asset value at fair value)</w:t>
            </w:r>
          </w:p>
        </w:tc>
        <w:tc>
          <w:tcPr>
            <w:tcW w:w="120" w:type="dxa"/>
            <w:vAlign w:val="bottom"/>
            <w:tcBorders>
              <w:right w:val="single" w:sz="8" w:color="CCEEFF"/>
            </w:tcBorders>
            <w:shd w:val="clear" w:color="auto" w:fill="CCEEFF"/>
          </w:tcPr>
          <w:p>
            <w:pPr>
              <w:spacing w:after="0"/>
              <w:rPr>
                <w:sz w:val="21"/>
                <w:szCs w:val="21"/>
                <w:color w:val="auto"/>
              </w:rPr>
            </w:pPr>
          </w:p>
        </w:tc>
        <w:tc>
          <w:tcPr>
            <w:tcW w:w="3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tcBorders>
              <w:left w:val="single" w:sz="8" w:color="CCEEFF"/>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66,637,934</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46,180,067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Asset Manager Affiliates</w:t>
            </w: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120" w:type="dxa"/>
            <w:vAlign w:val="bottom"/>
          </w:tcPr>
          <w:p>
            <w:pPr>
              <w:spacing w:after="0"/>
              <w:rPr>
                <w:sz w:val="20"/>
                <w:szCs w:val="20"/>
                <w:color w:val="auto"/>
              </w:rPr>
            </w:pPr>
          </w:p>
        </w:tc>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Investment</w:t>
            </w: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420" w:type="dxa"/>
            <w:vAlign w:val="bottom"/>
            <w:tcBorders>
              <w:right w:val="single" w:sz="8" w:color="CCEEFF"/>
            </w:tcBorders>
            <w:shd w:val="clear" w:color="auto" w:fill="CCEEFF"/>
          </w:tcPr>
          <w:p>
            <w:pPr>
              <w:ind w:left="660"/>
              <w:spacing w:after="0" w:line="264" w:lineRule="exact"/>
              <w:rPr>
                <w:sz w:val="20"/>
                <w:szCs w:val="20"/>
                <w:color w:val="auto"/>
              </w:rPr>
            </w:pPr>
            <w:r>
              <w:rPr>
                <w:rFonts w:ascii="Arial" w:cs="Arial" w:eastAsia="Arial" w:hAnsi="Arial"/>
                <w:sz w:val="18"/>
                <w:szCs w:val="18"/>
                <w:color w:val="auto"/>
              </w:rPr>
              <w:t>Asset Manager Affiliates</w:t>
            </w:r>
            <w:r>
              <w:rPr>
                <w:rFonts w:ascii="Arial" w:cs="Arial" w:eastAsia="Arial" w:hAnsi="Arial"/>
                <w:sz w:val="30"/>
                <w:szCs w:val="30"/>
                <w:color w:val="auto"/>
                <w:vertAlign w:val="superscript"/>
              </w:rPr>
              <w:t>9, 11</w:t>
            </w:r>
          </w:p>
        </w:tc>
        <w:tc>
          <w:tcPr>
            <w:tcW w:w="120" w:type="dxa"/>
            <w:vAlign w:val="bottom"/>
            <w:tcBorders>
              <w:right w:val="single" w:sz="8" w:color="CCEEFF"/>
            </w:tcBorders>
            <w:shd w:val="clear" w:color="auto" w:fill="CCEEFF"/>
          </w:tcPr>
          <w:p>
            <w:pPr>
              <w:spacing w:after="0"/>
              <w:rPr>
                <w:sz w:val="22"/>
                <w:szCs w:val="22"/>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Management Company</w:t>
            </w:r>
          </w:p>
        </w:tc>
        <w:tc>
          <w:tcPr>
            <w:tcW w:w="100" w:type="dxa"/>
            <w:vAlign w:val="bottom"/>
            <w:shd w:val="clear" w:color="auto" w:fill="CCEEFF"/>
          </w:tcPr>
          <w:p>
            <w:pPr>
              <w:spacing w:after="0"/>
              <w:rPr>
                <w:sz w:val="22"/>
                <w:szCs w:val="22"/>
                <w:color w:val="auto"/>
              </w:rPr>
            </w:pPr>
          </w:p>
        </w:tc>
        <w:tc>
          <w:tcPr>
            <w:tcW w:w="1520" w:type="dxa"/>
            <w:vAlign w:val="bottom"/>
            <w:tcBorders>
              <w:right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56,091,230</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45,288,000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20" w:type="dxa"/>
            <w:vAlign w:val="bottom"/>
          </w:tcPr>
          <w:p>
            <w:pPr>
              <w:spacing w:after="0" w:line="178" w:lineRule="exact"/>
              <w:rPr>
                <w:sz w:val="20"/>
                <w:szCs w:val="20"/>
                <w:color w:val="auto"/>
              </w:rPr>
            </w:pPr>
            <w:r>
              <w:rPr>
                <w:rFonts w:ascii="Arial" w:cs="Arial" w:eastAsia="Arial" w:hAnsi="Arial"/>
                <w:sz w:val="18"/>
                <w:szCs w:val="18"/>
                <w:b w:val="1"/>
                <w:bCs w:val="1"/>
                <w:color w:val="auto"/>
              </w:rPr>
              <w:t>Total Investment in Asset Manager</w:t>
            </w:r>
          </w:p>
        </w:tc>
        <w:tc>
          <w:tcPr>
            <w:tcW w:w="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20"/>
              <w:spacing w:after="0"/>
              <w:rPr>
                <w:sz w:val="20"/>
                <w:szCs w:val="20"/>
                <w:color w:val="auto"/>
              </w:rPr>
            </w:pPr>
            <w:r>
              <w:rPr>
                <w:rFonts w:ascii="Arial" w:cs="Arial" w:eastAsia="Arial" w:hAnsi="Arial"/>
                <w:sz w:val="18"/>
                <w:szCs w:val="18"/>
                <w:b w:val="1"/>
                <w:bCs w:val="1"/>
                <w:color w:val="auto"/>
              </w:rPr>
              <w:t>Affiliates</w:t>
            </w: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Pr>
          <w:p>
            <w:pPr>
              <w:ind w:left="120"/>
              <w:spacing w:after="0"/>
              <w:rPr>
                <w:sz w:val="20"/>
                <w:szCs w:val="20"/>
                <w:color w:val="auto"/>
              </w:rPr>
            </w:pPr>
            <w:r>
              <w:rPr>
                <w:rFonts w:ascii="Arial" w:cs="Arial" w:eastAsia="Arial" w:hAnsi="Arial"/>
                <w:sz w:val="18"/>
                <w:szCs w:val="18"/>
                <w:b w:val="1"/>
                <w:bCs w:val="1"/>
                <w:color w:val="auto"/>
              </w:rPr>
              <w:t>(22% of net asset value at fair value)</w:t>
            </w:r>
          </w:p>
        </w:tc>
        <w:tc>
          <w:tcPr>
            <w:tcW w:w="1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56,091,230</w:t>
            </w:r>
          </w:p>
        </w:tc>
        <w:tc>
          <w:tcPr>
            <w:tcW w:w="10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45,288,000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2"/>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w w:val="93"/>
              </w:rPr>
              <w:t>Time Deposits and Money Market Account</w:t>
            </w:r>
          </w:p>
        </w:tc>
        <w:tc>
          <w:tcPr>
            <w:tcW w:w="1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w w:val="93"/>
              </w:rPr>
              <w:t>Time Deposit and Money Market Accounts</w:t>
            </w:r>
          </w:p>
        </w:tc>
        <w:tc>
          <w:tcPr>
            <w:tcW w:w="3660" w:type="dxa"/>
            <w:vAlign w:val="bottom"/>
            <w:gridSpan w:val="5"/>
          </w:tcPr>
          <w:p>
            <w:pPr>
              <w:ind w:left="80"/>
              <w:spacing w:after="0"/>
              <w:rPr>
                <w:sz w:val="20"/>
                <w:szCs w:val="20"/>
                <w:color w:val="auto"/>
              </w:rPr>
            </w:pPr>
            <w:r>
              <w:rPr>
                <w:rFonts w:ascii="Arial" w:cs="Arial" w:eastAsia="Arial" w:hAnsi="Arial"/>
                <w:sz w:val="18"/>
                <w:szCs w:val="18"/>
                <w:b w:val="1"/>
                <w:bCs w:val="1"/>
                <w:color w:val="auto"/>
              </w:rPr>
              <w:t>Investment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Yield</w:t>
            </w:r>
          </w:p>
        </w:tc>
        <w:tc>
          <w:tcPr>
            <w:tcW w:w="1700" w:type="dxa"/>
            <w:vAlign w:val="bottom"/>
            <w:gridSpan w:val="4"/>
          </w:tcPr>
          <w:p>
            <w:pPr>
              <w:spacing w:after="0"/>
              <w:rPr>
                <w:sz w:val="20"/>
                <w:szCs w:val="20"/>
                <w:color w:val="auto"/>
              </w:rPr>
            </w:pPr>
            <w:r>
              <w:rPr>
                <w:rFonts w:ascii="Arial" w:cs="Arial" w:eastAsia="Arial" w:hAnsi="Arial"/>
                <w:sz w:val="18"/>
                <w:szCs w:val="18"/>
                <w:b w:val="1"/>
                <w:bCs w:val="1"/>
                <w:color w:val="auto"/>
                <w:w w:val="97"/>
              </w:rPr>
              <w:t>Par /Amortized Cost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3420" w:type="dxa"/>
            <w:vAlign w:val="bottom"/>
            <w:tcBorders>
              <w:right w:val="single" w:sz="8" w:color="CCEEFF"/>
            </w:tcBorders>
            <w:shd w:val="clear" w:color="auto" w:fill="CCEEFF"/>
          </w:tcPr>
          <w:p>
            <w:pPr>
              <w:spacing w:after="0" w:line="240" w:lineRule="exact"/>
              <w:rPr>
                <w:sz w:val="20"/>
                <w:szCs w:val="20"/>
                <w:color w:val="auto"/>
              </w:rPr>
            </w:pPr>
            <w:r>
              <w:rPr>
                <w:rFonts w:ascii="Arial" w:cs="Arial" w:eastAsia="Arial" w:hAnsi="Arial"/>
                <w:sz w:val="17"/>
                <w:szCs w:val="17"/>
                <w:color w:val="auto"/>
                <w:w w:val="96"/>
              </w:rPr>
              <w:t>JP Morgan Business Money Market Account</w:t>
            </w:r>
            <w:r>
              <w:rPr>
                <w:rFonts w:ascii="Arial" w:cs="Arial" w:eastAsia="Arial" w:hAnsi="Arial"/>
                <w:sz w:val="27"/>
                <w:szCs w:val="27"/>
                <w:color w:val="auto"/>
                <w:w w:val="96"/>
                <w:vertAlign w:val="superscript"/>
              </w:rPr>
              <w:t>8,</w:t>
            </w:r>
          </w:p>
        </w:tc>
        <w:tc>
          <w:tcPr>
            <w:tcW w:w="3660" w:type="dxa"/>
            <w:vAlign w:val="bottom"/>
            <w:gridSpan w:val="5"/>
            <w:vMerge w:val="restart"/>
            <w:shd w:val="clear" w:color="auto" w:fill="CCEEFF"/>
          </w:tcPr>
          <w:p>
            <w:pPr>
              <w:ind w:left="80"/>
              <w:spacing w:after="0"/>
              <w:rPr>
                <w:sz w:val="20"/>
                <w:szCs w:val="20"/>
                <w:color w:val="auto"/>
              </w:rPr>
            </w:pPr>
            <w:r>
              <w:rPr>
                <w:rFonts w:ascii="Arial" w:cs="Arial" w:eastAsia="Arial" w:hAnsi="Arial"/>
                <w:sz w:val="18"/>
                <w:szCs w:val="18"/>
                <w:color w:val="auto"/>
              </w:rPr>
              <w:t>Money Market Account</w:t>
            </w:r>
          </w:p>
        </w:tc>
        <w:tc>
          <w:tcPr>
            <w:tcW w:w="11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340" w:type="dxa"/>
            <w:vAlign w:val="bottom"/>
            <w:tcBorders>
              <w:left w:val="single" w:sz="8" w:color="CCEEFF"/>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14,268</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14,268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9</w:t>
            </w:r>
          </w:p>
        </w:tc>
        <w:tc>
          <w:tcPr>
            <w:tcW w:w="3660" w:type="dxa"/>
            <w:vAlign w:val="bottom"/>
            <w:gridSpan w:val="5"/>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340" w:type="dxa"/>
            <w:vAlign w:val="bottom"/>
            <w:tcBorders>
              <w:left w:val="single" w:sz="8" w:color="CCEEFF"/>
              <w:right w:val="single" w:sz="8" w:color="CCEEFF"/>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2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20" w:type="dxa"/>
            <w:vAlign w:val="bottom"/>
          </w:tcPr>
          <w:p>
            <w:pPr>
              <w:spacing w:after="0" w:line="269"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30"/>
                <w:szCs w:val="30"/>
                <w:color w:val="auto"/>
                <w:vertAlign w:val="superscript"/>
              </w:rPr>
              <w:t>9</w:t>
            </w:r>
          </w:p>
        </w:tc>
        <w:tc>
          <w:tcPr>
            <w:tcW w:w="3660" w:type="dxa"/>
            <w:vAlign w:val="bottom"/>
            <w:gridSpan w:val="5"/>
          </w:tcPr>
          <w:p>
            <w:pPr>
              <w:ind w:left="80"/>
              <w:spacing w:after="0"/>
              <w:rPr>
                <w:sz w:val="20"/>
                <w:szCs w:val="20"/>
                <w:color w:val="auto"/>
              </w:rPr>
            </w:pPr>
            <w:r>
              <w:rPr>
                <w:rFonts w:ascii="Arial" w:cs="Arial" w:eastAsia="Arial" w:hAnsi="Arial"/>
                <w:sz w:val="18"/>
                <w:szCs w:val="18"/>
                <w:color w:val="auto"/>
              </w:rPr>
              <w:t>Money Market Account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7,176,741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7,176,741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20" w:type="dxa"/>
            <w:vAlign w:val="bottom"/>
            <w:tcBorders>
              <w:top w:val="single" w:sz="8" w:color="CCEEFF"/>
              <w:right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Investment in Time Deposit and</w:t>
            </w: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3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left w:val="single" w:sz="8" w:color="CCEEFF"/>
              <w:right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right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Money Market Accounts</w:t>
            </w:r>
          </w:p>
        </w:tc>
        <w:tc>
          <w:tcPr>
            <w:tcW w:w="120" w:type="dxa"/>
            <w:vAlign w:val="bottom"/>
            <w:tcBorders>
              <w:right w:val="single" w:sz="8" w:color="CCEEFF"/>
            </w:tcBorders>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(4% of net asset value at fair value)</w:t>
            </w:r>
          </w:p>
        </w:tc>
        <w:tc>
          <w:tcPr>
            <w:tcW w:w="120" w:type="dxa"/>
            <w:vAlign w:val="bottom"/>
            <w:tcBorders>
              <w:right w:val="single" w:sz="8" w:color="CCEEFF"/>
            </w:tcBorders>
            <w:shd w:val="clear" w:color="auto" w:fill="CCEEFF"/>
          </w:tcPr>
          <w:p>
            <w:pPr>
              <w:spacing w:after="0"/>
              <w:rPr>
                <w:sz w:val="21"/>
                <w:szCs w:val="21"/>
                <w:color w:val="auto"/>
              </w:rPr>
            </w:pPr>
          </w:p>
        </w:tc>
        <w:tc>
          <w:tcPr>
            <w:tcW w:w="3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7,191,009</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7,191,009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20" w:type="dxa"/>
            <w:vAlign w:val="bottom"/>
          </w:tcPr>
          <w:p>
            <w:pPr>
              <w:spacing w:after="0" w:line="218" w:lineRule="exact"/>
              <w:rPr>
                <w:sz w:val="20"/>
                <w:szCs w:val="20"/>
                <w:color w:val="auto"/>
              </w:rPr>
            </w:pPr>
            <w:r>
              <w:rPr>
                <w:rFonts w:ascii="Arial" w:cs="Arial" w:eastAsia="Arial" w:hAnsi="Arial"/>
                <w:sz w:val="16"/>
                <w:szCs w:val="16"/>
                <w:b w:val="1"/>
                <w:bCs w:val="1"/>
                <w:color w:val="auto"/>
              </w:rPr>
              <w:t xml:space="preserve">Total Investments </w:t>
            </w:r>
            <w:r>
              <w:rPr>
                <w:rFonts w:ascii="Arial" w:cs="Arial" w:eastAsia="Arial" w:hAnsi="Arial"/>
                <w:sz w:val="25"/>
                <w:szCs w:val="25"/>
                <w:b w:val="1"/>
                <w:bCs w:val="1"/>
                <w:color w:val="auto"/>
                <w:vertAlign w:val="superscript"/>
              </w:rPr>
              <w:t>4</w:t>
            </w: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420" w:type="dxa"/>
            <w:vAlign w:val="bottom"/>
          </w:tcPr>
          <w:p>
            <w:pPr>
              <w:ind w:left="120"/>
              <w:spacing w:after="0"/>
              <w:rPr>
                <w:sz w:val="20"/>
                <w:szCs w:val="20"/>
                <w:color w:val="auto"/>
              </w:rPr>
            </w:pPr>
            <w:r>
              <w:rPr>
                <w:rFonts w:ascii="Arial" w:cs="Arial" w:eastAsia="Arial" w:hAnsi="Arial"/>
                <w:sz w:val="18"/>
                <w:szCs w:val="18"/>
                <w:b w:val="1"/>
                <w:bCs w:val="1"/>
                <w:color w:val="auto"/>
              </w:rPr>
              <w:t>(184% of net asset value at fair value)</w:t>
            </w:r>
          </w:p>
        </w:tc>
        <w:tc>
          <w:tcPr>
            <w:tcW w:w="12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416,914,597</w:t>
            </w:r>
          </w:p>
        </w:tc>
        <w:tc>
          <w:tcPr>
            <w:tcW w:w="10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372,830,119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904" w:right="239" w:bottom="0" w:gutter="0" w:footer="0" w:header="0"/>
        </w:sectPr>
      </w:pPr>
    </w:p>
    <w:bookmarkStart w:id="17" w:name="page18"/>
    <w:bookmarkEnd w:id="17"/>
    <w:p>
      <w:pPr>
        <w:jc w:val="center"/>
        <w:ind w:right="-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8" w:name="page19"/>
    <w:bookmarkEnd w:id="18"/>
    <w:p>
      <w:pPr>
        <w:jc w:val="both"/>
        <w:ind w:left="430" w:hanging="430"/>
        <w:spacing w:after="0" w:line="221" w:lineRule="auto"/>
        <w:tabs>
          <w:tab w:leader="none" w:pos="43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w:t>
      </w:r>
    </w:p>
    <w:p>
      <w:pPr>
        <w:spacing w:after="0" w:line="2" w:lineRule="exact"/>
        <w:rPr>
          <w:sz w:val="20"/>
          <w:szCs w:val="20"/>
          <w:color w:val="auto"/>
        </w:rPr>
      </w:pPr>
    </w:p>
    <w:p>
      <w:pPr>
        <w:ind w:left="430" w:right="120"/>
        <w:spacing w:after="0" w:line="250" w:lineRule="auto"/>
        <w:rPr>
          <w:sz w:val="20"/>
          <w:szCs w:val="20"/>
          <w:color w:val="auto"/>
        </w:rPr>
      </w:pPr>
      <w:r>
        <w:rPr>
          <w:rFonts w:ascii="Arial" w:cs="Arial" w:eastAsia="Arial" w:hAnsi="Arial"/>
          <w:sz w:val="18"/>
          <w:szCs w:val="18"/>
          <w:color w:val="auto"/>
        </w:rPr>
        <w:t>the borrower’s option. The Borrower may also elect to have multiple interest reset periods for each loan. For each such loan, the Company has provided the weighted average annual stated interest rate in effect at June 30, 2016. As noted in the table above, 80% (based on par) of debt securities contain LIBOR floors which range between 0.75% and 3.0%.</w:t>
      </w:r>
    </w:p>
    <w:p>
      <w:pPr>
        <w:ind w:left="430" w:hanging="430"/>
        <w:spacing w:after="0" w:line="181" w:lineRule="auto"/>
        <w:tabs>
          <w:tab w:leader="none" w:pos="430"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June 30, 2016, as determined by the Company’s Board of Directors.</w:t>
      </w:r>
    </w:p>
    <w:p>
      <w:pPr>
        <w:ind w:left="430" w:hanging="430"/>
        <w:spacing w:after="0" w:line="180" w:lineRule="auto"/>
        <w:tabs>
          <w:tab w:leader="none" w:pos="43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ind w:left="430" w:hanging="430"/>
        <w:spacing w:after="0" w:line="181" w:lineRule="auto"/>
        <w:tabs>
          <w:tab w:leader="none" w:pos="43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The aggregate cost of investments for federal income tax purposes is approximately $436 million. The aggregate gross unrealized appreciation is</w:t>
      </w:r>
    </w:p>
    <w:p>
      <w:pPr>
        <w:spacing w:after="0" w:line="2" w:lineRule="exact"/>
        <w:rPr>
          <w:sz w:val="20"/>
          <w:szCs w:val="20"/>
          <w:color w:val="auto"/>
        </w:rPr>
      </w:pPr>
    </w:p>
    <w:p>
      <w:pPr>
        <w:ind w:left="430" w:right="720"/>
        <w:spacing w:after="0" w:line="249" w:lineRule="auto"/>
        <w:rPr>
          <w:sz w:val="20"/>
          <w:szCs w:val="20"/>
          <w:color w:val="auto"/>
        </w:rPr>
      </w:pPr>
      <w:r>
        <w:rPr>
          <w:rFonts w:ascii="Arial" w:cs="Arial" w:eastAsia="Arial" w:hAnsi="Arial"/>
          <w:sz w:val="18"/>
          <w:szCs w:val="18"/>
          <w:color w:val="auto"/>
        </w:rPr>
        <w:t>approximately $5.5 million, the aggregate gross unrealized depreciation is approximately $68.3 million, and the net unrealized depreciation is approximately $62.9 million.</w:t>
      </w:r>
    </w:p>
    <w:p>
      <w:pPr>
        <w:ind w:left="430" w:hanging="430"/>
        <w:spacing w:after="0" w:line="181" w:lineRule="auto"/>
        <w:tabs>
          <w:tab w:leader="none" w:pos="43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Non-income producing.</w:t>
      </w:r>
    </w:p>
    <w:p>
      <w:pPr>
        <w:ind w:left="430" w:hanging="430"/>
        <w:spacing w:after="0" w:line="180" w:lineRule="auto"/>
        <w:tabs>
          <w:tab w:leader="none" w:pos="43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430" w:hanging="430"/>
        <w:spacing w:after="0" w:line="181" w:lineRule="auto"/>
        <w:tabs>
          <w:tab w:leader="none" w:pos="43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430" w:hanging="430"/>
        <w:spacing w:after="0" w:line="180" w:lineRule="auto"/>
        <w:tabs>
          <w:tab w:leader="none" w:pos="43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benefit plans.</w:t>
      </w:r>
    </w:p>
    <w:p>
      <w:pPr>
        <w:ind w:left="430" w:hanging="430"/>
        <w:spacing w:after="0" w:line="180" w:lineRule="auto"/>
        <w:tabs>
          <w:tab w:leader="none" w:pos="43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ind w:left="430" w:hanging="430"/>
        <w:spacing w:after="0" w:line="181" w:lineRule="auto"/>
        <w:tabs>
          <w:tab w:leader="none" w:pos="43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As of June 30, 2016, this investment is owned by KCAP Senior Funding I, LLC and was pledged to secure KCAP Senior Funding I, LLC’s obligation.</w:t>
      </w:r>
    </w:p>
    <w:p>
      <w:pPr>
        <w:spacing w:after="0" w:line="1" w:lineRule="exact"/>
        <w:rPr>
          <w:rFonts w:ascii="Arial" w:cs="Arial" w:eastAsia="Arial" w:hAnsi="Arial"/>
          <w:sz w:val="25"/>
          <w:szCs w:val="25"/>
          <w:color w:val="auto"/>
          <w:vertAlign w:val="superscript"/>
        </w:rPr>
      </w:pPr>
    </w:p>
    <w:p>
      <w:pPr>
        <w:ind w:left="430" w:right="80" w:hanging="430"/>
        <w:spacing w:after="0" w:line="214" w:lineRule="auto"/>
        <w:tabs>
          <w:tab w:leader="none" w:pos="43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Other than the Asset Manager Affiliate,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1" w:lineRule="exact"/>
        <w:rPr>
          <w:rFonts w:ascii="Arial" w:cs="Arial" w:eastAsia="Arial" w:hAnsi="Arial"/>
          <w:sz w:val="30"/>
          <w:szCs w:val="30"/>
          <w:color w:val="auto"/>
          <w:vertAlign w:val="superscript"/>
        </w:rPr>
      </w:pPr>
    </w:p>
    <w:p>
      <w:pPr>
        <w:ind w:left="430" w:hanging="430"/>
        <w:spacing w:after="0" w:line="180" w:lineRule="auto"/>
        <w:tabs>
          <w:tab w:leader="none" w:pos="43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Non-voting.</w:t>
      </w:r>
    </w:p>
    <w:p>
      <w:pPr>
        <w:spacing w:after="0" w:line="2" w:lineRule="exact"/>
        <w:rPr>
          <w:rFonts w:ascii="Arial" w:cs="Arial" w:eastAsia="Arial" w:hAnsi="Arial"/>
          <w:sz w:val="25"/>
          <w:szCs w:val="25"/>
          <w:color w:val="auto"/>
          <w:vertAlign w:val="superscript"/>
        </w:rPr>
      </w:pPr>
    </w:p>
    <w:p>
      <w:pPr>
        <w:jc w:val="both"/>
        <w:ind w:left="430" w:right="40" w:hanging="430"/>
        <w:spacing w:after="0" w:line="214" w:lineRule="auto"/>
        <w:tabs>
          <w:tab w:leader="none" w:pos="43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00" w:lineRule="exact"/>
        <w:rPr>
          <w:sz w:val="20"/>
          <w:szCs w:val="20"/>
          <w:color w:val="auto"/>
        </w:rPr>
      </w:pPr>
    </w:p>
    <w:p>
      <w:pPr>
        <w:spacing w:after="0" w:line="219" w:lineRule="exact"/>
        <w:rPr>
          <w:sz w:val="20"/>
          <w:szCs w:val="20"/>
          <w:color w:val="auto"/>
        </w:rPr>
      </w:pPr>
    </w:p>
    <w:p>
      <w:pPr>
        <w:jc w:val="center"/>
        <w:ind w:right="-2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0"/>
          </w:cols>
          <w:pgMar w:left="270" w:top="908" w:right="279" w:bottom="1440" w:gutter="0" w:footer="0" w:header="0"/>
        </w:sectPr>
      </w:pPr>
    </w:p>
    <w:bookmarkStart w:id="19" w:name="page20"/>
    <w:bookmarkEnd w:id="19"/>
    <w:p>
      <w:pPr>
        <w:jc w:val="center"/>
        <w:ind w:left="420"/>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ind w:left="420"/>
        <w:spacing w:after="0"/>
        <w:rPr>
          <w:sz w:val="20"/>
          <w:szCs w:val="20"/>
          <w:color w:val="auto"/>
        </w:rPr>
      </w:pPr>
      <w:r>
        <w:rPr>
          <w:rFonts w:ascii="Arial" w:cs="Arial" w:eastAsia="Arial" w:hAnsi="Arial"/>
          <w:sz w:val="18"/>
          <w:szCs w:val="18"/>
          <w:b w:val="1"/>
          <w:bCs w:val="1"/>
          <w:color w:val="auto"/>
        </w:rPr>
        <w:t>As of December 31,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38" w:orient="portrait"/>
          <w:cols w:equalWidth="0" w:num="1">
            <w:col w:w="11320"/>
          </w:cols>
          <w:pgMar w:left="240" w:top="904" w:right="339" w:bottom="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208" w:lineRule="auto"/>
        <w:rPr>
          <w:sz w:val="20"/>
          <w:szCs w:val="20"/>
          <w:color w:val="auto"/>
        </w:rPr>
      </w:pPr>
      <w:r>
        <w:rPr>
          <w:rFonts w:ascii="Arial" w:cs="Arial" w:eastAsia="Arial" w:hAnsi="Arial"/>
          <w:sz w:val="18"/>
          <w:szCs w:val="18"/>
          <w:color w:val="auto"/>
        </w:rPr>
        <w:t>1A Smart Start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4L Technologies Inc. (fka Clover Holdings,</w:t>
      </w:r>
    </w:p>
    <w:p>
      <w:pPr>
        <w:ind w:left="180"/>
        <w:spacing w:after="0" w:line="184" w:lineRule="auto"/>
        <w:rPr>
          <w:sz w:val="20"/>
          <w:szCs w:val="20"/>
          <w:color w:val="auto"/>
        </w:rPr>
      </w:pPr>
      <w:r>
        <w:rPr>
          <w:rFonts w:ascii="Arial" w:cs="Arial" w:eastAsia="Arial" w:hAnsi="Arial"/>
          <w:sz w:val="33"/>
          <w:szCs w:val="33"/>
          <w:color w:val="auto"/>
          <w:vertAlign w:val="subscript"/>
        </w:rPr>
        <w:t>Inc.)</w:t>
      </w:r>
      <w:r>
        <w:rPr>
          <w:rFonts w:ascii="Arial" w:cs="Arial" w:eastAsia="Arial" w:hAnsi="Arial"/>
          <w:sz w:val="14"/>
          <w:szCs w:val="14"/>
          <w:color w:val="auto"/>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214" w:lineRule="auto"/>
        <w:rPr>
          <w:sz w:val="20"/>
          <w:szCs w:val="20"/>
          <w:color w:val="auto"/>
        </w:rPr>
      </w:pPr>
      <w:r>
        <w:rPr>
          <w:rFonts w:ascii="Arial" w:cs="Arial" w:eastAsia="Arial" w:hAnsi="Arial"/>
          <w:sz w:val="16"/>
          <w:szCs w:val="16"/>
          <w:color w:val="auto"/>
        </w:rPr>
        <w:t>Advanced Lighting Technologies, Inc.</w:t>
      </w:r>
      <w:r>
        <w:rPr>
          <w:rFonts w:ascii="Arial" w:cs="Arial" w:eastAsia="Arial" w:hAnsi="Arial"/>
          <w:sz w:val="26"/>
          <w:szCs w:val="26"/>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Advantage Sales &amp; Marketing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Alere Inc. (fka IM US Holdings, LLC)</w:t>
      </w:r>
      <w:r>
        <w:rPr>
          <w:rFonts w:ascii="Arial" w:cs="Arial" w:eastAsia="Arial" w:hAnsi="Arial"/>
          <w:sz w:val="30"/>
          <w:szCs w:val="30"/>
          <w:color w:val="auto"/>
          <w:vertAlign w:val="superscript"/>
        </w:rPr>
        <w:t>(10)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American Seafoods Group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Anaren,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388" w:lineRule="exact"/>
        <w:rPr>
          <w:sz w:val="20"/>
          <w:szCs w:val="20"/>
          <w:color w:val="auto"/>
        </w:rPr>
      </w:pPr>
    </w:p>
    <w:p>
      <w:pPr>
        <w:jc w:val="right"/>
        <w:ind w:right="920"/>
        <w:spacing w:after="0" w:line="255" w:lineRule="auto"/>
        <w:rPr>
          <w:sz w:val="20"/>
          <w:szCs w:val="20"/>
          <w:color w:val="auto"/>
        </w:rPr>
      </w:pPr>
      <w:r>
        <w:rPr>
          <w:rFonts w:ascii="Arial" w:cs="Arial" w:eastAsia="Arial" w:hAnsi="Arial"/>
          <w:sz w:val="16"/>
          <w:szCs w:val="16"/>
          <w:color w:val="auto"/>
        </w:rPr>
        <w:t>Aristotle Corporation, The</w:t>
      </w:r>
      <w:r>
        <w:rPr>
          <w:rFonts w:ascii="Arial" w:cs="Arial" w:eastAsia="Arial" w:hAnsi="Arial"/>
          <w:sz w:val="25"/>
          <w:szCs w:val="25"/>
          <w:color w:val="auto"/>
          <w:vertAlign w:val="superscript"/>
        </w:rPr>
        <w:t>(9), (10)</w:t>
      </w:r>
      <w:r>
        <w:rPr>
          <w:rFonts w:ascii="Arial" w:cs="Arial" w:eastAsia="Arial" w:hAnsi="Arial"/>
          <w:sz w:val="16"/>
          <w:szCs w:val="16"/>
          <w:color w:val="auto"/>
        </w:rPr>
        <w:t xml:space="preserve"> </w:t>
      </w:r>
      <w:r>
        <w:rPr>
          <w:rFonts w:ascii="Arial" w:cs="Arial" w:eastAsia="Arial" w:hAnsi="Arial"/>
          <w:sz w:val="16"/>
          <w:szCs w:val="16"/>
          <w:i w:val="1"/>
          <w:iCs w:val="1"/>
          <w:color w:val="auto"/>
        </w:rPr>
        <w:t>Consumer goods: Non-durable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Asurion, LLC (fka Asurion Corporation)</w:t>
      </w:r>
      <w:r>
        <w:rPr>
          <w:rFonts w:ascii="Arial" w:cs="Arial" w:eastAsia="Arial" w:hAnsi="Arial"/>
          <w:sz w:val="28"/>
          <w:szCs w:val="28"/>
          <w:color w:val="auto"/>
          <w:vertAlign w:val="superscript"/>
        </w:rPr>
        <w:t>(9),</w:t>
      </w:r>
    </w:p>
    <w:p>
      <w:pPr>
        <w:ind w:left="180"/>
        <w:spacing w:after="0"/>
        <w:rPr>
          <w:sz w:val="20"/>
          <w:szCs w:val="20"/>
          <w:color w:val="auto"/>
        </w:rPr>
      </w:pPr>
      <w:r>
        <w:rPr>
          <w:rFonts w:ascii="Arial" w:cs="Arial" w:eastAsia="Arial" w:hAnsi="Arial"/>
          <w:sz w:val="15"/>
          <w:szCs w:val="15"/>
          <w:color w:val="auto"/>
        </w:rPr>
        <w:t>(10)</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Banking, Finance, Insurance &amp; Real Estate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Asurion, LLC (fka Asurion Corporation)</w:t>
      </w:r>
      <w:r>
        <w:rPr>
          <w:rFonts w:ascii="Arial" w:cs="Arial" w:eastAsia="Arial" w:hAnsi="Arial"/>
          <w:sz w:val="28"/>
          <w:szCs w:val="28"/>
          <w:color w:val="auto"/>
          <w:vertAlign w:val="superscript"/>
        </w:rPr>
        <w:t>(9),</w:t>
      </w:r>
    </w:p>
    <w:p>
      <w:pPr>
        <w:ind w:left="180"/>
        <w:spacing w:after="0"/>
        <w:rPr>
          <w:sz w:val="20"/>
          <w:szCs w:val="20"/>
          <w:color w:val="auto"/>
        </w:rPr>
      </w:pPr>
      <w:r>
        <w:rPr>
          <w:rFonts w:ascii="Arial" w:cs="Arial" w:eastAsia="Arial" w:hAnsi="Arial"/>
          <w:sz w:val="15"/>
          <w:szCs w:val="15"/>
          <w:color w:val="auto"/>
        </w:rPr>
        <w:t>(10)</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Banking, Finance, Insurance &amp; Real Estate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Avalign Technologies,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88" w:lineRule="exact"/>
        <w:rPr>
          <w:sz w:val="20"/>
          <w:szCs w:val="20"/>
          <w:color w:val="auto"/>
        </w:rPr>
      </w:pPr>
    </w:p>
    <w:p>
      <w:pPr>
        <w:jc w:val="right"/>
        <w:ind w:right="900"/>
        <w:spacing w:after="0" w:line="288" w:lineRule="auto"/>
        <w:rPr>
          <w:sz w:val="20"/>
          <w:szCs w:val="20"/>
          <w:color w:val="auto"/>
        </w:rPr>
      </w:pPr>
      <w:r>
        <w:rPr>
          <w:rFonts w:ascii="Arial" w:cs="Arial" w:eastAsia="Arial" w:hAnsi="Arial"/>
          <w:sz w:val="15"/>
          <w:szCs w:val="15"/>
          <w:color w:val="auto"/>
        </w:rPr>
        <w:t>Avalign Technologies, Inc.</w:t>
      </w:r>
      <w:r>
        <w:rPr>
          <w:rFonts w:ascii="Arial" w:cs="Arial" w:eastAsia="Arial" w:hAnsi="Arial"/>
          <w:sz w:val="24"/>
          <w:szCs w:val="24"/>
          <w:color w:val="auto"/>
          <w:vertAlign w:val="superscript"/>
        </w:rPr>
        <w:t>(9), (10)</w:t>
      </w:r>
      <w:r>
        <w:rPr>
          <w:rFonts w:ascii="Arial" w:cs="Arial" w:eastAsia="Arial" w:hAnsi="Arial"/>
          <w:sz w:val="15"/>
          <w:szCs w:val="15"/>
          <w:color w:val="auto"/>
        </w:rPr>
        <w:t xml:space="preserve"> </w:t>
      </w:r>
      <w:r>
        <w:rPr>
          <w:rFonts w:ascii="Arial" w:cs="Arial" w:eastAsia="Arial" w:hAnsi="Arial"/>
          <w:sz w:val="15"/>
          <w:szCs w:val="15"/>
          <w:i w:val="1"/>
          <w:iCs w:val="1"/>
          <w:color w:val="auto"/>
        </w:rPr>
        <w:t>Healthcare &amp; Pharmaceuticals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Bankruptcy Management Solutions, Inc.</w:t>
      </w:r>
      <w:r>
        <w:rPr>
          <w:rFonts w:ascii="Arial" w:cs="Arial" w:eastAsia="Arial" w:hAnsi="Arial"/>
          <w:sz w:val="28"/>
          <w:szCs w:val="28"/>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BarBri, Inc. (Gemini Holdings, Inc.)</w:t>
      </w:r>
      <w:r>
        <w:rPr>
          <w:rFonts w:ascii="Arial" w:cs="Arial" w:eastAsia="Arial" w:hAnsi="Arial"/>
          <w:sz w:val="28"/>
          <w:szCs w:val="28"/>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Services: Consumer</w:t>
      </w:r>
    </w:p>
    <w:p>
      <w:pPr>
        <w:spacing w:after="0" w:line="172" w:lineRule="exact"/>
        <w:rPr>
          <w:sz w:val="20"/>
          <w:szCs w:val="20"/>
          <w:color w:val="auto"/>
        </w:rPr>
      </w:pPr>
    </w:p>
    <w:p>
      <w:pPr>
        <w:ind w:left="180" w:right="360" w:hanging="172"/>
        <w:spacing w:after="0" w:line="180" w:lineRule="auto"/>
        <w:tabs>
          <w:tab w:leader="none" w:pos="405"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Industries US Holdings, Inc.</w:t>
      </w:r>
      <w:r>
        <w:rPr>
          <w:rFonts w:ascii="Arial" w:cs="Arial" w:eastAsia="Arial" w:hAnsi="Arial"/>
          <w:sz w:val="28"/>
          <w:szCs w:val="28"/>
          <w:color w:val="auto"/>
          <w:vertAlign w:val="superscript"/>
        </w:rPr>
        <w:t>(9), (10)</w:t>
      </w:r>
      <w:r>
        <w:rPr>
          <w:rFonts w:ascii="Arial" w:cs="Arial" w:eastAsia="Arial" w:hAnsi="Arial"/>
          <w:sz w:val="17"/>
          <w:szCs w:val="17"/>
          <w:color w:val="auto"/>
        </w:rPr>
        <w:t xml:space="preserve"> </w:t>
      </w:r>
      <w:r>
        <w:rPr>
          <w:rFonts w:ascii="Arial" w:cs="Arial" w:eastAsia="Arial" w:hAnsi="Arial"/>
          <w:sz w:val="17"/>
          <w:szCs w:val="17"/>
          <w:i w:val="1"/>
          <w:iCs w:val="1"/>
          <w:color w:val="auto"/>
        </w:rPr>
        <w:t>Automotive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Bellisio Foods,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Bestop,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ind w:left="72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Initial</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2/22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2,971,523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2,903,100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2,744,921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2,596,059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 Bond — 10.5%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06/2019 – 00753CAE2</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10.5% Cash, Due 6/19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2,216,700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1,002,069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915,700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B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2,553,466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2,555,910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2,536,179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3,971,219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3,937,332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2/21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1,891,210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1,877,288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1,839,202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3,961,696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3,870,152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Incremental Tranche B-1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5/19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917,632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918,953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862,290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Incremental Tranche B-4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8/22</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896,048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891,815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821,676</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9.3%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990,643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952,400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2,925,000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2,911,472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2,831,108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6/18</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682,722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682,722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651,590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2,731,875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2,723,758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2,542,829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2,977,500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2,927,766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2,833,985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U.S. Term B</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8/19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1,936,011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1,929,952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1,886,836</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Revolving</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7/20</w:t>
            </w: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34,509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-7546340</wp:posOffset>
            </wp:positionV>
            <wp:extent cx="7246620" cy="411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-6585585</wp:posOffset>
            </wp:positionV>
            <wp:extent cx="724662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-5624830</wp:posOffset>
            </wp:positionV>
            <wp:extent cx="7246620" cy="548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-4664710</wp:posOffset>
            </wp:positionV>
            <wp:extent cx="7246620" cy="548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-3566795</wp:posOffset>
            </wp:positionV>
            <wp:extent cx="7246620" cy="548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-2468880</wp:posOffset>
            </wp:positionV>
            <wp:extent cx="7246620" cy="411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-1645920</wp:posOffset>
            </wp:positionV>
            <wp:extent cx="7246620" cy="548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-548005</wp:posOffset>
            </wp:positionV>
            <wp:extent cx="7246620" cy="548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-8540750</wp:posOffset>
            </wp:positionV>
            <wp:extent cx="7246620" cy="557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ectPr>
          <w:pgSz w:w="11900" w:h="16838" w:orient="portrait"/>
          <w:cols w:equalWidth="0" w:num="2">
            <w:col w:w="3340" w:space="220"/>
            <w:col w:w="7760"/>
          </w:cols>
          <w:pgMar w:left="240" w:top="904" w:right="339" w:bottom="0" w:gutter="0" w:footer="0" w:header="0"/>
          <w:type w:val="continuous"/>
        </w:sectPr>
      </w:pPr>
    </w:p>
    <w:bookmarkStart w:id="20" w:name="page21"/>
    <w:bookmarkEnd w:id="20"/>
    <w:p>
      <w:pPr>
        <w:ind w:left="3020"/>
        <w:spacing w:after="0"/>
        <w:rPr>
          <w:sz w:val="20"/>
          <w:szCs w:val="20"/>
          <w:color w:val="auto"/>
        </w:rPr>
      </w:pPr>
      <w:r>
        <w:rPr>
          <w:rFonts w:ascii="Arial" w:cs="Arial" w:eastAsia="Arial" w:hAnsi="Arial"/>
          <w:sz w:val="16"/>
          <w:szCs w:val="16"/>
          <w:color w:val="auto"/>
        </w:rPr>
        <w:t>See accompanying notes to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1" w:name="page22"/>
    <w:bookmarkEnd w:id="21"/>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208" w:lineRule="auto"/>
        <w:rPr>
          <w:sz w:val="20"/>
          <w:szCs w:val="20"/>
          <w:color w:val="auto"/>
        </w:rPr>
      </w:pPr>
      <w:r>
        <w:rPr>
          <w:rFonts w:ascii="Arial" w:cs="Arial" w:eastAsia="Arial" w:hAnsi="Arial"/>
          <w:sz w:val="18"/>
          <w:szCs w:val="18"/>
          <w:color w:val="auto"/>
        </w:rPr>
        <w:t>Bestop,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Carolina Beverage Group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CCS Intermediate Holdings,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Cengage Learning Acquisitions, Inc. (fka TL</w:t>
      </w:r>
    </w:p>
    <w:p>
      <w:pPr>
        <w:ind w:left="180"/>
        <w:spacing w:after="0" w:line="203" w:lineRule="auto"/>
        <w:rPr>
          <w:sz w:val="20"/>
          <w:szCs w:val="20"/>
          <w:color w:val="auto"/>
        </w:rPr>
      </w:pPr>
      <w:r>
        <w:rPr>
          <w:rFonts w:ascii="Arial" w:cs="Arial" w:eastAsia="Arial" w:hAnsi="Arial"/>
          <w:sz w:val="18"/>
          <w:szCs w:val="18"/>
          <w:color w:val="auto"/>
        </w:rPr>
        <w:t>Acquisitions,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Charter Communications Operating, LLC (aka</w:t>
      </w:r>
    </w:p>
    <w:p>
      <w:pPr>
        <w:ind w:left="180"/>
        <w:spacing w:after="0" w:line="202" w:lineRule="auto"/>
        <w:rPr>
          <w:sz w:val="20"/>
          <w:szCs w:val="20"/>
          <w:color w:val="auto"/>
        </w:rPr>
      </w:pPr>
      <w:r>
        <w:rPr>
          <w:rFonts w:ascii="Arial" w:cs="Arial" w:eastAsia="Arial" w:hAnsi="Arial"/>
          <w:sz w:val="18"/>
          <w:szCs w:val="18"/>
          <w:color w:val="auto"/>
        </w:rPr>
        <w:t>CCO Safari LLC)</w:t>
      </w:r>
      <w:r>
        <w:rPr>
          <w:rFonts w:ascii="Arial" w:cs="Arial" w:eastAsia="Arial" w:hAnsi="Arial"/>
          <w:sz w:val="30"/>
          <w:szCs w:val="30"/>
          <w:color w:val="auto"/>
          <w:vertAlign w:val="superscript"/>
        </w:rPr>
        <w:t>(10)</w:t>
      </w: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Checkout Holding Corp. (fka Catalina</w:t>
      </w:r>
    </w:p>
    <w:p>
      <w:pPr>
        <w:ind w:left="180"/>
        <w:spacing w:after="0" w:line="186" w:lineRule="auto"/>
        <w:rPr>
          <w:sz w:val="20"/>
          <w:szCs w:val="20"/>
          <w:color w:val="auto"/>
        </w:rPr>
      </w:pPr>
      <w:r>
        <w:rPr>
          <w:rFonts w:ascii="Arial" w:cs="Arial" w:eastAsia="Arial" w:hAnsi="Arial"/>
          <w:sz w:val="18"/>
          <w:szCs w:val="18"/>
          <w:color w:val="auto"/>
        </w:rPr>
        <w:t>Marketing)</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CHS/Community Health Systems, Inc.</w:t>
      </w:r>
      <w:r>
        <w:rPr>
          <w:rFonts w:ascii="Arial" w:cs="Arial" w:eastAsia="Arial" w:hAnsi="Arial"/>
          <w:sz w:val="28"/>
          <w:szCs w:val="28"/>
          <w:color w:val="auto"/>
          <w:vertAlign w:val="superscript"/>
        </w:rPr>
        <w:t>(10)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Consolidated Communications, Inc.</w:t>
      </w:r>
      <w:r>
        <w:rPr>
          <w:rFonts w:ascii="Arial" w:cs="Arial" w:eastAsia="Arial" w:hAnsi="Arial"/>
          <w:sz w:val="30"/>
          <w:szCs w:val="30"/>
          <w:color w:val="auto"/>
          <w:vertAlign w:val="superscript"/>
        </w:rPr>
        <w:t>(10)</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CRGT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Crowley Holdings Preferred,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Crowne Group,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CSM Bakery Solutions Limited (fka CSM</w:t>
      </w:r>
    </w:p>
    <w:p>
      <w:pPr>
        <w:ind w:left="180"/>
        <w:spacing w:after="0" w:line="195" w:lineRule="auto"/>
        <w:rPr>
          <w:sz w:val="20"/>
          <w:szCs w:val="20"/>
          <w:color w:val="auto"/>
        </w:rPr>
      </w:pPr>
      <w:r>
        <w:rPr>
          <w:rFonts w:ascii="Arial" w:cs="Arial" w:eastAsia="Arial" w:hAnsi="Arial"/>
          <w:sz w:val="18"/>
          <w:szCs w:val="18"/>
          <w:color w:val="auto"/>
        </w:rPr>
        <w:t>Bakery Supplies Limited)</w:t>
      </w:r>
      <w:r>
        <w:rPr>
          <w:rFonts w:ascii="Arial" w:cs="Arial" w:eastAsia="Arial" w:hAnsi="Arial"/>
          <w:sz w:val="30"/>
          <w:szCs w:val="30"/>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169" w:lineRule="exact"/>
        <w:rPr>
          <w:sz w:val="20"/>
          <w:szCs w:val="20"/>
          <w:color w:val="auto"/>
        </w:rPr>
      </w:pPr>
    </w:p>
    <w:p>
      <w:pPr>
        <w:ind w:left="180" w:right="40" w:hanging="179"/>
        <w:spacing w:after="0" w:line="242" w:lineRule="auto"/>
        <w:rPr>
          <w:sz w:val="20"/>
          <w:szCs w:val="20"/>
          <w:color w:val="auto"/>
        </w:rPr>
      </w:pPr>
      <w:r>
        <w:rPr>
          <w:rFonts w:ascii="Arial" w:cs="Arial" w:eastAsia="Arial" w:hAnsi="Arial"/>
          <w:sz w:val="16"/>
          <w:szCs w:val="16"/>
          <w:color w:val="auto"/>
        </w:rPr>
        <w:t>CT Technologies Intermediate Holdings, Inc. (Smart Holdings Corp.) (aka HealthPort)</w:t>
      </w:r>
      <w:r>
        <w:rPr>
          <w:rFonts w:ascii="Arial" w:cs="Arial" w:eastAsia="Arial" w:hAnsi="Arial"/>
          <w:sz w:val="26"/>
          <w:szCs w:val="26"/>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95" w:lineRule="auto"/>
        <w:rPr>
          <w:sz w:val="20"/>
          <w:szCs w:val="20"/>
          <w:color w:val="auto"/>
        </w:rPr>
      </w:pPr>
      <w:r>
        <w:rPr>
          <w:rFonts w:ascii="Arial" w:cs="Arial" w:eastAsia="Arial" w:hAnsi="Arial"/>
          <w:sz w:val="18"/>
          <w:szCs w:val="18"/>
          <w:color w:val="auto"/>
        </w:rPr>
        <w:t>DBI Holding LLC</w:t>
      </w:r>
      <w:r>
        <w:rPr>
          <w:rFonts w:ascii="Arial" w:cs="Arial" w:eastAsia="Arial" w:hAnsi="Arial"/>
          <w:sz w:val="30"/>
          <w:szCs w:val="30"/>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DBI Holding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DJO Finance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Drew Marine Group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ELO Touch Solutions,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ind w:left="72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Term Loan</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1,580,000</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1,557,976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1,460,868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Bond — 10.625%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08/2018 – 143818AA0 144A</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10.6% Cash, Due 8/18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1,510,560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1,503,752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2,950,638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2,549,824</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3/20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2,979,950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2,974,534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2,912,901</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I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3.5% Cash, 0.8%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1/23</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1,001,223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1,000,420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4/21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985,000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981,284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792,925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Incremental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2021 Term H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1,994,987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1,992,571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1,967,915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2,962,217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2,971,404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2,947,421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3,912,342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3,861,177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3,750,762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Preferred Stock — 12.000%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12/2049 – Series A Income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Preferred Securities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10.0% Cash, 2.0% PIK, Due 12/49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10,411,673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10,411,673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11,036,373</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9/20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3,902,980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3,664,810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8.8%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3,013,843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2,827,500</w:t>
            </w:r>
          </w:p>
        </w:tc>
        <w:tc>
          <w:tcPr>
            <w:tcW w:w="0" w:type="dxa"/>
            <w:vAlign w:val="bottom"/>
          </w:tcPr>
          <w:p>
            <w:pPr>
              <w:spacing w:after="0"/>
              <w:rPr>
                <w:sz w:val="1"/>
                <w:szCs w:val="1"/>
                <w:color w:val="auto"/>
              </w:rPr>
            </w:pPr>
          </w:p>
        </w:tc>
      </w:tr>
      <w:tr>
        <w:trPr>
          <w:trHeight w:val="445"/>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2,970,075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2,942,705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2,877,260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Unsecured Bond — 09/2019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PIK Note 0.0% Cash, 16.0% PIK,</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9/19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4,043,719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3,859,845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4,043,722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Subordinated Bond — 09/2019</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 Senior Subordinated Note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12.0% Cash, 4.0% PIK, Due 9/19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4,481,135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4,466,793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4,615,571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1,490,906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1,464,375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8.0%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2,495,491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2,495,000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8.0% Cash, 1.5%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60" w:type="dxa"/>
            <w:vAlign w:val="bottom"/>
            <w:gridSpan w:val="2"/>
          </w:tcPr>
          <w:p>
            <w:pPr>
              <w:spacing w:after="0"/>
              <w:rPr>
                <w:sz w:val="20"/>
                <w:szCs w:val="20"/>
                <w:color w:val="auto"/>
              </w:rPr>
            </w:pPr>
            <w:r>
              <w:rPr>
                <w:rFonts w:ascii="Arial" w:cs="Arial" w:eastAsia="Arial" w:hAnsi="Arial"/>
                <w:sz w:val="18"/>
                <w:szCs w:val="18"/>
                <w:color w:val="auto"/>
              </w:rPr>
              <w:t>Due 6/18</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1,552,326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1,507,787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1,546,893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-8162290</wp:posOffset>
            </wp:positionV>
            <wp:extent cx="7246620" cy="548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-7176135</wp:posOffset>
            </wp:positionV>
            <wp:extent cx="7246620" cy="437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-6189980</wp:posOffset>
            </wp:positionV>
            <wp:extent cx="7246620" cy="548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-5092065</wp:posOffset>
            </wp:positionV>
            <wp:extent cx="7246620" cy="411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-4131945</wp:posOffset>
            </wp:positionV>
            <wp:extent cx="7246620" cy="548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-3034030</wp:posOffset>
            </wp:positionV>
            <wp:extent cx="7246620" cy="5657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56578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-2056130</wp:posOffset>
            </wp:positionV>
            <wp:extent cx="7246620"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-1096010</wp:posOffset>
            </wp:positionV>
            <wp:extent cx="7246620" cy="548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-8994140</wp:posOffset>
            </wp:positionV>
            <wp:extent cx="7246620" cy="420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80" w:space="180"/>
            <w:col w:w="7860"/>
          </w:cols>
          <w:pgMar w:left="240" w:top="904" w:right="239" w:bottom="0" w:gutter="0" w:footer="0" w:header="0"/>
        </w:sectPr>
      </w:pPr>
    </w:p>
    <w:tbl>
      <w:tblPr>
        <w:tblLayout w:type="fixed"/>
        <w:tblInd w:w="0" w:type="dxa"/>
        <w:tblCellMar>
          <w:top w:w="0" w:type="dxa"/>
          <w:left w:w="0" w:type="dxa"/>
          <w:bottom w:w="0" w:type="dxa"/>
          <w:right w:w="0" w:type="dxa"/>
        </w:tblCellMar>
      </w:tblPr>
      <w:tr>
        <w:trPr>
          <w:trHeight w:val="204"/>
        </w:trPr>
        <w:tc>
          <w:tcPr>
            <w:tcW w:w="34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w w:val="99"/>
              </w:rPr>
              <w:t>EWT Holdings III Corp. (fka WTG Holdings</w:t>
            </w:r>
          </w:p>
        </w:tc>
        <w:tc>
          <w:tcPr>
            <w:tcW w:w="3460" w:type="dxa"/>
            <w:vAlign w:val="bottom"/>
            <w:shd w:val="clear" w:color="auto" w:fill="CCEEFF"/>
          </w:tcPr>
          <w:p>
            <w:pPr>
              <w:ind w:left="140"/>
              <w:spacing w:after="0" w:line="204" w:lineRule="exact"/>
              <w:rPr>
                <w:sz w:val="20"/>
                <w:szCs w:val="20"/>
                <w:color w:val="auto"/>
              </w:rPr>
            </w:pPr>
            <w:r>
              <w:rPr>
                <w:rFonts w:ascii="Arial" w:cs="Arial" w:eastAsia="Arial" w:hAnsi="Arial"/>
                <w:sz w:val="18"/>
                <w:szCs w:val="18"/>
                <w:color w:val="auto"/>
              </w:rPr>
              <w:t>Junior Secured Loan — Term Loan</w:t>
            </w:r>
          </w:p>
        </w:tc>
        <w:tc>
          <w:tcPr>
            <w:tcW w:w="18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180"/>
              <w:spacing w:after="0" w:line="217" w:lineRule="exact"/>
              <w:rPr>
                <w:sz w:val="20"/>
                <w:szCs w:val="20"/>
                <w:color w:val="auto"/>
              </w:rPr>
            </w:pPr>
            <w:r>
              <w:rPr>
                <w:rFonts w:ascii="Arial" w:cs="Arial" w:eastAsia="Arial" w:hAnsi="Arial"/>
                <w:sz w:val="16"/>
                <w:szCs w:val="16"/>
                <w:color w:val="auto"/>
              </w:rPr>
              <w:t>III Corp.)</w:t>
            </w:r>
            <w:r>
              <w:rPr>
                <w:rFonts w:ascii="Arial" w:cs="Arial" w:eastAsia="Arial" w:hAnsi="Arial"/>
                <w:sz w:val="25"/>
                <w:szCs w:val="25"/>
                <w:color w:val="auto"/>
                <w:vertAlign w:val="superscript"/>
              </w:rPr>
              <w:t>(9)</w:t>
            </w:r>
          </w:p>
        </w:tc>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Lien)</w:t>
            </w:r>
          </w:p>
        </w:tc>
        <w:tc>
          <w:tcPr>
            <w:tcW w:w="1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Environmental Industries</w:t>
            </w:r>
          </w:p>
        </w:tc>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8.5% Cash, 1.0% Libor Floor,</w:t>
            </w:r>
          </w:p>
        </w:tc>
        <w:tc>
          <w:tcPr>
            <w:tcW w:w="18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4,000,000</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3,984,890</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3,658,400</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19"/>
                <w:szCs w:val="19"/>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Due 1/22</w:t>
            </w:r>
          </w:p>
        </w:tc>
        <w:tc>
          <w:tcPr>
            <w:tcW w:w="188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0" w:gutter="0" w:footer="0" w:header="0"/>
          <w:type w:val="continuous"/>
        </w:sectPr>
      </w:pPr>
    </w:p>
    <w:bookmarkStart w:id="22" w:name="page23"/>
    <w:bookmarkEnd w:id="22"/>
    <w:p>
      <w:pPr>
        <w:ind w:left="3020"/>
        <w:spacing w:after="0"/>
        <w:rPr>
          <w:sz w:val="20"/>
          <w:szCs w:val="20"/>
          <w:color w:val="auto"/>
        </w:rPr>
      </w:pPr>
      <w:r>
        <w:rPr>
          <w:rFonts w:ascii="Arial" w:cs="Arial" w:eastAsia="Arial" w:hAnsi="Arial"/>
          <w:sz w:val="16"/>
          <w:szCs w:val="16"/>
          <w:color w:val="auto"/>
        </w:rPr>
        <w:t>See accompanying notes to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3" w:name="page24"/>
    <w:bookmarkEnd w:id="23"/>
    <w:p>
      <w:pPr>
        <w:spacing w:after="0" w:line="25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b w:val="1"/>
          <w:bCs w:val="1"/>
          <w:color w:val="auto"/>
        </w:rPr>
        <w:t xml:space="preserve">Portfolio Company/Principal Business </w:t>
      </w:r>
      <w:r>
        <w:rPr>
          <w:rFonts w:ascii="Arial" w:cs="Arial" w:eastAsia="Arial" w:hAnsi="Arial"/>
          <w:sz w:val="16"/>
          <w:szCs w:val="16"/>
          <w:color w:val="auto"/>
        </w:rPr>
        <w:t>Fender Musical Instruments Corporation</w:t>
      </w:r>
      <w:r>
        <w:rPr>
          <w:rFonts w:ascii="Arial" w:cs="Arial" w:eastAsia="Arial" w:hAnsi="Arial"/>
          <w:sz w:val="26"/>
          <w:szCs w:val="26"/>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195" w:lineRule="auto"/>
        <w:rPr>
          <w:sz w:val="20"/>
          <w:szCs w:val="20"/>
          <w:color w:val="auto"/>
        </w:rPr>
      </w:pPr>
      <w:r>
        <w:rPr>
          <w:rFonts w:ascii="Arial" w:cs="Arial" w:eastAsia="Arial" w:hAnsi="Arial"/>
          <w:sz w:val="18"/>
          <w:szCs w:val="18"/>
          <w:color w:val="auto"/>
        </w:rPr>
        <w:t>FHC Health Systems,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88" w:lineRule="exact"/>
        <w:rPr>
          <w:sz w:val="20"/>
          <w:szCs w:val="20"/>
          <w:color w:val="auto"/>
        </w:rPr>
      </w:pPr>
    </w:p>
    <w:p>
      <w:pPr>
        <w:ind w:left="180" w:right="40" w:hanging="179"/>
        <w:spacing w:after="0"/>
        <w:rPr>
          <w:sz w:val="20"/>
          <w:szCs w:val="20"/>
          <w:color w:val="auto"/>
        </w:rPr>
      </w:pPr>
      <w:r>
        <w:rPr>
          <w:rFonts w:ascii="Arial" w:cs="Arial" w:eastAsia="Arial" w:hAnsi="Arial"/>
          <w:sz w:val="16"/>
          <w:szCs w:val="16"/>
          <w:color w:val="auto"/>
        </w:rPr>
        <w:t>First American Payment Systems, L.P.</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w:t>
      </w:r>
      <w:r>
        <w:rPr>
          <w:rFonts w:ascii="Arial" w:cs="Arial" w:eastAsia="Arial" w:hAnsi="Arial"/>
          <w:sz w:val="16"/>
          <w:szCs w:val="16"/>
          <w:i w:val="1"/>
          <w:iCs w:val="1"/>
          <w:color w:val="auto"/>
        </w:rPr>
        <w:t>Banking, Finance, Insurance &amp; Real Estate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Getty Images,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GI Advo Opco,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GI Advo Opco,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GK Holdings, Inc. (aka Global Knowledge)</w:t>
      </w:r>
      <w:r>
        <w:rPr>
          <w:rFonts w:ascii="Arial" w:cs="Arial" w:eastAsia="Arial" w:hAnsi="Arial"/>
          <w:sz w:val="26"/>
          <w:szCs w:val="26"/>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GK Holdings, Inc. (aka Global Knowledge)</w:t>
      </w:r>
      <w:r>
        <w:rPr>
          <w:rFonts w:ascii="Arial" w:cs="Arial" w:eastAsia="Arial" w:hAnsi="Arial"/>
          <w:sz w:val="26"/>
          <w:szCs w:val="26"/>
          <w:color w:val="auto"/>
          <w:vertAlign w:val="superscript"/>
        </w:rPr>
        <w:t>(9),</w:t>
      </w:r>
    </w:p>
    <w:p>
      <w:pPr>
        <w:ind w:left="180"/>
        <w:spacing w:after="0"/>
        <w:rPr>
          <w:sz w:val="20"/>
          <w:szCs w:val="20"/>
          <w:color w:val="auto"/>
        </w:rPr>
      </w:pPr>
      <w:r>
        <w:rPr>
          <w:rFonts w:ascii="Arial" w:cs="Arial" w:eastAsia="Arial" w:hAnsi="Arial"/>
          <w:sz w:val="15"/>
          <w:szCs w:val="15"/>
          <w:color w:val="auto"/>
        </w:rPr>
        <w:t>(10)</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Global Tel*Link Corporation</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381" w:lineRule="exact"/>
        <w:rPr>
          <w:sz w:val="20"/>
          <w:szCs w:val="20"/>
          <w:color w:val="auto"/>
        </w:rPr>
      </w:pPr>
    </w:p>
    <w:p>
      <w:pPr>
        <w:jc w:val="center"/>
        <w:ind w:right="900"/>
        <w:spacing w:after="0"/>
        <w:rPr>
          <w:sz w:val="20"/>
          <w:szCs w:val="20"/>
          <w:color w:val="auto"/>
        </w:rPr>
      </w:pPr>
      <w:r>
        <w:rPr>
          <w:rFonts w:ascii="Arial" w:cs="Arial" w:eastAsia="Arial" w:hAnsi="Arial"/>
          <w:sz w:val="15"/>
          <w:szCs w:val="15"/>
          <w:color w:val="auto"/>
        </w:rPr>
        <w:t>Gold Standard Baking, Inc.</w:t>
      </w:r>
      <w:r>
        <w:rPr>
          <w:rFonts w:ascii="Arial" w:cs="Arial" w:eastAsia="Arial" w:hAnsi="Arial"/>
          <w:sz w:val="24"/>
          <w:szCs w:val="24"/>
          <w:color w:val="auto"/>
          <w:vertAlign w:val="superscript"/>
        </w:rPr>
        <w:t>(9), (10)</w:t>
      </w:r>
    </w:p>
    <w:p>
      <w:pPr>
        <w:jc w:val="center"/>
        <w:ind w:right="900"/>
        <w:spacing w:after="0"/>
        <w:rPr>
          <w:sz w:val="20"/>
          <w:szCs w:val="20"/>
          <w:color w:val="auto"/>
        </w:rPr>
      </w:pPr>
      <w:r>
        <w:rPr>
          <w:rFonts w:ascii="Arial" w:cs="Arial" w:eastAsia="Arial" w:hAnsi="Arial"/>
          <w:sz w:val="18"/>
          <w:szCs w:val="18"/>
          <w:i w:val="1"/>
          <w:iCs w:val="1"/>
          <w:color w:val="auto"/>
        </w:rPr>
        <w:t>Beverage, Food and Tobacco</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Grande Communications Networks LLC</w:t>
      </w:r>
      <w:r>
        <w:rPr>
          <w:rFonts w:ascii="Arial" w:cs="Arial" w:eastAsia="Arial" w:hAnsi="Arial"/>
          <w:sz w:val="28"/>
          <w:szCs w:val="28"/>
          <w:color w:val="auto"/>
          <w:vertAlign w:val="superscript"/>
        </w:rPr>
        <w:t>(9),</w:t>
      </w:r>
    </w:p>
    <w:p>
      <w:pPr>
        <w:ind w:left="180"/>
        <w:spacing w:after="0"/>
        <w:rPr>
          <w:sz w:val="20"/>
          <w:szCs w:val="20"/>
          <w:color w:val="auto"/>
        </w:rPr>
      </w:pPr>
      <w:r>
        <w:rPr>
          <w:rFonts w:ascii="Arial" w:cs="Arial" w:eastAsia="Arial" w:hAnsi="Arial"/>
          <w:sz w:val="15"/>
          <w:szCs w:val="15"/>
          <w:color w:val="auto"/>
        </w:rPr>
        <w:t>(10)</w:t>
      </w:r>
    </w:p>
    <w:p>
      <w:pPr>
        <w:spacing w:after="0" w:line="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Grifols Worldwide Operations Limited</w:t>
      </w:r>
      <w:r>
        <w:rPr>
          <w:rFonts w:ascii="Arial" w:cs="Arial" w:eastAsia="Arial" w:hAnsi="Arial"/>
          <w:sz w:val="30"/>
          <w:szCs w:val="30"/>
          <w:color w:val="auto"/>
          <w:vertAlign w:val="superscript"/>
        </w:rPr>
        <w:t>(10)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Grupo HIMA San Pablo,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Gymboree Corporation., The</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Retail</w:t>
      </w:r>
    </w:p>
    <w:p>
      <w:pPr>
        <w:spacing w:after="0" w:line="169" w:lineRule="exact"/>
        <w:rPr>
          <w:sz w:val="20"/>
          <w:szCs w:val="20"/>
          <w:color w:val="auto"/>
        </w:rPr>
      </w:pPr>
    </w:p>
    <w:p>
      <w:pPr>
        <w:ind w:left="180" w:right="180" w:hanging="179"/>
        <w:spacing w:after="0" w:line="212" w:lineRule="auto"/>
        <w:rPr>
          <w:sz w:val="20"/>
          <w:szCs w:val="20"/>
          <w:color w:val="auto"/>
        </w:rPr>
      </w:pPr>
      <w:r>
        <w:rPr>
          <w:rFonts w:ascii="Arial" w:cs="Arial" w:eastAsia="Arial" w:hAnsi="Arial"/>
          <w:sz w:val="18"/>
          <w:szCs w:val="18"/>
          <w:color w:val="auto"/>
        </w:rPr>
        <w:t>Hargray Communications Group, Inc. (HCP Acquisition LLC)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169" w:lineRule="exact"/>
        <w:rPr>
          <w:sz w:val="20"/>
          <w:szCs w:val="20"/>
          <w:color w:val="auto"/>
        </w:rPr>
      </w:pPr>
    </w:p>
    <w:p>
      <w:pPr>
        <w:ind w:left="180" w:right="260" w:hanging="179"/>
        <w:spacing w:after="0" w:line="212" w:lineRule="auto"/>
        <w:rPr>
          <w:sz w:val="20"/>
          <w:szCs w:val="20"/>
          <w:color w:val="auto"/>
        </w:rPr>
      </w:pPr>
      <w:r>
        <w:rPr>
          <w:rFonts w:ascii="Arial" w:cs="Arial" w:eastAsia="Arial" w:hAnsi="Arial"/>
          <w:sz w:val="18"/>
          <w:szCs w:val="18"/>
          <w:color w:val="auto"/>
        </w:rPr>
        <w:t>Harland Clarke Holdings Corp. (fka Clarke American Corp.)</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80" w:lineRule="exact"/>
        <w:rPr>
          <w:sz w:val="20"/>
          <w:szCs w:val="20"/>
          <w:color w:val="auto"/>
        </w:rPr>
      </w:pPr>
    </w:p>
    <w:p>
      <w:pPr>
        <w:ind w:left="180" w:right="260" w:hanging="179"/>
        <w:spacing w:after="0" w:line="212" w:lineRule="auto"/>
        <w:rPr>
          <w:sz w:val="20"/>
          <w:szCs w:val="20"/>
          <w:color w:val="auto"/>
        </w:rPr>
      </w:pPr>
      <w:r>
        <w:rPr>
          <w:rFonts w:ascii="Arial" w:cs="Arial" w:eastAsia="Arial" w:hAnsi="Arial"/>
          <w:sz w:val="18"/>
          <w:szCs w:val="18"/>
          <w:color w:val="auto"/>
        </w:rPr>
        <w:t>Harland Clarke Holdings Corp. (fka Clarke American Corp.)</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Hoffmaster Group,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Forest Products &amp; Paper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440" w:type="dxa"/>
            <w:vAlign w:val="bottom"/>
            <w:tcBorders>
              <w:bottom w:val="single" w:sz="8" w:color="auto"/>
            </w:tcBorders>
          </w:tcPr>
          <w:p>
            <w:pPr>
              <w:ind w:left="72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Loan</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4/19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1,434,249</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1,443,868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1,421,699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3,877,839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3,844,406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3,703,336</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10.8%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4/19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2,796,448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2,768,177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2,639,288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4.8%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10/19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2,162,867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2,172,647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1,373,421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11/21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247,534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247,500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2,722,890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2,722,500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 (Second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1,473,884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1,382,550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2,475,000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2,453,994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2,345,805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9.0%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3,946,567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4/21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2,487,500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2,476,361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2,408,149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3,900,092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3,906,280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3,841,591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U.S. Tranche B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3.4% Cash, Due 2/21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997,462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995,001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989,732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8.5% Cash, 1.5%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2,917,500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2,893,169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2,917,500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13.8% Cash, Due 7/18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6,924,146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1.5%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2/18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1,421,105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1,410,511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734,001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2,895,294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2,878,392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2,893,267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Tranche B-3</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7.0% Cash, 1.5%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3,281,250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3,259,381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3,271,078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Tranche B-4</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1,425,000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1,420,339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1,421,580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5/21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1,977,018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1,995,600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-8506460</wp:posOffset>
            </wp:positionV>
            <wp:extent cx="7246620" cy="548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-7408545</wp:posOffset>
            </wp:positionV>
            <wp:extent cx="7246620" cy="411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-6585585</wp:posOffset>
            </wp:positionV>
            <wp:extent cx="7246620" cy="548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-5487670</wp:posOffset>
            </wp:positionV>
            <wp:extent cx="7246620" cy="548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-4527550</wp:posOffset>
            </wp:positionV>
            <wp:extent cx="7246620" cy="548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-3566795</wp:posOffset>
            </wp:positionV>
            <wp:extent cx="7246620" cy="548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-2606675</wp:posOffset>
            </wp:positionV>
            <wp:extent cx="7246620" cy="411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-1645920</wp:posOffset>
            </wp:positionV>
            <wp:extent cx="7246620" cy="548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-548005</wp:posOffset>
            </wp:positionV>
            <wp:extent cx="7246620" cy="548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-9492615</wp:posOffset>
            </wp:positionV>
            <wp:extent cx="7246620" cy="4375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ectPr>
          <w:pgSz w:w="11900" w:h="16838" w:orient="portrait"/>
          <w:cols w:equalWidth="0" w:num="2">
            <w:col w:w="3380" w:space="180"/>
            <w:col w:w="7760"/>
          </w:cols>
          <w:pgMar w:left="240" w:top="904" w:right="339" w:bottom="0" w:gutter="0" w:footer="0" w:header="0"/>
        </w:sectPr>
      </w:pPr>
    </w:p>
    <w:bookmarkStart w:id="24" w:name="page25"/>
    <w:bookmarkEnd w:id="24"/>
    <w:p>
      <w:pPr>
        <w:ind w:left="3020"/>
        <w:spacing w:after="0"/>
        <w:rPr>
          <w:sz w:val="20"/>
          <w:szCs w:val="20"/>
          <w:color w:val="auto"/>
        </w:rPr>
      </w:pPr>
      <w:r>
        <w:rPr>
          <w:rFonts w:ascii="Arial" w:cs="Arial" w:eastAsia="Arial" w:hAnsi="Arial"/>
          <w:sz w:val="16"/>
          <w:szCs w:val="16"/>
          <w:color w:val="auto"/>
        </w:rPr>
        <w:t>See accompanying notes to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5" w:name="page26"/>
    <w:bookmarkEnd w:id="25"/>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208" w:lineRule="auto"/>
        <w:rPr>
          <w:sz w:val="20"/>
          <w:szCs w:val="20"/>
          <w:color w:val="auto"/>
        </w:rPr>
      </w:pPr>
      <w:r>
        <w:rPr>
          <w:rFonts w:ascii="Arial" w:cs="Arial" w:eastAsia="Arial" w:hAnsi="Arial"/>
          <w:sz w:val="18"/>
          <w:szCs w:val="18"/>
          <w:color w:val="auto"/>
        </w:rPr>
        <w:t>Hoffmaster Group,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Forest Products &amp; Paper</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Hunter Defense Technologies, Inc.</w:t>
      </w:r>
      <w:r>
        <w:rPr>
          <w:rFonts w:ascii="Arial" w:cs="Arial" w:eastAsia="Arial" w:hAnsi="Arial"/>
          <w:sz w:val="28"/>
          <w:szCs w:val="28"/>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Integra Telecom Holdings,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Telecommunications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Architectural Products, Inc.</w:t>
      </w:r>
      <w:r>
        <w:rPr>
          <w:rFonts w:ascii="Arial" w:cs="Arial" w:eastAsia="Arial" w:hAnsi="Arial"/>
          <w:sz w:val="26"/>
          <w:szCs w:val="26"/>
          <w:color w:val="auto"/>
          <w:vertAlign w:val="superscript"/>
        </w:rPr>
        <w:t>(7), (9)</w:t>
      </w:r>
    </w:p>
    <w:p>
      <w:pPr>
        <w:ind w:left="180"/>
        <w:spacing w:after="0"/>
        <w:rPr>
          <w:sz w:val="20"/>
          <w:szCs w:val="20"/>
          <w:color w:val="auto"/>
        </w:rPr>
      </w:pPr>
      <w:r>
        <w:rPr>
          <w:rFonts w:ascii="Arial" w:cs="Arial" w:eastAsia="Arial" w:hAnsi="Arial"/>
          <w:sz w:val="18"/>
          <w:szCs w:val="18"/>
          <w:i w:val="1"/>
          <w:iCs w:val="1"/>
          <w:color w:val="auto"/>
        </w:rPr>
        <w:t>Metals &amp; Mining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Kellermeyer Bergensons Services, LLC</w:t>
      </w:r>
      <w:r>
        <w:rPr>
          <w:rFonts w:ascii="Arial" w:cs="Arial" w:eastAsia="Arial" w:hAnsi="Arial"/>
          <w:sz w:val="25"/>
          <w:szCs w:val="25"/>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Key Safety Systems,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Automotive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Kinetic Concepts,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Landslide Holdings, Inc. (Crimson Acquisition</w:t>
      </w:r>
    </w:p>
    <w:p>
      <w:pPr>
        <w:ind w:left="180"/>
        <w:spacing w:after="0" w:line="180" w:lineRule="auto"/>
        <w:rPr>
          <w:sz w:val="20"/>
          <w:szCs w:val="20"/>
          <w:color w:val="auto"/>
        </w:rPr>
      </w:pPr>
      <w:r>
        <w:rPr>
          <w:rFonts w:ascii="Arial" w:cs="Arial" w:eastAsia="Arial" w:hAnsi="Arial"/>
          <w:sz w:val="35"/>
          <w:szCs w:val="35"/>
          <w:color w:val="auto"/>
          <w:vertAlign w:val="subscript"/>
        </w:rPr>
        <w:t>Corp.)</w:t>
      </w:r>
      <w:r>
        <w:rPr>
          <w:rFonts w:ascii="Arial" w:cs="Arial" w:eastAsia="Arial" w:hAnsi="Arial"/>
          <w:sz w:val="15"/>
          <w:szCs w:val="15"/>
          <w:color w:val="auto"/>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MB Aerospace ACP Holdings II Corp.</w:t>
      </w:r>
      <w:r>
        <w:rPr>
          <w:rFonts w:ascii="Arial" w:cs="Arial" w:eastAsia="Arial" w:hAnsi="Arial"/>
          <w:sz w:val="26"/>
          <w:szCs w:val="26"/>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Aerospace and Defense</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Medical Specialties Distributors, LLC</w:t>
      </w:r>
      <w:r>
        <w:rPr>
          <w:rFonts w:ascii="Arial" w:cs="Arial" w:eastAsia="Arial" w:hAnsi="Arial"/>
          <w:sz w:val="26"/>
          <w:szCs w:val="26"/>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72"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MGOC, Inc. (fka Media General, Inc.)</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w:t>
      </w:r>
      <w:r>
        <w:rPr>
          <w:rFonts w:ascii="Arial" w:cs="Arial" w:eastAsia="Arial" w:hAnsi="Arial"/>
          <w:sz w:val="16"/>
          <w:szCs w:val="16"/>
          <w:i w:val="1"/>
          <w:iCs w:val="1"/>
          <w:color w:val="auto"/>
        </w:rPr>
        <w:t>Media: Broadcasting &amp; Subscription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Nellson Nutraceutical,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Nellson Nutraceutical,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Beverage, Food and Tobacco</w:t>
      </w:r>
    </w:p>
    <w:p>
      <w:pPr>
        <w:spacing w:after="0" w:line="385" w:lineRule="exact"/>
        <w:rPr>
          <w:sz w:val="20"/>
          <w:szCs w:val="20"/>
          <w:color w:val="auto"/>
        </w:rPr>
      </w:pPr>
    </w:p>
    <w:p>
      <w:pPr>
        <w:ind w:left="180" w:right="260" w:hanging="179"/>
        <w:spacing w:after="0" w:line="212" w:lineRule="auto"/>
        <w:rPr>
          <w:sz w:val="20"/>
          <w:szCs w:val="20"/>
          <w:color w:val="auto"/>
        </w:rPr>
      </w:pPr>
      <w:r>
        <w:rPr>
          <w:rFonts w:ascii="Arial" w:cs="Arial" w:eastAsia="Arial" w:hAnsi="Arial"/>
          <w:sz w:val="18"/>
          <w:szCs w:val="18"/>
          <w:color w:val="auto"/>
        </w:rPr>
        <w:t>New Millennium Holdco, Inc. (Millennium Health, LLC)</w:t>
      </w:r>
      <w:r>
        <w:rPr>
          <w:rFonts w:ascii="Arial" w:cs="Arial" w:eastAsia="Arial" w:hAnsi="Arial"/>
          <w:sz w:val="30"/>
          <w:szCs w:val="30"/>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Nielsen &amp; Bainbrige,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388"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Nielsen &amp; Bainbrige, LLC</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w:t>
      </w:r>
      <w:r>
        <w:rPr>
          <w:rFonts w:ascii="Arial" w:cs="Arial" w:eastAsia="Arial" w:hAnsi="Arial"/>
          <w:sz w:val="16"/>
          <w:szCs w:val="16"/>
          <w:i w:val="1"/>
          <w:iCs w:val="1"/>
          <w:color w:val="auto"/>
        </w:rPr>
        <w:t>Consumer goods: Durable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Nielsen &amp; Bainbrige,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388" w:lineRule="exact"/>
        <w:rPr>
          <w:sz w:val="20"/>
          <w:szCs w:val="20"/>
          <w:color w:val="auto"/>
        </w:rPr>
      </w:pPr>
    </w:p>
    <w:p>
      <w:pPr>
        <w:ind w:left="180" w:right="520" w:hanging="179"/>
        <w:spacing w:after="0" w:line="193" w:lineRule="auto"/>
        <w:rPr>
          <w:sz w:val="20"/>
          <w:szCs w:val="20"/>
          <w:color w:val="auto"/>
        </w:rPr>
      </w:pPr>
      <w:r>
        <w:rPr>
          <w:rFonts w:ascii="Arial" w:cs="Arial" w:eastAsia="Arial" w:hAnsi="Arial"/>
          <w:sz w:val="16"/>
          <w:szCs w:val="16"/>
          <w:color w:val="auto"/>
        </w:rPr>
        <w:t>NM Z Parent Inc. (aka Zep, Inc.)</w:t>
      </w:r>
      <w:r>
        <w:rPr>
          <w:rFonts w:ascii="Arial" w:cs="Arial" w:eastAsia="Arial" w:hAnsi="Arial"/>
          <w:sz w:val="26"/>
          <w:szCs w:val="26"/>
          <w:color w:val="auto"/>
          <w:vertAlign w:val="superscript"/>
        </w:rPr>
        <w:t>(9), (10)</w:t>
      </w:r>
      <w:r>
        <w:rPr>
          <w:rFonts w:ascii="Arial" w:cs="Arial" w:eastAsia="Arial" w:hAnsi="Arial"/>
          <w:sz w:val="16"/>
          <w:szCs w:val="16"/>
          <w:color w:val="auto"/>
        </w:rPr>
        <w:t xml:space="preserve"> </w:t>
      </w:r>
      <w:r>
        <w:rPr>
          <w:rFonts w:ascii="Arial" w:cs="Arial" w:eastAsia="Arial" w:hAnsi="Arial"/>
          <w:sz w:val="16"/>
          <w:szCs w:val="16"/>
          <w:i w:val="1"/>
          <w:iCs w:val="1"/>
          <w:color w:val="auto"/>
        </w:rPr>
        <w:t>Chemicals, Plastics and Rubber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ind w:left="72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Initial Term</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3,940,000</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3,911,276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3,887,480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2,812,500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2,792,045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2,616,469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B-1</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5.3%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2,962,386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2,952,620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2,876,477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0.0% Cash, 3.3% PIK, 2.5% Libor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Floor, Due 5/15</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247,636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228,563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10/21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1,963,471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1,856,844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1,481,250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1,475,263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1,444,219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Dollar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E-1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2,962,216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2,957,007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2,864,700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New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2/20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3,421,556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3,428,320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3,417,450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990,055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3,894,315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3,918,040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4.0%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2,717,813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2,720,620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2,690,635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A-1</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2,374,598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2,356,528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2,295,761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A-2</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2,092,907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2,076,283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2,023,422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Closing Date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1,016,626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1,016,626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889,548</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8/20</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990,004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982,260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943,870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10.3%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2,091,954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2,065,884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1,956,814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3,785,896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3,755,461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3,609,473</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6/22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3,482,500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3,494,086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3,359,916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-8232140</wp:posOffset>
            </wp:positionV>
            <wp:extent cx="7246620" cy="411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-7408545</wp:posOffset>
            </wp:positionV>
            <wp:extent cx="7246620" cy="548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-6311265</wp:posOffset>
            </wp:positionV>
            <wp:extent cx="7246620" cy="548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-5213350</wp:posOffset>
            </wp:positionV>
            <wp:extent cx="7246620" cy="548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-4253230</wp:posOffset>
            </wp:positionV>
            <wp:extent cx="7246620" cy="411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-3292475</wp:posOffset>
            </wp:positionV>
            <wp:extent cx="7246620" cy="548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-2194560</wp:posOffset>
            </wp:positionV>
            <wp:extent cx="7246620" cy="548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-1097280</wp:posOffset>
            </wp:positionV>
            <wp:extent cx="7246620" cy="548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-9338310</wp:posOffset>
            </wp:positionV>
            <wp:extent cx="7246620" cy="5575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2">
            <w:col w:w="3400" w:space="160"/>
            <w:col w:w="7760"/>
          </w:cols>
          <w:pgMar w:left="240" w:top="904" w:right="339" w:bottom="0" w:gutter="0" w:footer="0" w:header="0"/>
        </w:sectPr>
      </w:pPr>
    </w:p>
    <w:bookmarkStart w:id="26" w:name="page27"/>
    <w:bookmarkEnd w:id="26"/>
    <w:p>
      <w:pPr>
        <w:jc w:val="center"/>
        <w:ind w:right="-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7" w:name="page28"/>
    <w:bookmarkEnd w:id="27"/>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Novitex Acquisition, LLC (fka ARSloane</w:t>
      </w:r>
    </w:p>
    <w:p>
      <w:pPr>
        <w:ind w:left="180"/>
        <w:spacing w:after="0" w:line="195" w:lineRule="auto"/>
        <w:rPr>
          <w:sz w:val="20"/>
          <w:szCs w:val="20"/>
          <w:color w:val="auto"/>
        </w:rPr>
      </w:pPr>
      <w:r>
        <w:rPr>
          <w:rFonts w:ascii="Arial" w:cs="Arial" w:eastAsia="Arial" w:hAnsi="Arial"/>
          <w:sz w:val="18"/>
          <w:szCs w:val="18"/>
          <w:color w:val="auto"/>
        </w:rPr>
        <w:t>Acquisition, LLC)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Onex Carestream Finance LP</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381" w:lineRule="exact"/>
        <w:rPr>
          <w:sz w:val="20"/>
          <w:szCs w:val="20"/>
          <w:color w:val="auto"/>
        </w:rPr>
      </w:pPr>
    </w:p>
    <w:p>
      <w:pPr>
        <w:jc w:val="center"/>
        <w:ind w:right="800"/>
        <w:spacing w:after="0"/>
        <w:rPr>
          <w:sz w:val="20"/>
          <w:szCs w:val="20"/>
          <w:color w:val="auto"/>
        </w:rPr>
      </w:pPr>
      <w:r>
        <w:rPr>
          <w:rFonts w:ascii="Arial" w:cs="Arial" w:eastAsia="Arial" w:hAnsi="Arial"/>
          <w:sz w:val="15"/>
          <w:szCs w:val="15"/>
          <w:color w:val="auto"/>
        </w:rPr>
        <w:t>Onex Carestream Finance LP</w:t>
      </w:r>
      <w:r>
        <w:rPr>
          <w:rFonts w:ascii="Arial" w:cs="Arial" w:eastAsia="Arial" w:hAnsi="Arial"/>
          <w:sz w:val="24"/>
          <w:szCs w:val="24"/>
          <w:color w:val="auto"/>
          <w:vertAlign w:val="superscript"/>
        </w:rPr>
        <w:t>(9), (10)</w:t>
      </w:r>
    </w:p>
    <w:p>
      <w:pPr>
        <w:jc w:val="center"/>
        <w:ind w:right="820"/>
        <w:spacing w:after="0"/>
        <w:rPr>
          <w:sz w:val="20"/>
          <w:szCs w:val="20"/>
          <w:color w:val="auto"/>
        </w:rPr>
      </w:pPr>
      <w:r>
        <w:rPr>
          <w:rFonts w:ascii="Arial" w:cs="Arial" w:eastAsia="Arial" w:hAnsi="Arial"/>
          <w:sz w:val="18"/>
          <w:szCs w:val="18"/>
          <w:i w:val="1"/>
          <w:iCs w:val="1"/>
          <w:color w:val="auto"/>
        </w:rPr>
        <w:t>Healthcare &amp; Pharmaceuticals</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Otter Products, LLC (OtterBox Holdings, Inc.)</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(9), (10)</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Durable</w:t>
      </w:r>
    </w:p>
    <w:p>
      <w:pPr>
        <w:spacing w:after="0" w:line="195" w:lineRule="auto"/>
        <w:rPr>
          <w:sz w:val="20"/>
          <w:szCs w:val="20"/>
          <w:color w:val="auto"/>
        </w:rPr>
      </w:pPr>
      <w:r>
        <w:rPr>
          <w:rFonts w:ascii="Arial" w:cs="Arial" w:eastAsia="Arial" w:hAnsi="Arial"/>
          <w:sz w:val="18"/>
          <w:szCs w:val="18"/>
          <w:color w:val="auto"/>
        </w:rPr>
        <w:t>PGX Holdings,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Services: Consumer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Playpower,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Construction &amp; Building</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PrimeLine Utility Services LLC (fka FR Utility</w:t>
      </w:r>
    </w:p>
    <w:p>
      <w:pPr>
        <w:ind w:left="180"/>
        <w:spacing w:after="0" w:line="203" w:lineRule="auto"/>
        <w:rPr>
          <w:sz w:val="20"/>
          <w:szCs w:val="20"/>
          <w:color w:val="auto"/>
        </w:rPr>
      </w:pPr>
      <w:r>
        <w:rPr>
          <w:rFonts w:ascii="Arial" w:cs="Arial" w:eastAsia="Arial" w:hAnsi="Arial"/>
          <w:sz w:val="18"/>
          <w:szCs w:val="18"/>
          <w:color w:val="auto"/>
        </w:rPr>
        <w:t>Services LLC)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Energy: Electricity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PSC Industrial Holdings Corp.</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385" w:lineRule="exact"/>
        <w:rPr>
          <w:sz w:val="20"/>
          <w:szCs w:val="20"/>
          <w:color w:val="auto"/>
        </w:rPr>
      </w:pPr>
    </w:p>
    <w:p>
      <w:pPr>
        <w:ind w:left="180" w:right="740" w:hanging="179"/>
        <w:spacing w:after="0" w:line="212" w:lineRule="auto"/>
        <w:rPr>
          <w:sz w:val="20"/>
          <w:szCs w:val="20"/>
          <w:color w:val="auto"/>
        </w:rPr>
      </w:pPr>
      <w:r>
        <w:rPr>
          <w:rFonts w:ascii="Arial" w:cs="Arial" w:eastAsia="Arial" w:hAnsi="Arial"/>
          <w:sz w:val="18"/>
          <w:szCs w:val="18"/>
          <w:color w:val="auto"/>
        </w:rPr>
        <w:t>Quad-C JH Holdings Inc. (aka Joerns Healthcare)</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Ravn Air Group, Inc.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Transportation: Consumer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Roscoe Medical,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Healthcare &amp; Pharmaceuticals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Rovi Solutions Corporation/Rovi Guides, Inc.</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High Tech Industries</w:t>
      </w:r>
    </w:p>
    <w:p>
      <w:pPr>
        <w:spacing w:after="0" w:line="236" w:lineRule="auto"/>
        <w:rPr>
          <w:sz w:val="20"/>
          <w:szCs w:val="20"/>
          <w:color w:val="auto"/>
        </w:rPr>
      </w:pPr>
      <w:r>
        <w:rPr>
          <w:rFonts w:ascii="Arial" w:cs="Arial" w:eastAsia="Arial" w:hAnsi="Arial"/>
          <w:sz w:val="16"/>
          <w:szCs w:val="16"/>
          <w:color w:val="auto"/>
        </w:rPr>
        <w:t>Sandy Creek Energy Associates, L.P.</w:t>
      </w:r>
      <w:r>
        <w:rPr>
          <w:rFonts w:ascii="Arial" w:cs="Arial" w:eastAsia="Arial" w:hAnsi="Arial"/>
          <w:sz w:val="26"/>
          <w:szCs w:val="26"/>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Utilities: Electric</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Stafford Logistics, Inc.(dba Custom Ecology,</w:t>
      </w:r>
    </w:p>
    <w:p>
      <w:pPr>
        <w:ind w:left="180"/>
        <w:spacing w:after="0" w:line="184" w:lineRule="auto"/>
        <w:rPr>
          <w:sz w:val="20"/>
          <w:szCs w:val="20"/>
          <w:color w:val="auto"/>
        </w:rPr>
      </w:pPr>
      <w:r>
        <w:rPr>
          <w:rFonts w:ascii="Arial" w:cs="Arial" w:eastAsia="Arial" w:hAnsi="Arial"/>
          <w:sz w:val="33"/>
          <w:szCs w:val="33"/>
          <w:color w:val="auto"/>
          <w:vertAlign w:val="subscript"/>
        </w:rPr>
        <w:t>Inc.)</w:t>
      </w:r>
      <w:r>
        <w:rPr>
          <w:rFonts w:ascii="Arial" w:cs="Arial" w:eastAsia="Arial" w:hAnsi="Arial"/>
          <w:sz w:val="14"/>
          <w:szCs w:val="14"/>
          <w:color w:val="auto"/>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 Products Corporation, The (fka Huish</w:t>
      </w:r>
    </w:p>
    <w:p>
      <w:pPr>
        <w:spacing w:after="0" w:line="9" w:lineRule="exact"/>
        <w:rPr>
          <w:sz w:val="20"/>
          <w:szCs w:val="20"/>
          <w:color w:val="auto"/>
        </w:rPr>
      </w:pPr>
    </w:p>
    <w:p>
      <w:pPr>
        <w:ind w:left="180" w:right="1020"/>
        <w:spacing w:after="0" w:line="234" w:lineRule="auto"/>
        <w:rPr>
          <w:sz w:val="20"/>
          <w:szCs w:val="20"/>
          <w:color w:val="auto"/>
        </w:rPr>
      </w:pPr>
      <w:r>
        <w:rPr>
          <w:rFonts w:ascii="Arial" w:cs="Arial" w:eastAsia="Arial" w:hAnsi="Arial"/>
          <w:sz w:val="16"/>
          <w:szCs w:val="16"/>
          <w:color w:val="auto"/>
        </w:rPr>
        <w:t>Detergents Inc.)</w:t>
      </w:r>
      <w:r>
        <w:rPr>
          <w:rFonts w:ascii="Arial" w:cs="Arial" w:eastAsia="Arial" w:hAnsi="Arial"/>
          <w:sz w:val="26"/>
          <w:szCs w:val="26"/>
          <w:color w:val="auto"/>
          <w:vertAlign w:val="superscript"/>
        </w:rPr>
        <w:t>(9), (10)</w:t>
      </w:r>
      <w:r>
        <w:rPr>
          <w:rFonts w:ascii="Arial" w:cs="Arial" w:eastAsia="Arial" w:hAnsi="Arial"/>
          <w:sz w:val="16"/>
          <w:szCs w:val="16"/>
          <w:color w:val="auto"/>
        </w:rPr>
        <w:t xml:space="preserve"> </w:t>
      </w:r>
      <w:r>
        <w:rPr>
          <w:rFonts w:ascii="Arial" w:cs="Arial" w:eastAsia="Arial" w:hAnsi="Arial"/>
          <w:sz w:val="16"/>
          <w:szCs w:val="16"/>
          <w:i w:val="1"/>
          <w:iCs w:val="1"/>
          <w:color w:val="auto"/>
        </w:rPr>
        <w:t>Consumer goods: Non-durable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Tank Partners Holdings,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Energy: Oil &amp; Gas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TPF II Power, LLC (TPF II Covert Midco,</w:t>
      </w:r>
    </w:p>
    <w:p>
      <w:pPr>
        <w:ind w:left="180"/>
        <w:spacing w:after="0" w:line="182" w:lineRule="auto"/>
        <w:rPr>
          <w:sz w:val="20"/>
          <w:szCs w:val="20"/>
          <w:color w:val="auto"/>
        </w:rPr>
      </w:pPr>
      <w:r>
        <w:rPr>
          <w:rFonts w:ascii="Arial" w:cs="Arial" w:eastAsia="Arial" w:hAnsi="Arial"/>
          <w:sz w:val="32"/>
          <w:szCs w:val="32"/>
          <w:color w:val="auto"/>
          <w:vertAlign w:val="subscript"/>
        </w:rPr>
        <w:t>LLC)</w:t>
      </w:r>
      <w:r>
        <w:rPr>
          <w:rFonts w:ascii="Arial" w:cs="Arial" w:eastAsia="Arial" w:hAnsi="Arial"/>
          <w:sz w:val="14"/>
          <w:szCs w:val="14"/>
          <w:color w:val="auto"/>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Utilities: Electric</w:t>
      </w:r>
    </w:p>
    <w:p>
      <w:pPr>
        <w:spacing w:after="0" w:line="186" w:lineRule="auto"/>
        <w:rPr>
          <w:sz w:val="20"/>
          <w:szCs w:val="20"/>
          <w:color w:val="auto"/>
        </w:rPr>
      </w:pPr>
      <w:r>
        <w:rPr>
          <w:rFonts w:ascii="Arial" w:cs="Arial" w:eastAsia="Arial" w:hAnsi="Arial"/>
          <w:sz w:val="18"/>
          <w:szCs w:val="18"/>
          <w:color w:val="auto"/>
        </w:rPr>
        <w:t>Trimaran Advisors, L.L.C.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Related Party Loan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TRSO I,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Energy: Oil &amp; Gas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ind w:left="72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Tranche B-2</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7.5%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972,650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965,333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893,865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9.5%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12/19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1,932,311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1,932,311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1,823,329</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 2013)</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6/19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1,856,203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1,861,076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1,681,414</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2,754,168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2,736,134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2,604,892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9/20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3,818,571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3,788,271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3,813,225</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6/21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1,976,345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1,907,614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11/22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3,465,576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3,465,000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5.8%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12/20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3,004,650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2,978,349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3,000,744</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Loan A</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5/20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3,940,026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3,918,354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3,937,662</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2,484,375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2,472,795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2,324,381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11.3% Cash, Due 9/19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6,654,533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6,235,020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3.8% Cash, 0.8%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7/21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2,962,406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2,930,614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2,947,890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11/20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2,708,992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2,699,558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1,907,130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7.5%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8/21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2,854,780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2,835,003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2,736,307</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Tranche B</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1.3%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3/20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3,882,654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3,863,759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3,657,460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6.6% Cash, 3.5% PIK, 3.0% Libor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Floor, Due 8/19</w:t>
            </w: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10,759,919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10,624,515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8,177,538</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5.5%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Due 10/21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2,950,953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2,973,524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2,899,311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Senior Unsecured Loan —</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9.0% Cash, Due 11/17</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23,000,000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23,000,000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23,000,000</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11.0%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12/17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992,101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950,300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-8309610</wp:posOffset>
            </wp:positionV>
            <wp:extent cx="7246620" cy="548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-7322820</wp:posOffset>
            </wp:positionV>
            <wp:extent cx="7246620" cy="548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-6225540</wp:posOffset>
            </wp:positionV>
            <wp:extent cx="7246620" cy="548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-5127625</wp:posOffset>
            </wp:positionV>
            <wp:extent cx="7246620" cy="548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-4029710</wp:posOffset>
            </wp:positionV>
            <wp:extent cx="7246620" cy="411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-3206750</wp:posOffset>
            </wp:positionV>
            <wp:extent cx="7246620"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-2357755</wp:posOffset>
            </wp:positionV>
            <wp:extent cx="7246620" cy="548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-1397000</wp:posOffset>
            </wp:positionV>
            <wp:extent cx="7246620" cy="43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-548005</wp:posOffset>
            </wp:positionV>
            <wp:extent cx="7246620" cy="548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-9415780</wp:posOffset>
            </wp:positionV>
            <wp:extent cx="7246620" cy="5575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120"/>
            <w:col w:w="7760"/>
          </w:cols>
          <w:pgMar w:left="240" w:top="904" w:right="339" w:bottom="0" w:gutter="0" w:footer="0" w:header="0"/>
        </w:sectPr>
      </w:pPr>
    </w:p>
    <w:p>
      <w:pPr>
        <w:spacing w:after="0" w:line="2"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See accompanying notes to financial statements.</w:t>
      </w:r>
    </w:p>
    <w:p>
      <w:pPr>
        <w:sectPr>
          <w:pgSz w:w="11900" w:h="16838" w:orient="portrait"/>
          <w:cols w:equalWidth="0" w:num="1">
            <w:col w:w="11320"/>
          </w:cols>
          <w:pgMar w:left="240" w:top="904" w:right="339" w:bottom="0" w:gutter="0" w:footer="0" w:header="0"/>
          <w:type w:val="continuous"/>
        </w:sectPr>
      </w:pPr>
    </w:p>
    <w:bookmarkStart w:id="28" w:name="page29"/>
    <w:bookmarkEnd w:id="28"/>
    <w:p>
      <w:pPr>
        <w:jc w:val="center"/>
        <w:ind w:right="-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9" w:name="page30"/>
    <w:bookmarkEnd w:id="29"/>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Company/Principal Business</w:t>
      </w:r>
    </w:p>
    <w:p>
      <w:pPr>
        <w:spacing w:after="0" w:line="208" w:lineRule="auto"/>
        <w:rPr>
          <w:sz w:val="20"/>
          <w:szCs w:val="20"/>
          <w:color w:val="auto"/>
        </w:rPr>
      </w:pPr>
      <w:r>
        <w:rPr>
          <w:rFonts w:ascii="Arial" w:cs="Arial" w:eastAsia="Arial" w:hAnsi="Arial"/>
          <w:sz w:val="18"/>
          <w:szCs w:val="18"/>
          <w:color w:val="auto"/>
        </w:rPr>
        <w:t>TWCC Holding Corp.</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Media: Broadcasting &amp; Subscription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U.S. Shipping Corp (fka U.S. Shipping</w:t>
      </w:r>
    </w:p>
    <w:p>
      <w:pPr>
        <w:ind w:left="180"/>
        <w:spacing w:after="0" w:line="195" w:lineRule="auto"/>
        <w:rPr>
          <w:sz w:val="20"/>
          <w:szCs w:val="20"/>
          <w:color w:val="auto"/>
        </w:rPr>
      </w:pPr>
      <w:r>
        <w:rPr>
          <w:rFonts w:ascii="Arial" w:cs="Arial" w:eastAsia="Arial" w:hAnsi="Arial"/>
          <w:sz w:val="18"/>
          <w:szCs w:val="18"/>
          <w:color w:val="auto"/>
        </w:rPr>
        <w:t>Partners LP)</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USJ-IMECO Holding Company, LLC</w:t>
      </w:r>
      <w:r>
        <w:rPr>
          <w:rFonts w:ascii="Arial" w:cs="Arial" w:eastAsia="Arial" w:hAnsi="Arial"/>
          <w:sz w:val="26"/>
          <w:szCs w:val="26"/>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Transportation: Cargo</w:t>
      </w:r>
    </w:p>
    <w:p>
      <w:pPr>
        <w:spacing w:after="0" w:line="169" w:lineRule="exact"/>
        <w:rPr>
          <w:sz w:val="20"/>
          <w:szCs w:val="20"/>
          <w:color w:val="auto"/>
        </w:rPr>
      </w:pPr>
    </w:p>
    <w:p>
      <w:pPr>
        <w:ind w:left="180" w:right="440" w:hanging="179"/>
        <w:spacing w:after="0" w:line="212" w:lineRule="auto"/>
        <w:rPr>
          <w:sz w:val="20"/>
          <w:szCs w:val="20"/>
          <w:color w:val="auto"/>
        </w:rPr>
      </w:pPr>
      <w:r>
        <w:rPr>
          <w:rFonts w:ascii="Arial" w:cs="Arial" w:eastAsia="Arial" w:hAnsi="Arial"/>
          <w:sz w:val="18"/>
          <w:szCs w:val="18"/>
          <w:color w:val="auto"/>
        </w:rPr>
        <w:t>Vantiv, LLC (fka Fifth Third Processing Solutions, LLC)</w:t>
      </w:r>
      <w:r>
        <w:rPr>
          <w:rFonts w:ascii="Arial" w:cs="Arial" w:eastAsia="Arial" w:hAnsi="Arial"/>
          <w:sz w:val="30"/>
          <w:szCs w:val="30"/>
          <w:color w:val="auto"/>
          <w:vertAlign w:val="superscript"/>
        </w:rPr>
        <w:t>(10)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Banking, Finance, Insurance &amp; Real Estate</w:t>
      </w:r>
    </w:p>
    <w:p>
      <w:pPr>
        <w:spacing w:after="0" w:line="200" w:lineRule="auto"/>
        <w:rPr>
          <w:sz w:val="20"/>
          <w:szCs w:val="20"/>
          <w:color w:val="auto"/>
        </w:rPr>
      </w:pPr>
      <w:r>
        <w:rPr>
          <w:rFonts w:ascii="Arial" w:cs="Arial" w:eastAsia="Arial" w:hAnsi="Arial"/>
          <w:sz w:val="18"/>
          <w:szCs w:val="18"/>
          <w:color w:val="auto"/>
        </w:rPr>
        <w:t>Verdesian Life Sciences, LLC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Environmental Industries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Vestcom International, Inc. (fka Vector</w:t>
      </w:r>
    </w:p>
    <w:p>
      <w:pPr>
        <w:ind w:left="180"/>
        <w:spacing w:after="0" w:line="195" w:lineRule="auto"/>
        <w:rPr>
          <w:sz w:val="20"/>
          <w:szCs w:val="20"/>
          <w:color w:val="auto"/>
        </w:rPr>
      </w:pPr>
      <w:r>
        <w:rPr>
          <w:rFonts w:ascii="Arial" w:cs="Arial" w:eastAsia="Arial" w:hAnsi="Arial"/>
          <w:sz w:val="18"/>
          <w:szCs w:val="18"/>
          <w:color w:val="auto"/>
        </w:rPr>
        <w:t>Investment Holdings,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Retail</w:t>
      </w:r>
    </w:p>
    <w:p>
      <w:pPr>
        <w:spacing w:after="0" w:line="184" w:lineRule="auto"/>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Weiman Products, LLC</w:t>
      </w:r>
      <w:r>
        <w:rPr>
          <w:rFonts w:ascii="Arial" w:cs="Arial" w:eastAsia="Arial" w:hAnsi="Arial"/>
          <w:sz w:val="30"/>
          <w:szCs w:val="30"/>
          <w:color w:val="auto"/>
          <w:vertAlign w:val="superscript"/>
        </w:rPr>
        <w:t>(9), (10)</w:t>
      </w:r>
    </w:p>
    <w:p>
      <w:pPr>
        <w:ind w:left="180"/>
        <w:spacing w:after="0"/>
        <w:rPr>
          <w:sz w:val="20"/>
          <w:szCs w:val="20"/>
          <w:color w:val="auto"/>
        </w:rPr>
      </w:pPr>
      <w:r>
        <w:rPr>
          <w:rFonts w:ascii="Arial" w:cs="Arial" w:eastAsia="Arial" w:hAnsi="Arial"/>
          <w:sz w:val="18"/>
          <w:szCs w:val="18"/>
          <w:i w:val="1"/>
          <w:iCs w:val="1"/>
          <w:color w:val="auto"/>
        </w:rPr>
        <w:t>Consumer goods: Non-durable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WireCo WorldGroup Inc.</w:t>
      </w:r>
      <w:r>
        <w:rPr>
          <w:rFonts w:ascii="Arial" w:cs="Arial" w:eastAsia="Arial" w:hAnsi="Arial"/>
          <w:sz w:val="30"/>
          <w:szCs w:val="30"/>
          <w:color w:val="auto"/>
          <w:vertAlign w:val="superscript"/>
        </w:rPr>
        <w:t>(9)</w:t>
      </w: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184" w:lineRule="auto"/>
        <w:rPr>
          <w:sz w:val="20"/>
          <w:szCs w:val="20"/>
          <w:color w:val="auto"/>
        </w:rPr>
      </w:pPr>
      <w:r>
        <w:rPr>
          <w:rFonts w:ascii="Arial" w:cs="Arial" w:eastAsia="Arial" w:hAnsi="Arial"/>
          <w:sz w:val="18"/>
          <w:szCs w:val="18"/>
          <w:color w:val="auto"/>
        </w:rPr>
        <w:t>WireCo WorldGroup Inc.</w:t>
      </w:r>
      <w:r>
        <w:rPr>
          <w:rFonts w:ascii="Arial" w:cs="Arial" w:eastAsia="Arial" w:hAnsi="Arial"/>
          <w:sz w:val="30"/>
          <w:szCs w:val="30"/>
          <w:color w:val="auto"/>
          <w:vertAlign w:val="superscript"/>
        </w:rPr>
        <w:t>(9), (10)</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Capital Equipment</w:t>
      </w:r>
    </w:p>
    <w:p>
      <w:pPr>
        <w:spacing w:after="0" w:line="7" w:lineRule="exact"/>
        <w:rPr>
          <w:sz w:val="20"/>
          <w:szCs w:val="20"/>
          <w:color w:val="auto"/>
        </w:rPr>
      </w:pPr>
    </w:p>
    <w:p>
      <w:pPr>
        <w:ind w:left="180" w:right="80" w:hanging="179"/>
        <w:spacing w:after="0" w:line="307" w:lineRule="auto"/>
        <w:rPr>
          <w:sz w:val="20"/>
          <w:szCs w:val="20"/>
          <w:color w:val="auto"/>
        </w:rPr>
      </w:pPr>
      <w:r>
        <w:rPr>
          <w:rFonts w:ascii="Arial" w:cs="Arial" w:eastAsia="Arial" w:hAnsi="Arial"/>
          <w:sz w:val="17"/>
          <w:szCs w:val="17"/>
          <w:b w:val="1"/>
          <w:bCs w:val="1"/>
          <w:color w:val="auto"/>
        </w:rPr>
        <w:t>Total Investment in Debt Securities (132% of net asset value at fair value)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400" w:type="dxa"/>
            <w:vAlign w:val="bottom"/>
          </w:tcPr>
          <w:p>
            <w:pPr>
              <w:spacing w:after="0"/>
              <w:rPr>
                <w:sz w:val="19"/>
                <w:szCs w:val="19"/>
                <w:color w:val="auto"/>
              </w:rPr>
            </w:pPr>
          </w:p>
        </w:tc>
        <w:tc>
          <w:tcPr>
            <w:tcW w:w="3160" w:type="dxa"/>
            <w:vAlign w:val="bottom"/>
            <w:gridSpan w:val="2"/>
          </w:tcPr>
          <w:p>
            <w:pPr>
              <w:ind w:left="88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9"/>
                <w:szCs w:val="19"/>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88"/>
              </w:rPr>
              <w:t>Fair Value</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400" w:type="dxa"/>
            <w:vAlign w:val="bottom"/>
          </w:tcPr>
          <w:p>
            <w:pPr>
              <w:spacing w:after="0"/>
              <w:rPr>
                <w:sz w:val="23"/>
                <w:szCs w:val="23"/>
                <w:color w:val="auto"/>
              </w:rPr>
            </w:pPr>
          </w:p>
        </w:tc>
        <w:tc>
          <w:tcPr>
            <w:tcW w:w="3160" w:type="dxa"/>
            <w:vAlign w:val="bottom"/>
            <w:gridSpan w:val="2"/>
          </w:tcPr>
          <w:p>
            <w:pPr>
              <w:ind w:left="32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23"/>
                <w:szCs w:val="23"/>
                <w:color w:val="auto"/>
              </w:rPr>
            </w:pPr>
          </w:p>
        </w:tc>
        <w:tc>
          <w:tcPr>
            <w:tcW w:w="1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Senior Secured Loan — Term B-1</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Loan</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5.8%</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0.8%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Due 2/20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822,470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827,875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822,470</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Tranche B-2</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Due 6/21</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1,411,023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1,409,966</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1,405,802</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7.0%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Due 4/20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3,930,000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3,915,823</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3,928,428</w:t>
            </w:r>
          </w:p>
        </w:tc>
        <w:tc>
          <w:tcPr>
            <w:tcW w:w="0" w:type="dxa"/>
            <w:vAlign w:val="bottom"/>
          </w:tcPr>
          <w:p>
            <w:pPr>
              <w:spacing w:after="0"/>
              <w:rPr>
                <w:sz w:val="1"/>
                <w:szCs w:val="1"/>
                <w:color w:val="auto"/>
              </w:rPr>
            </w:pPr>
          </w:p>
        </w:tc>
      </w:tr>
      <w:tr>
        <w:trPr>
          <w:trHeight w:val="242"/>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B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3.8%</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0.8%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Due 6/21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1,688,507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1,692,039</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1,685,333</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Initial</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6.0%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Due 7/20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3,981,279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3,937,250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3,784,206</w:t>
            </w:r>
          </w:p>
        </w:tc>
        <w:tc>
          <w:tcPr>
            <w:tcW w:w="0" w:type="dxa"/>
            <w:vAlign w:val="bottom"/>
          </w:tcPr>
          <w:p>
            <w:pPr>
              <w:spacing w:after="0"/>
              <w:rPr>
                <w:sz w:val="1"/>
                <w:szCs w:val="1"/>
                <w:color w:val="auto"/>
              </w:rPr>
            </w:pPr>
          </w:p>
        </w:tc>
      </w:tr>
      <w:tr>
        <w:trPr>
          <w:trHeight w:val="242"/>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5.3%</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Due 9/21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2,989,755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3,006,198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2,860,598</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6.3%</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Due 11/18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1,106,050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1,099,501</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1,105,829</w:t>
            </w:r>
          </w:p>
        </w:tc>
        <w:tc>
          <w:tcPr>
            <w:tcW w:w="0" w:type="dxa"/>
            <w:vAlign w:val="bottom"/>
          </w:tcPr>
          <w:p>
            <w:pPr>
              <w:spacing w:after="0"/>
              <w:rPr>
                <w:sz w:val="1"/>
                <w:szCs w:val="1"/>
                <w:color w:val="auto"/>
              </w:rPr>
            </w:pPr>
          </w:p>
        </w:tc>
      </w:tr>
      <w:tr>
        <w:trPr>
          <w:trHeight w:val="216"/>
        </w:trPr>
        <w:tc>
          <w:tcPr>
            <w:tcW w:w="3560" w:type="dxa"/>
            <w:vAlign w:val="bottom"/>
            <w:gridSpan w:val="3"/>
          </w:tcPr>
          <w:p>
            <w:pPr>
              <w:spacing w:after="0"/>
              <w:rPr>
                <w:sz w:val="20"/>
                <w:szCs w:val="20"/>
                <w:color w:val="auto"/>
              </w:rPr>
            </w:pPr>
            <w:r>
              <w:rPr>
                <w:rFonts w:ascii="Arial" w:cs="Arial" w:eastAsia="Arial" w:hAnsi="Arial"/>
                <w:sz w:val="18"/>
                <w:szCs w:val="18"/>
                <w:color w:val="auto"/>
              </w:rPr>
              <w:t>Senior Secured Loan — Term Loan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2"/>
              </w:rPr>
              <w:t>6.3%</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Due 11/18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5,515,079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5,482,956</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5,513,976</w:t>
            </w:r>
          </w:p>
        </w:tc>
        <w:tc>
          <w:tcPr>
            <w:tcW w:w="0" w:type="dxa"/>
            <w:vAlign w:val="bottom"/>
          </w:tcPr>
          <w:p>
            <w:pPr>
              <w:spacing w:after="0"/>
              <w:rPr>
                <w:sz w:val="1"/>
                <w:szCs w:val="1"/>
                <w:color w:val="auto"/>
              </w:rPr>
            </w:pPr>
          </w:p>
        </w:tc>
      </w:tr>
      <w:tr>
        <w:trPr>
          <w:trHeight w:val="242"/>
        </w:trPr>
        <w:tc>
          <w:tcPr>
            <w:tcW w:w="3560" w:type="dxa"/>
            <w:vAlign w:val="bottom"/>
            <w:gridSpan w:val="3"/>
          </w:tcPr>
          <w:p>
            <w:pPr>
              <w:spacing w:after="0"/>
              <w:rPr>
                <w:sz w:val="20"/>
                <w:szCs w:val="20"/>
                <w:color w:val="auto"/>
              </w:rPr>
            </w:pPr>
            <w:r>
              <w:rPr>
                <w:rFonts w:ascii="Arial" w:cs="Arial" w:eastAsia="Arial" w:hAnsi="Arial"/>
                <w:sz w:val="18"/>
                <w:szCs w:val="18"/>
                <w:color w:val="auto"/>
              </w:rPr>
              <w:t>Senior Unsecured Bond —</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r>
              <w:rPr>
                <w:rFonts w:ascii="Arial" w:cs="Arial" w:eastAsia="Arial" w:hAnsi="Arial"/>
                <w:sz w:val="18"/>
                <w:szCs w:val="18"/>
                <w:color w:val="auto"/>
                <w:w w:val="92"/>
              </w:rPr>
              <w:t>9.0%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Due 5/17</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4,975,822</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4,067,500</w:t>
            </w:r>
          </w:p>
        </w:tc>
        <w:tc>
          <w:tcPr>
            <w:tcW w:w="0" w:type="dxa"/>
            <w:vAlign w:val="bottom"/>
          </w:tcPr>
          <w:p>
            <w:pPr>
              <w:spacing w:after="0"/>
              <w:rPr>
                <w:sz w:val="1"/>
                <w:szCs w:val="1"/>
                <w:color w:val="auto"/>
              </w:rPr>
            </w:pPr>
          </w:p>
        </w:tc>
      </w:tr>
      <w:tr>
        <w:trPr>
          <w:trHeight w:val="242"/>
        </w:trPr>
        <w:tc>
          <w:tcPr>
            <w:tcW w:w="3560" w:type="dxa"/>
            <w:vAlign w:val="bottom"/>
            <w:gridSpan w:val="3"/>
          </w:tcPr>
          <w:p>
            <w:pPr>
              <w:spacing w:after="0"/>
              <w:rPr>
                <w:sz w:val="20"/>
                <w:szCs w:val="20"/>
                <w:color w:val="auto"/>
              </w:rPr>
            </w:pPr>
            <w:r>
              <w:rPr>
                <w:rFonts w:ascii="Arial" w:cs="Arial" w:eastAsia="Arial" w:hAnsi="Arial"/>
                <w:sz w:val="18"/>
                <w:szCs w:val="18"/>
                <w:color w:val="auto"/>
              </w:rPr>
              <w:t>Senior Unsecured Bond —</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00" w:type="dxa"/>
            <w:vAlign w:val="bottom"/>
          </w:tcPr>
          <w:p>
            <w:pPr>
              <w:spacing w:after="0"/>
              <w:rPr>
                <w:sz w:val="20"/>
                <w:szCs w:val="20"/>
                <w:color w:val="auto"/>
              </w:rPr>
            </w:pPr>
            <w:r>
              <w:rPr>
                <w:rFonts w:ascii="Arial" w:cs="Arial" w:eastAsia="Arial" w:hAnsi="Arial"/>
                <w:sz w:val="18"/>
                <w:szCs w:val="18"/>
                <w:color w:val="auto"/>
                <w:w w:val="92"/>
              </w:rPr>
              <w:t>9.0%</w:t>
            </w:r>
          </w:p>
        </w:tc>
        <w:tc>
          <w:tcPr>
            <w:tcW w:w="3160" w:type="dxa"/>
            <w:vAlign w:val="bottom"/>
            <w:gridSpan w:val="2"/>
          </w:tcPr>
          <w:p>
            <w:pPr>
              <w:ind w:left="20"/>
              <w:spacing w:after="0"/>
              <w:rPr>
                <w:sz w:val="20"/>
                <w:szCs w:val="20"/>
                <w:color w:val="auto"/>
              </w:rPr>
            </w:pPr>
            <w:r>
              <w:rPr>
                <w:rFonts w:ascii="Arial" w:cs="Arial" w:eastAsia="Arial" w:hAnsi="Arial"/>
                <w:sz w:val="18"/>
                <w:szCs w:val="18"/>
                <w:color w:val="auto"/>
              </w:rPr>
              <w:t>Cash, Due 5/17</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3,043,520</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2,440,500</w:t>
            </w:r>
          </w:p>
        </w:tc>
        <w:tc>
          <w:tcPr>
            <w:tcW w:w="0" w:type="dxa"/>
            <w:vAlign w:val="bottom"/>
          </w:tcPr>
          <w:p>
            <w:pPr>
              <w:spacing w:after="0"/>
              <w:rPr>
                <w:sz w:val="1"/>
                <w:szCs w:val="1"/>
                <w:color w:val="auto"/>
              </w:rPr>
            </w:pPr>
          </w:p>
        </w:tc>
      </w:tr>
      <w:tr>
        <w:trPr>
          <w:trHeight w:val="426"/>
        </w:trPr>
        <w:tc>
          <w:tcPr>
            <w:tcW w:w="4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299,940,657</w:t>
            </w:r>
          </w:p>
        </w:tc>
        <w:tc>
          <w:tcPr>
            <w:tcW w:w="12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298,308,845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284,639,244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-3558540</wp:posOffset>
            </wp:positionV>
            <wp:extent cx="7246620" cy="411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-2709545</wp:posOffset>
            </wp:positionV>
            <wp:extent cx="7246620" cy="548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-1723390</wp:posOffset>
            </wp:positionV>
            <wp:extent cx="7246620" cy="411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-899795</wp:posOffset>
            </wp:positionV>
            <wp:extent cx="7246620" cy="3003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-290830</wp:posOffset>
            </wp:positionV>
            <wp:extent cx="7246620" cy="2832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-4664710</wp:posOffset>
            </wp:positionV>
            <wp:extent cx="7246620" cy="557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340" w:space="220"/>
            <w:col w:w="7760"/>
          </w:cols>
          <w:pgMar w:left="240" w:top="904"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 Portfolio</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Company/Principal Business</w:t>
            </w:r>
          </w:p>
        </w:tc>
        <w:tc>
          <w:tcPr>
            <w:tcW w:w="354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Interest/Shares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4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7"/>
                <w:szCs w:val="27"/>
                <w:color w:val="auto"/>
                <w:vertAlign w:val="superscript"/>
              </w:rPr>
              <w:t>(5), (9)</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Aerospace and Defense</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Partnership Interests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(5), (9)</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Aerospace and Defense</w:t>
            </w:r>
          </w:p>
        </w:tc>
        <w:tc>
          <w:tcPr>
            <w:tcW w:w="3540" w:type="dxa"/>
            <w:vAlign w:val="bottom"/>
            <w:gridSpan w:val="2"/>
          </w:tcPr>
          <w:p>
            <w:pPr>
              <w:spacing w:after="0"/>
              <w:rPr>
                <w:sz w:val="20"/>
                <w:szCs w:val="20"/>
                <w:color w:val="auto"/>
              </w:rPr>
            </w:pPr>
            <w:r>
              <w:rPr>
                <w:rFonts w:ascii="Arial" w:cs="Arial" w:eastAsia="Arial" w:hAnsi="Arial"/>
                <w:sz w:val="18"/>
                <w:szCs w:val="18"/>
                <w:color w:val="auto"/>
              </w:rPr>
              <w:t>Series A Preferred Interests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250,960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937,053</w:t>
            </w:r>
          </w:p>
        </w:tc>
        <w:tc>
          <w:tcPr>
            <w:tcW w:w="0" w:type="dxa"/>
            <w:vAlign w:val="bottom"/>
          </w:tcPr>
          <w:p>
            <w:pPr>
              <w:spacing w:after="0"/>
              <w:rPr>
                <w:sz w:val="1"/>
                <w:szCs w:val="1"/>
                <w:color w:val="auto"/>
              </w:rPr>
            </w:pPr>
          </w:p>
        </w:tc>
      </w:tr>
      <w:tr>
        <w:trPr>
          <w:trHeight w:val="205"/>
        </w:trPr>
        <w:tc>
          <w:tcPr>
            <w:tcW w:w="35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60" w:type="dxa"/>
            <w:vAlign w:val="bottom"/>
            <w:gridSpan w:val="2"/>
            <w:shd w:val="clear" w:color="auto" w:fill="CCEEFF"/>
          </w:tcPr>
          <w:p>
            <w:pPr>
              <w:ind w:left="180"/>
              <w:spacing w:after="0" w:line="253" w:lineRule="exact"/>
              <w:rPr>
                <w:sz w:val="20"/>
                <w:szCs w:val="20"/>
                <w:color w:val="auto"/>
              </w:rPr>
            </w:pPr>
            <w:r>
              <w:rPr>
                <w:rFonts w:ascii="Arial" w:cs="Arial" w:eastAsia="Arial" w:hAnsi="Arial"/>
                <w:sz w:val="18"/>
                <w:szCs w:val="18"/>
                <w:color w:val="auto"/>
              </w:rPr>
              <w:t>Investments Incorporated)</w:t>
            </w:r>
            <w:r>
              <w:rPr>
                <w:rFonts w:ascii="Arial" w:cs="Arial" w:eastAsia="Arial" w:hAnsi="Arial"/>
                <w:sz w:val="29"/>
                <w:szCs w:val="29"/>
                <w:color w:val="auto"/>
                <w:vertAlign w:val="superscript"/>
              </w:rPr>
              <w:t>(5), (9)</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Media: Advertising, Printing &amp; Publishing</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568,544</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DBI Holding LLC</w:t>
            </w:r>
            <w:r>
              <w:rPr>
                <w:rFonts w:ascii="Arial" w:cs="Arial" w:eastAsia="Arial" w:hAnsi="Arial"/>
                <w:sz w:val="28"/>
                <w:szCs w:val="28"/>
                <w:color w:val="auto"/>
                <w:vertAlign w:val="superscript"/>
              </w:rPr>
              <w:t>(5), (9)</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Services: Business</w:t>
            </w:r>
          </w:p>
        </w:tc>
        <w:tc>
          <w:tcPr>
            <w:tcW w:w="3540" w:type="dxa"/>
            <w:vAlign w:val="bottom"/>
            <w:gridSpan w:val="2"/>
          </w:tcPr>
          <w:p>
            <w:pPr>
              <w:spacing w:after="0"/>
              <w:rPr>
                <w:sz w:val="20"/>
                <w:szCs w:val="20"/>
                <w:color w:val="auto"/>
              </w:rPr>
            </w:pPr>
            <w:r>
              <w:rPr>
                <w:rFonts w:ascii="Arial" w:cs="Arial" w:eastAsia="Arial" w:hAnsi="Arial"/>
                <w:sz w:val="18"/>
                <w:szCs w:val="18"/>
                <w:color w:val="auto"/>
              </w:rPr>
              <w:t>Class A Warrants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258,940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4,316,159</w:t>
            </w:r>
          </w:p>
        </w:tc>
        <w:tc>
          <w:tcPr>
            <w:tcW w:w="0" w:type="dxa"/>
            <w:vAlign w:val="bottom"/>
          </w:tcPr>
          <w:p>
            <w:pPr>
              <w:spacing w:after="0"/>
              <w:rPr>
                <w:sz w:val="1"/>
                <w:szCs w:val="1"/>
                <w:color w:val="auto"/>
              </w:rPr>
            </w:pPr>
          </w:p>
        </w:tc>
      </w:tr>
      <w:tr>
        <w:trPr>
          <w:trHeight w:val="242"/>
        </w:trPr>
        <w:tc>
          <w:tcPr>
            <w:tcW w:w="35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eInstruction Acquisition, LLC</w:t>
            </w:r>
            <w:r>
              <w:rPr>
                <w:rFonts w:ascii="Arial" w:cs="Arial" w:eastAsia="Arial" w:hAnsi="Arial"/>
                <w:sz w:val="28"/>
                <w:szCs w:val="28"/>
                <w:color w:val="auto"/>
                <w:vertAlign w:val="superscript"/>
              </w:rPr>
              <w:t>(5), (9)</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Services: Business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Membership Units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FP WRCA Coinvestment Fund VII, Ltd.</w:t>
            </w:r>
            <w:r>
              <w:rPr>
                <w:rFonts w:ascii="Arial" w:cs="Arial" w:eastAsia="Arial" w:hAnsi="Arial"/>
                <w:sz w:val="28"/>
                <w:szCs w:val="28"/>
                <w:color w:val="auto"/>
                <w:vertAlign w:val="superscript"/>
              </w:rPr>
              <w:t>(3), (5)</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Capital Equipment</w:t>
            </w:r>
          </w:p>
        </w:tc>
        <w:tc>
          <w:tcPr>
            <w:tcW w:w="3540" w:type="dxa"/>
            <w:vAlign w:val="bottom"/>
            <w:gridSpan w:val="2"/>
          </w:tcPr>
          <w:p>
            <w:pPr>
              <w:spacing w:after="0"/>
              <w:rPr>
                <w:sz w:val="20"/>
                <w:szCs w:val="20"/>
                <w:color w:val="auto"/>
              </w:rPr>
            </w:pPr>
            <w:r>
              <w:rPr>
                <w:rFonts w:ascii="Arial" w:cs="Arial" w:eastAsia="Arial" w:hAnsi="Arial"/>
                <w:sz w:val="18"/>
                <w:szCs w:val="18"/>
                <w:color w:val="auto"/>
              </w:rPr>
              <w:t>Class A Shares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1,338,767</w:t>
            </w:r>
          </w:p>
        </w:tc>
        <w:tc>
          <w:tcPr>
            <w:tcW w:w="0" w:type="dxa"/>
            <w:vAlign w:val="bottom"/>
          </w:tcPr>
          <w:p>
            <w:pPr>
              <w:spacing w:after="0"/>
              <w:rPr>
                <w:sz w:val="1"/>
                <w:szCs w:val="1"/>
                <w:color w:val="auto"/>
              </w:rPr>
            </w:pPr>
          </w:p>
        </w:tc>
      </w:tr>
      <w:tr>
        <w:trPr>
          <w:trHeight w:val="242"/>
        </w:trPr>
        <w:tc>
          <w:tcPr>
            <w:tcW w:w="35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Perseus Holding Corp.</w:t>
            </w:r>
            <w:r>
              <w:rPr>
                <w:rFonts w:ascii="Arial" w:cs="Arial" w:eastAsia="Arial" w:hAnsi="Arial"/>
                <w:sz w:val="28"/>
                <w:szCs w:val="28"/>
                <w:color w:val="auto"/>
                <w:vertAlign w:val="superscript"/>
              </w:rPr>
              <w:t>(5), (9)</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Hotel, Gaming &amp; Leisure</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Roscoe Investors, LLC</w:t>
            </w:r>
            <w:r>
              <w:rPr>
                <w:rFonts w:ascii="Arial" w:cs="Arial" w:eastAsia="Arial" w:hAnsi="Arial"/>
                <w:sz w:val="28"/>
                <w:szCs w:val="28"/>
                <w:color w:val="auto"/>
                <w:vertAlign w:val="superscript"/>
              </w:rPr>
              <w:t>(5), (9)</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Healthcare &amp; Pharmaceuticals</w:t>
            </w:r>
          </w:p>
        </w:tc>
        <w:tc>
          <w:tcPr>
            <w:tcW w:w="3540" w:type="dxa"/>
            <w:vAlign w:val="bottom"/>
            <w:gridSpan w:val="2"/>
          </w:tcPr>
          <w:p>
            <w:pPr>
              <w:spacing w:after="0"/>
              <w:rPr>
                <w:sz w:val="20"/>
                <w:szCs w:val="20"/>
                <w:color w:val="auto"/>
              </w:rPr>
            </w:pPr>
            <w:r>
              <w:rPr>
                <w:rFonts w:ascii="Arial" w:cs="Arial" w:eastAsia="Arial" w:hAnsi="Arial"/>
                <w:sz w:val="18"/>
                <w:szCs w:val="18"/>
                <w:color w:val="auto"/>
              </w:rPr>
              <w:t>Class A Units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863,000</w:t>
            </w:r>
          </w:p>
        </w:tc>
        <w:tc>
          <w:tcPr>
            <w:tcW w:w="0" w:type="dxa"/>
            <w:vAlign w:val="bottom"/>
          </w:tcPr>
          <w:p>
            <w:pPr>
              <w:spacing w:after="0"/>
              <w:rPr>
                <w:sz w:val="1"/>
                <w:szCs w:val="1"/>
                <w:color w:val="auto"/>
              </w:rPr>
            </w:pPr>
          </w:p>
        </w:tc>
      </w:tr>
      <w:tr>
        <w:trPr>
          <w:trHeight w:val="242"/>
        </w:trPr>
        <w:tc>
          <w:tcPr>
            <w:tcW w:w="35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(9), (12)</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Energy: Oil &amp; Gas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(5), (9)</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Energy: Oil &amp; Gas</w:t>
            </w:r>
          </w:p>
        </w:tc>
        <w:tc>
          <w:tcPr>
            <w:tcW w:w="354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185,205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2"/>
        </w:trPr>
        <w:tc>
          <w:tcPr>
            <w:tcW w:w="356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TRSO II, Inc.</w:t>
            </w:r>
            <w:r>
              <w:rPr>
                <w:rFonts w:ascii="Arial" w:cs="Arial" w:eastAsia="Arial" w:hAnsi="Arial"/>
                <w:sz w:val="28"/>
                <w:szCs w:val="28"/>
                <w:color w:val="auto"/>
                <w:vertAlign w:val="superscript"/>
              </w:rPr>
              <w:t>(5), (9)</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Energy: Oil &amp; Gas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1,074,480</w:t>
            </w:r>
          </w:p>
        </w:tc>
        <w:tc>
          <w:tcPr>
            <w:tcW w:w="0" w:type="dxa"/>
            <w:vAlign w:val="bottom"/>
          </w:tcPr>
          <w:p>
            <w:pPr>
              <w:spacing w:after="0"/>
              <w:rPr>
                <w:sz w:val="1"/>
                <w:szCs w:val="1"/>
                <w:color w:val="auto"/>
              </w:rPr>
            </w:pPr>
          </w:p>
        </w:tc>
      </w:tr>
      <w:tr>
        <w:trPr>
          <w:trHeight w:val="205"/>
        </w:trPr>
        <w:tc>
          <w:tcPr>
            <w:tcW w:w="3560" w:type="dxa"/>
            <w:vAlign w:val="bottom"/>
            <w:gridSpan w:val="2"/>
          </w:tcPr>
          <w:p>
            <w:pPr>
              <w:spacing w:after="0" w:line="206" w:lineRule="exact"/>
              <w:rPr>
                <w:sz w:val="20"/>
                <w:szCs w:val="20"/>
                <w:color w:val="auto"/>
              </w:rPr>
            </w:pPr>
            <w:r>
              <w:rPr>
                <w:rFonts w:ascii="Arial" w:cs="Arial" w:eastAsia="Arial" w:hAnsi="Arial"/>
                <w:sz w:val="18"/>
                <w:szCs w:val="18"/>
                <w:color w:val="auto"/>
              </w:rPr>
              <w:t>New Millennium Holdco, Inc. (Millennium</w:t>
            </w: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560" w:type="dxa"/>
            <w:vAlign w:val="bottom"/>
            <w:gridSpan w:val="2"/>
          </w:tcPr>
          <w:p>
            <w:pPr>
              <w:ind w:left="180"/>
              <w:spacing w:after="0" w:line="253" w:lineRule="exact"/>
              <w:rPr>
                <w:sz w:val="20"/>
                <w:szCs w:val="20"/>
                <w:color w:val="auto"/>
              </w:rPr>
            </w:pPr>
            <w:r>
              <w:rPr>
                <w:rFonts w:ascii="Arial" w:cs="Arial" w:eastAsia="Arial" w:hAnsi="Arial"/>
                <w:sz w:val="18"/>
                <w:szCs w:val="18"/>
                <w:color w:val="auto"/>
              </w:rPr>
              <w:t>Health, LLC)</w:t>
            </w:r>
            <w:r>
              <w:rPr>
                <w:rFonts w:ascii="Arial" w:cs="Arial" w:eastAsia="Arial" w:hAnsi="Arial"/>
                <w:sz w:val="29"/>
                <w:szCs w:val="29"/>
                <w:color w:val="auto"/>
                <w:vertAlign w:val="superscript"/>
              </w:rPr>
              <w:t>(5), (9)</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Healthcare &amp; Pharmaceuticals</w:t>
            </w:r>
          </w:p>
        </w:tc>
        <w:tc>
          <w:tcPr>
            <w:tcW w:w="3540" w:type="dxa"/>
            <w:vAlign w:val="bottom"/>
            <w:gridSpan w:val="2"/>
          </w:tcPr>
          <w:p>
            <w:pPr>
              <w:spacing w:after="0"/>
              <w:rPr>
                <w:sz w:val="20"/>
                <w:szCs w:val="20"/>
                <w:color w:val="auto"/>
              </w:rPr>
            </w:pPr>
            <w:r>
              <w:rPr>
                <w:rFonts w:ascii="Arial" w:cs="Arial" w:eastAsia="Arial" w:hAnsi="Arial"/>
                <w:sz w:val="18"/>
                <w:szCs w:val="18"/>
                <w:color w:val="auto"/>
              </w:rPr>
              <w:t>Common</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1,953,299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445,485</w:t>
            </w:r>
          </w:p>
        </w:tc>
        <w:tc>
          <w:tcPr>
            <w:tcW w:w="0" w:type="dxa"/>
            <w:vAlign w:val="bottom"/>
          </w:tcPr>
          <w:p>
            <w:pPr>
              <w:spacing w:after="0"/>
              <w:rPr>
                <w:sz w:val="1"/>
                <w:szCs w:val="1"/>
                <w:color w:val="auto"/>
              </w:rPr>
            </w:pPr>
          </w:p>
        </w:tc>
      </w:tr>
      <w:tr>
        <w:trPr>
          <w:trHeight w:val="178"/>
        </w:trPr>
        <w:tc>
          <w:tcPr>
            <w:tcW w:w="35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4"/>
              </w:rPr>
              <w:t>Total Investment in Equity Securities (4% of</w:t>
            </w:r>
          </w:p>
        </w:tc>
        <w:tc>
          <w:tcPr>
            <w:tcW w:w="3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asset value at fair value)</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10,467,786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9,548,488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00" w:type="dxa"/>
            <w:vAlign w:val="bottom"/>
            <w:gridSpan w:val="4"/>
          </w:tcPr>
          <w:p>
            <w:pPr>
              <w:spacing w:after="0"/>
              <w:rPr>
                <w:sz w:val="20"/>
                <w:szCs w:val="20"/>
                <w:color w:val="auto"/>
              </w:rPr>
            </w:pPr>
            <w:r>
              <w:rPr>
                <w:rFonts w:ascii="Arial" w:cs="Arial" w:eastAsia="Arial" w:hAnsi="Arial"/>
                <w:sz w:val="18"/>
                <w:szCs w:val="18"/>
                <w:b w:val="1"/>
                <w:bCs w:val="1"/>
                <w:color w:val="auto"/>
              </w:rPr>
              <w:t>CLO Subordinated Securities, Preferred Shares and Income Notes Investments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2"/>
            <w:vMerge w:val="restart"/>
          </w:tcPr>
          <w:p>
            <w:pPr>
              <w:ind w:left="116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(13)</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40" w:type="dxa"/>
            <w:vAlign w:val="bottom"/>
            <w:gridSpan w:val="2"/>
            <w:vMerge w:val="continue"/>
          </w:tcPr>
          <w:p>
            <w:pPr>
              <w:spacing w:after="0"/>
              <w:rPr>
                <w:sz w:val="20"/>
                <w:szCs w:val="20"/>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4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Grant Grove CLO, Ltd.</w:t>
            </w:r>
            <w:r>
              <w:rPr>
                <w:rFonts w:ascii="Arial" w:cs="Arial" w:eastAsia="Arial" w:hAnsi="Arial"/>
                <w:sz w:val="22"/>
                <w:szCs w:val="22"/>
                <w:color w:val="auto"/>
                <w:vertAlign w:val="superscript"/>
              </w:rPr>
              <w:t>(3)</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Subordinated Securities,</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interest 9.6%,</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2,484,943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280,164</w:t>
            </w: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Katonah III, Ltd.</w:t>
            </w:r>
            <w:r>
              <w:rPr>
                <w:rFonts w:ascii="Arial" w:cs="Arial" w:eastAsia="Arial" w:hAnsi="Arial"/>
                <w:sz w:val="23"/>
                <w:szCs w:val="23"/>
                <w:color w:val="auto"/>
                <w:vertAlign w:val="superscript"/>
              </w:rPr>
              <w:t>(3)</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Preferred Shares, effective</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1,373,132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interest N/M, 5/15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Katonah IX CLO Ltd</w:t>
            </w:r>
            <w:r>
              <w:rPr>
                <w:rFonts w:ascii="Arial" w:cs="Arial" w:eastAsia="Arial" w:hAnsi="Arial"/>
                <w:sz w:val="23"/>
                <w:szCs w:val="23"/>
                <w:color w:val="auto"/>
                <w:vertAlign w:val="superscript"/>
              </w:rPr>
              <w:t>(3), (6), (14)</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Preferred Shares, effective</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1,140,057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2.2%, 1/19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Katonah X CLO Ltd</w:t>
            </w:r>
            <w:r>
              <w:rPr>
                <w:rFonts w:ascii="Arial" w:cs="Arial" w:eastAsia="Arial" w:hAnsi="Arial"/>
                <w:sz w:val="23"/>
                <w:szCs w:val="23"/>
                <w:color w:val="auto"/>
                <w:vertAlign w:val="superscript"/>
              </w:rPr>
              <w:t>(3), (6), (14)</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Subordinated Securities,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effective interest 12.8%,</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4/20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7,637,499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Katonah 2007-I CLO Ltd.</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Preferred Shares, effective</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24,312,424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20,295,677</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27.0%, 4/22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Trimaran CLO VII, Ltd.</w:t>
            </w:r>
            <w:r>
              <w:rPr>
                <w:rFonts w:ascii="Arial" w:cs="Arial" w:eastAsia="Arial" w:hAnsi="Arial"/>
                <w:sz w:val="23"/>
                <w:szCs w:val="23"/>
                <w:color w:val="auto"/>
                <w:vertAlign w:val="superscript"/>
              </w:rPr>
              <w:t>(3), (6)</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Income Notes, effective</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1,375,013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1,647,272</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interest 50.8%, 6/21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Catamaran CLO 2012-1 Ltd.</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Subordinated Notes, effective</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6,791,980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3,312,940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2.8%, 12/23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Catamaran CLO 2013-1 Ltd.</w:t>
            </w:r>
            <w:r>
              <w:rPr>
                <w:rFonts w:ascii="Arial" w:cs="Arial" w:eastAsia="Arial" w:hAnsi="Arial"/>
                <w:sz w:val="23"/>
                <w:szCs w:val="23"/>
                <w:color w:val="auto"/>
                <w:vertAlign w:val="superscript"/>
              </w:rPr>
              <w:t>(3), (6)</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Subordinated Notes, effective</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6,256,090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5,639,106</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interest 12.9%, 1/25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Catamaran CLO 2014-1 Ltd.</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Subordinated Notes, effective</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8,928,790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5,846,325</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8.4%, 4/26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Dryden 30 Senior Loan Fund</w:t>
            </w:r>
            <w:r>
              <w:rPr>
                <w:rFonts w:ascii="Arial" w:cs="Arial" w:eastAsia="Arial" w:hAnsi="Arial"/>
                <w:sz w:val="23"/>
                <w:szCs w:val="23"/>
                <w:color w:val="auto"/>
                <w:vertAlign w:val="superscript"/>
              </w:rPr>
              <w:t>(3)</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Subordinated Notes, effective</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1,592,303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1,634,647</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interest 29.4%, 11/25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Catamaran CLO 2014-2 Ltd.</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Subordinated Notes, effective</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8,024,168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5,751,600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8.8%, 10/26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Catamaran CLO 2015-1 Ltd.</w:t>
            </w:r>
            <w:r>
              <w:rPr>
                <w:rFonts w:ascii="Arial" w:cs="Arial" w:eastAsia="Arial" w:hAnsi="Arial"/>
                <w:sz w:val="23"/>
                <w:szCs w:val="23"/>
                <w:color w:val="auto"/>
                <w:vertAlign w:val="superscript"/>
              </w:rPr>
              <w:t>(3), (6)</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Subordinated Notes, effective</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interest 10.1%, 4/27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11,869,751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8,789,651</w:t>
            </w:r>
          </w:p>
        </w:tc>
        <w:tc>
          <w:tcPr>
            <w:tcW w:w="0" w:type="dxa"/>
            <w:vAlign w:val="bottom"/>
          </w:tcPr>
          <w:p>
            <w:pPr>
              <w:spacing w:after="0"/>
              <w:rPr>
                <w:sz w:val="1"/>
                <w:szCs w:val="1"/>
                <w:color w:val="auto"/>
              </w:rPr>
            </w:pPr>
          </w:p>
        </w:tc>
      </w:tr>
      <w:tr>
        <w:trPr>
          <w:trHeight w:val="178"/>
        </w:trPr>
        <w:tc>
          <w:tcPr>
            <w:tcW w:w="35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Investment in CLO Subordinated</w:t>
            </w:r>
          </w:p>
        </w:tc>
        <w:tc>
          <w:tcPr>
            <w:tcW w:w="3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Securities</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81,786,150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54,702,382</w:t>
            </w:r>
          </w:p>
        </w:tc>
        <w:tc>
          <w:tcPr>
            <w:tcW w:w="0" w:type="dxa"/>
            <w:vAlign w:val="bottom"/>
          </w:tcPr>
          <w:p>
            <w:pPr>
              <w:spacing w:after="0"/>
              <w:rPr>
                <w:sz w:val="1"/>
                <w:szCs w:val="1"/>
                <w:color w:val="auto"/>
              </w:rPr>
            </w:pPr>
          </w:p>
        </w:tc>
      </w:tr>
      <w:tr>
        <w:trPr>
          <w:trHeight w:val="42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CLO Rated-Note Investments</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4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4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Catamaran CLO 2014-1 Ltd.</w:t>
            </w:r>
            <w:r>
              <w:rPr>
                <w:rFonts w:ascii="Arial" w:cs="Arial" w:eastAsia="Arial" w:hAnsi="Arial"/>
                <w:sz w:val="22"/>
                <w:szCs w:val="22"/>
                <w:color w:val="auto"/>
                <w:vertAlign w:val="superscript"/>
              </w:rPr>
              <w:t>(3), (6)</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Float – 04/2026 – E –</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 Value of</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1,525,000 6.1% Cash,</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4/26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1,428,797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1,170,000</w:t>
            </w:r>
          </w:p>
        </w:tc>
        <w:tc>
          <w:tcPr>
            <w:tcW w:w="0" w:type="dxa"/>
            <w:vAlign w:val="bottom"/>
          </w:tcPr>
          <w:p>
            <w:pPr>
              <w:spacing w:after="0"/>
              <w:rPr>
                <w:sz w:val="1"/>
                <w:szCs w:val="1"/>
                <w:color w:val="auto"/>
              </w:rPr>
            </w:pPr>
          </w:p>
        </w:tc>
      </w:tr>
      <w:tr>
        <w:trPr>
          <w:trHeight w:val="178"/>
        </w:trPr>
        <w:tc>
          <w:tcPr>
            <w:tcW w:w="356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Investment in CLO</w:t>
            </w: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tcPr>
          <w:p>
            <w:pPr>
              <w:ind w:left="180"/>
              <w:spacing w:after="0"/>
              <w:rPr>
                <w:sz w:val="20"/>
                <w:szCs w:val="20"/>
                <w:color w:val="auto"/>
              </w:rPr>
            </w:pPr>
            <w:r>
              <w:rPr>
                <w:rFonts w:ascii="Arial" w:cs="Arial" w:eastAsia="Arial" w:hAnsi="Arial"/>
                <w:sz w:val="18"/>
                <w:szCs w:val="18"/>
                <w:b w:val="1"/>
                <w:bCs w:val="1"/>
                <w:color w:val="auto"/>
              </w:rPr>
              <w:t>Rated-Note</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1,428,797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1,170,000</w:t>
            </w:r>
          </w:p>
        </w:tc>
        <w:tc>
          <w:tcPr>
            <w:tcW w:w="0" w:type="dxa"/>
            <w:vAlign w:val="bottom"/>
          </w:tcPr>
          <w:p>
            <w:pPr>
              <w:spacing w:after="0"/>
              <w:rPr>
                <w:sz w:val="1"/>
                <w:szCs w:val="1"/>
                <w:color w:val="auto"/>
              </w:rPr>
            </w:pPr>
          </w:p>
        </w:tc>
      </w:tr>
      <w:tr>
        <w:trPr>
          <w:trHeight w:val="178"/>
        </w:trPr>
        <w:tc>
          <w:tcPr>
            <w:tcW w:w="35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Investment in CLO</w:t>
            </w:r>
          </w:p>
        </w:tc>
        <w:tc>
          <w:tcPr>
            <w:tcW w:w="3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3"/>
              </w:rPr>
              <w:t>Fund Securities (26% of net asset value at</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fair value)</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83,214,947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55,872,382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00" w:lineRule="exact"/>
        <w:rPr>
          <w:sz w:val="20"/>
          <w:szCs w:val="20"/>
          <w:color w:val="auto"/>
        </w:rPr>
      </w:pPr>
    </w:p>
    <w:p>
      <w:pPr>
        <w:spacing w:after="0" w:line="241" w:lineRule="exact"/>
        <w:rPr>
          <w:sz w:val="20"/>
          <w:szCs w:val="20"/>
          <w:color w:val="auto"/>
        </w:rPr>
      </w:pPr>
    </w:p>
    <w:p>
      <w:pPr>
        <w:ind w:right="280"/>
        <w:spacing w:after="0" w:line="258" w:lineRule="auto"/>
        <w:rPr>
          <w:sz w:val="20"/>
          <w:szCs w:val="20"/>
          <w:color w:val="auto"/>
        </w:rPr>
      </w:pPr>
      <w:r>
        <w:rPr>
          <w:rFonts w:ascii="Arial" w:cs="Arial" w:eastAsia="Arial" w:hAnsi="Arial"/>
          <w:sz w:val="16"/>
          <w:szCs w:val="16"/>
          <w:b w:val="1"/>
          <w:bCs w:val="1"/>
          <w:color w:val="auto"/>
        </w:rPr>
        <w:t xml:space="preserve">Portfolio Company/Principal Business </w:t>
      </w:r>
      <w:r>
        <w:rPr>
          <w:rFonts w:ascii="Arial" w:cs="Arial" w:eastAsia="Arial" w:hAnsi="Arial"/>
          <w:sz w:val="16"/>
          <w:szCs w:val="16"/>
          <w:color w:val="auto"/>
        </w:rPr>
        <w:t>Asset Manager Affiliates</w:t>
      </w:r>
      <w:r>
        <w:rPr>
          <w:rFonts w:ascii="Arial" w:cs="Arial" w:eastAsia="Arial" w:hAnsi="Arial"/>
          <w:sz w:val="26"/>
          <w:szCs w:val="26"/>
          <w:color w:val="auto"/>
          <w:vertAlign w:val="superscript"/>
        </w:rPr>
        <w:t>(9), (11)</w:t>
      </w:r>
    </w:p>
    <w:p>
      <w:pPr>
        <w:ind w:left="180" w:hanging="179"/>
        <w:spacing w:after="0" w:line="254" w:lineRule="auto"/>
        <w:rPr>
          <w:sz w:val="20"/>
          <w:szCs w:val="20"/>
          <w:color w:val="auto"/>
        </w:rPr>
      </w:pPr>
      <w:r>
        <w:rPr>
          <w:rFonts w:ascii="Arial" w:cs="Arial" w:eastAsia="Arial" w:hAnsi="Arial"/>
          <w:sz w:val="18"/>
          <w:szCs w:val="18"/>
          <w:b w:val="1"/>
          <w:bCs w:val="1"/>
          <w:color w:val="auto"/>
        </w:rPr>
        <w:t>Total Investment in Asset Manager Affiliates (27% of net asset value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Percentage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6"/>
              </w:rPr>
              <w:t xml:space="preserve">Fair Value </w:t>
            </w:r>
            <w:r>
              <w:rPr>
                <w:rFonts w:ascii="Arial" w:cs="Arial" w:eastAsia="Arial" w:hAnsi="Arial"/>
                <w:sz w:val="30"/>
                <w:szCs w:val="30"/>
                <w:b w:val="1"/>
                <w:bCs w:val="1"/>
                <w:color w:val="auto"/>
                <w:w w:val="96"/>
                <w:vertAlign w:val="superscript"/>
              </w:rPr>
              <w:t>(2)</w:t>
            </w: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20"/>
                <w:szCs w:val="20"/>
                <w:color w:val="auto"/>
              </w:rPr>
            </w:pPr>
          </w:p>
        </w:tc>
        <w:tc>
          <w:tcPr>
            <w:tcW w:w="12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Ownership</w:t>
            </w:r>
          </w:p>
        </w:tc>
        <w:tc>
          <w:tcPr>
            <w:tcW w:w="280" w:type="dxa"/>
            <w:vAlign w:val="bottom"/>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40" w:type="dxa"/>
            <w:vAlign w:val="bottom"/>
            <w:gridSpan w:val="2"/>
          </w:tcPr>
          <w:p>
            <w:pPr>
              <w:jc w:val="right"/>
              <w:ind w:right="1420"/>
              <w:spacing w:after="0"/>
              <w:rPr>
                <w:sz w:val="20"/>
                <w:szCs w:val="20"/>
                <w:color w:val="auto"/>
              </w:rPr>
            </w:pPr>
            <w:r>
              <w:rPr>
                <w:rFonts w:ascii="Arial" w:cs="Arial" w:eastAsia="Arial" w:hAnsi="Arial"/>
                <w:sz w:val="18"/>
                <w:szCs w:val="18"/>
                <w:color w:val="auto"/>
                <w:w w:val="88"/>
              </w:rPr>
              <w:t>Asset Management Company</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56,591,230</w:t>
            </w:r>
          </w:p>
        </w:tc>
        <w:tc>
          <w:tcPr>
            <w:tcW w:w="20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57,381,000</w:t>
            </w:r>
          </w:p>
        </w:tc>
        <w:tc>
          <w:tcPr>
            <w:tcW w:w="0" w:type="dxa"/>
            <w:vAlign w:val="bottom"/>
          </w:tcPr>
          <w:p>
            <w:pPr>
              <w:spacing w:after="0"/>
              <w:rPr>
                <w:sz w:val="1"/>
                <w:szCs w:val="1"/>
                <w:color w:val="auto"/>
              </w:rPr>
            </w:pPr>
          </w:p>
        </w:tc>
      </w:tr>
      <w:tr>
        <w:trPr>
          <w:trHeight w:val="642"/>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56,591,230</w:t>
            </w:r>
          </w:p>
        </w:tc>
        <w:tc>
          <w:tcPr>
            <w:tcW w:w="1260" w:type="dxa"/>
            <w:vAlign w:val="bottom"/>
          </w:tcPr>
          <w:p>
            <w:pPr>
              <w:jc w:val="right"/>
              <w:spacing w:after="0"/>
              <w:rPr>
                <w:sz w:val="20"/>
                <w:szCs w:val="20"/>
                <w:color w:val="auto"/>
              </w:rPr>
            </w:pPr>
            <w:r>
              <w:rPr>
                <w:rFonts w:ascii="Arial" w:cs="Arial" w:eastAsia="Arial" w:hAnsi="Arial"/>
                <w:sz w:val="18"/>
                <w:szCs w:val="18"/>
                <w:color w:val="auto"/>
              </w:rPr>
              <w:t>57,381,000</w:t>
            </w:r>
          </w:p>
        </w:tc>
        <w:tc>
          <w:tcPr>
            <w:tcW w:w="0" w:type="dxa"/>
            <w:vAlign w:val="bottom"/>
          </w:tcPr>
          <w:p>
            <w:pPr>
              <w:spacing w:after="0"/>
              <w:rPr>
                <w:sz w:val="1"/>
                <w:szCs w:val="1"/>
                <w:color w:val="auto"/>
              </w:rPr>
            </w:pPr>
          </w:p>
        </w:tc>
      </w:tr>
      <w:tr>
        <w:trPr>
          <w:trHeight w:val="426"/>
        </w:trPr>
        <w:tc>
          <w:tcPr>
            <w:tcW w:w="5060" w:type="dxa"/>
            <w:vAlign w:val="bottom"/>
            <w:gridSpan w:val="4"/>
          </w:tcPr>
          <w:p>
            <w:pPr>
              <w:jc w:val="right"/>
              <w:ind w:right="920"/>
              <w:spacing w:after="0"/>
              <w:rPr>
                <w:sz w:val="20"/>
                <w:szCs w:val="20"/>
                <w:color w:val="auto"/>
              </w:rPr>
            </w:pPr>
            <w:r>
              <w:rPr>
                <w:rFonts w:ascii="Arial" w:cs="Arial" w:eastAsia="Arial" w:hAnsi="Arial"/>
                <w:sz w:val="18"/>
                <w:szCs w:val="18"/>
                <w:color w:val="auto"/>
              </w:rPr>
              <w:t>See accompanying notes to financial statements.</w:t>
            </w:r>
          </w:p>
        </w:tc>
        <w:tc>
          <w:tcPr>
            <w:tcW w:w="12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440" w:type="dxa"/>
            <w:vAlign w:val="bottom"/>
          </w:tcPr>
          <w:p>
            <w:pPr>
              <w:jc w:val="right"/>
              <w:ind w:right="10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-1294130</wp:posOffset>
            </wp:positionV>
            <wp:extent cx="7246620" cy="1803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220" w:space="340"/>
            <w:col w:w="7860"/>
          </w:cols>
          <w:pgMar w:left="240" w:top="904"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w w:val="97"/>
              </w:rPr>
              <w:t>Time Deposits and Money Market Account</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w w:val="97"/>
              </w:rPr>
              <w:t>Time Deposit and Money Market Accounts</w:t>
            </w:r>
          </w:p>
        </w:tc>
        <w:tc>
          <w:tcPr>
            <w:tcW w:w="3540" w:type="dxa"/>
            <w:vAlign w:val="bottom"/>
            <w:gridSpan w:val="2"/>
          </w:tcPr>
          <w:p>
            <w:pPr>
              <w:ind w:left="1280"/>
              <w:spacing w:after="0"/>
              <w:rPr>
                <w:sz w:val="20"/>
                <w:szCs w:val="20"/>
                <w:color w:val="auto"/>
              </w:rPr>
            </w:pPr>
            <w:r>
              <w:rPr>
                <w:rFonts w:ascii="Arial" w:cs="Arial" w:eastAsia="Arial" w:hAnsi="Arial"/>
                <w:sz w:val="18"/>
                <w:szCs w:val="18"/>
                <w:b w:val="1"/>
                <w:bCs w:val="1"/>
                <w:color w:val="auto"/>
              </w:rPr>
              <w:t>Investment</w:t>
            </w:r>
          </w:p>
        </w:tc>
        <w:tc>
          <w:tcPr>
            <w:tcW w:w="166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rPr>
              <w:t>Yield</w:t>
            </w: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44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JP Morgan Business Money Market</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Money Market Account</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560" w:type="dxa"/>
            <w:vAlign w:val="bottom"/>
            <w:gridSpan w:val="2"/>
            <w:shd w:val="clear" w:color="auto" w:fill="CCEEFF"/>
          </w:tcPr>
          <w:p>
            <w:pPr>
              <w:ind w:left="180"/>
              <w:spacing w:after="0" w:line="266" w:lineRule="exact"/>
              <w:rPr>
                <w:sz w:val="20"/>
                <w:szCs w:val="20"/>
                <w:color w:val="auto"/>
              </w:rPr>
            </w:pPr>
            <w:r>
              <w:rPr>
                <w:rFonts w:ascii="Arial" w:cs="Arial" w:eastAsia="Arial" w:hAnsi="Arial"/>
                <w:sz w:val="18"/>
                <w:szCs w:val="18"/>
                <w:color w:val="auto"/>
              </w:rPr>
              <w:t xml:space="preserve">Account </w:t>
            </w:r>
            <w:r>
              <w:rPr>
                <w:rFonts w:ascii="Arial" w:cs="Arial" w:eastAsia="Arial" w:hAnsi="Arial"/>
                <w:sz w:val="30"/>
                <w:szCs w:val="30"/>
                <w:color w:val="auto"/>
                <w:vertAlign w:val="superscript"/>
              </w:rPr>
              <w:t>(8), (9)</w:t>
            </w:r>
          </w:p>
        </w:tc>
        <w:tc>
          <w:tcPr>
            <w:tcW w:w="3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0.10%  $</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249,247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249,247</w:t>
            </w:r>
          </w:p>
        </w:tc>
        <w:tc>
          <w:tcPr>
            <w:tcW w:w="0" w:type="dxa"/>
            <w:vAlign w:val="bottom"/>
          </w:tcPr>
          <w:p>
            <w:pPr>
              <w:spacing w:after="0"/>
              <w:rPr>
                <w:sz w:val="1"/>
                <w:szCs w:val="1"/>
                <w:color w:val="auto"/>
              </w:rPr>
            </w:pPr>
          </w:p>
        </w:tc>
      </w:tr>
      <w:tr>
        <w:trPr>
          <w:trHeight w:val="217"/>
        </w:trPr>
        <w:tc>
          <w:tcPr>
            <w:tcW w:w="3560" w:type="dxa"/>
            <w:vAlign w:val="bottom"/>
            <w:gridSpan w:val="2"/>
          </w:tcPr>
          <w:p>
            <w:pPr>
              <w:spacing w:after="0"/>
              <w:rPr>
                <w:sz w:val="20"/>
                <w:szCs w:val="20"/>
                <w:color w:val="auto"/>
              </w:rPr>
            </w:pPr>
            <w:r>
              <w:rPr>
                <w:rFonts w:ascii="Arial" w:cs="Arial" w:eastAsia="Arial" w:hAnsi="Arial"/>
                <w:sz w:val="18"/>
                <w:szCs w:val="18"/>
                <w:color w:val="auto"/>
              </w:rPr>
              <w:t>US Bank Money Market</w:t>
            </w:r>
          </w:p>
        </w:tc>
        <w:tc>
          <w:tcPr>
            <w:tcW w:w="3540" w:type="dxa"/>
            <w:vAlign w:val="bottom"/>
            <w:gridSpan w:val="2"/>
          </w:tcPr>
          <w:p>
            <w:pPr>
              <w:spacing w:after="0"/>
              <w:rPr>
                <w:sz w:val="20"/>
                <w:szCs w:val="20"/>
                <w:color w:val="auto"/>
              </w:rPr>
            </w:pPr>
            <w:r>
              <w:rPr>
                <w:rFonts w:ascii="Arial" w:cs="Arial" w:eastAsia="Arial" w:hAnsi="Arial"/>
                <w:sz w:val="18"/>
                <w:szCs w:val="18"/>
                <w:color w:val="auto"/>
              </w:rPr>
              <w:t>Money Market Account</w:t>
            </w: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180"/>
        <w:spacing w:after="0" w:line="188" w:lineRule="auto"/>
        <w:rPr>
          <w:sz w:val="20"/>
          <w:szCs w:val="20"/>
          <w:color w:val="auto"/>
        </w:rPr>
      </w:pPr>
      <w:r>
        <w:rPr>
          <w:rFonts w:ascii="Arial" w:cs="Arial" w:eastAsia="Arial" w:hAnsi="Arial"/>
          <w:sz w:val="18"/>
          <w:szCs w:val="18"/>
          <w:color w:val="auto"/>
        </w:rPr>
        <w:t>Account</w:t>
      </w:r>
      <w:r>
        <w:rPr>
          <w:rFonts w:ascii="Arial" w:cs="Arial" w:eastAsia="Arial" w:hAnsi="Arial"/>
          <w:sz w:val="30"/>
          <w:szCs w:val="30"/>
          <w:color w:val="auto"/>
          <w:vertAlign w:val="superscript"/>
        </w:rPr>
        <w:t>(9)</w:t>
      </w:r>
    </w:p>
    <w:p>
      <w:pPr>
        <w:ind w:left="180" w:hanging="179"/>
        <w:spacing w:after="0" w:line="249" w:lineRule="auto"/>
        <w:rPr>
          <w:sz w:val="20"/>
          <w:szCs w:val="20"/>
          <w:color w:val="auto"/>
        </w:rPr>
      </w:pPr>
      <w:r>
        <w:rPr>
          <w:rFonts w:ascii="Arial" w:cs="Arial" w:eastAsia="Arial" w:hAnsi="Arial"/>
          <w:sz w:val="18"/>
          <w:szCs w:val="18"/>
          <w:b w:val="1"/>
          <w:bCs w:val="1"/>
          <w:color w:val="auto"/>
        </w:rPr>
        <w:t>Total Investment in Time Deposit and Money Market Accounts (1% of net asset value at fair value)</w:t>
      </w:r>
    </w:p>
    <w:p>
      <w:pPr>
        <w:spacing w:after="0" w:line="2" w:lineRule="exact"/>
        <w:rPr>
          <w:sz w:val="20"/>
          <w:szCs w:val="20"/>
          <w:color w:val="auto"/>
        </w:rPr>
      </w:pPr>
    </w:p>
    <w:p>
      <w:pPr>
        <w:ind w:left="180" w:right="360" w:hanging="179"/>
        <w:spacing w:after="0" w:line="211" w:lineRule="auto"/>
        <w:rPr>
          <w:sz w:val="20"/>
          <w:szCs w:val="20"/>
          <w:color w:val="auto"/>
        </w:rPr>
      </w:pPr>
      <w:r>
        <w:rPr>
          <w:rFonts w:ascii="Arial" w:cs="Arial" w:eastAsia="Arial" w:hAnsi="Arial"/>
          <w:sz w:val="18"/>
          <w:szCs w:val="18"/>
          <w:b w:val="1"/>
          <w:bCs w:val="1"/>
          <w:color w:val="auto"/>
        </w:rPr>
        <w:t>Total Investments</w:t>
      </w:r>
      <w:r>
        <w:rPr>
          <w:rFonts w:ascii="Arial" w:cs="Arial" w:eastAsia="Arial" w:hAnsi="Arial"/>
          <w:sz w:val="30"/>
          <w:szCs w:val="30"/>
          <w:b w:val="1"/>
          <w:bCs w:val="1"/>
          <w:color w:val="auto"/>
          <w:vertAlign w:val="superscript"/>
        </w:rPr>
        <w:t>(4)</w:t>
      </w:r>
      <w:r>
        <w:rPr>
          <w:rFonts w:ascii="Arial" w:cs="Arial" w:eastAsia="Arial" w:hAnsi="Arial"/>
          <w:sz w:val="18"/>
          <w:szCs w:val="18"/>
          <w:b w:val="1"/>
          <w:bCs w:val="1"/>
          <w:color w:val="auto"/>
        </w:rPr>
        <w:t xml:space="preserve"> (190% of net asset value at fair value)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100"/>
        <w:spacing w:after="0"/>
        <w:tabs>
          <w:tab w:leader="none" w:pos="2160" w:val="left"/>
          <w:tab w:leader="none" w:pos="700" w:val="left"/>
        </w:tabs>
        <w:rPr>
          <w:sz w:val="20"/>
          <w:szCs w:val="20"/>
          <w:color w:val="auto"/>
        </w:rPr>
      </w:pPr>
      <w:r>
        <w:rPr>
          <w:rFonts w:ascii="Arial" w:cs="Arial" w:eastAsia="Arial" w:hAnsi="Arial"/>
          <w:sz w:val="18"/>
          <w:szCs w:val="18"/>
          <w:color w:val="auto"/>
        </w:rPr>
        <w:t>0.02%</w:t>
      </w:r>
      <w:r>
        <w:rPr>
          <w:sz w:val="20"/>
          <w:szCs w:val="20"/>
          <w:color w:val="auto"/>
        </w:rPr>
        <w:tab/>
      </w:r>
      <w:r>
        <w:rPr>
          <w:rFonts w:ascii="Arial" w:cs="Arial" w:eastAsia="Arial" w:hAnsi="Arial"/>
          <w:sz w:val="18"/>
          <w:szCs w:val="18"/>
          <w:color w:val="auto"/>
        </w:rPr>
        <w:t>1,880,134</w:t>
      </w:r>
      <w:r>
        <w:rPr>
          <w:sz w:val="20"/>
          <w:szCs w:val="20"/>
          <w:color w:val="auto"/>
        </w:rPr>
        <w:tab/>
      </w:r>
      <w:r>
        <w:rPr>
          <w:rFonts w:ascii="Arial" w:cs="Arial" w:eastAsia="Arial" w:hAnsi="Arial"/>
          <w:sz w:val="16"/>
          <w:szCs w:val="16"/>
          <w:color w:val="auto"/>
        </w:rPr>
        <w:t>1,880,134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23495</wp:posOffset>
            </wp:positionV>
            <wp:extent cx="7246620" cy="420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5180"/>
        <w:spacing w:after="0"/>
        <w:tabs>
          <w:tab w:leader="none" w:pos="6620" w:val="left"/>
        </w:tabs>
        <w:rPr>
          <w:sz w:val="20"/>
          <w:szCs w:val="20"/>
          <w:color w:val="auto"/>
        </w:rPr>
      </w:pPr>
      <w:r>
        <w:rPr>
          <w:rFonts w:ascii="Arial" w:cs="Arial" w:eastAsia="Arial" w:hAnsi="Arial"/>
          <w:sz w:val="18"/>
          <w:szCs w:val="18"/>
          <w:color w:val="auto"/>
        </w:rPr>
        <w:t>2,129,381</w:t>
      </w:r>
      <w:r>
        <w:rPr>
          <w:sz w:val="20"/>
          <w:szCs w:val="20"/>
          <w:color w:val="auto"/>
        </w:rPr>
        <w:tab/>
      </w:r>
      <w:r>
        <w:rPr>
          <w:rFonts w:ascii="Arial" w:cs="Arial" w:eastAsia="Arial" w:hAnsi="Arial"/>
          <w:sz w:val="18"/>
          <w:szCs w:val="18"/>
          <w:color w:val="auto"/>
        </w:rPr>
        <w:t>2,129,381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14605</wp:posOffset>
            </wp:positionV>
            <wp:extent cx="17151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73" w:lineRule="exact"/>
        <w:rPr>
          <w:sz w:val="20"/>
          <w:szCs w:val="20"/>
          <w:color w:val="auto"/>
        </w:rPr>
      </w:pPr>
    </w:p>
    <w:p>
      <w:pPr>
        <w:jc w:val="both"/>
        <w:ind w:left="4660"/>
        <w:spacing w:after="0"/>
        <w:tabs>
          <w:tab w:leader="none" w:pos="4980" w:val="left"/>
          <w:tab w:leader="none" w:pos="6080" w:val="left"/>
          <w:tab w:leader="none" w:pos="6440" w:val="left"/>
        </w:tabs>
        <w:rPr>
          <w:sz w:val="20"/>
          <w:szCs w:val="20"/>
          <w:color w:val="auto"/>
        </w:rPr>
      </w:pPr>
      <w:r>
        <w:rPr>
          <w:rFonts w:ascii="Arial" w:cs="Arial" w:eastAsia="Arial" w:hAnsi="Arial"/>
          <w:sz w:val="18"/>
          <w:szCs w:val="18"/>
          <w:u w:val="single" w:color="auto"/>
          <w:color w:val="auto"/>
        </w:rPr>
        <w:t>$</w:t>
        <w:tab/>
        <w:t>450,712,189</w:t>
        <w:tab/>
        <w:t>$</w:t>
      </w:r>
      <w:r>
        <w:rPr>
          <w:sz w:val="20"/>
          <w:szCs w:val="20"/>
          <w:color w:val="auto"/>
        </w:rPr>
        <w:tab/>
      </w:r>
      <w:r>
        <w:rPr>
          <w:rFonts w:ascii="Arial" w:cs="Arial" w:eastAsia="Arial" w:hAnsi="Arial"/>
          <w:sz w:val="16"/>
          <w:szCs w:val="16"/>
          <w:u w:val="single" w:color="auto"/>
          <w:color w:val="auto"/>
        </w:rPr>
        <w:t>409,570,495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31750</wp:posOffset>
            </wp:positionV>
            <wp:extent cx="17151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ectPr>
          <w:pgSz w:w="11900" w:h="16838" w:orient="portrait"/>
          <w:cols w:equalWidth="0" w:num="2">
            <w:col w:w="3360" w:space="600"/>
            <w:col w:w="7460"/>
          </w:cols>
          <w:pgMar w:left="240" w:top="904" w:right="239" w:bottom="1440" w:gutter="0" w:footer="0" w:header="0"/>
          <w:type w:val="continuous"/>
        </w:sect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3" w:name="page34"/>
    <w:bookmarkEnd w:id="33"/>
    <w:p>
      <w:pPr>
        <w:jc w:val="both"/>
        <w:ind w:left="372" w:hanging="372"/>
        <w:spacing w:after="0" w:line="221" w:lineRule="auto"/>
        <w:tabs>
          <w:tab w:leader="none" w:pos="372"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w:t>
      </w:r>
    </w:p>
    <w:p>
      <w:pPr>
        <w:spacing w:after="0" w:line="2" w:lineRule="exact"/>
        <w:rPr>
          <w:sz w:val="20"/>
          <w:szCs w:val="20"/>
          <w:color w:val="auto"/>
        </w:rPr>
      </w:pPr>
    </w:p>
    <w:p>
      <w:pPr>
        <w:ind w:left="372"/>
        <w:spacing w:after="0" w:line="250" w:lineRule="auto"/>
        <w:rPr>
          <w:sz w:val="20"/>
          <w:szCs w:val="20"/>
          <w:color w:val="auto"/>
        </w:rPr>
      </w:pPr>
      <w:r>
        <w:rPr>
          <w:rFonts w:ascii="Arial" w:cs="Arial" w:eastAsia="Arial" w:hAnsi="Arial"/>
          <w:sz w:val="18"/>
          <w:szCs w:val="18"/>
          <w:color w:val="auto"/>
        </w:rPr>
        <w:t>the borrower’s option. The Borrower may also elect to have multiple interest reset periods for each loan. For each such loan, the Company has provided the weighted average annual stated interest rate in effect at December 31, 2015. As noted in the table above, 77% (based on par) of debt securities contain LIBOR floors which range between 0.75% and 3.0%.</w:t>
      </w:r>
    </w:p>
    <w:p>
      <w:pPr>
        <w:ind w:left="372" w:hanging="372"/>
        <w:spacing w:after="0" w:line="181" w:lineRule="auto"/>
        <w:tabs>
          <w:tab w:leader="none" w:pos="372" w:val="left"/>
        </w:tabs>
        <w:numPr>
          <w:ilvl w:val="0"/>
          <w:numId w:val="16"/>
        </w:numPr>
        <w:rPr>
          <w:rFonts w:ascii="Arial" w:cs="Arial" w:eastAsia="Arial" w:hAnsi="Arial"/>
          <w:sz w:val="25"/>
          <w:szCs w:val="25"/>
          <w:color w:val="auto"/>
          <w:vertAlign w:val="superscript"/>
        </w:rPr>
      </w:pPr>
      <w:r>
        <w:rPr>
          <w:rFonts w:ascii="Arial" w:cs="Arial" w:eastAsia="Arial" w:hAnsi="Arial"/>
          <w:sz w:val="16"/>
          <w:szCs w:val="16"/>
          <w:color w:val="auto"/>
        </w:rPr>
        <w:t>Reflects the fair market value of all investments as of December 31, 2015, as determined by the Company’s Board of Directors.</w:t>
      </w:r>
    </w:p>
    <w:p>
      <w:pPr>
        <w:ind w:left="372" w:hanging="372"/>
        <w:spacing w:after="0" w:line="180" w:lineRule="auto"/>
        <w:tabs>
          <w:tab w:leader="none" w:pos="372"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Non-U.S. company or principal place of business outside the U.S.</w:t>
      </w:r>
    </w:p>
    <w:p>
      <w:pPr>
        <w:ind w:left="372" w:hanging="372"/>
        <w:spacing w:after="0" w:line="181" w:lineRule="auto"/>
        <w:tabs>
          <w:tab w:leader="none" w:pos="372"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The aggregate cost of investments for federal income tax purposes is approximately $471 million. The aggregate gross unrealized appreciation is</w:t>
      </w:r>
    </w:p>
    <w:p>
      <w:pPr>
        <w:spacing w:after="0" w:line="2" w:lineRule="exact"/>
        <w:rPr>
          <w:sz w:val="20"/>
          <w:szCs w:val="20"/>
          <w:color w:val="auto"/>
        </w:rPr>
      </w:pPr>
    </w:p>
    <w:p>
      <w:pPr>
        <w:ind w:left="372" w:right="720"/>
        <w:spacing w:after="0" w:line="249" w:lineRule="auto"/>
        <w:rPr>
          <w:sz w:val="20"/>
          <w:szCs w:val="20"/>
          <w:color w:val="auto"/>
        </w:rPr>
      </w:pPr>
      <w:r>
        <w:rPr>
          <w:rFonts w:ascii="Arial" w:cs="Arial" w:eastAsia="Arial" w:hAnsi="Arial"/>
          <w:sz w:val="18"/>
          <w:szCs w:val="18"/>
          <w:color w:val="auto"/>
        </w:rPr>
        <w:t>approximately $7.0 million, the aggregate gross unrealized depreciation is approximately $68.2 million, and the net unrealized depreciation is approximately $61.2 million.</w:t>
      </w:r>
    </w:p>
    <w:p>
      <w:pPr>
        <w:ind w:left="372" w:hanging="372"/>
        <w:spacing w:after="0" w:line="181" w:lineRule="auto"/>
        <w:tabs>
          <w:tab w:leader="none" w:pos="372" w:val="left"/>
        </w:tabs>
        <w:numPr>
          <w:ilvl w:val="0"/>
          <w:numId w:val="19"/>
        </w:numPr>
        <w:rPr>
          <w:rFonts w:ascii="Arial" w:cs="Arial" w:eastAsia="Arial" w:hAnsi="Arial"/>
          <w:sz w:val="25"/>
          <w:szCs w:val="25"/>
          <w:color w:val="auto"/>
          <w:vertAlign w:val="superscript"/>
        </w:rPr>
      </w:pPr>
      <w:r>
        <w:rPr>
          <w:rFonts w:ascii="Arial" w:cs="Arial" w:eastAsia="Arial" w:hAnsi="Arial"/>
          <w:sz w:val="16"/>
          <w:szCs w:val="16"/>
          <w:color w:val="auto"/>
        </w:rPr>
        <w:t>Non-income producing.</w:t>
      </w:r>
    </w:p>
    <w:p>
      <w:pPr>
        <w:ind w:left="372" w:hanging="372"/>
        <w:spacing w:after="0" w:line="180" w:lineRule="auto"/>
        <w:tabs>
          <w:tab w:leader="none" w:pos="372"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An affiliate CLO Fund managed by an Asset Manager Affiliate (as such term is defined in the notes to the consolidated financial statements).</w:t>
      </w:r>
    </w:p>
    <w:p>
      <w:pPr>
        <w:ind w:left="372" w:hanging="372"/>
        <w:spacing w:after="0" w:line="181" w:lineRule="auto"/>
        <w:tabs>
          <w:tab w:leader="none" w:pos="372" w:val="left"/>
        </w:tabs>
        <w:numPr>
          <w:ilvl w:val="0"/>
          <w:numId w:val="21"/>
        </w:numPr>
        <w:rPr>
          <w:rFonts w:ascii="Arial" w:cs="Arial" w:eastAsia="Arial" w:hAnsi="Arial"/>
          <w:sz w:val="25"/>
          <w:szCs w:val="25"/>
          <w:color w:val="auto"/>
          <w:vertAlign w:val="superscript"/>
        </w:rPr>
      </w:pPr>
      <w:r>
        <w:rPr>
          <w:rFonts w:ascii="Arial" w:cs="Arial" w:eastAsia="Arial" w:hAnsi="Arial"/>
          <w:sz w:val="16"/>
          <w:szCs w:val="16"/>
          <w:color w:val="auto"/>
        </w:rPr>
        <w:t>Loan or debt security is on non-accrual status and therefore is considered non-income producing.</w:t>
      </w:r>
    </w:p>
    <w:p>
      <w:pPr>
        <w:ind w:left="372" w:hanging="372"/>
        <w:spacing w:after="0" w:line="180" w:lineRule="auto"/>
        <w:tabs>
          <w:tab w:leader="none" w:pos="372" w:val="left"/>
        </w:tabs>
        <w:numPr>
          <w:ilvl w:val="0"/>
          <w:numId w:val="22"/>
        </w:numPr>
        <w:rPr>
          <w:rFonts w:ascii="Arial" w:cs="Arial" w:eastAsia="Arial" w:hAnsi="Arial"/>
          <w:sz w:val="25"/>
          <w:szCs w:val="25"/>
          <w:color w:val="auto"/>
          <w:vertAlign w:val="superscript"/>
        </w:rPr>
      </w:pPr>
      <w:r>
        <w:rPr>
          <w:rFonts w:ascii="Arial" w:cs="Arial" w:eastAsia="Arial" w:hAnsi="Arial"/>
          <w:sz w:val="16"/>
          <w:szCs w:val="16"/>
          <w:color w:val="auto"/>
        </w:rPr>
        <w:t>Money market account holding restricted cash and security deposits for employee benefit plans.</w:t>
      </w:r>
    </w:p>
    <w:p>
      <w:pPr>
        <w:ind w:left="372" w:hanging="372"/>
        <w:spacing w:after="0" w:line="180" w:lineRule="auto"/>
        <w:tabs>
          <w:tab w:leader="none" w:pos="372"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Qualified asset for purposes of section 55(a) of the Investment Company Act of 1940.</w:t>
      </w:r>
    </w:p>
    <w:p>
      <w:pPr>
        <w:spacing w:after="0" w:line="2" w:lineRule="exact"/>
        <w:rPr>
          <w:sz w:val="20"/>
          <w:szCs w:val="20"/>
          <w:color w:val="auto"/>
        </w:rPr>
      </w:pPr>
    </w:p>
    <w:p>
      <w:pPr>
        <w:ind w:left="372" w:right="480" w:hanging="372"/>
        <w:spacing w:after="0" w:line="187" w:lineRule="auto"/>
        <w:tabs>
          <w:tab w:leader="none" w:pos="372"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As of December 31, 2015, this investment is owned by KCAP Senior Funding I, LLC and was pledged to secure KCAP Senior Funding I, LLC’s obligation.</w:t>
      </w:r>
    </w:p>
    <w:p>
      <w:pPr>
        <w:ind w:left="372" w:right="100" w:hanging="372"/>
        <w:spacing w:after="0" w:line="214" w:lineRule="auto"/>
        <w:tabs>
          <w:tab w:leader="none" w:pos="372"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Other than the Asset Manager Affiliate,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3" w:lineRule="exact"/>
        <w:rPr>
          <w:rFonts w:ascii="Arial" w:cs="Arial" w:eastAsia="Arial" w:hAnsi="Arial"/>
          <w:sz w:val="30"/>
          <w:szCs w:val="30"/>
          <w:color w:val="auto"/>
          <w:vertAlign w:val="superscript"/>
        </w:rPr>
      </w:pPr>
    </w:p>
    <w:p>
      <w:pPr>
        <w:ind w:left="372" w:hanging="372"/>
        <w:spacing w:after="0" w:line="180" w:lineRule="auto"/>
        <w:tabs>
          <w:tab w:leader="none" w:pos="372" w:val="left"/>
        </w:tabs>
        <w:numPr>
          <w:ilvl w:val="0"/>
          <w:numId w:val="24"/>
        </w:numPr>
        <w:rPr>
          <w:rFonts w:ascii="Arial" w:cs="Arial" w:eastAsia="Arial" w:hAnsi="Arial"/>
          <w:sz w:val="25"/>
          <w:szCs w:val="25"/>
          <w:color w:val="auto"/>
          <w:vertAlign w:val="superscript"/>
        </w:rPr>
      </w:pPr>
      <w:r>
        <w:rPr>
          <w:rFonts w:ascii="Arial" w:cs="Arial" w:eastAsia="Arial" w:hAnsi="Arial"/>
          <w:sz w:val="16"/>
          <w:szCs w:val="16"/>
          <w:color w:val="auto"/>
        </w:rPr>
        <w:t>Non-voting.</w:t>
      </w:r>
    </w:p>
    <w:p>
      <w:pPr>
        <w:spacing w:after="0" w:line="2" w:lineRule="exact"/>
        <w:rPr>
          <w:rFonts w:ascii="Arial" w:cs="Arial" w:eastAsia="Arial" w:hAnsi="Arial"/>
          <w:sz w:val="25"/>
          <w:szCs w:val="25"/>
          <w:color w:val="auto"/>
          <w:vertAlign w:val="superscript"/>
        </w:rPr>
      </w:pPr>
    </w:p>
    <w:p>
      <w:pPr>
        <w:jc w:val="both"/>
        <w:ind w:left="372" w:right="40" w:hanging="372"/>
        <w:spacing w:after="0" w:line="214" w:lineRule="auto"/>
        <w:tabs>
          <w:tab w:leader="none" w:pos="372"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 w:lineRule="exact"/>
        <w:rPr>
          <w:rFonts w:ascii="Arial" w:cs="Arial" w:eastAsia="Arial" w:hAnsi="Arial"/>
          <w:sz w:val="30"/>
          <w:szCs w:val="30"/>
          <w:color w:val="auto"/>
          <w:vertAlign w:val="superscript"/>
        </w:rPr>
      </w:pPr>
    </w:p>
    <w:p>
      <w:pPr>
        <w:ind w:left="372" w:hanging="372"/>
        <w:spacing w:after="0" w:line="180" w:lineRule="auto"/>
        <w:tabs>
          <w:tab w:leader="none" w:pos="372" w:val="left"/>
        </w:tabs>
        <w:numPr>
          <w:ilvl w:val="0"/>
          <w:numId w:val="24"/>
        </w:numPr>
        <w:rPr>
          <w:rFonts w:ascii="Arial" w:cs="Arial" w:eastAsia="Arial" w:hAnsi="Arial"/>
          <w:sz w:val="25"/>
          <w:szCs w:val="25"/>
          <w:color w:val="auto"/>
          <w:vertAlign w:val="superscript"/>
        </w:rPr>
      </w:pPr>
      <w:r>
        <w:rPr>
          <w:rFonts w:ascii="Arial" w:cs="Arial" w:eastAsia="Arial" w:hAnsi="Arial"/>
          <w:sz w:val="16"/>
          <w:szCs w:val="16"/>
          <w:color w:val="auto"/>
        </w:rPr>
        <w:t>Notice of redemption has been received for this transaction.</w:t>
      </w:r>
    </w:p>
    <w:p>
      <w:pPr>
        <w:spacing w:after="0" w:line="200" w:lineRule="exact"/>
        <w:rPr>
          <w:sz w:val="20"/>
          <w:szCs w:val="20"/>
          <w:color w:val="auto"/>
        </w:rPr>
      </w:pPr>
    </w:p>
    <w:p>
      <w:pPr>
        <w:spacing w:after="0" w:line="218"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12"/>
          </w:cols>
          <w:pgMar w:left="248" w:top="908"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 Ended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5.82</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1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0.27</w:t>
            </w:r>
          </w:p>
        </w:tc>
        <w:tc>
          <w:tcPr>
            <w:tcW w:w="5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40" w:type="dxa"/>
            <w:vAlign w:val="bottom"/>
          </w:tcPr>
          <w:p>
            <w:pPr>
              <w:ind w:left="160"/>
              <w:spacing w:after="0" w:line="256" w:lineRule="exact"/>
              <w:rPr>
                <w:sz w:val="20"/>
                <w:szCs w:val="20"/>
                <w:color w:val="auto"/>
              </w:rPr>
            </w:pPr>
            <w:r>
              <w:rPr>
                <w:rFonts w:ascii="Arial" w:cs="Arial" w:eastAsia="Arial" w:hAnsi="Arial"/>
                <w:sz w:val="18"/>
                <w:szCs w:val="18"/>
                <w:color w:val="auto"/>
              </w:rPr>
              <w:t>Net realized losses from investments</w:t>
            </w:r>
            <w:r>
              <w:rPr>
                <w:rFonts w:ascii="Arial" w:cs="Arial" w:eastAsia="Arial" w:hAnsi="Arial"/>
                <w:sz w:val="29"/>
                <w:szCs w:val="29"/>
                <w:color w:val="auto"/>
                <w:vertAlign w:val="superscript"/>
              </w:rPr>
              <w:t>1</w:t>
            </w:r>
          </w:p>
        </w:tc>
        <w:tc>
          <w:tcPr>
            <w:tcW w:w="1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(0.29)</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74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Net change in unrealized depreciation on investments</w:t>
            </w:r>
            <w:r>
              <w:rPr>
                <w:rFonts w:ascii="Arial" w:cs="Arial" w:eastAsia="Arial" w:hAnsi="Arial"/>
                <w:sz w:val="30"/>
                <w:szCs w:val="30"/>
                <w:color w:val="auto"/>
                <w:vertAlign w:val="superscript"/>
              </w:rPr>
              <w:t>1</w:t>
            </w:r>
          </w:p>
        </w:tc>
        <w:tc>
          <w:tcPr>
            <w:tcW w:w="11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(0.08)</w:t>
            </w:r>
          </w:p>
        </w:tc>
        <w:tc>
          <w:tcPr>
            <w:tcW w:w="5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Net (decrease) increase in net assets resulting from operations</w:t>
            </w:r>
          </w:p>
        </w:tc>
        <w:tc>
          <w:tcPr>
            <w:tcW w:w="1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3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distributions: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Distributions of ordinary income</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(0.28)</w:t>
            </w:r>
          </w:p>
        </w:tc>
        <w:tc>
          <w:tcPr>
            <w:tcW w:w="5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 of capital</w:t>
            </w: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(0.02)</w:t>
            </w: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ind w:left="320"/>
              <w:spacing w:after="0"/>
              <w:rPr>
                <w:sz w:val="20"/>
                <w:szCs w:val="20"/>
                <w:color w:val="auto"/>
              </w:rPr>
            </w:pPr>
            <w:r>
              <w:rPr>
                <w:rFonts w:ascii="Arial" w:cs="Arial" w:eastAsia="Arial" w:hAnsi="Arial"/>
                <w:sz w:val="18"/>
                <w:szCs w:val="18"/>
                <w:color w:val="auto"/>
              </w:rPr>
              <w:t>Net decrease in net assets resulting from distributions</w:t>
            </w:r>
          </w:p>
        </w:tc>
        <w:tc>
          <w:tcPr>
            <w:tcW w:w="1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3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relating to stock-based transactions: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reinvestment plan</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Stock based compensation</w:t>
            </w: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0.03</w:t>
            </w:r>
          </w:p>
        </w:tc>
        <w:tc>
          <w:tcPr>
            <w:tcW w:w="5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shd w:val="clear" w:color="auto" w:fill="CCEEFF"/>
          </w:tcPr>
          <w:p>
            <w:pPr>
              <w:ind w:left="320"/>
              <w:spacing w:after="0" w:line="256" w:lineRule="exact"/>
              <w:rPr>
                <w:sz w:val="20"/>
                <w:szCs w:val="20"/>
                <w:color w:val="auto"/>
              </w:rPr>
            </w:pPr>
            <w:r>
              <w:rPr>
                <w:rFonts w:ascii="Arial" w:cs="Arial" w:eastAsia="Arial" w:hAnsi="Arial"/>
                <w:sz w:val="18"/>
                <w:szCs w:val="18"/>
                <w:color w:val="auto"/>
              </w:rPr>
              <w:t>Net increase (decrease) in net assets relating to stock-based transactions</w:t>
            </w:r>
            <w:r>
              <w:rPr>
                <w:rFonts w:ascii="Arial" w:cs="Arial" w:eastAsia="Arial" w:hAnsi="Arial"/>
                <w:sz w:val="29"/>
                <w:szCs w:val="29"/>
                <w:color w:val="auto"/>
                <w:vertAlign w:val="superscript"/>
              </w:rPr>
              <w:t>6</w:t>
            </w:r>
          </w:p>
        </w:tc>
        <w:tc>
          <w:tcPr>
            <w:tcW w:w="1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40" w:type="dxa"/>
            <w:vAlign w:val="bottom"/>
            <w:vMerge w:val="continue"/>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0.03</w:t>
            </w:r>
          </w:p>
        </w:tc>
        <w:tc>
          <w:tcPr>
            <w:tcW w:w="5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340" w:type="dxa"/>
            <w:vAlign w:val="bottom"/>
            <w:tcBorders>
              <w:bottom w:val="single" w:sz="8" w:color="CCEEFF"/>
              <w:right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vMerge w:val="restart"/>
          </w:tcPr>
          <w:p>
            <w:pPr>
              <w:spacing w:after="0" w:line="250" w:lineRule="exact"/>
              <w:rPr>
                <w:sz w:val="20"/>
                <w:szCs w:val="20"/>
                <w:color w:val="auto"/>
              </w:rPr>
            </w:pPr>
            <w:r>
              <w:rPr>
                <w:rFonts w:ascii="Arial" w:cs="Arial" w:eastAsia="Arial" w:hAnsi="Arial"/>
                <w:sz w:val="17"/>
                <w:szCs w:val="17"/>
                <w:color w:val="auto"/>
              </w:rPr>
              <w:t>Total net asset value return</w:t>
            </w:r>
            <w:r>
              <w:rPr>
                <w:rFonts w:ascii="Arial" w:cs="Arial" w:eastAsia="Arial" w:hAnsi="Arial"/>
                <w:sz w:val="28"/>
                <w:szCs w:val="28"/>
                <w:color w:val="auto"/>
                <w:vertAlign w:val="superscript"/>
              </w:rPr>
              <w:t>2</w:t>
            </w:r>
          </w:p>
        </w:tc>
        <w:tc>
          <w:tcPr>
            <w:tcW w:w="1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beginning of period</w:t>
            </w:r>
          </w:p>
        </w:tc>
        <w:tc>
          <w:tcPr>
            <w:tcW w:w="1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4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4.07</w:t>
            </w: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15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3.92</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1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5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37,136,898</w:t>
            </w:r>
          </w:p>
        </w:tc>
        <w:tc>
          <w:tcPr>
            <w:tcW w:w="5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37,032,825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202,224,735</w:t>
            </w:r>
          </w:p>
        </w:tc>
        <w:tc>
          <w:tcPr>
            <w:tcW w:w="3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257,796,358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40" w:type="dxa"/>
            <w:vAlign w:val="bottom"/>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4</w:t>
            </w:r>
          </w:p>
        </w:tc>
        <w:tc>
          <w:tcPr>
            <w:tcW w:w="1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54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Average par debt outstanding</w:t>
            </w:r>
          </w:p>
        </w:tc>
        <w:tc>
          <w:tcPr>
            <w:tcW w:w="15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196,201,299</w:t>
            </w:r>
          </w:p>
        </w:tc>
        <w:tc>
          <w:tcPr>
            <w:tcW w:w="34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227,397,000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Asset coverage ratio</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205%</w:t>
            </w:r>
          </w:p>
        </w:tc>
        <w:tc>
          <w:tcPr>
            <w:tcW w:w="5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5</w:t>
            </w:r>
          </w:p>
        </w:tc>
        <w:tc>
          <w:tcPr>
            <w:tcW w:w="1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5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40" w:type="dxa"/>
            <w:vAlign w:val="bottom"/>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5</w:t>
            </w:r>
          </w:p>
        </w:tc>
        <w:tc>
          <w:tcPr>
            <w:tcW w:w="1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54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29"/>
                <w:szCs w:val="29"/>
                <w:color w:val="auto"/>
                <w:vertAlign w:val="superscript"/>
              </w:rPr>
              <w:t>5</w:t>
            </w:r>
          </w:p>
        </w:tc>
        <w:tc>
          <w:tcPr>
            <w:tcW w:w="1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5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30"/>
                <w:szCs w:val="30"/>
                <w:color w:val="auto"/>
                <w:vertAlign w:val="superscript"/>
              </w:rPr>
              <w:t>5</w:t>
            </w: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line="226" w:lineRule="auto"/>
        <w:tabs>
          <w:tab w:leader="none" w:pos="34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number of common shares outstanding-basic for the period.</w:t>
      </w:r>
    </w:p>
    <w:p>
      <w:pPr>
        <w:ind w:left="340" w:hanging="332"/>
        <w:spacing w:after="0" w:line="180" w:lineRule="auto"/>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Total net asset value return (not annualized) equals the change in the net asset value per share over the beginning of period net asset value per share plus</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(including any return of capital), divided by the beginning net asset value per share.</w:t>
      </w:r>
    </w:p>
    <w:p>
      <w:pPr>
        <w:spacing w:after="0" w:line="7" w:lineRule="exact"/>
        <w:rPr>
          <w:sz w:val="20"/>
          <w:szCs w:val="20"/>
          <w:color w:val="auto"/>
        </w:rPr>
      </w:pPr>
    </w:p>
    <w:p>
      <w:pPr>
        <w:ind w:left="340" w:right="200" w:hanging="332"/>
        <w:spacing w:after="0" w:line="187" w:lineRule="auto"/>
        <w:tabs>
          <w:tab w:leader="none" w:pos="34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Total market return equals the change in the ending market price over the beginning of period price per share plus distributions (including any return of capital), divided by the beginning price.</w:t>
      </w:r>
    </w:p>
    <w:p>
      <w:pPr>
        <w:ind w:left="340" w:hanging="332"/>
        <w:spacing w:after="0" w:line="182" w:lineRule="auto"/>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6"/>
          <w:szCs w:val="16"/>
          <w:color w:val="auto"/>
        </w:rPr>
        <w:t>Not annualized. Portfolio turnover rate equals the year-to-date sales and paydowns over the average of the invested assets at fair value.</w:t>
      </w:r>
    </w:p>
    <w:p>
      <w:pPr>
        <w:ind w:left="340" w:hanging="332"/>
        <w:spacing w:after="0" w:line="180"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6"/>
          <w:szCs w:val="16"/>
          <w:color w:val="auto"/>
        </w:rPr>
        <w:t>Annualized</w:t>
      </w:r>
    </w:p>
    <w:p>
      <w:pPr>
        <w:ind w:left="340" w:hanging="332"/>
        <w:spacing w:after="0" w:line="180" w:lineRule="auto"/>
        <w:tabs>
          <w:tab w:leader="none" w:pos="340" w:val="left"/>
        </w:tabs>
        <w:numPr>
          <w:ilvl w:val="0"/>
          <w:numId w:val="30"/>
        </w:numPr>
        <w:rPr>
          <w:rFonts w:ascii="Arial" w:cs="Arial" w:eastAsia="Arial" w:hAnsi="Arial"/>
          <w:sz w:val="25"/>
          <w:szCs w:val="25"/>
          <w:color w:val="auto"/>
          <w:vertAlign w:val="superscript"/>
        </w:rPr>
      </w:pPr>
      <w:r>
        <w:rPr>
          <w:rFonts w:ascii="Arial" w:cs="Arial" w:eastAsia="Arial" w:hAnsi="Arial"/>
          <w:sz w:val="16"/>
          <w:szCs w:val="16"/>
          <w:color w:val="auto"/>
        </w:rPr>
        <w:t>Totals may not sum due to rounding.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KCAP Financial, Inc. (“KCAP” or the “Company”) is an internally managed, non-diversified closed-end investment company that is regulated as a business development company (“BDC”) under the Investment Company Act of 1940 (the “1940 Act”).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(collectively, “Katonah Debt Advisors”) and in securities issued by collateralized loan obligation funds (“CLO Funds”) managed by Katonah Debt Advisors and two other asset managers.</w:t>
      </w:r>
    </w:p>
    <w:p>
      <w:pPr>
        <w:spacing w:after="0" w:line="179"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On April 28, 2008, the Company completed a rights offering that resulted in the issuance of 3.1 million shares of the Company’s common stock, and net proceeds of $27 million.</w:t>
      </w:r>
    </w:p>
    <w:p>
      <w:pPr>
        <w:spacing w:after="0" w:line="170"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On February 29, 2012, the Company purchased Trimaran Advisors, L.L.C. (“Trimaran Advisors”), an asset manager similar to Katonah Debt Advisors with assets under management of approximately $1.5 billion, for total consideration of $13.0 million in cash and 3,600,000 shares of the Company’s common stock. Contemporaneously with the acquisition of Trimaran Advisors, the Company acquired from Trimaran Advisors equity interests in certain CLO Funds managed by Trimaran Advisors for an aggregate purchase price of $12.0 million in cash.</w:t>
      </w:r>
    </w:p>
    <w:p>
      <w:pPr>
        <w:spacing w:after="0" w:line="187"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187" w:lineRule="exact"/>
        <w:rPr>
          <w:sz w:val="20"/>
          <w:szCs w:val="20"/>
          <w:color w:val="auto"/>
        </w:rPr>
      </w:pPr>
    </w:p>
    <w:p>
      <w:pPr>
        <w:ind w:right="400" w:firstLine="270"/>
        <w:spacing w:after="0" w:line="277" w:lineRule="auto"/>
        <w:rPr>
          <w:sz w:val="20"/>
          <w:szCs w:val="20"/>
          <w:color w:val="auto"/>
        </w:rPr>
      </w:pPr>
      <w:r>
        <w:rPr>
          <w:rFonts w:ascii="Arial" w:cs="Arial" w:eastAsia="Arial" w:hAnsi="Arial"/>
          <w:sz w:val="18"/>
          <w:szCs w:val="18"/>
          <w:color w:val="auto"/>
        </w:rPr>
        <w:t>On October 6, 2014, the Company completed a follow-on public offering of 3.0 million shares of its common stock at a price of $8.02 per share. The offering raised net proceeds of approximately $23.8 million, after deducting underwriting discounts and offering expenses.</w:t>
      </w:r>
    </w:p>
    <w:p>
      <w:pPr>
        <w:spacing w:after="0" w:line="170" w:lineRule="exact"/>
        <w:rPr>
          <w:sz w:val="20"/>
          <w:szCs w:val="20"/>
          <w:color w:val="auto"/>
        </w:rPr>
      </w:pPr>
    </w:p>
    <w:p>
      <w:pPr>
        <w:ind w:right="20" w:firstLine="270"/>
        <w:spacing w:after="0" w:line="272" w:lineRule="auto"/>
        <w:rPr>
          <w:sz w:val="20"/>
          <w:szCs w:val="20"/>
          <w:color w:val="auto"/>
        </w:rPr>
      </w:pPr>
      <w:r>
        <w:rPr>
          <w:rFonts w:ascii="Arial" w:cs="Arial" w:eastAsia="Arial" w:hAnsi="Arial"/>
          <w:sz w:val="17"/>
          <w:szCs w:val="17"/>
          <w:color w:val="auto"/>
        </w:rPr>
        <w:t>As of June 30, 2016, Katonah Debt Advisors and Trimaran Advisors, as well as affiliated management companies Katonah 2007-1 Management, L.L.C., Katonah X Management, L.L.C. and Trimaran Advisors Management, L.L.C. (collectively the “Asset Manager Affiliates”), had approximately $2.7 billion of par value assets under management. The Asset Manager Affiliates are each managed independently from KCAP by a separate management team (however, certain of the Company’s executive officers also act in similar capacities for one or both of the Asset Manager Affiliates). The Asset Manager Affiliates provide investment management services to CLO Funds, making day-to-day investment decisions concerning the assets of the CLO Funds. The Asset Manager Affiliates do not have an investment interest in the CLO Funds they manage; however, KCAP holds investments in a portion of the securities issued by the CLO Funds managed by the Asset Manager Affiliates.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Company has three principal areas of investment:</w:t>
      </w:r>
    </w:p>
    <w:p>
      <w:pPr>
        <w:spacing w:after="0" w:line="225"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Second, the Company has invested in the Asset Manager Affiliates, which manage CLO Funds.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6" w:name="page37"/>
    <w:bookmarkEnd w:id="36"/>
    <w:p>
      <w:pPr>
        <w:jc w:val="both"/>
        <w:ind w:right="40" w:firstLine="270"/>
        <w:spacing w:after="0" w:line="286" w:lineRule="auto"/>
        <w:rPr>
          <w:sz w:val="20"/>
          <w:szCs w:val="20"/>
          <w:color w:val="auto"/>
        </w:rPr>
      </w:pPr>
      <w:r>
        <w:rPr>
          <w:rFonts w:ascii="Arial" w:cs="Arial" w:eastAsia="Arial" w:hAnsi="Arial"/>
          <w:sz w:val="17"/>
          <w:szCs w:val="17"/>
          <w:color w:val="auto"/>
        </w:rPr>
        <w:t>Third, the Company invests in debt and subordinated securities issued by CLO Funds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may also invest in other investments such as loans to larger, publicly-traded companies, high-yield bonds and distressed debt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receive warrants or options to purchase common stock in connection with its debt investments.</w:t>
      </w:r>
    </w:p>
    <w:p>
      <w:pPr>
        <w:spacing w:after="0" w:line="211"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183" w:lineRule="exact"/>
        <w:rPr>
          <w:sz w:val="20"/>
          <w:szCs w:val="20"/>
          <w:color w:val="auto"/>
        </w:rPr>
      </w:pPr>
    </w:p>
    <w:p>
      <w:pPr>
        <w:ind w:left="340" w:right="7820" w:hanging="332"/>
        <w:spacing w:after="0" w:line="503" w:lineRule="auto"/>
        <w:tabs>
          <w:tab w:leader="none" w:pos="196"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on the accrual basis of accounting in conformity with accounting principles generally accepted in the United States of America (“GAAP”) for interim financial information. Accordingly, they do not include all of the information and footnotes required for annual consolidated financial statements. The unaudited interim consolidated financial statements and notes thereto should be read in conjunction with the financial statements and notes thereto in the Company’s Form 10-K for the year ended December 31, 2015, as filed with the U.S. Securities and Exchange Commission (the “Commission” or the “SEC”).</w:t>
      </w:r>
    </w:p>
    <w:p>
      <w:pPr>
        <w:spacing w:after="0" w:line="18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19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KCAP Funding, Kolhberg Capital Funding LLC I, KCAP Senior Funding I, LLC and KCAP Senior Funding I Holdings, LLC in its consolidated financial statements as they are operated solely for investment activities of the Company. The creditors of KCAP Senior Funding I, LLC have received security interests in the assets owned by KCAP Senior Funding I, LLC and such assets are not intended to be available to the creditors of KCAP Financial, Inc., or any other affiliate.</w:t>
      </w:r>
    </w:p>
    <w:p>
      <w:pPr>
        <w:spacing w:after="0" w:line="17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18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Asset Manager Affiliates are subject to Accounting Standards Codification Topic 810, “Consolidation” and although the Company cannot consolidate the financial statements of portfolio company investments, this guidance impacts the required disclosures relating to the Asset Manager Affiliates. The Asset Manager Affiliates qualify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w:t>
      </w:r>
    </w:p>
    <w:p>
      <w:pPr>
        <w:spacing w:after="0" w:line="18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On February 18, 2015, the Financial Accounting Standards Board (“FASB”) issued Accounting Standards Update 2015-2 (“ASU 2015-2”), which updated consolidation standards under ASC Topic 810, “Consolidation”. Under this update, a new consolidation analysis is required for variable interest entities (“VIEs”) and will limit the circumstances in which investment managers and similar entities are required to consolidate the entities that they manage. The FASB decided to eliminate some of the criteria under which their management fees are considered a variable interest and limit the circumstances in which variable interests in a VIE held by related parties of a reporting enterprise require the reporting enterprise to consolidate the VIE. The guidance is effective for public business entities for annual and interim periods in fiscal years beginning after December 15, 2015, early adoption is permitted. The Asset Manager Affiliates adopted ASU 2015-2 in 2016 which resulted in the deconsolidation of the CLO Funds.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7" w:name="page38"/>
    <w:bookmarkEnd w:id="37"/>
    <w:p>
      <w:pPr>
        <w:jc w:val="both"/>
        <w:ind w:right="20" w:firstLine="324"/>
        <w:spacing w:after="0" w:line="312" w:lineRule="auto"/>
        <w:rPr>
          <w:sz w:val="20"/>
          <w:szCs w:val="20"/>
          <w:color w:val="auto"/>
        </w:rPr>
      </w:pPr>
      <w:r>
        <w:rPr>
          <w:rFonts w:ascii="Arial" w:cs="Arial" w:eastAsia="Arial" w:hAnsi="Arial"/>
          <w:sz w:val="16"/>
          <w:szCs w:val="16"/>
          <w:color w:val="auto"/>
        </w:rPr>
        <w:t>In addition, in accordance with Regulation S-X promulgated by the SEC, additional financial information with respect to one of the CLO Funds in which the Company has an investment, Katonah 2007-I CLO Ltd. (“Katonah 2007-I CLO”), is required to be included in the Company’s SEC filings. The additional financial information regarding the Asset Manager Affiliates and Katonah 2007-I CLO is set forth in Note 5 to these consolidated financial statements.</w:t>
      </w:r>
    </w:p>
    <w:p>
      <w:pPr>
        <w:spacing w:after="0" w:line="14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Stockholder distributions on the Statement of Changes in Net Assets reflect the estimated allocation, between net investment income and return of capital, of distributions made during the reporting period, excluding the distribution declared in a quarter with a record date occurring after the quarter-end. 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8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It is the Company’s primary investment objective to generate current income and capital appreciation by lending directly to privately-held middle market companies. During the six months ended June 30, 2016, the Company provided approximately $13.5 million to portfolio companies to support their growth objectives. None of this support was contractually obligated to be provided prior to the provision thereof. See also Note 8 – Commitments and Contingencies. As of June 30, 2016, the Company held loans it made to 93 investee companies with aggregate principal amounts of $257 million. The details of such loans have been disclosed on the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leading a syndicate of lenders to provide the investee companies with financing. During the six months ended June 30, 2016, the Company did not make any such introductions or lead any syndicates.</w:t>
      </w:r>
    </w:p>
    <w:p>
      <w:pPr>
        <w:spacing w:after="0" w:line="17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In August 2014, the FASB issued Accounting Standards Update (“ASU”) 2014- 15, “Presentation of Financial Statements — Going Concern (Subtopic 205-40): Disclosure of Uncertainties about an Entity’s Ability to Continue as a Going Concern” (“ASU 2014-15”). The standard requires management to evaluate, at each interim and annual reporting period, whether there are conditions or events that raise substantial doubt about the entity’s ability to continue as a going concern within one year after the date the financial statements are issued, and provide related disclosures. ASU 2014- 15 is effective for annual periods ending after December 15, 2016, and for annual and interim periods thereafter, and early adoption is permitted. We do not expect to adopt ASU 2014-15 early, and we do not believe the standard will have a material impact on our financial statements, when adopted.</w:t>
      </w:r>
    </w:p>
    <w:p>
      <w:pPr>
        <w:spacing w:after="0" w:line="16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April 2015, the FASB issued Accounting Standards Update 2015-03, Interest – Imputation of Interest (Subtopic 835-30): Simplifying the Presentation of Debt Issuance Costs. Under this guidance, debt issuance costs related to a recognized debt liability are to be presented as a direct deduction from the debt liability rather than as an asset on the balance sheet, consistent with debt discounts. For public business entities, the final guidance was effective for fiscal years beginning after December 15, 2015, and interim periods within those fiscal years. Early adoption is permitted. The Company adopted the new guidance beginning the first quarter of 2016.</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impact of the Accounting Standards Update 2015-03 on our Consolidated Balance Sheet at December 31, 2015: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24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9"/>
              </w:rPr>
              <w:t>CONSOLIDATED BALANCE SHEET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As of 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As originally</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Impact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Balance Sheet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reported</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adoption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after adjustment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assets</w:t>
            </w:r>
          </w:p>
        </w:tc>
        <w:tc>
          <w:tcPr>
            <w:tcW w:w="2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4,603,855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(4,037,644)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566,211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7.375% Notes Due 2019</w:t>
            </w:r>
          </w:p>
        </w:tc>
        <w:tc>
          <w:tcPr>
            <w:tcW w:w="2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41,400,000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(890,344)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40,509,656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Notes issued by KCAP Senior Funding I, LLC</w:t>
            </w:r>
          </w:p>
        </w:tc>
        <w:tc>
          <w:tcPr>
            <w:tcW w:w="2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144,442,405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(3,126,009)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141,316,396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2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19,299,000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(21,291)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19,277,709</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8" w:name="page39"/>
    <w:bookmarkEnd w:id="38"/>
    <w:p>
      <w:pPr>
        <w:ind w:firstLine="414"/>
        <w:spacing w:after="0" w:line="272" w:lineRule="auto"/>
        <w:rPr>
          <w:sz w:val="20"/>
          <w:szCs w:val="20"/>
          <w:color w:val="auto"/>
        </w:rPr>
      </w:pPr>
      <w:r>
        <w:rPr>
          <w:rFonts w:ascii="Arial" w:cs="Arial" w:eastAsia="Arial" w:hAnsi="Arial"/>
          <w:sz w:val="17"/>
          <w:szCs w:val="17"/>
          <w:color w:val="auto"/>
        </w:rPr>
        <w:t>FASB issued Accounting Standards Update 2014-09, Revenue from Contracts with Customers, which updated accounting guidance for all revenue recognition arising from contracts with customers, and also affects entities that enter into contracts to provide goods or services to their customers (unless the contracts are in the scope of other US GAAP requirements). This update provides a model for the measurement and recognition of gains and losses on the sale of certain nonfinancial assets, such as property and equipment, including real estate. The FASB also issued ASU 2015-14, Revenue from Contracts with Customers (Topic 606): Deferral of the Effective Date, which deferred the effective date of the standard for one year. As a result, the guidance is effective for public business entities for annual and interim periods in fiscal years beginning after December 15, 2017. We do not expect the adoption of ASU 2014-09 to have a material impact to the Company’s financial statements.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ind w:right="80" w:firstLine="414"/>
        <w:spacing w:after="0" w:line="270" w:lineRule="auto"/>
        <w:rPr>
          <w:sz w:val="20"/>
          <w:szCs w:val="20"/>
          <w:color w:val="auto"/>
        </w:rPr>
      </w:pPr>
      <w:r>
        <w:rPr>
          <w:rFonts w:ascii="Arial" w:cs="Arial" w:eastAsia="Arial" w:hAnsi="Arial"/>
          <w:sz w:val="17"/>
          <w:szCs w:val="17"/>
          <w:i w:val="1"/>
          <w:iCs w:val="1"/>
          <w:color w:val="auto"/>
        </w:rPr>
        <w:t>Valuation of Portfolio Investments</w:t>
      </w:r>
      <w:r>
        <w:rPr>
          <w:rFonts w:ascii="Arial" w:cs="Arial" w:eastAsia="Arial" w:hAnsi="Arial"/>
          <w:sz w:val="17"/>
          <w:szCs w:val="17"/>
          <w:color w:val="auto"/>
        </w:rPr>
        <w:t>. The Company’s Board of Directors is ultimately and solely responsible for making a good faith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Subsequent to the adoption of ASC 820: Fair Value, the FASB has issued various staff positions clarifying the initial standard as noted below.</w:t>
      </w:r>
    </w:p>
    <w:p>
      <w:pPr>
        <w:spacing w:after="0" w:line="182" w:lineRule="exact"/>
        <w:rPr>
          <w:sz w:val="20"/>
          <w:szCs w:val="20"/>
          <w:color w:val="auto"/>
        </w:rPr>
      </w:pPr>
    </w:p>
    <w:p>
      <w:pPr>
        <w:ind w:right="40" w:firstLine="414"/>
        <w:spacing w:after="0" w:line="291" w:lineRule="auto"/>
        <w:rPr>
          <w:sz w:val="20"/>
          <w:szCs w:val="20"/>
          <w:color w:val="auto"/>
        </w:rPr>
      </w:pPr>
      <w:r>
        <w:rPr>
          <w:rFonts w:ascii="Arial" w:cs="Arial" w:eastAsia="Arial" w:hAnsi="Arial"/>
          <w:sz w:val="16"/>
          <w:szCs w:val="16"/>
          <w:color w:val="auto"/>
        </w:rPr>
        <w:t>The FASB issued guidance that clarified and required disclosures about fair value measurements. These include requirements to disclose the amounts and reasons for significant transfers between Level I and Level II, as well as significant transfers in and out of Level III of the fair value hierarchy (see Note 4</w:t>
      </w:r>
    </w:p>
    <w:p>
      <w:pPr>
        <w:ind w:right="340"/>
        <w:spacing w:after="0" w:line="261" w:lineRule="auto"/>
        <w:rPr>
          <w:sz w:val="20"/>
          <w:szCs w:val="20"/>
          <w:color w:val="auto"/>
        </w:rPr>
      </w:pPr>
      <w:r>
        <w:rPr>
          <w:rFonts w:ascii="Arial" w:cs="Arial" w:eastAsia="Arial" w:hAnsi="Arial"/>
          <w:sz w:val="18"/>
          <w:szCs w:val="18"/>
          <w:color w:val="auto"/>
        </w:rPr>
        <w:t>– “Investments – Fair Value Measurements” for further information relating to Level I, Level II and Level III). The guidance also required that purchases, sales, issuances and settlements be presented gross in the Level III reconciliation.</w:t>
      </w:r>
    </w:p>
    <w:p>
      <w:pPr>
        <w:spacing w:after="0" w:line="184" w:lineRule="exact"/>
        <w:rPr>
          <w:sz w:val="20"/>
          <w:szCs w:val="20"/>
          <w:color w:val="auto"/>
        </w:rPr>
      </w:pPr>
    </w:p>
    <w:p>
      <w:pPr>
        <w:ind w:right="540" w:firstLine="414"/>
        <w:spacing w:after="0" w:line="277" w:lineRule="auto"/>
        <w:rPr>
          <w:sz w:val="20"/>
          <w:szCs w:val="20"/>
          <w:color w:val="auto"/>
        </w:rPr>
      </w:pPr>
      <w:r>
        <w:rPr>
          <w:rFonts w:ascii="Arial" w:cs="Arial" w:eastAsia="Arial" w:hAnsi="Arial"/>
          <w:sz w:val="18"/>
          <w:szCs w:val="18"/>
          <w:color w:val="auto"/>
        </w:rPr>
        <w:t>ASC 820: Fair Value requires the disclosure in interim and annual periods of the inputs and valuation techniques used to measure fair value and a discussion of changes in valuation techniques and related inputs, if any, during the period.</w:t>
      </w:r>
    </w:p>
    <w:p>
      <w:pPr>
        <w:spacing w:after="0" w:line="170" w:lineRule="exact"/>
        <w:rPr>
          <w:sz w:val="20"/>
          <w:szCs w:val="20"/>
          <w:color w:val="auto"/>
        </w:rPr>
      </w:pPr>
    </w:p>
    <w:p>
      <w:pPr>
        <w:ind w:right="40" w:firstLine="414"/>
        <w:spacing w:after="0" w:line="257" w:lineRule="auto"/>
        <w:rPr>
          <w:sz w:val="20"/>
          <w:szCs w:val="20"/>
          <w:color w:val="auto"/>
        </w:rPr>
      </w:pPr>
      <w:r>
        <w:rPr>
          <w:rFonts w:ascii="Arial" w:cs="Arial" w:eastAsia="Arial" w:hAnsi="Arial"/>
          <w:sz w:val="18"/>
          <w:szCs w:val="18"/>
          <w:color w:val="auto"/>
        </w:rPr>
        <w:t>The Company utilizes an independent valuation firm to provide an annual third-party review of the Company’s CLO Securities fair value model relative to its functionality, model inputs and calculations as a reasonable method to determine fair values of CLO Securities, in the absence of Level I or Level II trading activity or observable market inputs. The independent valuation firm’s 2015 annual review concluded that the Company’s model appropriately factors in all the necessary inputs required to build an equity cash flow model for CLO Securities for fair value purposes and that the inputs were being employed correctly.</w:t>
      </w:r>
    </w:p>
    <w:p>
      <w:pPr>
        <w:spacing w:after="0" w:line="188" w:lineRule="exact"/>
        <w:rPr>
          <w:sz w:val="20"/>
          <w:szCs w:val="20"/>
          <w:color w:val="auto"/>
        </w:rPr>
      </w:pPr>
    </w:p>
    <w:p>
      <w:pPr>
        <w:ind w:right="140" w:firstLine="41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88" w:lineRule="exact"/>
        <w:rPr>
          <w:sz w:val="20"/>
          <w:szCs w:val="20"/>
          <w:color w:val="auto"/>
        </w:rPr>
      </w:pPr>
    </w:p>
    <w:p>
      <w:pPr>
        <w:ind w:right="40" w:firstLine="414"/>
        <w:spacing w:after="0" w:line="273" w:lineRule="auto"/>
        <w:rPr>
          <w:sz w:val="20"/>
          <w:szCs w:val="20"/>
          <w:color w:val="auto"/>
        </w:rPr>
      </w:pPr>
      <w:r>
        <w:rPr>
          <w:rFonts w:ascii="Arial" w:cs="Arial" w:eastAsia="Arial" w:hAnsi="Arial"/>
          <w:sz w:val="17"/>
          <w:szCs w:val="17"/>
          <w:color w:val="auto"/>
        </w:rPr>
        <w:t>The Board of Directors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right="340" w:firstLine="41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88" w:lineRule="exact"/>
        <w:rPr>
          <w:sz w:val="20"/>
          <w:szCs w:val="20"/>
          <w:color w:val="auto"/>
        </w:rPr>
      </w:pPr>
    </w:p>
    <w:p>
      <w:pPr>
        <w:ind w:right="40" w:firstLine="414"/>
        <w:spacing w:after="0" w:line="255" w:lineRule="auto"/>
        <w:rPr>
          <w:sz w:val="20"/>
          <w:szCs w:val="20"/>
          <w:color w:val="auto"/>
        </w:rPr>
      </w:pPr>
      <w:r>
        <w:rPr>
          <w:rFonts w:ascii="Arial" w:cs="Arial" w:eastAsia="Arial" w:hAnsi="Arial"/>
          <w:sz w:val="18"/>
          <w:szCs w:val="18"/>
          <w:i w:val="1"/>
          <w:iCs w:val="1"/>
          <w:color w:val="auto"/>
        </w:rPr>
        <w:t>Debt Securities</w:t>
      </w:r>
      <w:r>
        <w:rPr>
          <w:rFonts w:ascii="Arial" w:cs="Arial" w:eastAsia="Arial" w:hAnsi="Arial"/>
          <w:sz w:val="18"/>
          <w:szCs w:val="18"/>
          <w:color w:val="auto"/>
        </w:rPr>
        <w:t>. To the extent that the Company’s investments are exchange traded and are priced or have sufficient price indications from normal</w:t>
      </w:r>
      <w:r>
        <w:rPr>
          <w:rFonts w:ascii="Arial" w:cs="Arial" w:eastAsia="Arial" w:hAnsi="Arial"/>
          <w:sz w:val="18"/>
          <w:szCs w:val="18"/>
          <w:i w:val="1"/>
          <w:iCs w:val="1"/>
          <w:color w:val="auto"/>
        </w:rPr>
        <w:t xml:space="preserve"> </w:t>
      </w:r>
      <w:r>
        <w:rPr>
          <w:rFonts w:ascii="Arial" w:cs="Arial" w:eastAsia="Arial" w:hAnsi="Arial"/>
          <w:sz w:val="18"/>
          <w:szCs w:val="18"/>
          <w:color w:val="auto"/>
        </w:rPr>
        <w:t>course trading at or around the valuation date (financial reporting date), such pricing will determine fair value.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189" w:lineRule="exact"/>
        <w:rPr>
          <w:sz w:val="20"/>
          <w:szCs w:val="20"/>
          <w:color w:val="auto"/>
        </w:rPr>
      </w:pPr>
    </w:p>
    <w:p>
      <w:pPr>
        <w:ind w:right="100" w:firstLine="41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Schedules of Investments.</w:t>
      </w:r>
    </w:p>
    <w:p>
      <w:pPr>
        <w:spacing w:after="0" w:line="175"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In cases where the Company receives warrants to purchase equity securities, a market standard Black-Scholes model is utilized.</w:t>
      </w:r>
    </w:p>
    <w:p>
      <w:pPr>
        <w:spacing w:after="0" w:line="189" w:lineRule="exact"/>
        <w:rPr>
          <w:sz w:val="20"/>
          <w:szCs w:val="20"/>
          <w:color w:val="auto"/>
        </w:rPr>
      </w:pPr>
    </w:p>
    <w:p>
      <w:pPr>
        <w:ind w:right="20" w:firstLine="414"/>
        <w:spacing w:after="0" w:line="273" w:lineRule="auto"/>
        <w:rPr>
          <w:sz w:val="20"/>
          <w:szCs w:val="20"/>
          <w:color w:val="auto"/>
        </w:rPr>
      </w:pPr>
      <w:r>
        <w:rPr>
          <w:rFonts w:ascii="Arial" w:cs="Arial" w:eastAsia="Arial" w:hAnsi="Arial"/>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78" w:lineRule="exact"/>
        <w:rPr>
          <w:sz w:val="20"/>
          <w:szCs w:val="20"/>
          <w:color w:val="auto"/>
        </w:rPr>
      </w:pPr>
    </w:p>
    <w:p>
      <w:pPr>
        <w:ind w:right="200" w:firstLine="414"/>
        <w:spacing w:after="0" w:line="255"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The Company’s investments in its wholly-owned asset management companies, the Asset Manager Affiliates, are carried at</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which is primarily determined utilizing the Discounted Cash Flow approach (as defined below),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the amount of assets under management. The Asset Manager Affiliates are classified as a Level III investment. Any change in value from period to period is recognized as net change in unrealized appreciation or depreciation.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0" w:name="page41"/>
    <w:bookmarkEnd w:id="40"/>
    <w:p>
      <w:pPr>
        <w:jc w:val="both"/>
        <w:ind w:right="120" w:firstLine="414"/>
        <w:spacing w:after="0" w:line="264"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minority investment in the most junior class of securities of CLO Funds raised and managed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Manager Affiliates and may selectively invest in securities issued by funds managed by other asset management companies. The investments held by CLO Funds generally relate to non-investment grade credit instruments issued by corporations.</w:t>
      </w:r>
    </w:p>
    <w:p>
      <w:pPr>
        <w:spacing w:after="0" w:line="181" w:lineRule="exact"/>
        <w:rPr>
          <w:sz w:val="20"/>
          <w:szCs w:val="20"/>
          <w:color w:val="auto"/>
        </w:rPr>
      </w:pPr>
    </w:p>
    <w:p>
      <w:pPr>
        <w:ind w:right="120" w:firstLine="41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169" w:lineRule="exact"/>
        <w:rPr>
          <w:sz w:val="20"/>
          <w:szCs w:val="20"/>
          <w:color w:val="auto"/>
        </w:rPr>
      </w:pPr>
    </w:p>
    <w:p>
      <w:pPr>
        <w:ind w:firstLine="41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right="20" w:firstLine="414"/>
        <w:spacing w:after="0" w:line="276"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460" w:firstLine="414"/>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170" w:lineRule="exact"/>
        <w:rPr>
          <w:sz w:val="20"/>
          <w:szCs w:val="20"/>
          <w:color w:val="auto"/>
        </w:rPr>
      </w:pPr>
    </w:p>
    <w:p>
      <w:pPr>
        <w:ind w:right="540" w:firstLine="414"/>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Restricted cash and cash equivalents (e.g. money market funds) consists of cash held for reinvestment and quarterly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distribution (if any) to holders of notes issued by KCAP Senior Funding I, LLC.</w:t>
      </w:r>
    </w:p>
    <w:p>
      <w:pPr>
        <w:spacing w:after="0" w:line="170" w:lineRule="exact"/>
        <w:rPr>
          <w:sz w:val="20"/>
          <w:szCs w:val="20"/>
          <w:color w:val="auto"/>
        </w:rPr>
      </w:pPr>
    </w:p>
    <w:p>
      <w:pPr>
        <w:ind w:right="340" w:firstLine="414"/>
        <w:spacing w:after="0" w:line="308" w:lineRule="auto"/>
        <w:rPr>
          <w:sz w:val="20"/>
          <w:szCs w:val="20"/>
          <w:color w:val="auto"/>
        </w:rPr>
      </w:pPr>
      <w:r>
        <w:rPr>
          <w:rFonts w:ascii="Arial" w:cs="Arial" w:eastAsia="Arial" w:hAnsi="Arial"/>
          <w:sz w:val="17"/>
          <w:szCs w:val="17"/>
          <w:i w:val="1"/>
          <w:iCs w:val="1"/>
          <w:color w:val="auto"/>
        </w:rPr>
        <w:t>Time Deposits and Money Market Accounts</w:t>
      </w:r>
      <w:r>
        <w:rPr>
          <w:rFonts w:ascii="Arial" w:cs="Arial" w:eastAsia="Arial" w:hAnsi="Arial"/>
          <w:sz w:val="17"/>
          <w:szCs w:val="17"/>
          <w:color w:val="auto"/>
        </w:rPr>
        <w:t>. Time deposits primarily represent investments of cash held in demand deposit accounts. Money market</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primarily represent short term interest-bearing deposit accounts. Also includes restricted cash held under employee benefit plans.</w:t>
      </w:r>
    </w:p>
    <w:p>
      <w:pPr>
        <w:spacing w:after="0" w:line="147" w:lineRule="exact"/>
        <w:rPr>
          <w:sz w:val="20"/>
          <w:szCs w:val="20"/>
          <w:color w:val="auto"/>
        </w:rPr>
      </w:pPr>
    </w:p>
    <w:p>
      <w:pPr>
        <w:ind w:right="80" w:firstLine="414"/>
        <w:spacing w:after="0" w:line="255"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including the amortization of premium and accretion of discount, is recorded on the accrual basis to the extent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such amounts are expected to be collected. The Company generally places a loan or security on non-accrual status and ceases recognizing cash interest income on such loan or security when a loan or security becomes 90 days or more past due or if the Company otherwise does not expect the debtor to be able to service its debt obligations. Non-accrual loans remain in such status until the borrower has demonstrated the ability and intent to pay contractual amounts due or such loans become current. As of June 30, 2016, one issuer representing less than 1% of the Company’s total investments at fair value was on a non-accrual status.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ind w:firstLine="414"/>
        <w:spacing w:after="0" w:line="255" w:lineRule="auto"/>
        <w:rPr>
          <w:sz w:val="20"/>
          <w:szCs w:val="20"/>
          <w:color w:val="auto"/>
        </w:rPr>
      </w:pPr>
      <w:r>
        <w:rPr>
          <w:rFonts w:ascii="Arial" w:cs="Arial" w:eastAsia="Arial" w:hAnsi="Arial"/>
          <w:sz w:val="18"/>
          <w:szCs w:val="18"/>
          <w:i w:val="1"/>
          <w:iCs w:val="1"/>
          <w:color w:val="auto"/>
        </w:rPr>
        <w:t>Distributions from Asset Manager Affiliates</w:t>
      </w:r>
      <w:r>
        <w:rPr>
          <w:rFonts w:ascii="Arial" w:cs="Arial" w:eastAsia="Arial" w:hAnsi="Arial"/>
          <w:sz w:val="18"/>
          <w:szCs w:val="18"/>
          <w:color w:val="auto"/>
        </w:rPr>
        <w:t>. The Company records distributions from our Asset Manager Affiliates on the declaration date,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89" w:lineRule="exact"/>
        <w:rPr>
          <w:sz w:val="20"/>
          <w:szCs w:val="20"/>
          <w:color w:val="auto"/>
        </w:rPr>
      </w:pPr>
    </w:p>
    <w:p>
      <w:pPr>
        <w:ind w:right="20" w:firstLine="414"/>
        <w:spacing w:after="0" w:line="293" w:lineRule="auto"/>
        <w:rPr>
          <w:sz w:val="20"/>
          <w:szCs w:val="20"/>
          <w:color w:val="auto"/>
        </w:rPr>
      </w:pPr>
      <w:r>
        <w:rPr>
          <w:rFonts w:ascii="Arial" w:cs="Arial" w:eastAsia="Arial" w:hAnsi="Arial"/>
          <w:sz w:val="16"/>
          <w:szCs w:val="16"/>
          <w:i w:val="1"/>
          <w:iCs w:val="1"/>
          <w:color w:val="auto"/>
        </w:rPr>
        <w:t>Investment Income on CLO Fund Securities</w:t>
      </w:r>
      <w:r>
        <w:rPr>
          <w:rFonts w:ascii="Arial" w:cs="Arial" w:eastAsia="Arial" w:hAnsi="Arial"/>
          <w:sz w:val="16"/>
          <w:szCs w:val="16"/>
          <w:color w:val="auto"/>
        </w:rPr>
        <w:t>. The Company generates investment income from its investments in the most junior class of securities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CLO Funds (typically preferred shares or subordinated securities) managed by the Asset Manager Affiliates and select investments in securities issued by funds managed by other asset management companies.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165" w:lineRule="exact"/>
        <w:rPr>
          <w:sz w:val="20"/>
          <w:szCs w:val="20"/>
          <w:color w:val="auto"/>
        </w:rPr>
      </w:pPr>
    </w:p>
    <w:p>
      <w:pPr>
        <w:ind w:firstLine="41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78" w:lineRule="exact"/>
        <w:rPr>
          <w:sz w:val="20"/>
          <w:szCs w:val="20"/>
          <w:color w:val="auto"/>
        </w:rPr>
      </w:pPr>
    </w:p>
    <w:p>
      <w:pPr>
        <w:ind w:right="20" w:firstLine="414"/>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E Notes of the Catamaran 2014-1 CLO, interest is earned at a fixed spread relative to the LIBOR index.</w:t>
      </w:r>
    </w:p>
    <w:p>
      <w:pPr>
        <w:spacing w:after="0" w:line="170" w:lineRule="exact"/>
        <w:rPr>
          <w:sz w:val="20"/>
          <w:szCs w:val="20"/>
          <w:color w:val="auto"/>
        </w:rPr>
      </w:pPr>
    </w:p>
    <w:p>
      <w:pPr>
        <w:ind w:right="100" w:firstLine="414"/>
        <w:spacing w:after="0" w:line="259"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187" w:lineRule="exact"/>
        <w:rPr>
          <w:sz w:val="20"/>
          <w:szCs w:val="20"/>
          <w:color w:val="auto"/>
        </w:rPr>
      </w:pPr>
    </w:p>
    <w:p>
      <w:pPr>
        <w:ind w:right="200" w:firstLine="414"/>
        <w:spacing w:after="0" w:line="277" w:lineRule="auto"/>
        <w:rPr>
          <w:sz w:val="20"/>
          <w:szCs w:val="20"/>
          <w:color w:val="auto"/>
        </w:rPr>
      </w:pPr>
      <w:r>
        <w:rPr>
          <w:rFonts w:ascii="Arial" w:cs="Arial" w:eastAsia="Arial" w:hAnsi="Arial"/>
          <w:sz w:val="18"/>
          <w:szCs w:val="18"/>
          <w:i w:val="1"/>
          <w:iCs w:val="1"/>
          <w:color w:val="auto"/>
        </w:rPr>
        <w:t>Debt Issuance Costs</w:t>
      </w:r>
      <w:r>
        <w:rPr>
          <w:rFonts w:ascii="Arial" w:cs="Arial" w:eastAsia="Arial" w:hAnsi="Arial"/>
          <w:sz w:val="18"/>
          <w:szCs w:val="18"/>
          <w:color w:val="auto"/>
        </w:rPr>
        <w:t>. Debt issuance costs represent fees and other direct costs incurred in connection with the Company’s borrowings. These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are capitalized and amortized using the effective interest method over the expected term of the borrowing.</w:t>
      </w:r>
    </w:p>
    <w:p>
      <w:pPr>
        <w:spacing w:after="0" w:line="170" w:lineRule="exact"/>
        <w:rPr>
          <w:sz w:val="20"/>
          <w:szCs w:val="20"/>
          <w:color w:val="auto"/>
        </w:rPr>
      </w:pPr>
    </w:p>
    <w:p>
      <w:pPr>
        <w:ind w:right="40" w:firstLine="414"/>
        <w:spacing w:after="0" w:line="302" w:lineRule="auto"/>
        <w:rPr>
          <w:sz w:val="20"/>
          <w:szCs w:val="20"/>
          <w:color w:val="auto"/>
        </w:rPr>
      </w:pPr>
      <w:r>
        <w:rPr>
          <w:rFonts w:ascii="Arial" w:cs="Arial" w:eastAsia="Arial" w:hAnsi="Arial"/>
          <w:sz w:val="16"/>
          <w:szCs w:val="16"/>
          <w:i w:val="1"/>
          <w:iCs w:val="1"/>
          <w:color w:val="auto"/>
        </w:rPr>
        <w:t>Extinguishment of debt</w:t>
      </w:r>
      <w:r>
        <w:rPr>
          <w:rFonts w:ascii="Arial" w:cs="Arial" w:eastAsia="Arial" w:hAnsi="Arial"/>
          <w:sz w:val="16"/>
          <w:szCs w:val="16"/>
          <w:color w:val="auto"/>
        </w:rPr>
        <w:t>. The Company must derecognize a liability if and only if it has been extinguished through delivery of cash, delivery of other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154" w:lineRule="exact"/>
        <w:rPr>
          <w:sz w:val="20"/>
          <w:szCs w:val="20"/>
          <w:color w:val="auto"/>
        </w:rPr>
      </w:pPr>
    </w:p>
    <w:p>
      <w:pPr>
        <w:ind w:right="40" w:firstLine="414"/>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is internally managed and expenses costs, as incurred, with regard to the running of its operations. Primary 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allocation of office lease costs and the ratable usage of other shared resources.</w:t>
      </w:r>
    </w:p>
    <w:p>
      <w:pPr>
        <w:spacing w:after="0" w:line="193" w:lineRule="exact"/>
        <w:rPr>
          <w:sz w:val="20"/>
          <w:szCs w:val="20"/>
          <w:color w:val="auto"/>
        </w:rPr>
      </w:pPr>
    </w:p>
    <w:p>
      <w:pPr>
        <w:ind w:right="780" w:firstLine="414"/>
        <w:spacing w:after="0" w:line="277"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Board of Directors each quarter.</w:t>
      </w:r>
    </w:p>
    <w:p>
      <w:pPr>
        <w:spacing w:after="0" w:line="170" w:lineRule="exact"/>
        <w:rPr>
          <w:sz w:val="20"/>
          <w:szCs w:val="20"/>
          <w:color w:val="auto"/>
        </w:rPr>
      </w:pPr>
    </w:p>
    <w:p>
      <w:pPr>
        <w:ind w:right="340" w:firstLine="414"/>
        <w:spacing w:after="0" w:line="264" w:lineRule="auto"/>
        <w:rPr>
          <w:sz w:val="20"/>
          <w:szCs w:val="20"/>
          <w:color w:val="auto"/>
        </w:rPr>
      </w:pPr>
      <w:r>
        <w:rPr>
          <w:rFonts w:ascii="Arial" w:cs="Arial" w:eastAsia="Arial" w:hAnsi="Arial"/>
          <w:sz w:val="18"/>
          <w:szCs w:val="18"/>
          <w:color w:val="auto"/>
        </w:rPr>
        <w:t>The Company has adopted a dividend reinvestment plan that provides for reinvestment of its distributions on behalf of its stockholders, unless a stockholder “opts out” of the plan to receive cash in lieu of having their cash distributions automatically reinvested in additional shares of the Company’s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(LOSSES) PER SHARE</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accordance with the provisions of ASC 260,“Earnings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2" w:name="page43"/>
    <w:bookmarkEnd w:id="42"/>
    <w:p>
      <w:pPr>
        <w:ind w:right="220"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(decrease) increase in stockholders’ equity per share for the three and six months ended June 30, 2016 and 2015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(unaudited)</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(unaudited)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3,007,484</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1,232,705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(3,835,214)</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8,904,995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Net (increase) decrease in net assets allocated to unvested share awards</w:t>
            </w:r>
          </w:p>
        </w:tc>
        <w:tc>
          <w:tcPr>
            <w:tcW w:w="1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(46,972)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(20,663)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64,578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(149,482)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Net increase (decrease) in net assets available to common stockholders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2,960,512</w:t>
            </w:r>
          </w:p>
        </w:tc>
        <w:tc>
          <w:tcPr>
            <w:tcW w:w="160" w:type="dxa"/>
            <w:vAlign w:val="bottom"/>
          </w:tcPr>
          <w:p>
            <w:pPr>
              <w:spacing w:after="0"/>
              <w:rPr>
                <w:sz w:val="24"/>
                <w:szCs w:val="24"/>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1,212,042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(3,770,636)</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8,755,513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3"/>
              </w:rPr>
              <w:t>Weighted average number of common shares outstanding for basic shares</w:t>
            </w: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computation</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37,163,534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36,886,129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37,136,634</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36,860,341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Effect of dilutive securities – stock options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5,802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7,546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1"/>
              </w:rPr>
              <w:t>Weighted average number of common and common stock equivalent shares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5620" w:type="dxa"/>
            <w:vAlign w:val="bottom"/>
            <w:gridSpan w:val="2"/>
          </w:tcPr>
          <w:p>
            <w:pPr>
              <w:spacing w:after="0"/>
              <w:rPr>
                <w:sz w:val="20"/>
                <w:szCs w:val="20"/>
                <w:color w:val="auto"/>
              </w:rPr>
            </w:pPr>
            <w:r>
              <w:rPr>
                <w:rFonts w:ascii="Arial" w:cs="Arial" w:eastAsia="Arial" w:hAnsi="Arial"/>
                <w:sz w:val="18"/>
                <w:szCs w:val="18"/>
                <w:color w:val="auto"/>
              </w:rPr>
              <w:t>outstanding for diluted shares computation</w:t>
            </w:r>
          </w:p>
        </w:tc>
        <w:tc>
          <w:tcPr>
            <w:tcW w:w="16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37,163,534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36,891,931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37,136,634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36,867,887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increase (decrease) in net assets per basic common shares: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from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(0.10)</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increase (decrease) in net assets per diluted shares: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from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(0.10)</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1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87" w:lineRule="exact"/>
        <w:rPr>
          <w:sz w:val="20"/>
          <w:szCs w:val="20"/>
          <w:color w:val="auto"/>
        </w:rPr>
      </w:pPr>
    </w:p>
    <w:p>
      <w:pPr>
        <w:ind w:right="260" w:firstLine="414"/>
        <w:spacing w:after="0" w:line="259" w:lineRule="auto"/>
        <w:rPr>
          <w:sz w:val="20"/>
          <w:szCs w:val="20"/>
          <w:color w:val="auto"/>
        </w:rPr>
      </w:pPr>
      <w:r>
        <w:rPr>
          <w:rFonts w:ascii="Arial" w:cs="Arial" w:eastAsia="Arial" w:hAnsi="Arial"/>
          <w:sz w:val="18"/>
          <w:szCs w:val="18"/>
          <w:color w:val="auto"/>
        </w:rPr>
        <w:t>There were 50,000 options to purchase shares of common stock included in the computation of the diluted per share information for the three months ended June 30, 2016 and 2015. For the six months ended June 30, 2016, the Company purchased 67,345 shares of common stock in connection with the vesting of employee’s restricted stock, such shares are treated as treasury shares and reduce the weighted average shares outstanding in the computation of earnings per share.</w:t>
      </w:r>
    </w:p>
    <w:p>
      <w:pPr>
        <w:spacing w:after="0" w:line="187" w:lineRule="exact"/>
        <w:rPr>
          <w:sz w:val="20"/>
          <w:szCs w:val="20"/>
          <w:color w:val="auto"/>
        </w:rPr>
      </w:pPr>
    </w:p>
    <w:p>
      <w:pPr>
        <w:ind w:right="100" w:firstLine="414"/>
        <w:spacing w:after="0" w:line="255" w:lineRule="auto"/>
        <w:rPr>
          <w:sz w:val="20"/>
          <w:szCs w:val="20"/>
          <w:color w:val="auto"/>
        </w:rPr>
      </w:pPr>
      <w:r>
        <w:rPr>
          <w:rFonts w:ascii="Arial" w:cs="Arial" w:eastAsia="Arial" w:hAnsi="Arial"/>
          <w:sz w:val="18"/>
          <w:szCs w:val="18"/>
          <w:color w:val="auto"/>
        </w:rPr>
        <w:t>The Company’s Convertible Notes were included in the computation of the diluted net increase or decrease in net assets resulting from operations per share by application of the “if-converted method” for periods when the Convertible Notes were outstanding. Under the if-converted method, interest charges applicable to the convertible notes for the period are added to reported net increase or decrease in net assets resulting from operations and the full amount of shares (pro-rata if not outstanding for the full period) that would be issued are added to weighted average basic shares. Convertible notes are considered anti-dilutive only when its interest per share upon conversion exceeds the basic net increase or decrease in net assets resulting from operations per share. For the three and six month periods ended June 30, 2015, the effects of the convertible notes are anti-dilutive. The Convertible Notes matured and were repaid in March 2016.</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4. INVESTMENTS</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760" w:type="dxa"/>
            <w:vAlign w:val="bottom"/>
            <w:gridSpan w:val="12"/>
          </w:tcPr>
          <w:p>
            <w:pPr>
              <w:ind w:left="320"/>
              <w:spacing w:after="0"/>
              <w:rPr>
                <w:sz w:val="20"/>
                <w:szCs w:val="20"/>
                <w:color w:val="auto"/>
              </w:rPr>
            </w:pPr>
            <w:r>
              <w:rPr>
                <w:rFonts w:ascii="Arial" w:cs="Arial" w:eastAsia="Arial" w:hAnsi="Arial"/>
                <w:sz w:val="18"/>
                <w:szCs w:val="18"/>
                <w:color w:val="auto"/>
                <w:w w:val="96"/>
              </w:rPr>
              <w:t>The following table shows the Company’s portfolio by security type at June 30, 2016 and December 31, 2015: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June 30, 2016 (unaudited)</w:t>
            </w:r>
          </w:p>
        </w:tc>
        <w:tc>
          <w:tcPr>
            <w:tcW w:w="9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ind w:left="1080"/>
              <w:spacing w:after="0"/>
              <w:rPr>
                <w:sz w:val="20"/>
                <w:szCs w:val="20"/>
                <w:color w:val="auto"/>
              </w:rPr>
            </w:pPr>
            <w:r>
              <w:rPr>
                <w:rFonts w:ascii="Arial" w:cs="Arial" w:eastAsia="Arial" w:hAnsi="Arial"/>
                <w:sz w:val="18"/>
                <w:szCs w:val="18"/>
                <w:b w:val="1"/>
                <w:bCs w:val="1"/>
                <w:color w:val="auto"/>
              </w:rPr>
              <w:t>December 31, 2015</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220" w:type="dxa"/>
            <w:vAlign w:val="bottom"/>
          </w:tcPr>
          <w:p>
            <w:pPr>
              <w:spacing w:after="0"/>
              <w:rPr>
                <w:sz w:val="16"/>
                <w:szCs w:val="16"/>
                <w:color w:val="auto"/>
              </w:rPr>
            </w:pPr>
          </w:p>
        </w:tc>
        <w:tc>
          <w:tcPr>
            <w:tcW w:w="124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320"/>
              <w:spacing w:after="0" w:line="191" w:lineRule="exact"/>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gridSpan w:val="2"/>
            <w:vMerge w:val="continue"/>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6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Fair Value</w:t>
            </w: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%¹</w:t>
            </w:r>
          </w:p>
        </w:tc>
        <w:tc>
          <w:tcPr>
            <w:tcW w:w="28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Accounts³</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7,191,009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7,191,009</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Senior Secured Loan</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202,023,215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194,066,823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203,819,074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194,123,223</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37,201,963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34,755,026</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40,221,557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37,591,900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Senior Unsecured Loan</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16,000,000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16,000,000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23,000,000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1,564,800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2,216,700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Senior Subordinated Bond</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4,560,314</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4,709,896</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4,466,793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4,615,569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12,232,623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12,379,296</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11,879,187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10,551,724</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Senior Secured Bond</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1,508,522</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1,464,000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1,510,560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1,503,755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66,637,934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46,180,067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83,214,947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55,872,382</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10,467,787</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9,231,202</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10,467,787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9,548,488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Preferred Securities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10,411,673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11,036,373</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Asset Manager Affiliates²</w:t>
            </w: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56,091,230</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45,288,000</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56,591,230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57,381,000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416,914,597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372,830,119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450,712,189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409,570,495</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right="6360" w:firstLine="8"/>
        <w:spacing w:after="0" w:line="323" w:lineRule="auto"/>
        <w:tabs>
          <w:tab w:leader="none" w:pos="324"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Represents the equity investment in the Asset Manager Affiliates. ³ Includes restricted cash held under employee benefit plans.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ind w:left="340"/>
        <w:spacing w:after="0"/>
        <w:rPr>
          <w:sz w:val="20"/>
          <w:szCs w:val="20"/>
          <w:color w:val="auto"/>
        </w:rPr>
      </w:pPr>
      <w:r>
        <w:rPr>
          <w:rFonts w:ascii="Arial" w:cs="Arial" w:eastAsia="Arial" w:hAnsi="Arial"/>
          <w:sz w:val="16"/>
          <w:szCs w:val="16"/>
          <w:color w:val="auto"/>
        </w:rPr>
        <w:t>The industry concentrations based on the fair value of the Company’s investment portfolio as of June 30, 2016 and December 31, 2015,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June 30, 2016 (unaudited)</w:t>
            </w: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b w:val="1"/>
                <w:bCs w:val="1"/>
                <w:color w:val="auto"/>
              </w:rPr>
              <w:t>December 31, 2015</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230"/>
              <w:spacing w:after="0"/>
              <w:rPr>
                <w:sz w:val="20"/>
                <w:szCs w:val="20"/>
                <w:color w:val="auto"/>
              </w:rPr>
            </w:pPr>
            <w:r>
              <w:rPr>
                <w:rFonts w:ascii="Arial" w:cs="Arial" w:eastAsia="Arial" w:hAnsi="Arial"/>
                <w:sz w:val="36"/>
                <w:szCs w:val="36"/>
                <w:b w:val="1"/>
                <w:bCs w:val="1"/>
                <w:color w:val="auto"/>
                <w:vertAlign w:val="subscript"/>
              </w:rPr>
              <w:t>%</w:t>
            </w:r>
            <w:r>
              <w:rPr>
                <w:rFonts w:ascii="Arial" w:cs="Arial" w:eastAsia="Arial" w:hAnsi="Arial"/>
                <w:sz w:val="15"/>
                <w:szCs w:val="15"/>
                <w:b w:val="1"/>
                <w:bCs w:val="1"/>
                <w:color w:val="auto"/>
              </w:rPr>
              <w:t>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230"/>
              <w:spacing w:after="0"/>
              <w:rPr>
                <w:sz w:val="20"/>
                <w:szCs w:val="20"/>
                <w:color w:val="auto"/>
              </w:rPr>
            </w:pPr>
            <w:r>
              <w:rPr>
                <w:rFonts w:ascii="Arial" w:cs="Arial" w:eastAsia="Arial" w:hAnsi="Arial"/>
                <w:sz w:val="36"/>
                <w:szCs w:val="36"/>
                <w:b w:val="1"/>
                <w:bCs w:val="1"/>
                <w:color w:val="auto"/>
                <w:vertAlign w:val="subscript"/>
              </w:rPr>
              <w:t>%</w:t>
            </w:r>
            <w:r>
              <w:rPr>
                <w:rFonts w:ascii="Arial" w:cs="Arial" w:eastAsia="Arial" w:hAnsi="Arial"/>
                <w:sz w:val="15"/>
                <w:szCs w:val="15"/>
                <w:b w:val="1"/>
                <w:bCs w:val="1"/>
                <w:color w:val="auto"/>
              </w:rPr>
              <w:t>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Industry Classification</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6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Fair Value</w:t>
            </w:r>
          </w:p>
        </w:tc>
        <w:tc>
          <w:tcPr>
            <w:tcW w:w="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4,333,032</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4,160,920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6,910,349</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6,383,724</w:t>
            </w:r>
          </w:p>
        </w:tc>
        <w:tc>
          <w:tcPr>
            <w:tcW w:w="22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56,091,230</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45,288,000</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56,591,230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57,381,000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Portfolio Company Loan</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16,000,000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16,000,000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5,956,735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5,687,897</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9,898,494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9,440,866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Banking, Finance, Insurance &amp; Real Estate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5,244,397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5,182,488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6,270,984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6,008,587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17,167,541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16,729,529</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17,334,746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16,882,750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9,512,302</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8,750,749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9,519,342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7,846,767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3,475,643</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3,393,621</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3,494,086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3,359,916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66,637,934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46,180,067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83,214,947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55,872,382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Construction &amp; Building</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1,967,650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1,929,906</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1,976,345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1,907,614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12,267,142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10,660,999</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13,983,607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12,753,455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Consumer goods: Non-durable</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18,976,505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18,571,340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20,124,355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19,646,576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Ecological</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2,970,013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3,431,926</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3,430,000</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Electricity</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3,424,176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3,447,060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3,465,576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3,465,000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Energy: Oil &amp; Gas</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14,006,035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9,161,755</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14,281,821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10,204,318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13,610,316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13,019,366</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13,735,492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13,179,657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Forest Products &amp; Paper</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5,873,851</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5,693,032</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5,888,294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5,883,080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55,492,223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51,945,870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58,649,512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55,417,827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1,079,617</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11,545,810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11,413,643</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11,727,898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11,662,995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Hotel, Gaming &amp; Leisure</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&amp; Publishing</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11,925,369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11,192,734</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11,167,950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10,340,449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Media: Broadcasting &amp; Subscription</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6,599,850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6,614,355</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7,428,110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7,406,792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Metals &amp; Mining</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228,563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4,402,375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3,950,180</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4,416,709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3,594,599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21,388,178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26,032,083</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18,206,668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21,022,801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Services: Consumer</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6,429,491</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6,335,902</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6,512,029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6,356,054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13,731,707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13,082,487</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13,776,871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12,425,489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gridSpan w:val="2"/>
          </w:tcPr>
          <w:p>
            <w:pPr>
              <w:spacing w:after="0" w:line="206" w:lineRule="exact"/>
              <w:rPr>
                <w:sz w:val="20"/>
                <w:szCs w:val="20"/>
                <w:color w:val="auto"/>
              </w:rPr>
            </w:pPr>
            <w:r>
              <w:rPr>
                <w:rFonts w:ascii="Arial" w:cs="Arial" w:eastAsia="Arial" w:hAnsi="Arial"/>
                <w:sz w:val="18"/>
                <w:szCs w:val="18"/>
                <w:color w:val="auto"/>
              </w:rPr>
              <w:t>Time Deposit and Money Market</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340" w:type="dxa"/>
            <w:vAlign w:val="bottom"/>
            <w:gridSpan w:val="3"/>
          </w:tcPr>
          <w:p>
            <w:pPr>
              <w:spacing w:after="0" w:line="266" w:lineRule="exact"/>
              <w:rPr>
                <w:sz w:val="20"/>
                <w:szCs w:val="20"/>
                <w:color w:val="auto"/>
              </w:rPr>
            </w:pPr>
            <w:r>
              <w:rPr>
                <w:rFonts w:ascii="Arial" w:cs="Arial" w:eastAsia="Arial" w:hAnsi="Arial"/>
                <w:sz w:val="18"/>
                <w:szCs w:val="18"/>
                <w:color w:val="auto"/>
              </w:rPr>
              <w:t>Accounts</w:t>
            </w:r>
            <w:r>
              <w:rPr>
                <w:rFonts w:ascii="Arial" w:cs="Arial" w:eastAsia="Arial" w:hAnsi="Arial"/>
                <w:sz w:val="30"/>
                <w:szCs w:val="30"/>
                <w:color w:val="auto"/>
                <w:vertAlign w:val="superscript"/>
              </w:rPr>
              <w:t>3</w:t>
            </w: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7,191,009</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7,191,009</w:t>
            </w:r>
          </w:p>
        </w:tc>
        <w:tc>
          <w:tcPr>
            <w:tcW w:w="220" w:type="dxa"/>
            <w:vAlign w:val="bottom"/>
          </w:tcPr>
          <w:p>
            <w:pPr>
              <w:spacing w:after="0"/>
              <w:rPr>
                <w:sz w:val="23"/>
                <w:szCs w:val="23"/>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2,129,381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2,129,381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Cargo</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7,592,854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7,384,198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18,232,953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18,865,603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Transportation: Consumer</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2,442,712</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2,450,672</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2,472,795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2,324,381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 Electric</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5,518,411</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4,977,266</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5,673,082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4,806,441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416,914,597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372,830,119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450,712,189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409,570,495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340" w:hanging="332"/>
        <w:spacing w:after="0" w:line="180"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ind w:left="340" w:hanging="332"/>
        <w:spacing w:after="0" w:line="180" w:lineRule="auto"/>
        <w:tabs>
          <w:tab w:leader="none" w:pos="340" w:val="left"/>
        </w:tabs>
        <w:numPr>
          <w:ilvl w:val="0"/>
          <w:numId w:val="37"/>
        </w:numPr>
        <w:rPr>
          <w:rFonts w:ascii="Arial" w:cs="Arial" w:eastAsia="Arial" w:hAnsi="Arial"/>
          <w:sz w:val="25"/>
          <w:szCs w:val="25"/>
          <w:color w:val="auto"/>
          <w:vertAlign w:val="superscript"/>
        </w:rPr>
      </w:pPr>
      <w:r>
        <w:rPr>
          <w:rFonts w:ascii="Arial" w:cs="Arial" w:eastAsia="Arial" w:hAnsi="Arial"/>
          <w:sz w:val="16"/>
          <w:szCs w:val="16"/>
          <w:color w:val="auto"/>
        </w:rPr>
        <w:t>Includes restricted cash held under employee benefit plans.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right="100" w:firstLine="414"/>
        <w:spacing w:after="0" w:line="259"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 debt and equity securities of CLO Funds, distressed debt or debt and equity securities of public companies. The Company expects that these public companies generally will have debt that is non-investment grade. Within this 30% of the portfolio, the Company also may invest in debt of middle market companies located outside of the United States.</w:t>
      </w:r>
    </w:p>
    <w:p>
      <w:pPr>
        <w:spacing w:after="0" w:line="187"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At June 30, 2016 and December 31, 2015, the total amount of non-qualifying assets was approximately 16% and 18% of total assets, respectively. The majority of non-qualifying assets were foreign investments which were approximately 12% and 13% of the Company’s total assets, respectively (including the Company’s investments in CLO Funds, which are typically domiciled outside the U.S. and represented approximately 12% and 13% of its total assets on such dates, respectively).</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detail the ten largest portfolio investments (at fair value) as of June 30, 2016 and December 31, 2015:</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ind w:left="1120"/>
              <w:spacing w:after="0"/>
              <w:rPr>
                <w:sz w:val="20"/>
                <w:szCs w:val="20"/>
                <w:color w:val="auto"/>
              </w:rPr>
            </w:pPr>
            <w:r>
              <w:rPr>
                <w:rFonts w:ascii="Arial" w:cs="Arial" w:eastAsia="Arial" w:hAnsi="Arial"/>
                <w:sz w:val="18"/>
                <w:szCs w:val="18"/>
                <w:b w:val="1"/>
                <w:bCs w:val="1"/>
                <w:color w:val="auto"/>
                <w:w w:val="89"/>
              </w:rPr>
              <w:t>June 30, 2016 (unaudited)</w:t>
            </w:r>
          </w:p>
        </w:tc>
        <w:tc>
          <w:tcPr>
            <w:tcW w:w="15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Cost/Amortized Cost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17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 of FMV</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500" w:type="dxa"/>
            <w:vAlign w:val="bottom"/>
            <w:gridSpan w:val="2"/>
            <w:shd w:val="clear" w:color="auto" w:fill="CCEEFF"/>
          </w:tcPr>
          <w:p>
            <w:pPr>
              <w:jc w:val="right"/>
              <w:ind w:right="23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56,091,230</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45,288,000</w:t>
            </w:r>
          </w:p>
        </w:tc>
        <w:tc>
          <w:tcPr>
            <w:tcW w:w="1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4960" w:type="dxa"/>
            <w:vAlign w:val="bottom"/>
            <w:gridSpan w:val="2"/>
          </w:tcPr>
          <w:p>
            <w:pPr>
              <w:spacing w:after="0"/>
              <w:rPr>
                <w:sz w:val="20"/>
                <w:szCs w:val="20"/>
                <w:color w:val="auto"/>
              </w:rPr>
            </w:pPr>
            <w:r>
              <w:rPr>
                <w:rFonts w:ascii="Arial" w:cs="Arial" w:eastAsia="Arial" w:hAnsi="Arial"/>
                <w:sz w:val="18"/>
                <w:szCs w:val="18"/>
                <w:color w:val="auto"/>
              </w:rPr>
              <w:t>Katonah 2007-I CLO Ltd.</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25,788,255</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20,940,690</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Trimaran Advisors, L.L.C.</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16,000,000</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16,000,000</w:t>
            </w:r>
          </w:p>
        </w:tc>
        <w:tc>
          <w:tcPr>
            <w:tcW w:w="180" w:type="dxa"/>
            <w:vAlign w:val="bottom"/>
            <w:shd w:val="clear" w:color="auto" w:fill="CCEEFF"/>
          </w:tcPr>
          <w:p>
            <w:pPr>
              <w:spacing w:after="0"/>
              <w:rPr>
                <w:sz w:val="22"/>
                <w:szCs w:val="22"/>
                <w:color w:val="auto"/>
              </w:rPr>
            </w:pPr>
          </w:p>
        </w:tc>
        <w:tc>
          <w:tcPr>
            <w:tcW w:w="1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960" w:type="dxa"/>
            <w:vAlign w:val="bottom"/>
            <w:gridSpan w:val="2"/>
          </w:tcPr>
          <w:p>
            <w:pPr>
              <w:spacing w:after="0"/>
              <w:rPr>
                <w:sz w:val="20"/>
                <w:szCs w:val="20"/>
                <w:color w:val="auto"/>
              </w:rPr>
            </w:pPr>
            <w:r>
              <w:rPr>
                <w:rFonts w:ascii="Arial" w:cs="Arial" w:eastAsia="Arial" w:hAnsi="Arial"/>
                <w:sz w:val="18"/>
                <w:szCs w:val="18"/>
                <w:color w:val="auto"/>
              </w:rPr>
              <w:t>DBI Holding LLC</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9,039,576</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14,056,509</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Grupo HIMA San Pablo, Inc.</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9,822,884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9,330,223</w:t>
            </w:r>
          </w:p>
        </w:tc>
        <w:tc>
          <w:tcPr>
            <w:tcW w:w="18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60" w:type="dxa"/>
            <w:vAlign w:val="bottom"/>
            <w:gridSpan w:val="2"/>
          </w:tcPr>
          <w:p>
            <w:pPr>
              <w:spacing w:after="0"/>
              <w:rPr>
                <w:sz w:val="20"/>
                <w:szCs w:val="20"/>
                <w:color w:val="auto"/>
              </w:rPr>
            </w:pPr>
            <w:r>
              <w:rPr>
                <w:rFonts w:ascii="Arial" w:cs="Arial" w:eastAsia="Arial" w:hAnsi="Arial"/>
                <w:sz w:val="18"/>
                <w:szCs w:val="18"/>
                <w:color w:val="auto"/>
              </w:rPr>
              <w:t>WireCo WorldGroup Inc.</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8,012,302</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8,000,000</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Tank Partners Holdings, LLC</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11,511,938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7,389,802</w:t>
            </w:r>
          </w:p>
        </w:tc>
        <w:tc>
          <w:tcPr>
            <w:tcW w:w="18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60" w:type="dxa"/>
            <w:vAlign w:val="bottom"/>
            <w:gridSpan w:val="2"/>
          </w:tcPr>
          <w:p>
            <w:pPr>
              <w:spacing w:after="0"/>
              <w:rPr>
                <w:sz w:val="20"/>
                <w:szCs w:val="20"/>
                <w:color w:val="auto"/>
              </w:rPr>
            </w:pPr>
            <w:r>
              <w:rPr>
                <w:rFonts w:ascii="Arial" w:cs="Arial" w:eastAsia="Arial" w:hAnsi="Arial"/>
                <w:sz w:val="18"/>
                <w:szCs w:val="18"/>
                <w:color w:val="auto"/>
              </w:rPr>
              <w:t>US Bank Money Market Account</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7,176,741</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7,176,741</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Roscoe Medical, Inc.</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6,660,600</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6,434,680</w:t>
            </w:r>
          </w:p>
        </w:tc>
        <w:tc>
          <w:tcPr>
            <w:tcW w:w="180" w:type="dxa"/>
            <w:vAlign w:val="bottom"/>
            <w:shd w:val="clear" w:color="auto" w:fill="CCEEFF"/>
          </w:tcPr>
          <w:p>
            <w:pPr>
              <w:spacing w:after="0"/>
              <w:rPr>
                <w:sz w:val="22"/>
                <w:szCs w:val="22"/>
                <w:color w:val="auto"/>
              </w:rPr>
            </w:pPr>
          </w:p>
        </w:tc>
        <w:tc>
          <w:tcPr>
            <w:tcW w:w="1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Weiman Products, LLC</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5,778,211</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5,805,118</w:t>
            </w:r>
          </w:p>
        </w:tc>
        <w:tc>
          <w:tcPr>
            <w:tcW w:w="1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tcPr>
          <w:p>
            <w:pPr>
              <w:jc w:val="right"/>
              <w:ind w:right="23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155,881,737</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140,421,763</w:t>
            </w:r>
          </w:p>
        </w:tc>
        <w:tc>
          <w:tcPr>
            <w:tcW w:w="180" w:type="dxa"/>
            <w:vAlign w:val="bottom"/>
          </w:tcPr>
          <w:p>
            <w:pPr>
              <w:spacing w:after="0"/>
              <w:rPr>
                <w:sz w:val="24"/>
                <w:szCs w:val="24"/>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December 31, 2015</w:t>
            </w:r>
          </w:p>
        </w:tc>
        <w:tc>
          <w:tcPr>
            <w:tcW w:w="1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Cost/Amortized Cost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rPr>
              <w:t>% of FMV</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56,591,230</w:t>
            </w:r>
          </w:p>
        </w:tc>
        <w:tc>
          <w:tcPr>
            <w:tcW w:w="1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40" w:type="dxa"/>
            <w:vAlign w:val="bottom"/>
          </w:tcPr>
          <w:p>
            <w:pPr>
              <w:spacing w:after="0" w:line="256" w:lineRule="exact"/>
              <w:rPr>
                <w:sz w:val="20"/>
                <w:szCs w:val="20"/>
                <w:color w:val="auto"/>
              </w:rPr>
            </w:pPr>
            <w:r>
              <w:rPr>
                <w:rFonts w:ascii="Arial" w:cs="Arial" w:eastAsia="Arial" w:hAnsi="Arial"/>
                <w:sz w:val="18"/>
                <w:szCs w:val="18"/>
                <w:color w:val="auto"/>
              </w:rPr>
              <w:t>Trimaran Advisors, L.L.C.</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23,000,000</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23,000,000</w:t>
            </w:r>
          </w:p>
        </w:tc>
        <w:tc>
          <w:tcPr>
            <w:tcW w:w="18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Katonah 2007-I CLO Ltd.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24,312,424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20,295,677</w:t>
            </w:r>
          </w:p>
        </w:tc>
        <w:tc>
          <w:tcPr>
            <w:tcW w:w="18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DBI Holding, LLC</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8,585,578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12,975,447</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Crowley Holdings Preferred, LLC</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10,411,673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11,036,373</w:t>
            </w:r>
          </w:p>
        </w:tc>
        <w:tc>
          <w:tcPr>
            <w:tcW w:w="18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Grupo HIMA San Pablo, Inc.</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9,817,315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9,917,500</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2015-1 Ltd.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11,869,751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8,789,651</w:t>
            </w:r>
          </w:p>
        </w:tc>
        <w:tc>
          <w:tcPr>
            <w:tcW w:w="18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10,624,515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8,177,538</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Weiman Products, LLC</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6,582,457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6,619,805</w:t>
            </w:r>
          </w:p>
        </w:tc>
        <w:tc>
          <w:tcPr>
            <w:tcW w:w="18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Nielson &amp; Bainbrige, LLC</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6,803,605</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6,510,157</w:t>
            </w:r>
          </w:p>
        </w:tc>
        <w:tc>
          <w:tcPr>
            <w:tcW w:w="1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500" w:type="dxa"/>
            <w:vAlign w:val="bottom"/>
            <w:gridSpan w:val="2"/>
          </w:tcPr>
          <w:p>
            <w:pPr>
              <w:jc w:val="right"/>
              <w:ind w:right="237"/>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168,598,548</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164,703,148</w:t>
            </w:r>
          </w:p>
        </w:tc>
        <w:tc>
          <w:tcPr>
            <w:tcW w:w="180" w:type="dxa"/>
            <w:vAlign w:val="bottom"/>
          </w:tcPr>
          <w:p>
            <w:pPr>
              <w:spacing w:after="0"/>
              <w:rPr>
                <w:sz w:val="21"/>
                <w:szCs w:val="21"/>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40" w:right="5460" w:hanging="5308"/>
        <w:spacing w:after="0" w:line="906" w:lineRule="auto"/>
        <w:tabs>
          <w:tab w:leader="none" w:pos="666"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Related party loan - See Note 5 to Consolidated Financial Statements.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8" w:right="379" w:bottom="1440" w:gutter="0" w:footer="0" w:header="0"/>
        </w:sectPr>
      </w:pPr>
    </w:p>
    <w:bookmarkStart w:id="46" w:name="page47"/>
    <w:bookmarkEnd w:id="46"/>
    <w:p>
      <w:pPr>
        <w:ind w:right="160" w:firstLine="414"/>
        <w:spacing w:after="0" w:line="277" w:lineRule="auto"/>
        <w:rPr>
          <w:sz w:val="20"/>
          <w:szCs w:val="20"/>
          <w:color w:val="auto"/>
        </w:rPr>
      </w:pPr>
      <w:r>
        <w:rPr>
          <w:rFonts w:ascii="Arial" w:cs="Arial" w:eastAsia="Arial" w:hAnsi="Arial"/>
          <w:sz w:val="18"/>
          <w:szCs w:val="18"/>
          <w:color w:val="auto"/>
        </w:rPr>
        <w:t>Excluding the Asset Manager Affiliates and CLO Fund Securities, the Company’s ten largest portfolio companies represented approximately 17% and 19% of the total fair value of the Company’s investments at June 30, 2016 and December 31,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229" w:lineRule="exact"/>
        <w:rPr>
          <w:sz w:val="20"/>
          <w:szCs w:val="20"/>
          <w:color w:val="auto"/>
        </w:rPr>
      </w:pPr>
    </w:p>
    <w:p>
      <w:pPr>
        <w:ind w:right="20" w:firstLine="414"/>
        <w:spacing w:after="0" w:line="290" w:lineRule="auto"/>
        <w:rPr>
          <w:sz w:val="20"/>
          <w:szCs w:val="20"/>
          <w:color w:val="auto"/>
        </w:rPr>
      </w:pPr>
      <w:r>
        <w:rPr>
          <w:rFonts w:ascii="Arial" w:cs="Arial" w:eastAsia="Arial" w:hAnsi="Arial"/>
          <w:sz w:val="16"/>
          <w:szCs w:val="16"/>
          <w:color w:val="auto"/>
        </w:rPr>
        <w:t>The Company typically makes a minority investment in the most junior class of securities (typically preferred shares or subordinated securities) of CLO Funds managed by the Asset Manager Affiliates and may selectively invest in securities issued by CLO funds managed by other asset management companies.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66" w:lineRule="exact"/>
        <w:rPr>
          <w:sz w:val="20"/>
          <w:szCs w:val="20"/>
          <w:color w:val="auto"/>
        </w:rPr>
      </w:pPr>
    </w:p>
    <w:p>
      <w:pPr>
        <w:ind w:right="560" w:firstLine="414"/>
        <w:spacing w:after="0" w:line="277" w:lineRule="auto"/>
        <w:rPr>
          <w:sz w:val="20"/>
          <w:szCs w:val="20"/>
          <w:color w:val="auto"/>
        </w:rPr>
      </w:pPr>
      <w:r>
        <w:rPr>
          <w:rFonts w:ascii="Arial" w:cs="Arial" w:eastAsia="Arial" w:hAnsi="Arial"/>
          <w:sz w:val="18"/>
          <w:szCs w:val="18"/>
          <w:color w:val="auto"/>
        </w:rPr>
        <w:t>In June 2013, the Company purchased $9.0 million of the par value of the Subordinated Notes of Catamaran 2013-1 CLO (“Catamaran 2013-1”) managed by Trimaran Advisors.</w:t>
      </w:r>
    </w:p>
    <w:p>
      <w:pPr>
        <w:spacing w:after="0" w:line="170" w:lineRule="exact"/>
        <w:rPr>
          <w:sz w:val="20"/>
          <w:szCs w:val="20"/>
          <w:color w:val="auto"/>
        </w:rPr>
      </w:pPr>
    </w:p>
    <w:p>
      <w:pPr>
        <w:ind w:right="40" w:firstLine="414"/>
        <w:spacing w:after="0" w:line="277" w:lineRule="auto"/>
        <w:rPr>
          <w:sz w:val="20"/>
          <w:szCs w:val="20"/>
          <w:color w:val="auto"/>
        </w:rPr>
      </w:pPr>
      <w:r>
        <w:rPr>
          <w:rFonts w:ascii="Arial" w:cs="Arial" w:eastAsia="Arial" w:hAnsi="Arial"/>
          <w:sz w:val="18"/>
          <w:szCs w:val="18"/>
          <w:color w:val="auto"/>
        </w:rPr>
        <w:t>In May and August 2014, the Company purchased $11.1 million and $9.9 million of the par value of the Subordinated Notes of Catamaran 2014-1 CLO (“Catamaran 2014-1”) and 2014-2 CLO (“Catamaran 2014-2”), respectively. Both are managed by Trimaran Advisors.</w:t>
      </w:r>
    </w:p>
    <w:p>
      <w:pPr>
        <w:spacing w:after="0" w:line="170" w:lineRule="exact"/>
        <w:rPr>
          <w:sz w:val="20"/>
          <w:szCs w:val="20"/>
          <w:color w:val="auto"/>
        </w:rPr>
      </w:pPr>
    </w:p>
    <w:p>
      <w:pPr>
        <w:ind w:right="480" w:firstLine="414"/>
        <w:spacing w:after="0" w:line="277" w:lineRule="auto"/>
        <w:rPr>
          <w:sz w:val="20"/>
          <w:szCs w:val="20"/>
          <w:color w:val="auto"/>
        </w:rPr>
      </w:pPr>
      <w:r>
        <w:rPr>
          <w:rFonts w:ascii="Arial" w:cs="Arial" w:eastAsia="Arial" w:hAnsi="Arial"/>
          <w:sz w:val="18"/>
          <w:szCs w:val="18"/>
          <w:color w:val="auto"/>
        </w:rPr>
        <w:t>In May 2015, the Company purchased $11.9 million of the par value of the Subordinated Notes of Catamaran 2015-1 CLO (“Catamaran 2015-1”) managed by Trimaran Advisors.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June 2016, the Company sold $7.0 million par value of the Subordinated Notes of Catamaran 2015-1 for $4.2 million.</w:t>
      </w:r>
    </w:p>
    <w:p>
      <w:pPr>
        <w:spacing w:after="0" w:line="225" w:lineRule="exact"/>
        <w:rPr>
          <w:sz w:val="20"/>
          <w:szCs w:val="20"/>
          <w:color w:val="auto"/>
        </w:rPr>
      </w:pPr>
    </w:p>
    <w:p>
      <w:pPr>
        <w:ind w:right="40" w:firstLine="414"/>
        <w:spacing w:after="0" w:line="264" w:lineRule="auto"/>
        <w:rPr>
          <w:sz w:val="20"/>
          <w:szCs w:val="20"/>
          <w:color w:val="auto"/>
        </w:rPr>
      </w:pPr>
      <w:r>
        <w:rPr>
          <w:rFonts w:ascii="Arial" w:cs="Arial" w:eastAsia="Arial" w:hAnsi="Arial"/>
          <w:sz w:val="18"/>
          <w:szCs w:val="18"/>
          <w:color w:val="auto"/>
        </w:rPr>
        <w:t>All CLO Funds managed by the Asset Manager Affiliates are currently making quarterly distributions to the Company with respect to its interests in the CLO Funds and are paying all senior and subordinate management fees to the Asset Manager Affiliates. With the exception of Katonah III, Ltd., all third-party managed CLO Funds are making distributions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firstLine="41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 “Significant Accounting Policies —Investments”).</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7" w:name="page48"/>
    <w:bookmarkEnd w:id="47"/>
    <w:p>
      <w:pPr>
        <w:ind w:right="140" w:firstLine="41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420" w:right="200" w:firstLine="414"/>
        <w:spacing w:after="0" w:line="312" w:lineRule="auto"/>
        <w:rPr>
          <w:sz w:val="20"/>
          <w:szCs w:val="20"/>
          <w:color w:val="auto"/>
        </w:rPr>
      </w:pPr>
      <w:r>
        <w:rPr>
          <w:rFonts w:ascii="Arial" w:cs="Arial" w:eastAsia="Arial" w:hAnsi="Arial"/>
          <w:sz w:val="16"/>
          <w:szCs w:val="16"/>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7" w:lineRule="exact"/>
        <w:rPr>
          <w:sz w:val="20"/>
          <w:szCs w:val="20"/>
          <w:color w:val="auto"/>
        </w:rPr>
      </w:pPr>
    </w:p>
    <w:p>
      <w:pPr>
        <w:ind w:left="420" w:right="160" w:firstLine="41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3" w:lineRule="exact"/>
        <w:rPr>
          <w:sz w:val="20"/>
          <w:szCs w:val="20"/>
          <w:color w:val="auto"/>
        </w:rPr>
      </w:pPr>
    </w:p>
    <w:p>
      <w:pPr>
        <w:ind w:left="420" w:right="140" w:firstLine="41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right="20" w:firstLine="414"/>
        <w:spacing w:after="0" w:line="289"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67"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following table summarizes the fair value of investments by the above ASC 820: Fair Value fair value hierarchy levels as of June 30, 2016 (unaudited) and December 31, 2015,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7"/>
          </w:tcPr>
          <w:p>
            <w:pPr>
              <w:ind w:left="200"/>
              <w:spacing w:after="0"/>
              <w:rPr>
                <w:sz w:val="20"/>
                <w:szCs w:val="20"/>
                <w:color w:val="auto"/>
              </w:rPr>
            </w:pPr>
            <w:r>
              <w:rPr>
                <w:rFonts w:ascii="Arial" w:cs="Arial" w:eastAsia="Arial" w:hAnsi="Arial"/>
                <w:sz w:val="18"/>
                <w:szCs w:val="18"/>
                <w:b w:val="1"/>
                <w:bCs w:val="1"/>
                <w:color w:val="auto"/>
                <w:w w:val="97"/>
              </w:rPr>
              <w:t>As of June 30, 2016 (unaudited)</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II</w:t>
            </w:r>
          </w:p>
        </w:tc>
        <w:tc>
          <w:tcPr>
            <w:tcW w:w="16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III</w:t>
            </w:r>
          </w:p>
        </w:tc>
        <w:tc>
          <w:tcPr>
            <w:tcW w:w="16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6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7,191,009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7,191,009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Debt securities</w:t>
            </w: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98,732,146</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166,207,695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264,939,841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46,180,067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Equity securities</w:t>
            </w: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5,718,066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3,513,136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9,231,202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45,288,000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45,288,000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111,641,221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261,188,898</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372,830,119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5"/>
          </w:tcPr>
          <w:p>
            <w:pPr>
              <w:ind w:left="80"/>
              <w:spacing w:after="0"/>
              <w:rPr>
                <w:sz w:val="20"/>
                <w:szCs w:val="20"/>
                <w:color w:val="auto"/>
              </w:rPr>
            </w:pPr>
            <w:r>
              <w:rPr>
                <w:rFonts w:ascii="Arial" w:cs="Arial" w:eastAsia="Arial" w:hAnsi="Arial"/>
                <w:sz w:val="18"/>
                <w:szCs w:val="18"/>
                <w:b w:val="1"/>
                <w:bCs w:val="1"/>
                <w:color w:val="auto"/>
              </w:rPr>
              <w:t>As of December 31, 2015</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II</w:t>
            </w:r>
          </w:p>
        </w:tc>
        <w:tc>
          <w:tcPr>
            <w:tcW w:w="16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Level III</w:t>
            </w:r>
          </w:p>
        </w:tc>
        <w:tc>
          <w:tcPr>
            <w:tcW w:w="16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6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Debt securities</w:t>
            </w: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101,238,779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183,400,465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284,639,244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55,872,382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55,872,382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Equity securities</w:t>
            </w: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445,485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9,103,003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9,548,488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57,381,000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57,381,000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103,813,645</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305,756,850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409,570,495</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48" w:name="page49"/>
    <w:bookmarkEnd w:id="48"/>
    <w:p>
      <w:pPr>
        <w:ind w:right="60" w:firstLine="324"/>
        <w:spacing w:after="0" w:line="308" w:lineRule="auto"/>
        <w:rPr>
          <w:sz w:val="20"/>
          <w:szCs w:val="20"/>
          <w:color w:val="auto"/>
        </w:rPr>
      </w:pPr>
      <w:r>
        <w:rPr>
          <w:rFonts w:ascii="Arial" w:cs="Arial" w:eastAsia="Arial" w:hAnsi="Arial"/>
          <w:sz w:val="17"/>
          <w:szCs w:val="17"/>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w:t>
      </w:r>
    </w:p>
    <w:p>
      <w:pPr>
        <w:spacing w:after="0" w:line="147"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Investment values derived by a third party pricing service are generally deemed to be Level III values. For those that have observable trades, the Company considers them to be Level II.</w:t>
      </w:r>
    </w:p>
    <w:p>
      <w:pPr>
        <w:spacing w:after="0" w:line="170" w:lineRule="exact"/>
        <w:rPr>
          <w:sz w:val="20"/>
          <w:szCs w:val="20"/>
          <w:color w:val="auto"/>
        </w:rPr>
      </w:pPr>
    </w:p>
    <w:p>
      <w:pPr>
        <w:ind w:right="260" w:firstLine="414"/>
        <w:spacing w:after="0" w:line="276" w:lineRule="auto"/>
        <w:rPr>
          <w:sz w:val="20"/>
          <w:szCs w:val="20"/>
          <w:color w:val="auto"/>
        </w:rPr>
      </w:pPr>
      <w:r>
        <w:rPr>
          <w:rFonts w:ascii="Arial" w:cs="Arial" w:eastAsia="Arial" w:hAnsi="Arial"/>
          <w:sz w:val="17"/>
          <w:szCs w:val="17"/>
          <w:color w:val="auto"/>
        </w:rPr>
        <w:t>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73" w:lineRule="exact"/>
        <w:rPr>
          <w:sz w:val="20"/>
          <w:szCs w:val="20"/>
          <w:color w:val="auto"/>
        </w:rPr>
      </w:pPr>
    </w:p>
    <w:p>
      <w:pPr>
        <w:ind w:right="60" w:firstLine="414"/>
        <w:spacing w:after="0" w:line="273" w:lineRule="auto"/>
        <w:rPr>
          <w:sz w:val="20"/>
          <w:szCs w:val="20"/>
          <w:color w:val="auto"/>
        </w:rPr>
      </w:pPr>
      <w:r>
        <w:rPr>
          <w:rFonts w:ascii="Arial" w:cs="Arial" w:eastAsia="Arial" w:hAnsi="Arial"/>
          <w:sz w:val="17"/>
          <w:szCs w:val="17"/>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7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Investments measured at fair value for which the Company has used unobservable inputs to determine fair value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10"/>
          </w:tcPr>
          <w:p>
            <w:pPr>
              <w:jc w:val="right"/>
              <w:ind w:right="480"/>
              <w:spacing w:after="0"/>
              <w:rPr>
                <w:sz w:val="20"/>
                <w:szCs w:val="20"/>
                <w:color w:val="auto"/>
              </w:rPr>
            </w:pPr>
            <w:r>
              <w:rPr>
                <w:rFonts w:ascii="Arial" w:cs="Arial" w:eastAsia="Arial" w:hAnsi="Arial"/>
                <w:sz w:val="18"/>
                <w:szCs w:val="18"/>
                <w:b w:val="1"/>
                <w:bCs w:val="1"/>
                <w:color w:val="auto"/>
                <w:w w:val="90"/>
              </w:rPr>
              <w:t>Six Months Ended June 30, 2016 (unaudited)</w:t>
            </w: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right"/>
              <w:ind w:right="300"/>
              <w:spacing w:after="0" w:line="191" w:lineRule="exact"/>
              <w:rPr>
                <w:sz w:val="20"/>
                <w:szCs w:val="20"/>
                <w:color w:val="auto"/>
              </w:rPr>
            </w:pPr>
            <w:r>
              <w:rPr>
                <w:rFonts w:ascii="Arial" w:cs="Arial" w:eastAsia="Arial" w:hAnsi="Arial"/>
                <w:sz w:val="18"/>
                <w:szCs w:val="18"/>
                <w:b w:val="1"/>
                <w:bCs w:val="1"/>
                <w:color w:val="auto"/>
              </w:rPr>
              <w:t>CLO Fund</w:t>
            </w:r>
          </w:p>
        </w:tc>
        <w:tc>
          <w:tcPr>
            <w:tcW w:w="120" w:type="dxa"/>
            <w:vAlign w:val="bottom"/>
          </w:tcPr>
          <w:p>
            <w:pPr>
              <w:spacing w:after="0"/>
              <w:rPr>
                <w:sz w:val="16"/>
                <w:szCs w:val="16"/>
                <w:color w:val="auto"/>
              </w:rPr>
            </w:pPr>
          </w:p>
        </w:tc>
        <w:tc>
          <w:tcPr>
            <w:tcW w:w="900" w:type="dxa"/>
            <w:vAlign w:val="bottom"/>
          </w:tcPr>
          <w:p>
            <w:pPr>
              <w:jc w:val="right"/>
              <w:ind w:right="157"/>
              <w:spacing w:after="0" w:line="191" w:lineRule="exact"/>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16"/>
                <w:szCs w:val="16"/>
                <w:color w:val="auto"/>
              </w:rPr>
            </w:pPr>
          </w:p>
        </w:tc>
        <w:tc>
          <w:tcPr>
            <w:tcW w:w="13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Asset Manager</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Debt Securities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20"/>
                <w:szCs w:val="20"/>
                <w:color w:val="auto"/>
              </w:rPr>
            </w:pPr>
          </w:p>
        </w:tc>
        <w:tc>
          <w:tcPr>
            <w:tcW w:w="900" w:type="dxa"/>
            <w:vAlign w:val="bottom"/>
          </w:tcPr>
          <w:p>
            <w:pPr>
              <w:jc w:val="right"/>
              <w:ind w:right="57"/>
              <w:spacing w:after="0"/>
              <w:rPr>
                <w:sz w:val="20"/>
                <w:szCs w:val="20"/>
                <w:color w:val="auto"/>
              </w:rPr>
            </w:pPr>
            <w:r>
              <w:rPr>
                <w:rFonts w:ascii="Arial" w:cs="Arial" w:eastAsia="Arial" w:hAnsi="Arial"/>
                <w:sz w:val="18"/>
                <w:szCs w:val="18"/>
                <w:b w:val="1"/>
                <w:bCs w:val="1"/>
                <w:color w:val="auto"/>
                <w:w w:val="85"/>
              </w:rPr>
              <w:t>Securities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Affiliate</w:t>
            </w:r>
          </w:p>
        </w:tc>
        <w:tc>
          <w:tcPr>
            <w:tcW w:w="20" w:type="dxa"/>
            <w:vAlign w:val="bottom"/>
          </w:tcPr>
          <w:p>
            <w:pPr>
              <w:spacing w:after="0"/>
              <w:rPr>
                <w:sz w:val="20"/>
                <w:szCs w:val="20"/>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183,400,465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55,872,382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9,103,003</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$ 305,756,850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80" w:type="dxa"/>
            <w:vAlign w:val="bottom"/>
            <w:gridSpan w:val="2"/>
          </w:tcPr>
          <w:p>
            <w:pPr>
              <w:spacing w:after="0"/>
              <w:rPr>
                <w:sz w:val="20"/>
                <w:szCs w:val="20"/>
                <w:color w:val="auto"/>
              </w:rPr>
            </w:pPr>
            <w:r>
              <w:rPr>
                <w:rFonts w:ascii="Arial" w:cs="Arial" w:eastAsia="Arial" w:hAnsi="Arial"/>
                <w:sz w:val="18"/>
                <w:szCs w:val="18"/>
                <w:color w:val="auto"/>
              </w:rPr>
              <w:t>Transfers out of Level III</w:t>
            </w:r>
          </w:p>
        </w:tc>
        <w:tc>
          <w:tcPr>
            <w:tcW w:w="180" w:type="dxa"/>
            <w:vAlign w:val="bottom"/>
          </w:tcPr>
          <w:p>
            <w:pPr>
              <w:spacing w:after="0"/>
              <w:rPr>
                <w:sz w:val="22"/>
                <w:szCs w:val="22"/>
                <w:color w:val="auto"/>
              </w:rPr>
            </w:pPr>
          </w:p>
        </w:tc>
        <w:tc>
          <w:tcPr>
            <w:tcW w:w="1180" w:type="dxa"/>
            <w:vAlign w:val="bottom"/>
            <w:gridSpan w:val="2"/>
          </w:tcPr>
          <w:p>
            <w:pPr>
              <w:jc w:val="right"/>
              <w:ind w:right="20"/>
              <w:spacing w:after="0" w:line="256" w:lineRule="exact"/>
              <w:rPr>
                <w:sz w:val="20"/>
                <w:szCs w:val="20"/>
                <w:color w:val="auto"/>
              </w:rPr>
            </w:pPr>
            <w:r>
              <w:rPr>
                <w:rFonts w:ascii="Arial" w:cs="Arial" w:eastAsia="Arial" w:hAnsi="Arial"/>
                <w:sz w:val="18"/>
                <w:szCs w:val="18"/>
                <w:color w:val="auto"/>
                <w:w w:val="96"/>
              </w:rPr>
              <w:t xml:space="preserve">(27,711,775) </w:t>
            </w:r>
            <w:r>
              <w:rPr>
                <w:rFonts w:ascii="Arial" w:cs="Arial" w:eastAsia="Arial" w:hAnsi="Arial"/>
                <w:sz w:val="29"/>
                <w:szCs w:val="29"/>
                <w:color w:val="auto"/>
                <w:w w:val="96"/>
                <w:vertAlign w:val="superscript"/>
              </w:rPr>
              <w:t>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60" w:type="dxa"/>
            <w:vAlign w:val="bottom"/>
            <w:gridSpan w:val="2"/>
          </w:tcPr>
          <w:p>
            <w:pPr>
              <w:jc w:val="right"/>
              <w:ind w:right="45"/>
              <w:spacing w:after="0" w:line="256" w:lineRule="exact"/>
              <w:rPr>
                <w:sz w:val="20"/>
                <w:szCs w:val="20"/>
                <w:color w:val="auto"/>
              </w:rPr>
            </w:pPr>
            <w:r>
              <w:rPr>
                <w:rFonts w:ascii="Arial" w:cs="Arial" w:eastAsia="Arial" w:hAnsi="Arial"/>
                <w:sz w:val="18"/>
                <w:szCs w:val="18"/>
                <w:color w:val="auto"/>
                <w:w w:val="99"/>
              </w:rPr>
              <w:t>(5,654,926)</w:t>
            </w:r>
            <w:r>
              <w:rPr>
                <w:rFonts w:ascii="Arial" w:cs="Arial" w:eastAsia="Arial" w:hAnsi="Arial"/>
                <w:sz w:val="29"/>
                <w:szCs w:val="29"/>
                <w:color w:val="auto"/>
                <w:w w:val="99"/>
                <w:vertAlign w:val="superscript"/>
              </w:rPr>
              <w:t>1</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(33,366,701)</w:t>
            </w:r>
          </w:p>
        </w:tc>
        <w:tc>
          <w:tcPr>
            <w:tcW w:w="0" w:type="dxa"/>
            <w:vAlign w:val="bottom"/>
          </w:tcPr>
          <w:p>
            <w:pPr>
              <w:spacing w:after="0"/>
              <w:rPr>
                <w:sz w:val="1"/>
                <w:szCs w:val="1"/>
                <w:color w:val="auto"/>
              </w:rPr>
            </w:pPr>
          </w:p>
        </w:tc>
      </w:tr>
      <w:tr>
        <w:trPr>
          <w:trHeight w:val="15"/>
        </w:trPr>
        <w:tc>
          <w:tcPr>
            <w:tcW w:w="4980" w:type="dxa"/>
            <w:vAlign w:val="bottom"/>
            <w:gridSpan w:val="2"/>
            <w:shd w:val="clear" w:color="auto" w:fill="CCEEFF"/>
          </w:tcPr>
          <w:p>
            <w:pPr>
              <w:spacing w:after="0"/>
              <w:rPr>
                <w:sz w:val="20"/>
                <w:szCs w:val="20"/>
                <w:color w:val="auto"/>
              </w:rPr>
            </w:pPr>
            <w:r>
              <w:rPr>
                <w:rFonts w:ascii="Arial" w:cs="Arial" w:eastAsia="Arial" w:hAnsi="Arial"/>
                <w:sz w:val="1"/>
                <w:szCs w:val="1"/>
                <w:color w:val="auto"/>
              </w:rPr>
              <w:t>Transfers into Level III</w:t>
            </w:r>
          </w:p>
        </w:tc>
        <w:tc>
          <w:tcPr>
            <w:tcW w:w="180" w:type="dxa"/>
            <w:vAlign w:val="bottom"/>
            <w:shd w:val="clear" w:color="auto" w:fill="CCEEFF"/>
          </w:tcPr>
          <w:p>
            <w:pPr>
              <w:spacing w:after="0" w:line="20" w:lineRule="exact"/>
              <w:rPr>
                <w:sz w:val="1"/>
                <w:szCs w:val="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27,702,913</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w:t>
            </w: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
                <w:szCs w:val="1"/>
                <w:color w:val="auto"/>
              </w:rPr>
              <w:t>445,485</w:t>
            </w:r>
          </w:p>
        </w:tc>
        <w:tc>
          <w:tcPr>
            <w:tcW w:w="260" w:type="dxa"/>
            <w:vAlign w:val="bottom"/>
            <w:vMerge w:val="restart"/>
            <w:shd w:val="clear" w:color="auto" w:fill="CCEEFF"/>
          </w:tcPr>
          <w:p>
            <w:pPr>
              <w:jc w:val="right"/>
              <w:ind w:right="105"/>
              <w:spacing w:after="0"/>
              <w:rPr>
                <w:sz w:val="20"/>
                <w:szCs w:val="20"/>
                <w:color w:val="auto"/>
              </w:rPr>
            </w:pPr>
            <w:r>
              <w:rPr>
                <w:rFonts w:ascii="Arial" w:cs="Arial" w:eastAsia="Arial" w:hAnsi="Arial"/>
                <w:sz w:val="15"/>
                <w:szCs w:val="15"/>
                <w:color w:val="auto"/>
                <w:w w:val="71"/>
              </w:rPr>
              <w:t>2</w:t>
            </w:r>
          </w:p>
        </w:tc>
        <w:tc>
          <w:tcPr>
            <w:tcW w:w="160" w:type="dxa"/>
            <w:vAlign w:val="bottom"/>
            <w:shd w:val="clear" w:color="auto" w:fill="CCEEFF"/>
          </w:tcPr>
          <w:p>
            <w:pPr>
              <w:spacing w:after="0" w:line="20" w:lineRule="exact"/>
              <w:rPr>
                <w:sz w:val="1"/>
                <w:szCs w:val="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
                <w:szCs w:val="1"/>
                <w:color w:val="auto"/>
              </w:rPr>
              <w:t>28,148,398</w:t>
            </w: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Net accretion (amortization)</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151,276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(2,265,454)</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(2,114,178)</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6,182,700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6,182,700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Sales/Paydowns/Return of Capital</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(21,433,633)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(4,200,000)</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(26,133,633)</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(10,111,560)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(9,915,337)</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Total unrealized gain (loss) included in earnings</w:t>
            </w: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(2,280,474)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6,884,699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5"/>
              <w:spacing w:after="0"/>
              <w:rPr>
                <w:sz w:val="20"/>
                <w:szCs w:val="20"/>
                <w:color w:val="auto"/>
              </w:rPr>
            </w:pPr>
            <w:r>
              <w:rPr>
                <w:rFonts w:ascii="Arial" w:cs="Arial" w:eastAsia="Arial" w:hAnsi="Arial"/>
                <w:sz w:val="18"/>
                <w:szCs w:val="18"/>
                <w:color w:val="auto"/>
              </w:rPr>
              <w:t>(380,426)</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(11,593,000)</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(7,369,201)</w:t>
            </w: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June 30, 2016</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166,207,695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46,180,067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3,513,136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45,288,000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$ 261,188,898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w w:val="91"/>
              </w:rPr>
              <w:t>Changes in unrealized gains (losses) included in earnings related to</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980" w:type="dxa"/>
            <w:vAlign w:val="bottom"/>
            <w:gridSpan w:val="2"/>
          </w:tcPr>
          <w:p>
            <w:pPr>
              <w:spacing w:after="0"/>
              <w:rPr>
                <w:sz w:val="20"/>
                <w:szCs w:val="20"/>
                <w:color w:val="auto"/>
              </w:rPr>
            </w:pPr>
            <w:r>
              <w:rPr>
                <w:rFonts w:ascii="Arial" w:cs="Arial" w:eastAsia="Arial" w:hAnsi="Arial"/>
                <w:sz w:val="18"/>
                <w:szCs w:val="18"/>
                <w:color w:val="auto"/>
              </w:rPr>
              <w:t>investments still held at reporting date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(8,778,251)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6,884,698</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5"/>
              <w:spacing w:after="0"/>
              <w:rPr>
                <w:sz w:val="20"/>
                <w:szCs w:val="20"/>
                <w:color w:val="auto"/>
              </w:rPr>
            </w:pPr>
            <w:r>
              <w:rPr>
                <w:rFonts w:ascii="Arial" w:cs="Arial" w:eastAsia="Arial" w:hAnsi="Arial"/>
                <w:sz w:val="18"/>
                <w:szCs w:val="18"/>
                <w:color w:val="auto"/>
              </w:rPr>
              <w:t>(380,427)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(11,593,000)</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w w:val="90"/>
              </w:rPr>
              <w:t>$ (13,866,980)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¹Transfers out of Level III represent a transfer of $33,366,701 relating to debt and equity securities for which pricing inputs, other than their quoted prices in active markets were observable as of June 30, 2016</w:t>
      </w:r>
    </w:p>
    <w:p>
      <w:pPr>
        <w:spacing w:after="0" w:line="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²Transfers into Level III represent a transfer of $28,148,398 relating to debt and equity securities for which pricing inputs, other than their quoted prices in active markets were unobservable as of June 30, 2016</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9"/>
          </w:tcPr>
          <w:p>
            <w:pPr>
              <w:jc w:val="right"/>
              <w:ind w:right="980"/>
              <w:spacing w:after="0"/>
              <w:rPr>
                <w:sz w:val="20"/>
                <w:szCs w:val="20"/>
                <w:color w:val="auto"/>
              </w:rPr>
            </w:pPr>
            <w:r>
              <w:rPr>
                <w:rFonts w:ascii="Arial" w:cs="Arial" w:eastAsia="Arial" w:hAnsi="Arial"/>
                <w:sz w:val="18"/>
                <w:szCs w:val="18"/>
                <w:b w:val="1"/>
                <w:bCs w:val="1"/>
                <w:color w:val="auto"/>
              </w:rPr>
              <w:t>Year Ended December 31, 2015</w:t>
            </w: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3"/>
          </w:tcPr>
          <w:p>
            <w:pPr>
              <w:jc w:val="right"/>
              <w:ind w:right="220"/>
              <w:spacing w:after="0" w:line="191" w:lineRule="exact"/>
              <w:rPr>
                <w:sz w:val="20"/>
                <w:szCs w:val="20"/>
                <w:color w:val="auto"/>
              </w:rPr>
            </w:pPr>
            <w:r>
              <w:rPr>
                <w:rFonts w:ascii="Arial" w:cs="Arial" w:eastAsia="Arial" w:hAnsi="Arial"/>
                <w:sz w:val="18"/>
                <w:szCs w:val="18"/>
                <w:b w:val="1"/>
                <w:bCs w:val="1"/>
                <w:color w:val="auto"/>
              </w:rPr>
              <w:t>CLO Fund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Equity</w:t>
            </w:r>
          </w:p>
        </w:tc>
        <w:tc>
          <w:tcPr>
            <w:tcW w:w="13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Asset Manager</w:t>
            </w: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280" w:type="dxa"/>
            <w:vAlign w:val="bottom"/>
            <w:gridSpan w:val="4"/>
          </w:tcPr>
          <w:p>
            <w:pPr>
              <w:ind w:left="100"/>
              <w:spacing w:after="0"/>
              <w:rPr>
                <w:sz w:val="20"/>
                <w:szCs w:val="20"/>
                <w:color w:val="auto"/>
              </w:rPr>
            </w:pPr>
            <w:r>
              <w:rPr>
                <w:rFonts w:ascii="Arial" w:cs="Arial" w:eastAsia="Arial" w:hAnsi="Arial"/>
                <w:sz w:val="18"/>
                <w:szCs w:val="18"/>
                <w:b w:val="1"/>
                <w:bCs w:val="1"/>
                <w:color w:val="auto"/>
                <w:w w:val="88"/>
              </w:rPr>
              <w:t>Debt Securities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Securities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5"/>
              </w:rPr>
              <w:t>Securities</w:t>
            </w: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Affiliate</w:t>
            </w:r>
          </w:p>
        </w:tc>
        <w:tc>
          <w:tcPr>
            <w:tcW w:w="20" w:type="dxa"/>
            <w:vAlign w:val="bottom"/>
          </w:tcPr>
          <w:p>
            <w:pPr>
              <w:spacing w:after="0"/>
              <w:rPr>
                <w:sz w:val="20"/>
                <w:szCs w:val="20"/>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171,018,343</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77,514,902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8,119,681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72,326,000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$ 328,978,926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Arial" w:cs="Arial" w:eastAsia="Arial" w:hAnsi="Arial"/>
                <w:sz w:val="18"/>
                <w:szCs w:val="18"/>
                <w:color w:val="auto"/>
              </w:rPr>
              <w:t>Transfers out of Level III</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3"/>
          </w:tcPr>
          <w:p>
            <w:pPr>
              <w:jc w:val="right"/>
              <w:spacing w:after="0" w:line="256" w:lineRule="exact"/>
              <w:rPr>
                <w:sz w:val="20"/>
                <w:szCs w:val="20"/>
                <w:color w:val="auto"/>
              </w:rPr>
            </w:pPr>
            <w:r>
              <w:rPr>
                <w:rFonts w:ascii="Arial" w:cs="Arial" w:eastAsia="Arial" w:hAnsi="Arial"/>
                <w:sz w:val="18"/>
                <w:szCs w:val="18"/>
                <w:color w:val="auto"/>
                <w:w w:val="96"/>
              </w:rPr>
              <w:t xml:space="preserve">(30,472,595) </w:t>
            </w:r>
            <w:r>
              <w:rPr>
                <w:rFonts w:ascii="Arial" w:cs="Arial" w:eastAsia="Arial" w:hAnsi="Arial"/>
                <w:sz w:val="29"/>
                <w:szCs w:val="29"/>
                <w:color w:val="auto"/>
                <w:w w:val="96"/>
                <w:vertAlign w:val="superscript"/>
              </w:rPr>
              <w:t>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(30,472,595)</w:t>
            </w: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Level III</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34,013,134</w:t>
            </w: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5"/>
              </w:rPr>
              <w:t>2</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34,013,134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Net accretion (amortization)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300,255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(9,507,048)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(9,206,793)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11,952,000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12,942,000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Sales/Paydowns/Return of Capital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(3,872,700)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(317,340)</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(3,701,446)</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(7,891,486)</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99,145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(6,246,883)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(6,144,723)</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Total unrealized gain (loss) included in earnings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7,452,183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(13,967,889)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1,297,647</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(11,243,554)</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(16,461,613)</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183,400,465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55,872,382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9,103,003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$ 305,756,850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line="195" w:lineRule="exact"/>
              <w:rPr>
                <w:sz w:val="20"/>
                <w:szCs w:val="20"/>
                <w:color w:val="auto"/>
              </w:rPr>
            </w:pPr>
            <w:r>
              <w:rPr>
                <w:rFonts w:ascii="Arial" w:cs="Arial" w:eastAsia="Arial" w:hAnsi="Arial"/>
                <w:sz w:val="18"/>
                <w:szCs w:val="18"/>
                <w:color w:val="auto"/>
                <w:w w:val="90"/>
              </w:rPr>
              <w:t>Changes in unrealized gains (losses) included in earnings related to</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920" w:type="dxa"/>
            <w:vAlign w:val="bottom"/>
          </w:tcPr>
          <w:p>
            <w:pPr>
              <w:spacing w:after="0"/>
              <w:rPr>
                <w:sz w:val="20"/>
                <w:szCs w:val="20"/>
                <w:color w:val="auto"/>
              </w:rPr>
            </w:pPr>
            <w:r>
              <w:rPr>
                <w:rFonts w:ascii="Arial" w:cs="Arial" w:eastAsia="Arial" w:hAnsi="Arial"/>
                <w:sz w:val="18"/>
                <w:szCs w:val="18"/>
                <w:color w:val="auto"/>
              </w:rPr>
              <w:t>investments still held at reporting date</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5"/>
              <w:spacing w:after="0"/>
              <w:rPr>
                <w:sz w:val="20"/>
                <w:szCs w:val="20"/>
                <w:color w:val="auto"/>
              </w:rPr>
            </w:pPr>
            <w:r>
              <w:rPr>
                <w:rFonts w:ascii="Arial" w:cs="Arial" w:eastAsia="Arial" w:hAnsi="Arial"/>
                <w:sz w:val="18"/>
                <w:szCs w:val="18"/>
                <w:color w:val="auto"/>
              </w:rPr>
              <w:t>(7,109,531)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(20,760,499)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1,297,647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(11,243,554)</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w w:val="90"/>
              </w:rPr>
              <w:t>$ (23,254,223)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¹Transfers out of Level III represent a transfer of $30,472,595 relating to debt securities for which pricing inputs, other than their quoted prices in active markets were observable as of December 31, 2015.</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²Transfers into Level III represent a transfer of $34,013,134 relating to debt securities for which pricing inputs, other than their quoted prices in active markets were unobservable as of December 31, 2015.</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June 30, 2016,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$111,641,221 as of June 30, 2016.</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2016,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Type</w:t>
            </w: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w w:val="97"/>
              </w:rPr>
              <w:t>Fair Value</w:t>
            </w:r>
          </w:p>
        </w:tc>
        <w:tc>
          <w:tcPr>
            <w:tcW w:w="17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Primary Valuation</w:t>
            </w:r>
          </w:p>
        </w:tc>
        <w:tc>
          <w:tcPr>
            <w:tcW w:w="3700" w:type="dxa"/>
            <w:vAlign w:val="bottom"/>
            <w:tcBorders>
              <w:top w:val="single" w:sz="8" w:color="auto"/>
              <w:right w:val="single" w:sz="8" w:color="auto"/>
            </w:tcBorders>
          </w:tcPr>
          <w:p>
            <w:pPr>
              <w:ind w:left="1300"/>
              <w:spacing w:after="0"/>
              <w:rPr>
                <w:sz w:val="20"/>
                <w:szCs w:val="20"/>
                <w:color w:val="auto"/>
              </w:rPr>
            </w:pPr>
            <w:r>
              <w:rPr>
                <w:rFonts w:ascii="Arial" w:cs="Arial" w:eastAsia="Arial" w:hAnsi="Arial"/>
                <w:sz w:val="18"/>
                <w:szCs w:val="18"/>
                <w:b w:val="1"/>
                <w:bCs w:val="1"/>
                <w:color w:val="auto"/>
              </w:rPr>
              <w:t>Unobservable</w:t>
            </w:r>
          </w:p>
        </w:tc>
        <w:tc>
          <w:tcPr>
            <w:tcW w:w="440" w:type="dxa"/>
            <w:vAlign w:val="bottom"/>
            <w:tcBorders>
              <w:top w:val="single" w:sz="8" w:color="auto"/>
            </w:tcBorders>
          </w:tcPr>
          <w:p>
            <w:pPr>
              <w:spacing w:after="0"/>
              <w:rPr>
                <w:sz w:val="18"/>
                <w:szCs w:val="18"/>
                <w:color w:val="auto"/>
              </w:rPr>
            </w:pPr>
          </w:p>
        </w:tc>
        <w:tc>
          <w:tcPr>
            <w:tcW w:w="18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Range of Inputs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260" w:type="dxa"/>
            <w:vAlign w:val="bottom"/>
            <w:tcBorders>
              <w:left w:val="single" w:sz="8" w:color="auto"/>
              <w:right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restart"/>
          </w:tcPr>
          <w:p>
            <w:pPr>
              <w:ind w:left="340"/>
              <w:spacing w:after="0"/>
              <w:rPr>
                <w:sz w:val="20"/>
                <w:szCs w:val="20"/>
                <w:color w:val="auto"/>
              </w:rPr>
            </w:pPr>
            <w:r>
              <w:rPr>
                <w:rFonts w:ascii="Arial" w:cs="Arial" w:eastAsia="Arial" w:hAnsi="Arial"/>
                <w:sz w:val="18"/>
                <w:szCs w:val="18"/>
                <w:b w:val="1"/>
                <w:bCs w:val="1"/>
                <w:color w:val="auto"/>
              </w:rPr>
              <w:t>Methodology</w:t>
            </w:r>
          </w:p>
        </w:tc>
        <w:tc>
          <w:tcPr>
            <w:tcW w:w="3700" w:type="dxa"/>
            <w:vAlign w:val="bottom"/>
            <w:tcBorders>
              <w:right w:val="single" w:sz="8" w:color="auto"/>
            </w:tcBorders>
            <w:vMerge w:val="restart"/>
          </w:tcPr>
          <w:p>
            <w:pPr>
              <w:ind w:left="1580"/>
              <w:spacing w:after="0"/>
              <w:rPr>
                <w:sz w:val="20"/>
                <w:szCs w:val="20"/>
                <w:color w:val="auto"/>
              </w:rPr>
            </w:pPr>
            <w:r>
              <w:rPr>
                <w:rFonts w:ascii="Arial" w:cs="Arial" w:eastAsia="Arial" w:hAnsi="Arial"/>
                <w:sz w:val="18"/>
                <w:szCs w:val="18"/>
                <w:b w:val="1"/>
                <w:bCs w:val="1"/>
                <w:color w:val="auto"/>
              </w:rPr>
              <w:t>Inputs</w:t>
            </w:r>
          </w:p>
        </w:tc>
        <w:tc>
          <w:tcPr>
            <w:tcW w:w="2260" w:type="dxa"/>
            <w:vAlign w:val="bottom"/>
            <w:tcBorders>
              <w:right w:val="single" w:sz="8" w:color="auto"/>
            </w:tcBorders>
            <w:gridSpan w:val="2"/>
            <w:vMerge w:val="restart"/>
          </w:tcPr>
          <w:p>
            <w:pPr>
              <w:ind w:left="360"/>
              <w:spacing w:after="0"/>
              <w:rPr>
                <w:sz w:val="20"/>
                <w:szCs w:val="20"/>
                <w:color w:val="auto"/>
              </w:rPr>
            </w:pPr>
            <w:r>
              <w:rPr>
                <w:rFonts w:ascii="Arial" w:cs="Arial" w:eastAsia="Arial" w:hAnsi="Arial"/>
                <w:sz w:val="18"/>
                <w:szCs w:val="18"/>
                <w:b w:val="1"/>
                <w:bCs w:val="1"/>
                <w:color w:val="auto"/>
              </w:rPr>
              <w:t>(Weighted Average)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vMerge w:val="continue"/>
          </w:tcPr>
          <w:p>
            <w:pPr>
              <w:spacing w:after="0"/>
              <w:rPr>
                <w:sz w:val="9"/>
                <w:szCs w:val="9"/>
                <w:color w:val="auto"/>
              </w:rPr>
            </w:pPr>
          </w:p>
        </w:tc>
        <w:tc>
          <w:tcPr>
            <w:tcW w:w="3700" w:type="dxa"/>
            <w:vAlign w:val="bottom"/>
            <w:tcBorders>
              <w:bottom w:val="single" w:sz="8" w:color="auto"/>
              <w:right w:val="single" w:sz="8" w:color="auto"/>
            </w:tcBorders>
            <w:vMerge w:val="continue"/>
          </w:tcPr>
          <w:p>
            <w:pPr>
              <w:spacing w:after="0"/>
              <w:rPr>
                <w:sz w:val="9"/>
                <w:szCs w:val="9"/>
                <w:color w:val="auto"/>
              </w:rPr>
            </w:pPr>
          </w:p>
        </w:tc>
        <w:tc>
          <w:tcPr>
            <w:tcW w:w="2260" w:type="dxa"/>
            <w:vAlign w:val="bottom"/>
            <w:tcBorders>
              <w:bottom w:val="single" w:sz="8" w:color="auto"/>
              <w:right w:val="single" w:sz="8" w:color="auto"/>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1,564,800</w:t>
            </w:r>
          </w:p>
        </w:tc>
        <w:tc>
          <w:tcPr>
            <w:tcW w:w="1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Enterprise Value</w:t>
            </w:r>
          </w:p>
        </w:tc>
        <w:tc>
          <w:tcPr>
            <w:tcW w:w="3700" w:type="dxa"/>
            <w:vAlign w:val="bottom"/>
            <w:tcBorders>
              <w:bottom w:val="single" w:sz="8" w:color="808080"/>
              <w:right w:val="single" w:sz="8" w:color="auto"/>
            </w:tcBorders>
          </w:tcPr>
          <w:p>
            <w:pPr>
              <w:ind w:left="60"/>
              <w:spacing w:after="0"/>
              <w:rPr>
                <w:sz w:val="20"/>
                <w:szCs w:val="20"/>
                <w:color w:val="auto"/>
              </w:rPr>
            </w:pPr>
            <w:r>
              <w:rPr>
                <w:rFonts w:ascii="Arial" w:cs="Arial" w:eastAsia="Arial" w:hAnsi="Arial"/>
                <w:sz w:val="18"/>
                <w:szCs w:val="18"/>
                <w:color w:val="auto"/>
              </w:rPr>
              <w:t>Average EBITDA Multiple</w:t>
            </w:r>
          </w:p>
        </w:tc>
        <w:tc>
          <w:tcPr>
            <w:tcW w:w="440" w:type="dxa"/>
            <w:vAlign w:val="bottom"/>
            <w:tcBorders>
              <w:bottom w:val="single" w:sz="8" w:color="808080"/>
            </w:tcBorders>
          </w:tcPr>
          <w:p>
            <w:pPr>
              <w:ind w:left="40"/>
              <w:spacing w:after="0"/>
              <w:rPr>
                <w:sz w:val="20"/>
                <w:szCs w:val="20"/>
                <w:color w:val="auto"/>
              </w:rPr>
            </w:pPr>
            <w:r>
              <w:rPr>
                <w:rFonts w:ascii="Arial" w:cs="Arial" w:eastAsia="Arial" w:hAnsi="Arial"/>
                <w:sz w:val="18"/>
                <w:szCs w:val="18"/>
                <w:color w:val="auto"/>
              </w:rPr>
              <w:t>7.2x</w:t>
            </w:r>
          </w:p>
        </w:tc>
        <w:tc>
          <w:tcPr>
            <w:tcW w:w="1820" w:type="dxa"/>
            <w:vAlign w:val="bottom"/>
            <w:tcBorders>
              <w:bottom w:val="single" w:sz="8" w:color="808080"/>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Debt Securities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164,641,905</w:t>
            </w:r>
          </w:p>
        </w:tc>
        <w:tc>
          <w:tcPr>
            <w:tcW w:w="1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Income Approach</w:t>
            </w:r>
          </w:p>
        </w:tc>
        <w:tc>
          <w:tcPr>
            <w:tcW w:w="3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Implied Discount Rate</w:t>
            </w: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2"/>
              </w:rPr>
              <w:t>3.1%</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- 31.9% (9.5%)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Options Value</w:t>
            </w:r>
          </w:p>
        </w:tc>
        <w:tc>
          <w:tcPr>
            <w:tcW w:w="3700" w:type="dxa"/>
            <w:vAlign w:val="bottom"/>
            <w:tcBorders>
              <w:bottom w:val="single" w:sz="8" w:color="auto"/>
              <w:right w:val="single" w:sz="8" w:color="auto"/>
            </w:tcBorders>
          </w:tcPr>
          <w:p>
            <w:pPr>
              <w:ind w:left="6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440" w:type="dxa"/>
            <w:vAlign w:val="bottom"/>
            <w:tcBorders>
              <w:bottom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Equity Securities</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3,508,136</w:t>
            </w:r>
          </w:p>
        </w:tc>
        <w:tc>
          <w:tcPr>
            <w:tcW w:w="1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Enterprise Value</w:t>
            </w:r>
          </w:p>
        </w:tc>
        <w:tc>
          <w:tcPr>
            <w:tcW w:w="3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Average EBITDA Multiple/WAAC</w:t>
            </w:r>
          </w:p>
        </w:tc>
        <w:tc>
          <w:tcPr>
            <w:tcW w:w="226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4.6x/7.0% - 13.9x/11.9%</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370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(8.9x/10.0%)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2260" w:type="dxa"/>
            <w:vAlign w:val="bottom"/>
            <w:tcBorders>
              <w:bottom w:val="single" w:sz="8" w:color="auto"/>
              <w:right w:val="single" w:sz="8" w:color="auto"/>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Options Value</w:t>
            </w:r>
          </w:p>
        </w:tc>
        <w:tc>
          <w:tcPr>
            <w:tcW w:w="3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Qualitative Inputs</w:t>
            </w: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Discount Rate</w:t>
            </w:r>
          </w:p>
        </w:tc>
        <w:tc>
          <w:tcPr>
            <w:tcW w:w="22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13.9% - 16.0% (15.9%)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46,180,067</w:t>
            </w:r>
          </w:p>
        </w:tc>
        <w:tc>
          <w:tcPr>
            <w:tcW w:w="1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Discounted Cash</w:t>
            </w:r>
          </w:p>
        </w:tc>
        <w:tc>
          <w:tcPr>
            <w:tcW w:w="3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Probability of Default</w:t>
            </w: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2"/>
              </w:rPr>
              <w:t>2.0%</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- 2.5% (2.1%)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260" w:type="dxa"/>
            <w:vAlign w:val="bottom"/>
            <w:tcBorders>
              <w:left w:val="single" w:sz="8" w:color="auto"/>
              <w:right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140" w:type="dxa"/>
            <w:vAlign w:val="bottom"/>
            <w:tcBorders>
              <w:right w:val="single" w:sz="8" w:color="auto"/>
            </w:tcBorders>
            <w:vMerge w:val="continue"/>
          </w:tcPr>
          <w:p>
            <w:pPr>
              <w:spacing w:after="0"/>
              <w:rPr>
                <w:sz w:val="13"/>
                <w:szCs w:val="13"/>
                <w:color w:val="auto"/>
              </w:rPr>
            </w:pPr>
          </w:p>
        </w:tc>
        <w:tc>
          <w:tcPr>
            <w:tcW w:w="1700" w:type="dxa"/>
            <w:vAlign w:val="bottom"/>
            <w:tcBorders>
              <w:right w:val="single" w:sz="8" w:color="auto"/>
            </w:tcBorders>
            <w:vMerge w:val="continue"/>
          </w:tcPr>
          <w:p>
            <w:pPr>
              <w:spacing w:after="0"/>
              <w:rPr>
                <w:sz w:val="13"/>
                <w:szCs w:val="13"/>
                <w:color w:val="auto"/>
              </w:rPr>
            </w:pPr>
          </w:p>
        </w:tc>
        <w:tc>
          <w:tcPr>
            <w:tcW w:w="37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Loss Severity</w:t>
            </w:r>
          </w:p>
        </w:tc>
        <w:tc>
          <w:tcPr>
            <w:tcW w:w="2260" w:type="dxa"/>
            <w:vAlign w:val="bottom"/>
            <w:tcBorders>
              <w:right w:val="single" w:sz="8" w:color="auto"/>
            </w:tcBorders>
            <w:gridSpan w:val="2"/>
          </w:tcPr>
          <w:p>
            <w:pPr>
              <w:ind w:left="40"/>
              <w:spacing w:after="0" w:line="156" w:lineRule="exact"/>
              <w:rPr>
                <w:sz w:val="20"/>
                <w:szCs w:val="20"/>
                <w:color w:val="auto"/>
              </w:rPr>
            </w:pPr>
            <w:r>
              <w:rPr>
                <w:rFonts w:ascii="Arial" w:cs="Arial" w:eastAsia="Arial" w:hAnsi="Arial"/>
                <w:sz w:val="18"/>
                <w:szCs w:val="18"/>
                <w:color w:val="auto"/>
              </w:rPr>
              <w:t>25.0% - 25.9% (25.8%)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Flow</w:t>
            </w:r>
          </w:p>
        </w:tc>
        <w:tc>
          <w:tcPr>
            <w:tcW w:w="370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26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vMerge w:val="continue"/>
          </w:tcPr>
          <w:p>
            <w:pPr>
              <w:spacing w:after="0"/>
              <w:rPr>
                <w:sz w:val="13"/>
                <w:szCs w:val="13"/>
                <w:color w:val="auto"/>
              </w:rPr>
            </w:pPr>
          </w:p>
        </w:tc>
        <w:tc>
          <w:tcPr>
            <w:tcW w:w="3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Recovery Rate</w:t>
            </w:r>
          </w:p>
        </w:tc>
        <w:tc>
          <w:tcPr>
            <w:tcW w:w="22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74.1% - 75.0% (74.2%)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2260" w:type="dxa"/>
            <w:vAlign w:val="bottom"/>
            <w:tcBorders>
              <w:left w:val="single" w:sz="8" w:color="auto"/>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3700" w:type="dxa"/>
            <w:vAlign w:val="bottom"/>
            <w:tcBorders>
              <w:bottom w:val="single" w:sz="8" w:color="auto"/>
              <w:right w:val="single" w:sz="8" w:color="auto"/>
            </w:tcBorders>
            <w:vMerge w:val="continue"/>
          </w:tcPr>
          <w:p>
            <w:pPr>
              <w:spacing w:after="0"/>
              <w:rPr>
                <w:sz w:val="4"/>
                <w:szCs w:val="4"/>
                <w:color w:val="auto"/>
              </w:rPr>
            </w:pPr>
          </w:p>
        </w:tc>
        <w:tc>
          <w:tcPr>
            <w:tcW w:w="2260" w:type="dxa"/>
            <w:vAlign w:val="bottom"/>
            <w:tcBorders>
              <w:bottom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Prepayment Rate</w:t>
            </w: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2"/>
              </w:rPr>
              <w:t>7.8%</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- 31.9% (25.2%)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Asset Manager Affiliate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45,288,000</w:t>
            </w:r>
          </w:p>
        </w:tc>
        <w:tc>
          <w:tcPr>
            <w:tcW w:w="1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Discounted Cash</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Discount Rate</w:t>
            </w:r>
          </w:p>
        </w:tc>
        <w:tc>
          <w:tcPr>
            <w:tcW w:w="440" w:type="dxa"/>
            <w:vAlign w:val="bottom"/>
          </w:tcPr>
          <w:p>
            <w:pPr>
              <w:ind w:left="40"/>
              <w:spacing w:after="0"/>
              <w:rPr>
                <w:sz w:val="20"/>
                <w:szCs w:val="20"/>
                <w:color w:val="auto"/>
              </w:rPr>
            </w:pPr>
            <w:r>
              <w:rPr>
                <w:rFonts w:ascii="Arial" w:cs="Arial" w:eastAsia="Arial" w:hAnsi="Arial"/>
                <w:sz w:val="18"/>
                <w:szCs w:val="18"/>
                <w:color w:val="auto"/>
                <w:w w:val="92"/>
              </w:rPr>
              <w:t>2.1%</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- 16.0% (9.1%)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260" w:type="dxa"/>
            <w:vAlign w:val="bottom"/>
            <w:tcBorders>
              <w:left w:val="single" w:sz="8" w:color="auto"/>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Flow</w:t>
            </w:r>
          </w:p>
        </w:tc>
        <w:tc>
          <w:tcPr>
            <w:tcW w:w="370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 Level III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261,188,898</w:t>
            </w:r>
          </w:p>
        </w:tc>
        <w:tc>
          <w:tcPr>
            <w:tcW w:w="1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60" w:firstLine="8"/>
        <w:spacing w:after="0" w:line="277" w:lineRule="auto"/>
        <w:tabs>
          <w:tab w:leader="none" w:pos="9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0" w:name="page51"/>
    <w:bookmarkEnd w:id="50"/>
    <w:p>
      <w:pPr>
        <w:ind w:left="340"/>
        <w:spacing w:after="0"/>
        <w:rPr>
          <w:sz w:val="20"/>
          <w:szCs w:val="20"/>
          <w:color w:val="auto"/>
        </w:rPr>
      </w:pPr>
      <w:r>
        <w:rPr>
          <w:rFonts w:ascii="Arial" w:cs="Arial" w:eastAsia="Arial" w:hAnsi="Arial"/>
          <w:sz w:val="18"/>
          <w:szCs w:val="18"/>
          <w:color w:val="auto"/>
        </w:rPr>
        <w:t>As of December 31, 2015,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Type</w:t>
            </w: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w w:val="97"/>
              </w:rPr>
              <w:t>Fair Value</w:t>
            </w:r>
          </w:p>
        </w:tc>
        <w:tc>
          <w:tcPr>
            <w:tcW w:w="17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Primary Valuation</w:t>
            </w:r>
          </w:p>
        </w:tc>
        <w:tc>
          <w:tcPr>
            <w:tcW w:w="3700" w:type="dxa"/>
            <w:vAlign w:val="bottom"/>
            <w:tcBorders>
              <w:top w:val="single" w:sz="8" w:color="auto"/>
              <w:right w:val="single" w:sz="8" w:color="auto"/>
            </w:tcBorders>
          </w:tcPr>
          <w:p>
            <w:pPr>
              <w:ind w:left="1300"/>
              <w:spacing w:after="0"/>
              <w:rPr>
                <w:sz w:val="20"/>
                <w:szCs w:val="20"/>
                <w:color w:val="auto"/>
              </w:rPr>
            </w:pPr>
            <w:r>
              <w:rPr>
                <w:rFonts w:ascii="Arial" w:cs="Arial" w:eastAsia="Arial" w:hAnsi="Arial"/>
                <w:sz w:val="18"/>
                <w:szCs w:val="18"/>
                <w:b w:val="1"/>
                <w:bCs w:val="1"/>
                <w:color w:val="auto"/>
              </w:rPr>
              <w:t>Unobservable</w:t>
            </w:r>
          </w:p>
        </w:tc>
        <w:tc>
          <w:tcPr>
            <w:tcW w:w="440" w:type="dxa"/>
            <w:vAlign w:val="bottom"/>
            <w:tcBorders>
              <w:top w:val="single" w:sz="8" w:color="auto"/>
            </w:tcBorders>
          </w:tcPr>
          <w:p>
            <w:pPr>
              <w:spacing w:after="0"/>
              <w:rPr>
                <w:sz w:val="18"/>
                <w:szCs w:val="18"/>
                <w:color w:val="auto"/>
              </w:rPr>
            </w:pPr>
          </w:p>
        </w:tc>
        <w:tc>
          <w:tcPr>
            <w:tcW w:w="18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Range of Inputs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260" w:type="dxa"/>
            <w:vAlign w:val="bottom"/>
            <w:tcBorders>
              <w:left w:val="single" w:sz="8" w:color="auto"/>
              <w:right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restart"/>
          </w:tcPr>
          <w:p>
            <w:pPr>
              <w:ind w:left="340"/>
              <w:spacing w:after="0"/>
              <w:rPr>
                <w:sz w:val="20"/>
                <w:szCs w:val="20"/>
                <w:color w:val="auto"/>
              </w:rPr>
            </w:pPr>
            <w:r>
              <w:rPr>
                <w:rFonts w:ascii="Arial" w:cs="Arial" w:eastAsia="Arial" w:hAnsi="Arial"/>
                <w:sz w:val="18"/>
                <w:szCs w:val="18"/>
                <w:b w:val="1"/>
                <w:bCs w:val="1"/>
                <w:color w:val="auto"/>
              </w:rPr>
              <w:t>Methodology</w:t>
            </w:r>
          </w:p>
        </w:tc>
        <w:tc>
          <w:tcPr>
            <w:tcW w:w="3700" w:type="dxa"/>
            <w:vAlign w:val="bottom"/>
            <w:tcBorders>
              <w:right w:val="single" w:sz="8" w:color="auto"/>
            </w:tcBorders>
            <w:vMerge w:val="restart"/>
          </w:tcPr>
          <w:p>
            <w:pPr>
              <w:ind w:left="1580"/>
              <w:spacing w:after="0"/>
              <w:rPr>
                <w:sz w:val="20"/>
                <w:szCs w:val="20"/>
                <w:color w:val="auto"/>
              </w:rPr>
            </w:pPr>
            <w:r>
              <w:rPr>
                <w:rFonts w:ascii="Arial" w:cs="Arial" w:eastAsia="Arial" w:hAnsi="Arial"/>
                <w:sz w:val="18"/>
                <w:szCs w:val="18"/>
                <w:b w:val="1"/>
                <w:bCs w:val="1"/>
                <w:color w:val="auto"/>
              </w:rPr>
              <w:t>Inputs</w:t>
            </w:r>
          </w:p>
        </w:tc>
        <w:tc>
          <w:tcPr>
            <w:tcW w:w="2260" w:type="dxa"/>
            <w:vAlign w:val="bottom"/>
            <w:tcBorders>
              <w:right w:val="single" w:sz="8" w:color="auto"/>
            </w:tcBorders>
            <w:gridSpan w:val="2"/>
            <w:vMerge w:val="restart"/>
          </w:tcPr>
          <w:p>
            <w:pPr>
              <w:ind w:left="360"/>
              <w:spacing w:after="0"/>
              <w:rPr>
                <w:sz w:val="20"/>
                <w:szCs w:val="20"/>
                <w:color w:val="auto"/>
              </w:rPr>
            </w:pPr>
            <w:r>
              <w:rPr>
                <w:rFonts w:ascii="Arial" w:cs="Arial" w:eastAsia="Arial" w:hAnsi="Arial"/>
                <w:sz w:val="18"/>
                <w:szCs w:val="18"/>
                <w:b w:val="1"/>
                <w:bCs w:val="1"/>
                <w:color w:val="auto"/>
              </w:rPr>
              <w:t>(Weighted Average)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bottom w:val="single" w:sz="8" w:color="auto"/>
              <w:right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vMerge w:val="continue"/>
          </w:tcPr>
          <w:p>
            <w:pPr>
              <w:spacing w:after="0"/>
              <w:rPr>
                <w:sz w:val="9"/>
                <w:szCs w:val="9"/>
                <w:color w:val="auto"/>
              </w:rPr>
            </w:pPr>
          </w:p>
        </w:tc>
        <w:tc>
          <w:tcPr>
            <w:tcW w:w="3700" w:type="dxa"/>
            <w:vAlign w:val="bottom"/>
            <w:tcBorders>
              <w:bottom w:val="single" w:sz="8" w:color="auto"/>
              <w:right w:val="single" w:sz="8" w:color="auto"/>
            </w:tcBorders>
            <w:vMerge w:val="continue"/>
          </w:tcPr>
          <w:p>
            <w:pPr>
              <w:spacing w:after="0"/>
              <w:rPr>
                <w:sz w:val="9"/>
                <w:szCs w:val="9"/>
                <w:color w:val="auto"/>
              </w:rPr>
            </w:pPr>
          </w:p>
        </w:tc>
        <w:tc>
          <w:tcPr>
            <w:tcW w:w="2260" w:type="dxa"/>
            <w:vAlign w:val="bottom"/>
            <w:tcBorders>
              <w:bottom w:val="single" w:sz="8" w:color="auto"/>
              <w:right w:val="single" w:sz="8" w:color="auto"/>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2,216,700</w:t>
            </w:r>
          </w:p>
        </w:tc>
        <w:tc>
          <w:tcPr>
            <w:tcW w:w="1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Enterprise Value</w:t>
            </w:r>
          </w:p>
        </w:tc>
        <w:tc>
          <w:tcPr>
            <w:tcW w:w="3700" w:type="dxa"/>
            <w:vAlign w:val="bottom"/>
            <w:tcBorders>
              <w:bottom w:val="single" w:sz="8" w:color="808080"/>
              <w:right w:val="single" w:sz="8" w:color="auto"/>
            </w:tcBorders>
          </w:tcPr>
          <w:p>
            <w:pPr>
              <w:ind w:left="60"/>
              <w:spacing w:after="0"/>
              <w:rPr>
                <w:sz w:val="20"/>
                <w:szCs w:val="20"/>
                <w:color w:val="auto"/>
              </w:rPr>
            </w:pPr>
            <w:r>
              <w:rPr>
                <w:rFonts w:ascii="Arial" w:cs="Arial" w:eastAsia="Arial" w:hAnsi="Arial"/>
                <w:sz w:val="18"/>
                <w:szCs w:val="18"/>
                <w:color w:val="auto"/>
              </w:rPr>
              <w:t>Average EBITDA Multiple</w:t>
            </w:r>
          </w:p>
        </w:tc>
        <w:tc>
          <w:tcPr>
            <w:tcW w:w="440" w:type="dxa"/>
            <w:vAlign w:val="bottom"/>
            <w:tcBorders>
              <w:bottom w:val="single" w:sz="8" w:color="808080"/>
            </w:tcBorders>
          </w:tcPr>
          <w:p>
            <w:pPr>
              <w:ind w:left="40"/>
              <w:spacing w:after="0"/>
              <w:rPr>
                <w:sz w:val="20"/>
                <w:szCs w:val="20"/>
                <w:color w:val="auto"/>
              </w:rPr>
            </w:pPr>
            <w:r>
              <w:rPr>
                <w:rFonts w:ascii="Arial" w:cs="Arial" w:eastAsia="Arial" w:hAnsi="Arial"/>
                <w:sz w:val="18"/>
                <w:szCs w:val="18"/>
                <w:color w:val="auto"/>
              </w:rPr>
              <w:t>7.2x</w:t>
            </w:r>
          </w:p>
        </w:tc>
        <w:tc>
          <w:tcPr>
            <w:tcW w:w="1820" w:type="dxa"/>
            <w:vAlign w:val="bottom"/>
            <w:tcBorders>
              <w:bottom w:val="single" w:sz="8" w:color="808080"/>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Debt Securities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181,182,774</w:t>
            </w:r>
          </w:p>
        </w:tc>
        <w:tc>
          <w:tcPr>
            <w:tcW w:w="1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Income Approach</w:t>
            </w:r>
          </w:p>
        </w:tc>
        <w:tc>
          <w:tcPr>
            <w:tcW w:w="3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Implied Discount Rate</w:t>
            </w: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2"/>
              </w:rPr>
              <w:t>4.9%</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- 27.1% (10.46%)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260" w:type="dxa"/>
            <w:vAlign w:val="bottom"/>
            <w:tcBorders>
              <w:left w:val="single" w:sz="8" w:color="auto"/>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Options Value</w:t>
            </w:r>
          </w:p>
        </w:tc>
        <w:tc>
          <w:tcPr>
            <w:tcW w:w="3700" w:type="dxa"/>
            <w:vAlign w:val="bottom"/>
            <w:tcBorders>
              <w:bottom w:val="single" w:sz="8" w:color="auto"/>
              <w:right w:val="single" w:sz="8" w:color="auto"/>
            </w:tcBorders>
          </w:tcPr>
          <w:p>
            <w:pPr>
              <w:ind w:left="6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440" w:type="dxa"/>
            <w:vAlign w:val="bottom"/>
            <w:tcBorders>
              <w:bottom w:val="single" w:sz="8" w:color="auto"/>
            </w:tcBorders>
          </w:tcPr>
          <w:p>
            <w:pPr>
              <w:spacing w:after="0"/>
              <w:rPr>
                <w:sz w:val="21"/>
                <w:szCs w:val="21"/>
                <w:color w:val="auto"/>
              </w:rPr>
            </w:pPr>
          </w:p>
        </w:tc>
        <w:tc>
          <w:tcPr>
            <w:tcW w:w="1820" w:type="dxa"/>
            <w:vAlign w:val="bottom"/>
            <w:tcBorders>
              <w:bottom w:val="single" w:sz="8" w:color="auto"/>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Equity Securities</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9,100,103</w:t>
            </w:r>
          </w:p>
        </w:tc>
        <w:tc>
          <w:tcPr>
            <w:tcW w:w="1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Enterprise Value</w:t>
            </w:r>
          </w:p>
        </w:tc>
        <w:tc>
          <w:tcPr>
            <w:tcW w:w="3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Average EBITDA Multiple/WAAC</w:t>
            </w:r>
          </w:p>
        </w:tc>
        <w:tc>
          <w:tcPr>
            <w:tcW w:w="226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4.8x/6.9% - 12.9x/13.4%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3700" w:type="dxa"/>
            <w:vAlign w:val="bottom"/>
            <w:tcBorders>
              <w:right w:val="single" w:sz="8" w:color="auto"/>
            </w:tcBorders>
            <w:vMerge w:val="continue"/>
          </w:tcPr>
          <w:p>
            <w:pPr>
              <w:spacing w:after="0"/>
              <w:rPr>
                <w:sz w:val="10"/>
                <w:szCs w:val="10"/>
                <w:color w:val="auto"/>
              </w:rPr>
            </w:pPr>
          </w:p>
        </w:tc>
        <w:tc>
          <w:tcPr>
            <w:tcW w:w="22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(6.8x/12.0%)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2260" w:type="dxa"/>
            <w:vAlign w:val="bottom"/>
            <w:tcBorders>
              <w:bottom w:val="single" w:sz="8" w:color="auto"/>
              <w:right w:val="single" w:sz="8" w:color="auto"/>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Options Value</w:t>
            </w:r>
          </w:p>
        </w:tc>
        <w:tc>
          <w:tcPr>
            <w:tcW w:w="3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Qualitative Inputs</w:t>
            </w: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Discount Rate</w:t>
            </w:r>
          </w:p>
        </w:tc>
        <w:tc>
          <w:tcPr>
            <w:tcW w:w="22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11.3% - 15.0% (14.9%)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55,872,382</w:t>
            </w:r>
          </w:p>
        </w:tc>
        <w:tc>
          <w:tcPr>
            <w:tcW w:w="1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Discounted Cash</w:t>
            </w:r>
          </w:p>
        </w:tc>
        <w:tc>
          <w:tcPr>
            <w:tcW w:w="3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Probability of Default</w:t>
            </w: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2"/>
              </w:rPr>
              <w:t>2.0%</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- 2.5% (2.1%)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260" w:type="dxa"/>
            <w:vAlign w:val="bottom"/>
            <w:tcBorders>
              <w:left w:val="single" w:sz="8" w:color="auto"/>
              <w:right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140" w:type="dxa"/>
            <w:vAlign w:val="bottom"/>
            <w:tcBorders>
              <w:right w:val="single" w:sz="8" w:color="auto"/>
            </w:tcBorders>
            <w:vMerge w:val="continue"/>
          </w:tcPr>
          <w:p>
            <w:pPr>
              <w:spacing w:after="0"/>
              <w:rPr>
                <w:sz w:val="13"/>
                <w:szCs w:val="13"/>
                <w:color w:val="auto"/>
              </w:rPr>
            </w:pPr>
          </w:p>
        </w:tc>
        <w:tc>
          <w:tcPr>
            <w:tcW w:w="1700" w:type="dxa"/>
            <w:vAlign w:val="bottom"/>
            <w:tcBorders>
              <w:right w:val="single" w:sz="8" w:color="auto"/>
            </w:tcBorders>
            <w:vMerge w:val="continue"/>
          </w:tcPr>
          <w:p>
            <w:pPr>
              <w:spacing w:after="0"/>
              <w:rPr>
                <w:sz w:val="13"/>
                <w:szCs w:val="13"/>
                <w:color w:val="auto"/>
              </w:rPr>
            </w:pPr>
          </w:p>
        </w:tc>
        <w:tc>
          <w:tcPr>
            <w:tcW w:w="3700" w:type="dxa"/>
            <w:vAlign w:val="bottom"/>
            <w:tcBorders>
              <w:right w:val="single" w:sz="8" w:color="auto"/>
            </w:tcBorders>
          </w:tcPr>
          <w:p>
            <w:pPr>
              <w:ind w:left="60"/>
              <w:spacing w:after="0" w:line="156" w:lineRule="exact"/>
              <w:rPr>
                <w:sz w:val="20"/>
                <w:szCs w:val="20"/>
                <w:color w:val="auto"/>
              </w:rPr>
            </w:pPr>
            <w:r>
              <w:rPr>
                <w:rFonts w:ascii="Arial" w:cs="Arial" w:eastAsia="Arial" w:hAnsi="Arial"/>
                <w:sz w:val="18"/>
                <w:szCs w:val="18"/>
                <w:color w:val="auto"/>
              </w:rPr>
              <w:t>Loss Severity</w:t>
            </w:r>
          </w:p>
        </w:tc>
        <w:tc>
          <w:tcPr>
            <w:tcW w:w="2260" w:type="dxa"/>
            <w:vAlign w:val="bottom"/>
            <w:tcBorders>
              <w:right w:val="single" w:sz="8" w:color="auto"/>
            </w:tcBorders>
            <w:gridSpan w:val="2"/>
          </w:tcPr>
          <w:p>
            <w:pPr>
              <w:ind w:left="40"/>
              <w:spacing w:after="0" w:line="156" w:lineRule="exact"/>
              <w:rPr>
                <w:sz w:val="20"/>
                <w:szCs w:val="20"/>
                <w:color w:val="auto"/>
              </w:rPr>
            </w:pPr>
            <w:r>
              <w:rPr>
                <w:rFonts w:ascii="Arial" w:cs="Arial" w:eastAsia="Arial" w:hAnsi="Arial"/>
                <w:sz w:val="18"/>
                <w:szCs w:val="18"/>
                <w:color w:val="auto"/>
              </w:rPr>
              <w:t>25.0% - 25.9% (25.7%)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260" w:type="dxa"/>
            <w:vAlign w:val="bottom"/>
            <w:tcBorders>
              <w:left w:val="single" w:sz="8" w:color="auto"/>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Flow</w:t>
            </w:r>
          </w:p>
        </w:tc>
        <w:tc>
          <w:tcPr>
            <w:tcW w:w="3700" w:type="dxa"/>
            <w:vAlign w:val="bottom"/>
            <w:tcBorders>
              <w:bottom w:val="single" w:sz="8" w:color="auto"/>
              <w:right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260" w:type="dxa"/>
            <w:vAlign w:val="bottom"/>
            <w:tcBorders>
              <w:left w:val="single" w:sz="8" w:color="auto"/>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vMerge w:val="continue"/>
          </w:tcPr>
          <w:p>
            <w:pPr>
              <w:spacing w:after="0"/>
              <w:rPr>
                <w:sz w:val="13"/>
                <w:szCs w:val="13"/>
                <w:color w:val="auto"/>
              </w:rPr>
            </w:pPr>
          </w:p>
        </w:tc>
        <w:tc>
          <w:tcPr>
            <w:tcW w:w="370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Recovery Rate</w:t>
            </w:r>
          </w:p>
        </w:tc>
        <w:tc>
          <w:tcPr>
            <w:tcW w:w="22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74.1% - 75.0% (74.3%)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2260" w:type="dxa"/>
            <w:vAlign w:val="bottom"/>
            <w:tcBorders>
              <w:left w:val="single" w:sz="8" w:color="auto"/>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3700" w:type="dxa"/>
            <w:vAlign w:val="bottom"/>
            <w:tcBorders>
              <w:bottom w:val="single" w:sz="8" w:color="auto"/>
              <w:right w:val="single" w:sz="8" w:color="auto"/>
            </w:tcBorders>
            <w:vMerge w:val="continue"/>
          </w:tcPr>
          <w:p>
            <w:pPr>
              <w:spacing w:after="0"/>
              <w:rPr>
                <w:sz w:val="4"/>
                <w:szCs w:val="4"/>
                <w:color w:val="auto"/>
              </w:rPr>
            </w:pPr>
          </w:p>
        </w:tc>
        <w:tc>
          <w:tcPr>
            <w:tcW w:w="2260" w:type="dxa"/>
            <w:vAlign w:val="bottom"/>
            <w:tcBorders>
              <w:bottom w:val="single" w:sz="8" w:color="auto"/>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Prepayment Rate</w:t>
            </w: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2"/>
              </w:rPr>
              <w:t>7.9%</w:t>
            </w:r>
          </w:p>
        </w:tc>
        <w:tc>
          <w:tcPr>
            <w:tcW w:w="18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- 32.0% (25.3%)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Asset Manager Affiliate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57,381,000</w:t>
            </w:r>
          </w:p>
        </w:tc>
        <w:tc>
          <w:tcPr>
            <w:tcW w:w="1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Discounted Cash</w:t>
            </w:r>
          </w:p>
        </w:tc>
        <w:tc>
          <w:tcPr>
            <w:tcW w:w="370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Discount Rate</w:t>
            </w:r>
          </w:p>
        </w:tc>
        <w:tc>
          <w:tcPr>
            <w:tcW w:w="440" w:type="dxa"/>
            <w:vAlign w:val="bottom"/>
          </w:tcPr>
          <w:p>
            <w:pPr>
              <w:ind w:left="40"/>
              <w:spacing w:after="0"/>
              <w:rPr>
                <w:sz w:val="20"/>
                <w:szCs w:val="20"/>
                <w:color w:val="auto"/>
              </w:rPr>
            </w:pPr>
            <w:r>
              <w:rPr>
                <w:rFonts w:ascii="Arial" w:cs="Arial" w:eastAsia="Arial" w:hAnsi="Arial"/>
                <w:sz w:val="18"/>
                <w:szCs w:val="18"/>
                <w:color w:val="auto"/>
                <w:w w:val="92"/>
              </w:rPr>
              <w:t>2.4%</w:t>
            </w:r>
          </w:p>
        </w:tc>
        <w:tc>
          <w:tcPr>
            <w:tcW w:w="1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- 15.0% (8.6%)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260" w:type="dxa"/>
            <w:vAlign w:val="bottom"/>
            <w:tcBorders>
              <w:left w:val="single" w:sz="8" w:color="auto"/>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ind w:left="60"/>
              <w:spacing w:after="0" w:line="162" w:lineRule="exact"/>
              <w:rPr>
                <w:sz w:val="20"/>
                <w:szCs w:val="20"/>
                <w:color w:val="auto"/>
              </w:rPr>
            </w:pPr>
            <w:r>
              <w:rPr>
                <w:rFonts w:ascii="Arial" w:cs="Arial" w:eastAsia="Arial" w:hAnsi="Arial"/>
                <w:sz w:val="18"/>
                <w:szCs w:val="18"/>
                <w:color w:val="auto"/>
              </w:rPr>
              <w:t>Flow</w:t>
            </w:r>
          </w:p>
        </w:tc>
        <w:tc>
          <w:tcPr>
            <w:tcW w:w="370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 Level III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305,756,850</w:t>
            </w:r>
          </w:p>
        </w:tc>
        <w:tc>
          <w:tcPr>
            <w:tcW w:w="1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60" w:firstLine="8"/>
        <w:spacing w:after="0" w:line="277" w:lineRule="auto"/>
        <w:tabs>
          <w:tab w:leader="none" w:pos="9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170" w:lineRule="exact"/>
        <w:rPr>
          <w:sz w:val="20"/>
          <w:szCs w:val="20"/>
          <w:color w:val="auto"/>
        </w:rPr>
      </w:pPr>
    </w:p>
    <w:p>
      <w:pPr>
        <w:jc w:val="both"/>
        <w:ind w:right="100" w:firstLine="324"/>
        <w:spacing w:after="0" w:line="312" w:lineRule="auto"/>
        <w:rPr>
          <w:sz w:val="20"/>
          <w:szCs w:val="20"/>
          <w:color w:val="auto"/>
        </w:rPr>
      </w:pPr>
      <w:r>
        <w:rPr>
          <w:rFonts w:ascii="Arial" w:cs="Arial" w:eastAsia="Arial" w:hAnsi="Arial"/>
          <w:sz w:val="16"/>
          <w:szCs w:val="16"/>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right="36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Significant unobservable input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June 30, 2016 and December 31, 2015, the Asset Manager Affiliates had approximately $2.7 billion of par value of assets under management, and the Company’s 100% equity interest in the Asset Manager Affiliates had a fair value of approximately $45 million and $57 million, respectively.</w:t>
      </w:r>
    </w:p>
    <w:p>
      <w:pPr>
        <w:spacing w:after="0" w:line="18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income equal to the amount by which their fee income exceeds their operating expenses, including compensation of their employees and income taxes. The management fees the Asset Manager Affiliates receive have three components - a senior management fee, a subordinated management fee and an incentive fee. Currently, all CLO Funds managed by the Asset Manager Affiliates are paying both their senior and subordinated management fees on a current basis.</w:t>
      </w:r>
    </w:p>
    <w:p>
      <w:pPr>
        <w:spacing w:after="0" w:line="178"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For the three months ended June 30, 2016 and 2015, the Asset Manager Affiliates declared cash distributions of $850,000 and $2.3 million to the Company, respectively. For the six months ended June 30, 2016 and 2015, the Asset Manager Affiliates declared cash distributions of $1.9 million and $5.0 million to the Company, respectively. Any distributions from the Asset Manager Affiliates out of the estimated tax-basis earnings and profits are recorded as “Dividends from Asset Manager Affiliates” on the Company’s statement of operations. The Company recognized $850,000 and $1.2 million, respectively, of Dividends from Asset Manager Affiliates in the Statement of Operations for the three months ended June 30, 2016 and 2015. For the six months ended June 30, 2016 and 2015, the Company recognized $1.4 million and $2.6 million, respectively, of Dividends from Asset Manager Affiliates in the Statement of Operations. The difference between cash distributions received and the tax-basis earnings and profits of the distributing affiliate, are recorded as an adjustment to the cost basis in the Asset Manager Affiliate (i.e., tax-basis return of capital). Distributions receivable, if any, are reflected in the Due from Affiliates account on the consolidated balance sheets.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2" w:name="page53"/>
    <w:bookmarkEnd w:id="52"/>
    <w:p>
      <w:pPr>
        <w:jc w:val="both"/>
        <w:ind w:firstLine="324"/>
        <w:spacing w:after="0" w:line="286" w:lineRule="auto"/>
        <w:rPr>
          <w:sz w:val="20"/>
          <w:szCs w:val="20"/>
          <w:color w:val="auto"/>
        </w:rPr>
      </w:pPr>
      <w:r>
        <w:rPr>
          <w:rFonts w:ascii="Arial" w:cs="Arial" w:eastAsia="Arial" w:hAnsi="Arial"/>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166"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53" w:name="page54"/>
    <w:bookmarkEnd w:id="53"/>
    <w:p>
      <w:pPr>
        <w:ind w:firstLine="324"/>
        <w:spacing w:after="0" w:line="270" w:lineRule="auto"/>
        <w:rPr>
          <w:sz w:val="20"/>
          <w:szCs w:val="20"/>
          <w:color w:val="auto"/>
        </w:rPr>
      </w:pPr>
      <w:r>
        <w:rPr>
          <w:rFonts w:ascii="Arial" w:cs="Arial" w:eastAsia="Arial" w:hAnsi="Arial"/>
          <w:sz w:val="17"/>
          <w:szCs w:val="17"/>
          <w:color w:val="auto"/>
        </w:rPr>
        <w:t>On February 18, 2015, the FASB issued Accounting Standards Update 2015-2 (“ASU 2015-2”), which updated consolidation standards under ASC Topic 810, “Consolidation”. Under this update, a new consolidation analysis is required for VIEs and will limit the circumstances in which investment managers and similar entities are required to consolidate the entities that they manage. The FASB decided to eliminate some of the criteria under which their management fees are considered a variable interest and limit the circumstances in which variable interests in a VIE held by related parties of a reporting enterprise require the reporting enterprise to consolidate the VIE. The guidance is effective for public business entities for annual and interim periods in fiscal years beginning after December 15, 2015, early adoption is permitted. The Asset Manager Affiliates adopted ASU 2015-2 in 2016 which resulted in the deconsolidation of the CLO Funds. Prior year amounts have been restated to reflect the retrospective adoption of ASU 2015-2. In addition, in accordance with Regulation S-X, additional financial information with respect to one of the CLO Funds in which the Company has an investment, Katonah 2007-I CLO is required to be included in the Company’s SEC Filings. This additional financial information regarding the Asset Manager Affiliates and Katonah 2007-1 CLO does not directly impact the financial position, results of operations, or cash flows of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 2016</w:t>
            </w:r>
          </w:p>
        </w:tc>
        <w:tc>
          <w:tcPr>
            <w:tcW w:w="80" w:type="dxa"/>
            <w:vAlign w:val="bottom"/>
          </w:tcPr>
          <w:p>
            <w:pPr>
              <w:spacing w:after="0"/>
              <w:rPr>
                <w:sz w:val="20"/>
                <w:szCs w:val="20"/>
                <w:color w:val="auto"/>
              </w:rPr>
            </w:pP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2,158,614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4,085,464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Investments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15,566,044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23,089,679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23,812,623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24,467,705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Assets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2,663,564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4,760,385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44,200,845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56,403,233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16,000,000</w:t>
            </w:r>
          </w:p>
        </w:tc>
        <w:tc>
          <w:tcPr>
            <w:tcW w:w="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Liabilities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1,809,547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5,131,814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17,809,547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28,131,814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w:t>
            </w:r>
          </w:p>
        </w:tc>
        <w:tc>
          <w:tcPr>
            <w:tcW w:w="1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26,391,298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28,271,419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44,200,845</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56,403,233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w w:val="98"/>
              </w:rPr>
              <w:t>For the three months ended</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gridSpan w:val="6"/>
          </w:tcPr>
          <w:p>
            <w:pPr>
              <w:ind w:left="280"/>
              <w:spacing w:after="0"/>
              <w:rPr>
                <w:sz w:val="20"/>
                <w:szCs w:val="20"/>
                <w:color w:val="auto"/>
              </w:rPr>
            </w:pPr>
            <w:r>
              <w:rPr>
                <w:rFonts w:ascii="Arial" w:cs="Arial" w:eastAsia="Arial" w:hAnsi="Arial"/>
                <w:sz w:val="18"/>
                <w:szCs w:val="18"/>
                <w:b w:val="1"/>
                <w:bCs w:val="1"/>
                <w:color w:val="auto"/>
              </w:rPr>
              <w:t>For the six months ended</w:t>
            </w:r>
          </w:p>
        </w:tc>
      </w:tr>
      <w:tr>
        <w:trPr>
          <w:trHeight w:val="234"/>
        </w:trPr>
        <w:tc>
          <w:tcPr>
            <w:tcW w:w="3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4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Fee Revenue</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3,229,095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7,163,249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6,558,722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11,349,389</w:t>
            </w:r>
          </w:p>
        </w:tc>
        <w:tc>
          <w:tcPr>
            <w:tcW w:w="100" w:type="dxa"/>
            <w:vAlign w:val="bottom"/>
            <w:shd w:val="clear" w:color="auto" w:fill="CCEEFF"/>
          </w:tcPr>
          <w:p>
            <w:pPr>
              <w:spacing w:after="0"/>
              <w:rPr>
                <w:sz w:val="18"/>
                <w:szCs w:val="18"/>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Interest Income</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413,786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1,174,323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567,618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1,693,971</w:t>
            </w: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w:t>
            </w:r>
          </w:p>
        </w:tc>
        <w:tc>
          <w:tcPr>
            <w:tcW w:w="1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3,642,881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8,337,572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7,126,340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13,043,360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3,100,740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3,203,780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5,829,185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6,655,249</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327,541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1,125,908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655,082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1,653,041</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Interest Expense</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377,945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278,282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867,780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796,815</w:t>
            </w: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3,806,226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4,607,970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7,352,047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9,105,105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3460" w:type="dxa"/>
            <w:vAlign w:val="bottom"/>
          </w:tcPr>
          <w:p>
            <w:pPr>
              <w:spacing w:after="0"/>
              <w:rPr>
                <w:sz w:val="20"/>
                <w:szCs w:val="20"/>
                <w:color w:val="auto"/>
              </w:rPr>
            </w:pPr>
            <w:r>
              <w:rPr>
                <w:rFonts w:ascii="Arial" w:cs="Arial" w:eastAsia="Arial" w:hAnsi="Arial"/>
                <w:sz w:val="18"/>
                <w:szCs w:val="18"/>
                <w:color w:val="auto"/>
              </w:rPr>
              <w:t>Pre-Tax (Loss) Income</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(163,345)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3,729,602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(225,707)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3,938,255</w:t>
            </w:r>
          </w:p>
        </w:tc>
        <w:tc>
          <w:tcPr>
            <w:tcW w:w="100" w:type="dxa"/>
            <w:vAlign w:val="bottom"/>
          </w:tcPr>
          <w:p>
            <w:pPr>
              <w:spacing w:after="0"/>
              <w:rPr>
                <w:sz w:val="18"/>
                <w:szCs w:val="18"/>
                <w:color w:val="auto"/>
              </w:rPr>
            </w:pP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115,547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1,250,155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(245,585)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1,426,453</w:t>
            </w: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(278,892</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2,479,447</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2,511,802</w:t>
            </w:r>
          </w:p>
        </w:tc>
        <w:tc>
          <w:tcPr>
            <w:tcW w:w="10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46</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As of</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380"/>
              <w:spacing w:after="0"/>
              <w:rPr>
                <w:sz w:val="20"/>
                <w:szCs w:val="20"/>
                <w:color w:val="auto"/>
              </w:rPr>
            </w:pPr>
            <w:r>
              <w:rPr>
                <w:rFonts w:ascii="Arial" w:cs="Arial" w:eastAsia="Arial" w:hAnsi="Arial"/>
                <w:sz w:val="18"/>
                <w:szCs w:val="18"/>
                <w:b w:val="1"/>
                <w:bCs w:val="1"/>
                <w:color w:val="auto"/>
              </w:rPr>
              <w:t>As of</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7"/>
              </w:rPr>
              <w:t>June 30, 2016</w:t>
            </w:r>
          </w:p>
        </w:tc>
        <w:tc>
          <w:tcPr>
            <w:tcW w:w="60" w:type="dxa"/>
            <w:vAlign w:val="bottom"/>
          </w:tcPr>
          <w:p>
            <w:pPr>
              <w:spacing w:after="0"/>
              <w:rPr>
                <w:sz w:val="20"/>
                <w:szCs w:val="20"/>
                <w:color w:val="auto"/>
              </w:rPr>
            </w:pPr>
          </w:p>
        </w:tc>
        <w:tc>
          <w:tcPr>
            <w:tcW w:w="1540" w:type="dxa"/>
            <w:vAlign w:val="bottom"/>
            <w:gridSpan w:val="5"/>
          </w:tcPr>
          <w:p>
            <w:pPr>
              <w:spacing w:after="0"/>
              <w:rPr>
                <w:sz w:val="20"/>
                <w:szCs w:val="20"/>
                <w:color w:val="auto"/>
              </w:rPr>
            </w:pPr>
            <w:r>
              <w:rPr>
                <w:rFonts w:ascii="Arial" w:cs="Arial" w:eastAsia="Arial" w:hAnsi="Arial"/>
                <w:sz w:val="18"/>
                <w:szCs w:val="18"/>
                <w:b w:val="1"/>
                <w:bCs w:val="1"/>
                <w:color w:val="auto"/>
                <w:w w:val="93"/>
              </w:rPr>
              <w:t>December 31, 2015</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215,248,467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246,766,505</w:t>
            </w: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8"/>
                <w:szCs w:val="18"/>
                <w:color w:val="auto"/>
              </w:rPr>
              <w:t>37,520,530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4"/>
          </w:tcPr>
          <w:p>
            <w:pPr>
              <w:jc w:val="right"/>
              <w:ind w:right="80"/>
              <w:spacing w:after="0"/>
              <w:rPr>
                <w:sz w:val="20"/>
                <w:szCs w:val="20"/>
                <w:color w:val="auto"/>
              </w:rPr>
            </w:pPr>
            <w:r>
              <w:rPr>
                <w:rFonts w:ascii="Arial" w:cs="Arial" w:eastAsia="Arial" w:hAnsi="Arial"/>
                <w:sz w:val="18"/>
                <w:szCs w:val="18"/>
                <w:color w:val="auto"/>
              </w:rPr>
              <w:t>17,301,178</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253,347,185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265,389,850</w:t>
            </w:r>
          </w:p>
        </w:tc>
        <w:tc>
          <w:tcPr>
            <w:tcW w:w="8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CLO Debt at fair value</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4"/>
          </w:tcPr>
          <w:p>
            <w:pPr>
              <w:jc w:val="right"/>
              <w:ind w:right="100"/>
              <w:spacing w:after="0"/>
              <w:rPr>
                <w:sz w:val="20"/>
                <w:szCs w:val="20"/>
                <w:color w:val="auto"/>
              </w:rPr>
            </w:pPr>
            <w:r>
              <w:rPr>
                <w:rFonts w:ascii="Arial" w:cs="Arial" w:eastAsia="Arial" w:hAnsi="Arial"/>
                <w:sz w:val="18"/>
                <w:szCs w:val="18"/>
                <w:color w:val="auto"/>
              </w:rPr>
              <w:t>252,738,897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261,433,473</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254,521,202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269,163,111</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Total Net Assets</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4"/>
          </w:tcPr>
          <w:p>
            <w:pPr>
              <w:jc w:val="right"/>
              <w:ind w:right="40"/>
              <w:spacing w:after="0"/>
              <w:rPr>
                <w:sz w:val="20"/>
                <w:szCs w:val="20"/>
                <w:color w:val="auto"/>
              </w:rPr>
            </w:pPr>
            <w:r>
              <w:rPr>
                <w:rFonts w:ascii="Arial" w:cs="Arial" w:eastAsia="Arial" w:hAnsi="Arial"/>
                <w:sz w:val="18"/>
                <w:szCs w:val="18"/>
                <w:color w:val="auto"/>
              </w:rPr>
              <w:t>(1,174,017)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4"/>
          </w:tcPr>
          <w:p>
            <w:pPr>
              <w:jc w:val="right"/>
              <w:ind w:right="20"/>
              <w:spacing w:after="0"/>
              <w:rPr>
                <w:sz w:val="20"/>
                <w:szCs w:val="20"/>
                <w:color w:val="auto"/>
              </w:rPr>
            </w:pPr>
            <w:r>
              <w:rPr>
                <w:rFonts w:ascii="Arial" w:cs="Arial" w:eastAsia="Arial" w:hAnsi="Arial"/>
                <w:sz w:val="18"/>
                <w:szCs w:val="18"/>
                <w:color w:val="auto"/>
              </w:rPr>
              <w:t>(3,773,261)</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6"/>
          </w:tcPr>
          <w:p>
            <w:pPr>
              <w:spacing w:after="0"/>
              <w:rPr>
                <w:sz w:val="20"/>
                <w:szCs w:val="20"/>
                <w:color w:val="auto"/>
              </w:rPr>
            </w:pPr>
            <w:r>
              <w:rPr>
                <w:rFonts w:ascii="Arial" w:cs="Arial" w:eastAsia="Arial" w:hAnsi="Arial"/>
                <w:sz w:val="18"/>
                <w:szCs w:val="18"/>
                <w:b w:val="1"/>
                <w:bCs w:val="1"/>
                <w:color w:val="auto"/>
              </w:rPr>
              <w:t>Katonah 2007-I CLO Ltd.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160" w:type="dxa"/>
            <w:vAlign w:val="bottom"/>
            <w:gridSpan w:val="12"/>
          </w:tcPr>
          <w:p>
            <w:pPr>
              <w:ind w:left="3440"/>
              <w:spacing w:after="0"/>
              <w:rPr>
                <w:sz w:val="20"/>
                <w:szCs w:val="20"/>
                <w:color w:val="auto"/>
              </w:rPr>
            </w:pPr>
            <w:r>
              <w:rPr>
                <w:rFonts w:ascii="Arial" w:cs="Arial" w:eastAsia="Arial" w:hAnsi="Arial"/>
                <w:sz w:val="18"/>
                <w:szCs w:val="18"/>
                <w:color w:val="auto"/>
                <w:w w:val="93"/>
              </w:rPr>
              <w:t>Summarized Statements of Operations Information (unaudited)</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60" w:type="dxa"/>
            <w:vAlign w:val="bottom"/>
            <w:gridSpan w:val="10"/>
          </w:tcPr>
          <w:p>
            <w:pPr>
              <w:ind w:left="560"/>
              <w:spacing w:after="0"/>
              <w:rPr>
                <w:sz w:val="20"/>
                <w:szCs w:val="20"/>
                <w:color w:val="auto"/>
              </w:rPr>
            </w:pPr>
            <w:r>
              <w:rPr>
                <w:rFonts w:ascii="Arial" w:cs="Arial" w:eastAsia="Arial" w:hAnsi="Arial"/>
                <w:sz w:val="18"/>
                <w:szCs w:val="18"/>
                <w:b w:val="1"/>
                <w:bCs w:val="1"/>
                <w:color w:val="auto"/>
              </w:rPr>
              <w:t>For the three months ended</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6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8"/>
              </w:rPr>
              <w:t>For the six months ended</w:t>
            </w:r>
          </w:p>
        </w:tc>
      </w:tr>
      <w:tr>
        <w:trPr>
          <w:trHeight w:val="234"/>
        </w:trPr>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rPr>
              <w:t>June 30,</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investments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2,469,633</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2,461,737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5,008,707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5,077,131</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Total income</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2,745,300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2,734,441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5,310,308</w:t>
            </w: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5,384,309</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2,417,951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2,229,543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4,540,266</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4,605,179</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2,670,268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2,492,448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5,096,330</w:t>
            </w: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5,192,301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losses</w:t>
            </w:r>
          </w:p>
        </w:tc>
        <w:tc>
          <w:tcPr>
            <w:tcW w:w="20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(1,172,439)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3,713,620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2,385,267</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1,591,900</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w w:val="94"/>
              </w:rPr>
              <w:t>(Decrease) increase in net assets resulting from operations</w:t>
            </w:r>
          </w:p>
        </w:tc>
        <w:tc>
          <w:tcPr>
            <w:tcW w:w="2000" w:type="dxa"/>
            <w:vAlign w:val="bottom"/>
            <w:gridSpan w:val="5"/>
          </w:tcPr>
          <w:p>
            <w:pPr>
              <w:jc w:val="right"/>
              <w:ind w:right="200"/>
              <w:spacing w:after="0"/>
              <w:rPr>
                <w:sz w:val="20"/>
                <w:szCs w:val="20"/>
                <w:color w:val="auto"/>
              </w:rPr>
            </w:pPr>
            <w:r>
              <w:rPr>
                <w:rFonts w:ascii="Arial" w:cs="Arial" w:eastAsia="Arial" w:hAnsi="Arial"/>
                <w:sz w:val="18"/>
                <w:szCs w:val="18"/>
                <w:color w:val="auto"/>
              </w:rPr>
              <w:t>(1,097,407)</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3,955,613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2,599,245</w:t>
            </w:r>
          </w:p>
        </w:tc>
        <w:tc>
          <w:tcPr>
            <w:tcW w:w="3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1,783,908</w:t>
            </w:r>
          </w:p>
        </w:tc>
      </w:tr>
    </w:tbl>
    <w:p>
      <w:pPr>
        <w:spacing w:after="0" w:line="187"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188"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U.S.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167"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ind w:right="20" w:firstLine="324"/>
        <w:spacing w:after="0" w:line="259"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one of KCAP’s affiliates, in exchange for shares of the Company’s stock valued at $25.5 million and cash of $13.0 million. The transaction was considered an asset purchase under Section 351(a) of the Code and resulted in tax goodwill of approximately $22.8 million which is being amortized for tax purposes on a straight-line basis over 15 years.</w:t>
      </w:r>
    </w:p>
    <w:p>
      <w:pPr>
        <w:spacing w:after="0" w:line="187"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During the second quarter of 2016, KCAP contributed 100% of its ownership interests in Katonah Debt Advisors and Trimaran Advisors Management to Commodore Holdings, a wholly-owned subsidiary of KCAP. These transactions had no effect on the financial position or results of operations of KCAP.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Outstanding borrowings on the Trimaran Credit Facility are callable by the Company at any time. On April 15, 2013, the Trimaran Credit Facility was amended and upsized from $20 million to $23 million. At June 30, 2016 and December 31, 2015, the par value of the outstanding loan was $16 million and $23 million, respectively. During the first quarter of 2016, Trimaran repaid $7 million of the outstanding loan. For the three months ended June 30, 2016 and 2015, the Company recognized interest income of approximately $373,000 and $275,000, respectively, related to the Trimaran Credit Facility. For the six months ended June 30, 2016 and 2015, the Company recognized interest income of approximately $855,000 and $792,000, respectively, related Trimaran Credit Facility.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spacing w:after="0"/>
              <w:rPr>
                <w:sz w:val="20"/>
                <w:szCs w:val="20"/>
                <w:color w:val="auto"/>
              </w:rPr>
            </w:pPr>
            <w:r>
              <w:rPr>
                <w:rFonts w:ascii="Arial" w:cs="Arial" w:eastAsia="Arial" w:hAnsi="Arial"/>
                <w:sz w:val="18"/>
                <w:szCs w:val="18"/>
                <w:b w:val="1"/>
                <w:bCs w:val="1"/>
                <w:color w:val="auto"/>
              </w:rPr>
              <w:t>6. BORROWINGS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40" w:type="dxa"/>
            <w:vAlign w:val="bottom"/>
          </w:tcPr>
          <w:p>
            <w:pPr>
              <w:ind w:left="320"/>
              <w:spacing w:after="0"/>
              <w:rPr>
                <w:sz w:val="20"/>
                <w:szCs w:val="20"/>
                <w:color w:val="auto"/>
              </w:rPr>
            </w:pPr>
            <w:r>
              <w:rPr>
                <w:rFonts w:ascii="Arial" w:cs="Arial" w:eastAsia="Arial" w:hAnsi="Arial"/>
                <w:sz w:val="18"/>
                <w:szCs w:val="18"/>
                <w:color w:val="auto"/>
              </w:rPr>
              <w:t>The Company’s debt obligations consist of the following:</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 2016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7.375% Notes Due 2019 (net of offering costs of: 2016 - $738,853; 2015 - $890,344)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38,261,497</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40,509,656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40" w:type="dxa"/>
            <w:vAlign w:val="bottom"/>
          </w:tcPr>
          <w:p>
            <w:pPr>
              <w:spacing w:after="0" w:line="201" w:lineRule="exact"/>
              <w:rPr>
                <w:sz w:val="20"/>
                <w:szCs w:val="20"/>
                <w:color w:val="auto"/>
              </w:rPr>
            </w:pPr>
            <w:r>
              <w:rPr>
                <w:rFonts w:ascii="Arial" w:cs="Arial" w:eastAsia="Arial" w:hAnsi="Arial"/>
                <w:sz w:val="18"/>
                <w:szCs w:val="18"/>
                <w:color w:val="auto"/>
                <w:w w:val="93"/>
              </w:rPr>
              <w:t>Notes issued by KCAP Senior Funding I, LLC (net of discount and offering costs of: 2016 - $2,599,083 and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60" w:type="dxa"/>
            <w:vAlign w:val="bottom"/>
            <w:gridSpan w:val="2"/>
          </w:tcPr>
          <w:p>
            <w:pPr>
              <w:spacing w:after="0"/>
              <w:rPr>
                <w:sz w:val="20"/>
                <w:szCs w:val="20"/>
                <w:color w:val="auto"/>
              </w:rPr>
            </w:pPr>
            <w:r>
              <w:rPr>
                <w:rFonts w:ascii="Arial" w:cs="Arial" w:eastAsia="Arial" w:hAnsi="Arial"/>
                <w:sz w:val="18"/>
                <w:szCs w:val="18"/>
                <w:color w:val="auto"/>
              </w:rPr>
              <w:t>$2,794,883, respectively; 2015 - $2,907,595 and $3,126,009, respectively)</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141,956,034</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141,316,396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due March 15, 2016 (net of offering costs of: 2015 - $21,292)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19,277,709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June 30, 2016 were 3.81% and 7.12 years, respectively, and as of December 31, 2015 were 4.08% and 6.8 years,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after the payment of underwriting expenses, were approximately $57.7 million. Interest on the Convertible Notes is due semi-annually in arrears on March 15 and September 15, at a rate of 8.75%, commencing September 15, 2011. The Convertible Notes matured and were repaid on March 15, 2016. The Convertible Notes were senior unsecured obligations of the Company.</w:t>
      </w:r>
    </w:p>
    <w:p>
      <w:pPr>
        <w:spacing w:after="0" w:line="19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 xml:space="preserve">In connection with the issuance of the Convertible Notes, the Company incurred approximately $2.4 million of debt offering costs, which were amortized over the term of the Convertible Notes on an effective yield method. On April 4, 2013, approximately $9 million of the Company’s 8.75% Convertible Notes were converted at a price per share of $8.159 into 1,102,093 shares of KCAP common stock. On September 4, 2013, the Company purchased $2.0 million face value of its own Convertible Notes at a price of $114.50 plus accrued interest. KCAP subsequently surrendered these notes to the Trustee for cancellation effective September 13, 2013. During 2015, the Company repurchased approximately $19.3 million face value of its own Convertible Notes at a price ranging from $101.500 to $102.375. KCAP subsequently surrendered these notes to the Trustee for cancellation. Due to the cash conversion option embedded in the Convertible Notes, the Company applied the guidance in ASC 470-20-40,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and realized a loss on the extinguishment of this debt. The indenture governing the Convertible Notes contains certain restrictive covenants, including compliance with certain provisions of the 1940 Act and conditions governing the undertaking of new debt. The Convertible Notes matured and were fully repaid on March 15, 2016.</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ind w:right="500" w:firstLine="324"/>
        <w:spacing w:after="0" w:line="277" w:lineRule="auto"/>
        <w:rPr>
          <w:sz w:val="20"/>
          <w:szCs w:val="20"/>
          <w:color w:val="auto"/>
        </w:rPr>
      </w:pPr>
      <w:r>
        <w:rPr>
          <w:rFonts w:ascii="Arial" w:cs="Arial" w:eastAsia="Arial" w:hAnsi="Arial"/>
          <w:sz w:val="18"/>
          <w:szCs w:val="18"/>
          <w:color w:val="auto"/>
        </w:rPr>
        <w:t>For the six months ended June 30, 2016 and 2015, interest expense related to the Convertible Notes was approximately $378,000 and $1.7 million, respectively.</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Fair Value of Convertible Notes. </w:t>
      </w:r>
      <w:r>
        <w:rPr>
          <w:rFonts w:ascii="Arial" w:cs="Arial" w:eastAsia="Arial" w:hAnsi="Arial"/>
          <w:sz w:val="18"/>
          <w:szCs w:val="18"/>
          <w:color w:val="auto"/>
        </w:rPr>
        <w:t>The Company carries the Convertible Notes at cost. The Convertible Notes were issued in a private placement and there</w:t>
      </w:r>
      <w:r>
        <w:rPr>
          <w:rFonts w:ascii="Arial" w:cs="Arial" w:eastAsia="Arial" w:hAnsi="Arial"/>
          <w:sz w:val="18"/>
          <w:szCs w:val="18"/>
          <w:i w:val="1"/>
          <w:iCs w:val="1"/>
          <w:color w:val="auto"/>
        </w:rPr>
        <w:t xml:space="preserve"> </w:t>
      </w:r>
      <w:r>
        <w:rPr>
          <w:rFonts w:ascii="Arial" w:cs="Arial" w:eastAsia="Arial" w:hAnsi="Arial"/>
          <w:sz w:val="18"/>
          <w:szCs w:val="18"/>
          <w:color w:val="auto"/>
        </w:rPr>
        <w:t>is no active trading of these notes. The estimated fair value of the Company’s outstanding Convertible Notes was approximately $19.5 million at December 31, 2015. The fair value was determined based on an indicative closing price as of that date. The Convertible Notes are categorized as Level III following ASC 820: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7.375% Notes Due 2019</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October 10, 2012, the Company issued $41.4 million in aggregate principal amount of unsecured 7.375% Notes due 2019. The net proceeds for these Notes, after the payment of underwriting expenses, were approximately $39.9 million. Interest on the 7.375% Notes due 2019 is paid quarterly in arrears on March 30, June 30, September 30 and December 30, at a rate of 7.375%, commencing December 30, 2012. The 7.375% Notes due 2019 mature on September, 30, 2019 and are unsecured obligations of the Company. The 7.375% Notes due 2019 are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is limited in its ability to make distributions in certain circumstances. The indenture governing the 7.375% Notes due 2019 contains certain restrictive covenants, including compliance with certain provisions of the 1940 Act relating to borrowing and dividends. At June 30, 2016, the Company was in compliance with all of its debt covenants.</w:t>
      </w:r>
    </w:p>
    <w:p>
      <w:pPr>
        <w:spacing w:after="0" w:line="17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For the three months ended June 30, 2016 and 2015, interest expense related to the 7.375% Notes due 2019 was approximately $763,000 for both periods. For the six months ended June 30, 2016 and 2015, interest expense related to the 7.375% Notes due 2019 was approximately $1.5 million for both periods.</w:t>
      </w:r>
    </w:p>
    <w:p>
      <w:pPr>
        <w:spacing w:after="0" w:line="181"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In connection with the issuance of the 7.375% Notes due 2019, the Company incurred approximately $1.5 million of debt offering costs which are being amortized over the expected term of the facility on an effective yield method, of which approximately $739,000 remains to be amortized, and is included on the consolidated balance sheets as a reduction in the related debt liability.</w:t>
      </w:r>
    </w:p>
    <w:p>
      <w:pPr>
        <w:spacing w:after="0" w:line="181"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During the second quarter of 2016, the Company repurchased approximately $2.4 million par value of the 7.375% notes due 2019 at a weighted average price of $25.23 per $25.00 note, resulting in a realized loss on extinguishment of $71,190. KCAP subsequently surrendered these notes to the Trustee for cancellation.</w:t>
      </w:r>
    </w:p>
    <w:p>
      <w:pPr>
        <w:spacing w:after="0" w:line="181"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i w:val="1"/>
          <w:iCs w:val="1"/>
          <w:color w:val="auto"/>
        </w:rPr>
        <w:t>Fair Value of 7.375% Notes Due 2019</w:t>
      </w:r>
      <w:r>
        <w:rPr>
          <w:rFonts w:ascii="Arial" w:cs="Arial" w:eastAsia="Arial" w:hAnsi="Arial"/>
          <w:sz w:val="16"/>
          <w:szCs w:val="16"/>
          <w:color w:val="auto"/>
        </w:rPr>
        <w:t>. The 7.375% Notes due 2019 were issued in a public offering on October 10, 2012 and are carried at cost.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Company’s outstanding 7.375% Notes due 2019 was approximately $39.9 million at June 30, 2016. The fair value was determined based on the closing price on June 30, 2016 for the 7.375% Notes due 2019. The 7.375% Notes due 2019 are categorized as Level I under the ASC 820 Fair Value.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225"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On June 18, 2013, the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KCAP Senior Funding I Subordinated Notes (as defined below), and are backed by a diversified portfolio of bank loans. The indenture governing the KCAP Senior Funding I Notes contains an event of default that is triggered in the event that certain coverage tests are not met.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7" w:name="page58"/>
    <w:bookmarkEnd w:id="57"/>
    <w:p>
      <w:pPr>
        <w:ind w:right="360" w:firstLine="324"/>
        <w:spacing w:after="0" w:line="286" w:lineRule="auto"/>
        <w:rPr>
          <w:sz w:val="20"/>
          <w:szCs w:val="20"/>
          <w:color w:val="auto"/>
        </w:rPr>
      </w:pPr>
      <w:r>
        <w:rPr>
          <w:rFonts w:ascii="Arial" w:cs="Arial" w:eastAsia="Arial" w:hAnsi="Arial"/>
          <w:sz w:val="16"/>
          <w:szCs w:val="16"/>
          <w:color w:val="auto"/>
        </w:rPr>
        <w:t>The secured notes (the “KCAP Senior Funding I Secured Notes”) were issued as Class A senior secured floating rate notes which have an initial face amount of $77,250,000, are rated AAA (sf)/Aaa (sf) by Standard &amp; Poor’s Ratings Services and Moody’s Investors Service, Inc., respectively, and bear interest at the three-month LIBOR plus 1.50%, Class B senior secured floating rate notes which have an initial face amount of $9,000,000, are rated AA (sf)/Aa2 (sf) by Standard &amp; Poor’s Ratings Services and Moody’s Investors Service, Inc., respectively, and bear interest at three-month LIBOR plus the</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3.25%, Class C secured deferrable floating rate notes which have an initial face amount of $10,000,000, are rated A (sf)/A2 (sf) by Standard &amp; Poor’s Ratings Services and Moody’s Investors Service, Inc., respectively, and bear interest at three-month LIBOR plus 4.25%, and Class D secured deferrable floating rate notes which have an initial face amount of $9,000,000, are rated BBB (sf)/Baa2 (sf) by Standard &amp; Poor’s Ratings Services and Moody’s Investors Service, Inc., respectively, and bear interest at three-month LIBOR plus 5.25%. The Depositor retained all of the subordinated notes of the Issuer (the “KCAP Senior Funding I Subordinated Notes”), which have an initial face amount of $34,750,000. The KCAP Senior Funding I Subordinated Notes do not bear interest and are not rated. Both the KCAP Senior Funding I Secured Notes and the KCAP Senior Funding I Subordinated Notes have a stated maturity on the payment date occurring in July, 2024, and are subject to a two year non-call period. The Issuer has a four year reinvestment period. The stated interest rate re-sets on a quarterly basis based upon the then-current level of the benchmark three-month LIBOR.</w:t>
      </w:r>
    </w:p>
    <w:p>
      <w:pPr>
        <w:spacing w:after="0" w:line="170" w:lineRule="exact"/>
        <w:rPr>
          <w:sz w:val="20"/>
          <w:szCs w:val="20"/>
          <w:color w:val="auto"/>
        </w:rPr>
      </w:pPr>
    </w:p>
    <w:p>
      <w:pPr>
        <w:ind w:right="720" w:firstLine="324"/>
        <w:spacing w:after="0" w:line="264" w:lineRule="auto"/>
        <w:rPr>
          <w:sz w:val="20"/>
          <w:szCs w:val="20"/>
          <w:color w:val="auto"/>
        </w:rPr>
      </w:pPr>
      <w:r>
        <w:rPr>
          <w:rFonts w:ascii="Arial" w:cs="Arial" w:eastAsia="Arial" w:hAnsi="Arial"/>
          <w:sz w:val="18"/>
          <w:szCs w:val="18"/>
          <w:color w:val="auto"/>
        </w:rPr>
        <w:t>On December 8, 2014, the Company completed the sale of additional notes (“Additional Issuance Securities”) in a $56,000,000 increase to the collateralized loan obligation transaction that originally closed on June 18, 2013 (the “Original Closing Date”). The issuance of additional notes was proportional across all existing classes of notes issued on the Original Closing Date.</w:t>
      </w:r>
    </w:p>
    <w:p>
      <w:pPr>
        <w:spacing w:after="0" w:line="181"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Each class of secured Additional Issuance Securities (all such classes, collectively, the “Additional Issuance Offered Securities”) was issued as a pari passu sub-class of an existing class of notes issued on the Original Closing Date. Accordingly, the ratings given by Standard &amp; Poor’s Ratings Services and Moody’s Investors Service, Inc. to each existing class of notes issued on the Original Closing Date will apply to each class of Additional Issuance Offered Securities that constitutes a related pari passu sub-class of such existing class of notes issued on the Original Closing Date.</w:t>
      </w:r>
    </w:p>
    <w:p>
      <w:pPr>
        <w:spacing w:after="0" w:line="17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Additional Issuance Offered Securities were issued as Class A-2 senior secured floating rate notes which have an initial face amount of $30,900,000, have a rating of AAA (sf)/Aaa (sf) by Standard &amp; Poor’s Ratings Services and Moody’s Investors Service, Inc., respectively, and bear interest at the three-month LIBOR plus 1.50%, Class B-2 senior secured floating rate notes which have an initial face amount of $3,600,000, a rating of AA (sf)/Aa2 (sf) by Standard &amp; Poor’s Ratings Services and Moody’s Investors Service, Inc., respectively, and bear interest at three-month LIBOR plus 3.25%, Class C-2 secured deferrable floating rate notes which have an initial face amount of $4,000,000, a rating of A (sf)/A2 (sf) by Standard &amp; Poor’s Ratings Services and Moody’s Investors Service, Inc., respectively, and bear interest at three-month LIBOR plus 4.25%, and Class D-2 secured deferrable floating rate notes which have an initial face amount of $3,600,000, a rating of BBB (sf)/Baa2 (sf) by Standard &amp; Poor’s Ratings Services and Moody’s Investors Service, Inc., respectively, and bear interest at three-month LIBOR plus 5.25%. The Depositor retained all of the subordinated Additional Issuance Securities of the Issuer (the “Additional Issuance Subordinated Notes”), which have an initial face amount of $13,900,000. The Additional Issuance Subordinated Notes do not bear interest and are not rated. The Additional Issuance Securities have a stated maturity date of July 20, 2024 and are subject to a non-call period until the payment date on the Additional Issuance Securities occurring in July 2015. The Issuer has a reinvestment period to and including the payment date on the Additional Issuance Securities occurring in July 2017, or such earlier date as is provided in the indenture relating to the Additional Issuance Securities. In connection with the Additional Issuance Offered Securities, the Company incurred issuance costs and OID costs of approximately $584,000 and $896,000, respectively.</w:t>
      </w:r>
    </w:p>
    <w:p>
      <w:pPr>
        <w:spacing w:after="0" w:line="18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part of this transaction, the Company entered into a master loan sale agreement with the Depositor and the Issuer under which the Company sold or contributed certain bank loans to the Depositor, and the Depositor sold such loans to the Issuer in exchange for a combination of cash and the issuance of the KCAP Senior Funding I Subordinated Notes to the Depositor.</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the issuance and sale of the KCAP Senior Funding I Notes, the Company has made customary representations, warranties and covenants in the purchase agreement by and between the Company, the Depositor, the Issuer and Guggenheim Securities, LLC, which served as the initial purchaser of the KCAP Senior Funding I Secured Notes. The KCAP Senior Funding I Secured Notes are the secured obligations of the Issuer, and an indenture governing the KCAP Senior Funding I Notes includes customary covenants and events of default. The KCAP Senior Funding I Notes were sold in a private placement transaction and have not been, and will not be, registered under the Securities Act of 1933, as amended, or any state “blue sky” laws and may not be offered or sold in the United States absent registration with the Securities and Exchange Commission or an applicable exemption from registration.</w:t>
      </w:r>
    </w:p>
    <w:p>
      <w:pPr>
        <w:spacing w:after="0" w:line="189" w:lineRule="exact"/>
        <w:rPr>
          <w:sz w:val="20"/>
          <w:szCs w:val="20"/>
          <w:color w:val="auto"/>
        </w:rPr>
      </w:pPr>
    </w:p>
    <w:p>
      <w:pPr>
        <w:jc w:val="both"/>
        <w:ind w:right="80" w:firstLine="324"/>
        <w:spacing w:after="0" w:line="329" w:lineRule="auto"/>
        <w:rPr>
          <w:sz w:val="20"/>
          <w:szCs w:val="20"/>
          <w:color w:val="auto"/>
        </w:rPr>
      </w:pPr>
      <w:r>
        <w:rPr>
          <w:rFonts w:ascii="Arial" w:cs="Arial" w:eastAsia="Arial" w:hAnsi="Arial"/>
          <w:sz w:val="16"/>
          <w:szCs w:val="16"/>
          <w:color w:val="auto"/>
        </w:rPr>
        <w:t>The Company serves as collateral manager to the Issuer under a collateral management agreement, which contains customary representations, warranties and covenants. Under the collateral management agreement, the Company will perform certain investment management functions, including supervising and directing the investment and reinvestment of the Issuer’s assets, as well as perform certain administrative and advisory functions.</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ind w:right="80" w:firstLine="324"/>
        <w:spacing w:after="0" w:line="277" w:lineRule="auto"/>
        <w:rPr>
          <w:sz w:val="20"/>
          <w:szCs w:val="20"/>
          <w:color w:val="auto"/>
        </w:rPr>
      </w:pPr>
      <w:r>
        <w:rPr>
          <w:rFonts w:ascii="Arial" w:cs="Arial" w:eastAsia="Arial" w:hAnsi="Arial"/>
          <w:sz w:val="18"/>
          <w:szCs w:val="18"/>
          <w:color w:val="auto"/>
        </w:rPr>
        <w:t>In addition, because each of the Issuer and the Depositor are consolidated subsidiaries, the Company did not recognize any gain or loss on the transfer of any of our portfolio assets to such vehicles in connection with the issuance and sale of the KCAP Senior Funding I Notes.</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of June 30, 2016, there were 70 investments in portfolio companies with a total fair value of approximately $186.5 million plus cash of $6.4 million, collateralizing the secured notes of the Issuer. At June 30, 2016, there were unamortized issuance costs of approximately $2.8 million, and unamortized original issue discount, (“OID”) of approximately $2.6 million included in Notes issued by KCAP Senior Funding I, LLC liabilities in the accompanying consolidated balance sheet. The pool of loans in the securitization must meet certain requirements, including asset mix and concentration, collateral coverage, term, agency rating, minimum coupon, minimum spread and sector diversity requirements.</w:t>
      </w:r>
    </w:p>
    <w:p>
      <w:pPr>
        <w:spacing w:after="0" w:line="18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For the three months ended June 30, 2016, interest expense, including the amortization of deferred debt issuance costs and the OID was approximately $1.4 million consisting of stated interest expense of approximately $1.1 million, accreted discount of approximately $155,000, and deferred debt issuance costs of approximately $166,000. For the six months ended June 30, 2016, interest expense, including the amortization of deferred debt issuance costs and the discount on the face amount of the notes, was approximately $2.8 million consisting of stated interest expense of approximately $2.2 million, accreted discount of approximately $309,000, and deferred debt issuance costs of approximately $331,000. As of June 30, 2016, the stated interest charged under the securitization was based on current three month LIBOR at the reset date, which was 0.63%. The classes, stated interest rates, spread over LIBOR, and stated interest expense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Stated Interest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LIBOR Spread</w:t>
            </w: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w w:val="98"/>
              </w:rPr>
              <w:t>Quarterly Interest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Rate (1)</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(basis points)</w:t>
            </w:r>
          </w:p>
        </w:tc>
        <w:tc>
          <w:tcPr>
            <w:tcW w:w="16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Expense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A Notes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KCAP Senior Funding LLC Class B Notes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C Notes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170,940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KCAP Senior Funding LLC Class D Notes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1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185,346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1,055,612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120" w:hanging="332"/>
        <w:spacing w:after="0" w:line="561" w:lineRule="auto"/>
        <w:tabs>
          <w:tab w:leader="none" w:pos="271" w:val="left"/>
        </w:tabs>
        <w:numPr>
          <w:ilvl w:val="0"/>
          <w:numId w:val="41"/>
        </w:numPr>
        <w:rPr>
          <w:rFonts w:ascii="Arial" w:cs="Arial" w:eastAsia="Arial" w:hAnsi="Arial"/>
          <w:sz w:val="16"/>
          <w:szCs w:val="16"/>
          <w:color w:val="auto"/>
        </w:rPr>
      </w:pPr>
      <w:r>
        <w:rPr>
          <w:rFonts w:ascii="Arial" w:cs="Arial" w:eastAsia="Arial" w:hAnsi="Arial"/>
          <w:sz w:val="16"/>
          <w:szCs w:val="16"/>
          <w:color w:val="auto"/>
        </w:rPr>
        <w:t>Stated Interest Rate (and thus periodic interest expense), will vary based upon prevailing 3 month LIBOR as of the reset date. The amounts, ratings and interest rates (expressed as a spread to LIBOR) of the Class A, B, C, and D are as follows:</w:t>
      </w:r>
    </w:p>
    <w:tbl>
      <w:tblPr>
        <w:tblLayout w:type="fixed"/>
        <w:tblInd w:w="0" w:type="dxa"/>
        <w:tblCellMar>
          <w:top w:w="0" w:type="dxa"/>
          <w:left w:w="0" w:type="dxa"/>
          <w:bottom w:w="0" w:type="dxa"/>
          <w:right w:w="0" w:type="dxa"/>
        </w:tblCellMar>
      </w:tblPr>
      <w:tr>
        <w:trPr>
          <w:trHeight w:val="248"/>
        </w:trPr>
        <w:tc>
          <w:tcPr>
            <w:tcW w:w="32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Class A Notes</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Class B Notes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C Notes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Class D Notes</w:t>
            </w:r>
          </w:p>
        </w:tc>
        <w:tc>
          <w:tcPr>
            <w:tcW w:w="100" w:type="dxa"/>
            <w:vAlign w:val="bottom"/>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3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Type</w:t>
            </w:r>
          </w:p>
        </w:tc>
        <w:tc>
          <w:tcPr>
            <w:tcW w:w="12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Senior Secured Floating</w:t>
            </w:r>
          </w:p>
        </w:tc>
        <w:tc>
          <w:tcPr>
            <w:tcW w:w="120" w:type="dxa"/>
            <w:vAlign w:val="bottom"/>
          </w:tcPr>
          <w:p>
            <w:pPr>
              <w:spacing w:after="0"/>
              <w:rPr>
                <w:sz w:val="16"/>
                <w:szCs w:val="16"/>
                <w:color w:val="auto"/>
              </w:rPr>
            </w:pPr>
          </w:p>
        </w:tc>
        <w:tc>
          <w:tcPr>
            <w:tcW w:w="1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Senior Secured Floating</w:t>
            </w:r>
          </w:p>
        </w:tc>
        <w:tc>
          <w:tcPr>
            <w:tcW w:w="10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Secured Deferrable</w:t>
            </w:r>
          </w:p>
        </w:tc>
        <w:tc>
          <w:tcPr>
            <w:tcW w:w="100" w:type="dxa"/>
            <w:vAlign w:val="bottom"/>
          </w:tcPr>
          <w:p>
            <w:pPr>
              <w:spacing w:after="0"/>
              <w:rPr>
                <w:sz w:val="16"/>
                <w:szCs w:val="16"/>
                <w:color w:val="auto"/>
              </w:rPr>
            </w:pPr>
          </w:p>
        </w:tc>
        <w:tc>
          <w:tcPr>
            <w:tcW w:w="1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Secured Deferrable</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Rate</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Rate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Floating Rate</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Floating Rate</w:t>
            </w:r>
          </w:p>
        </w:tc>
        <w:tc>
          <w:tcPr>
            <w:tcW w:w="100" w:type="dxa"/>
            <w:vAlign w:val="bottom"/>
          </w:tcPr>
          <w:p>
            <w:pPr>
              <w:spacing w:after="0"/>
              <w:rPr>
                <w:sz w:val="18"/>
                <w:szCs w:val="18"/>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Amount Outstanding</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$ 108,150,000</w:t>
            </w:r>
          </w:p>
        </w:tc>
        <w:tc>
          <w:tcPr>
            <w:tcW w:w="120" w:type="dxa"/>
            <w:vAlign w:val="bottom"/>
          </w:tcPr>
          <w:p>
            <w:pPr>
              <w:spacing w:after="0"/>
              <w:rPr>
                <w:sz w:val="18"/>
                <w:szCs w:val="18"/>
                <w:color w:val="auto"/>
              </w:rPr>
            </w:pPr>
          </w:p>
        </w:tc>
        <w:tc>
          <w:tcPr>
            <w:tcW w:w="1960" w:type="dxa"/>
            <w:vAlign w:val="bottom"/>
          </w:tcPr>
          <w:p>
            <w:pPr>
              <w:jc w:val="right"/>
              <w:ind w:right="410"/>
              <w:spacing w:after="0"/>
              <w:rPr>
                <w:sz w:val="20"/>
                <w:szCs w:val="20"/>
                <w:color w:val="auto"/>
              </w:rPr>
            </w:pPr>
            <w:r>
              <w:rPr>
                <w:rFonts w:ascii="Arial" w:cs="Arial" w:eastAsia="Arial" w:hAnsi="Arial"/>
                <w:sz w:val="18"/>
                <w:szCs w:val="18"/>
                <w:color w:val="auto"/>
              </w:rPr>
              <w:t>$ 12,600,000</w:t>
            </w:r>
          </w:p>
        </w:tc>
        <w:tc>
          <w:tcPr>
            <w:tcW w:w="100" w:type="dxa"/>
            <w:vAlign w:val="bottom"/>
          </w:tcPr>
          <w:p>
            <w:pPr>
              <w:spacing w:after="0"/>
              <w:rPr>
                <w:sz w:val="18"/>
                <w:szCs w:val="18"/>
                <w:color w:val="auto"/>
              </w:rPr>
            </w:pPr>
          </w:p>
        </w:tc>
        <w:tc>
          <w:tcPr>
            <w:tcW w:w="1940" w:type="dxa"/>
            <w:vAlign w:val="bottom"/>
          </w:tcPr>
          <w:p>
            <w:pPr>
              <w:jc w:val="right"/>
              <w:ind w:right="410"/>
              <w:spacing w:after="0"/>
              <w:rPr>
                <w:sz w:val="20"/>
                <w:szCs w:val="20"/>
                <w:color w:val="auto"/>
              </w:rPr>
            </w:pPr>
            <w:r>
              <w:rPr>
                <w:rFonts w:ascii="Arial" w:cs="Arial" w:eastAsia="Arial" w:hAnsi="Arial"/>
                <w:sz w:val="18"/>
                <w:szCs w:val="18"/>
                <w:color w:val="auto"/>
              </w:rPr>
              <w:t>$ 14,000,000</w:t>
            </w:r>
          </w:p>
        </w:tc>
        <w:tc>
          <w:tcPr>
            <w:tcW w:w="100" w:type="dxa"/>
            <w:vAlign w:val="bottom"/>
          </w:tcPr>
          <w:p>
            <w:pPr>
              <w:spacing w:after="0"/>
              <w:rPr>
                <w:sz w:val="18"/>
                <w:szCs w:val="18"/>
                <w:color w:val="auto"/>
              </w:rPr>
            </w:pPr>
          </w:p>
        </w:tc>
        <w:tc>
          <w:tcPr>
            <w:tcW w:w="1940" w:type="dxa"/>
            <w:vAlign w:val="bottom"/>
          </w:tcPr>
          <w:p>
            <w:pPr>
              <w:jc w:val="right"/>
              <w:ind w:right="410"/>
              <w:spacing w:after="0"/>
              <w:rPr>
                <w:sz w:val="20"/>
                <w:szCs w:val="20"/>
                <w:color w:val="auto"/>
              </w:rPr>
            </w:pPr>
            <w:r>
              <w:rPr>
                <w:rFonts w:ascii="Arial" w:cs="Arial" w:eastAsia="Arial" w:hAnsi="Arial"/>
                <w:sz w:val="18"/>
                <w:szCs w:val="18"/>
                <w:color w:val="auto"/>
              </w:rPr>
              <w:t>$ 12,600,000</w:t>
            </w:r>
          </w:p>
        </w:tc>
        <w:tc>
          <w:tcPr>
            <w:tcW w:w="100" w:type="dxa"/>
            <w:vAlign w:val="bottom"/>
          </w:tcPr>
          <w:p>
            <w:pPr>
              <w:spacing w:after="0"/>
              <w:rPr>
                <w:sz w:val="18"/>
                <w:szCs w:val="18"/>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Moody's Rating (</w:t>
            </w:r>
            <w:r>
              <w:rPr>
                <w:rFonts w:ascii="Arial" w:cs="Arial" w:eastAsia="Arial" w:hAnsi="Arial"/>
                <w:sz w:val="18"/>
                <w:szCs w:val="18"/>
                <w:i w:val="1"/>
                <w:iCs w:val="1"/>
                <w:color w:val="auto"/>
              </w:rPr>
              <w:t>sf</w:t>
            </w:r>
            <w:r>
              <w:rPr>
                <w:rFonts w:ascii="Arial" w:cs="Arial" w:eastAsia="Arial" w:hAnsi="Arial"/>
                <w:sz w:val="18"/>
                <w:szCs w:val="18"/>
                <w:color w:val="auto"/>
              </w:rPr>
              <w:t>)</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"Aaa"</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"Aa2"</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rPr>
              <w:t>"A2"</w:t>
            </w: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"Baa2"</w:t>
            </w:r>
          </w:p>
        </w:tc>
        <w:tc>
          <w:tcPr>
            <w:tcW w:w="100" w:type="dxa"/>
            <w:vAlign w:val="bottom"/>
          </w:tcPr>
          <w:p>
            <w:pPr>
              <w:spacing w:after="0"/>
              <w:rPr>
                <w:sz w:val="18"/>
                <w:szCs w:val="18"/>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Standard &amp; Poor's Rating (sf)</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rPr>
              <w:t>"AAA"</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rPr>
              <w:t>"AA"</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rPr>
              <w:t>"A"</w:t>
            </w:r>
          </w:p>
        </w:tc>
        <w:tc>
          <w:tcPr>
            <w:tcW w:w="1940" w:type="dxa"/>
            <w:vAlign w:val="bottom"/>
          </w:tcPr>
          <w:p>
            <w:pPr>
              <w:jc w:val="center"/>
              <w:spacing w:after="0"/>
              <w:rPr>
                <w:sz w:val="20"/>
                <w:szCs w:val="20"/>
                <w:color w:val="auto"/>
              </w:rPr>
            </w:pPr>
            <w:r>
              <w:rPr>
                <w:rFonts w:ascii="Arial" w:cs="Arial" w:eastAsia="Arial" w:hAnsi="Arial"/>
                <w:sz w:val="18"/>
                <w:szCs w:val="18"/>
                <w:color w:val="auto"/>
              </w:rPr>
              <w:t>"BBB"</w:t>
            </w:r>
          </w:p>
        </w:tc>
        <w:tc>
          <w:tcPr>
            <w:tcW w:w="100" w:type="dxa"/>
            <w:vAlign w:val="bottom"/>
          </w:tcPr>
          <w:p>
            <w:pPr>
              <w:spacing w:after="0"/>
              <w:rPr>
                <w:sz w:val="18"/>
                <w:szCs w:val="18"/>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Interest Rate</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LIBOR + 1.50 %</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LIBOR + 3.25 %</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LIBOR + 4.25 %</w:t>
            </w:r>
          </w:p>
        </w:tc>
        <w:tc>
          <w:tcPr>
            <w:tcW w:w="1940" w:type="dxa"/>
            <w:vAlign w:val="bottom"/>
          </w:tcPr>
          <w:p>
            <w:pPr>
              <w:jc w:val="center"/>
              <w:spacing w:after="0"/>
              <w:rPr>
                <w:sz w:val="20"/>
                <w:szCs w:val="20"/>
                <w:color w:val="auto"/>
              </w:rPr>
            </w:pPr>
            <w:r>
              <w:rPr>
                <w:rFonts w:ascii="Arial" w:cs="Arial" w:eastAsia="Arial" w:hAnsi="Arial"/>
                <w:sz w:val="18"/>
                <w:szCs w:val="18"/>
                <w:color w:val="auto"/>
                <w:w w:val="94"/>
              </w:rPr>
              <w:t>LIBOR + 5.25 %</w:t>
            </w:r>
          </w:p>
        </w:tc>
        <w:tc>
          <w:tcPr>
            <w:tcW w:w="100" w:type="dxa"/>
            <w:vAlign w:val="bottom"/>
          </w:tcPr>
          <w:p>
            <w:pPr>
              <w:spacing w:after="0"/>
              <w:rPr>
                <w:sz w:val="18"/>
                <w:szCs w:val="18"/>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Stated Maturity</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July, 2024</w:t>
            </w:r>
          </w:p>
        </w:tc>
        <w:tc>
          <w:tcPr>
            <w:tcW w:w="20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July, 2024</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2024</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July, 2024</w:t>
            </w:r>
          </w:p>
        </w:tc>
        <w:tc>
          <w:tcPr>
            <w:tcW w:w="100" w:type="dxa"/>
            <w:vAlign w:val="bottom"/>
          </w:tcPr>
          <w:p>
            <w:pPr>
              <w:spacing w:after="0"/>
              <w:rPr>
                <w:sz w:val="18"/>
                <w:szCs w:val="18"/>
                <w:color w:val="auto"/>
              </w:rPr>
            </w:pPr>
          </w:p>
        </w:tc>
      </w:tr>
      <w:tr>
        <w:trPr>
          <w:trHeight w:val="216"/>
        </w:trPr>
        <w:tc>
          <w:tcPr>
            <w:tcW w:w="3220" w:type="dxa"/>
            <w:vAlign w:val="bottom"/>
            <w:gridSpan w:val="3"/>
          </w:tcPr>
          <w:p>
            <w:pPr>
              <w:spacing w:after="0"/>
              <w:rPr>
                <w:sz w:val="20"/>
                <w:szCs w:val="20"/>
                <w:color w:val="auto"/>
              </w:rPr>
            </w:pPr>
            <w:r>
              <w:rPr>
                <w:rFonts w:ascii="Arial" w:cs="Arial" w:eastAsia="Arial" w:hAnsi="Arial"/>
                <w:sz w:val="18"/>
                <w:szCs w:val="18"/>
                <w:color w:val="auto"/>
              </w:rPr>
              <w:t>Junior Classes</w:t>
            </w: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B, C, D</w:t>
            </w:r>
          </w:p>
        </w:tc>
        <w:tc>
          <w:tcPr>
            <w:tcW w:w="20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C, D</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 and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and Subordinated</w:t>
            </w: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and Subordinated</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Subordinated</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Subordinated</w:t>
            </w:r>
          </w:p>
        </w:tc>
        <w:tc>
          <w:tcPr>
            <w:tcW w:w="100" w:type="dxa"/>
            <w:vAlign w:val="bottom"/>
          </w:tcPr>
          <w:p>
            <w:pPr>
              <w:spacing w:after="0"/>
              <w:rPr>
                <w:sz w:val="20"/>
                <w:szCs w:val="20"/>
                <w:color w:val="auto"/>
              </w:rPr>
            </w:pPr>
          </w:p>
        </w:tc>
      </w:tr>
      <w:tr>
        <w:trPr>
          <w:trHeight w:val="648"/>
        </w:trPr>
        <w:tc>
          <w:tcPr>
            <w:tcW w:w="20" w:type="dxa"/>
            <w:vAlign w:val="bottom"/>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color w:val="auto"/>
        </w:rPr>
        <w:t>The Company’s outstanding principal amounts, carrying values and fair values of the Class A, B, C and D Notes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 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6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Principal 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Carrying Value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A Notes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108,150,000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104,191,009</w:t>
            </w: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106,257,375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KCAP Senior Funding LLC Class B Notes</w:t>
            </w:r>
          </w:p>
        </w:tc>
        <w:tc>
          <w:tcPr>
            <w:tcW w:w="3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12,600,000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12,138,758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12,363,750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C Notes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13,487,509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KCAP Senior Funding LLC Class D Notes</w:t>
            </w:r>
          </w:p>
        </w:tc>
        <w:tc>
          <w:tcPr>
            <w:tcW w:w="36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12,600,000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12,138,758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11,466,000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147,350,000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141,956,034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143,562,125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Fair Value of KCAP Senior Funding I. </w:t>
      </w:r>
      <w:r>
        <w:rPr>
          <w:rFonts w:ascii="Arial" w:cs="Arial" w:eastAsia="Arial" w:hAnsi="Arial"/>
          <w:sz w:val="18"/>
          <w:szCs w:val="18"/>
          <w:color w:val="auto"/>
        </w:rPr>
        <w:t>The Company carries the KCAP Senior Funding I Notes at cost, net of unamortized discount and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of approximately $2.6 million and $2.8 million, respectively. The fair value of the KCAP Senior Funding I Notes was approximately $143.6 million and $143.8 million at June 30, 2016 and December 31, 2015, respectively. The fair values were determined based on third party indicative values. The KCAP Senior Funding I L.L.C. Notes are categorized as Level III under ASC 820: Fair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firstLine="414"/>
        <w:spacing w:after="0" w:line="272" w:lineRule="auto"/>
        <w:rPr>
          <w:sz w:val="20"/>
          <w:szCs w:val="20"/>
          <w:color w:val="auto"/>
        </w:rPr>
      </w:pPr>
      <w:r>
        <w:rPr>
          <w:rFonts w:ascii="Arial" w:cs="Arial" w:eastAsia="Arial" w:hAnsi="Arial"/>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of Directors. The Company anticipates distributing at least 90%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2016).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reconciles net (decrease) increase in net assets resulting from operations to taxable income for the six months ended June 30, 2016:</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(unaudited)</w:t>
            </w: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(3,835,214)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8,904,995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Net change in unrealized depreciation from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2,942,774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3,532,611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Excess capital gains over capital losses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10,765,230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1,124,945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914,207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book/tax differences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(735,750)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10,261,985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13,355,916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w w:val="92"/>
              </w:rPr>
              <w:t>Taxable income before deductions for distributions per weighted average basic shares for the period</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0" w:type="dxa"/>
            <w:vAlign w:val="bottom"/>
          </w:tcPr>
          <w:p>
            <w:pPr>
              <w:spacing w:after="0"/>
              <w:rPr>
                <w:sz w:val="20"/>
                <w:szCs w:val="20"/>
                <w:color w:val="auto"/>
              </w:rPr>
            </w:pPr>
            <w:r>
              <w:rPr>
                <w:rFonts w:ascii="Arial" w:cs="Arial" w:eastAsia="Arial" w:hAnsi="Arial"/>
                <w:sz w:val="18"/>
                <w:szCs w:val="18"/>
                <w:color w:val="auto"/>
                <w:w w:val="91"/>
              </w:rPr>
              <w:t>Taxable income before deductions for distributions per weighted average diluted shares for the period</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0.28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Dividends from Asset Manager Affiliates are recorded based upon a quarterly estimate of tax-basis earnings and profits of each Asset Manager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Affiliate. Distributions in excess of the estimated tax-basis quarterly earnings and profits of each distributing Asset Manager Affiliate are recognized as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basis return of capital. The actual tax-basis earnings and profits and resulting dividend and/or return of capital for the year will be determined at the end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tax year for each distributing Asset Manager Affiliate. For the six months ended June 30, 2016 and 2015, the Asset Manager Affiliates declared cash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distributions of $1.9 million and $5.0 million to the Company, respectively. The Company recognized $1.4 million and $2.6 million, respectively,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dividends from Asset Manager Affiliates in the Statement of Operations for the six months ended June 30, 2016 and 2015. The difference of $500,000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 million, respectively, between cash distributions received and the tax-basis earnings and profits of the distributing affiliate, are recorded as an adjustment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cost basis in the Asset Manager Affiliate (i.e. tax-basis return of capital), for the six months ended June 30, 2016 and 2015, respectively.</w:t>
      </w:r>
    </w:p>
    <w:p>
      <w:pPr>
        <w:spacing w:after="0" w:line="211" w:lineRule="exact"/>
        <w:rPr>
          <w:sz w:val="20"/>
          <w:szCs w:val="20"/>
          <w:color w:val="auto"/>
        </w:rPr>
      </w:pPr>
    </w:p>
    <w:p>
      <w:pPr>
        <w:ind w:firstLine="414"/>
        <w:spacing w:after="0" w:line="302" w:lineRule="auto"/>
        <w:rPr>
          <w:sz w:val="20"/>
          <w:szCs w:val="20"/>
          <w:color w:val="auto"/>
        </w:rPr>
      </w:pPr>
      <w:r>
        <w:rPr>
          <w:rFonts w:ascii="Arial" w:cs="Arial" w:eastAsia="Arial" w:hAnsi="Arial"/>
          <w:sz w:val="16"/>
          <w:szCs w:val="16"/>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6"/>
          </w:tcPr>
          <w:p>
            <w:pPr>
              <w:ind w:left="10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34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80" w:type="dxa"/>
            <w:vAlign w:val="bottom"/>
            <w:tcBorders>
              <w:bottom w:val="single" w:sz="8" w:color="CCEEFF"/>
            </w:tcBorders>
          </w:tcPr>
          <w:p>
            <w:pPr>
              <w:spacing w:after="0"/>
              <w:rPr>
                <w:sz w:val="19"/>
                <w:szCs w:val="19"/>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Distributions paid from:</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Ordinary income</w:t>
            </w:r>
          </w:p>
        </w:tc>
        <w:tc>
          <w:tcPr>
            <w:tcW w:w="2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10,261,985</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7,645,458</w:t>
            </w:r>
          </w:p>
        </w:tc>
        <w:tc>
          <w:tcPr>
            <w:tcW w:w="80" w:type="dxa"/>
            <w:vAlign w:val="bottom"/>
          </w:tcPr>
          <w:p>
            <w:pPr>
              <w:spacing w:after="0"/>
              <w:rPr>
                <w:sz w:val="18"/>
                <w:szCs w:val="18"/>
                <w:color w:val="auto"/>
              </w:rPr>
            </w:pPr>
          </w:p>
        </w:tc>
      </w:tr>
      <w:tr>
        <w:trPr>
          <w:trHeight w:val="23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Return of Capital</w:t>
            </w:r>
          </w:p>
        </w:tc>
        <w:tc>
          <w:tcPr>
            <w:tcW w:w="2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740,910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2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11,002,895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7,645,458</w:t>
            </w:r>
          </w:p>
        </w:tc>
        <w:tc>
          <w:tcPr>
            <w:tcW w:w="8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At June 30, 2016, the Company had a net capital loss carryforward of approximately $93.3 million to offset net capital gains, to the extent provided by federal tax law. Of the net capital loss carryforward, $61.9 million is not subject to expiration under the RIC Modernization Act of 2010.</w:t>
      </w:r>
    </w:p>
    <w:p>
      <w:pPr>
        <w:spacing w:after="0" w:line="14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June 21, 2016, the Company’s Board of Directors declared a distribution to shareholders of $0.15 per share for a total of $5.5 million. The record date was July 7, 2016 and the distribution was paid on July 28, 2016.</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adopted Financial Accounting Standards Board ASC Topic 740 Accounting for Uncertainty in Income Taxes (“ASC 740”) as of January 1, 2007.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June 30, 2016 and December 31, 2015, the Company had $7.3 million and $360,000 of outstanding commitments to fund investments, respectively. At June 30, 2016, $7 million of such amount related to a revolving credit facility provided to Trimaran Advisors. Because Trimaran Advisors is wholly-owned by the Company, the Company fully controls when amounts thereunder are drawn by Trimaran Advisors.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During the six months ended June 30, 2016 and 2015, the Company issued 129,611 and 107,613 shares, respectively, of common stock under its dividend reinvestment plan. For the six months ended June 30, 2016, there were 6,000 grants, 31,373 forfeitures, and 259,855 shares vested. On February 14, 2013, the Company completed a public offering of 5,232,500 shares of common stock, which included the underwriters’ full exercise of their option to purchase up to 682,500 shares of common stock, at a price of $9.75 per share. In conjunction with this offering, the Company also sold 200,000 shares of common stock to a member of its Board of Directors, at a price of $9.31125 per share, raising approximately $1.9 million in gross proceeds. On April 4, 2013, approximately $9 million of the Company’s 8.75% Convertible Notes were converted at a price basis per share of $8.159 into 1,102,093 shares of KCAP common stock. On October 6, 2014, the Company priced a follow-on public offering of 3.0 million shares of its common stock at a price of $8.02 per share. The offering raised net proceeds were approximately $23.8 million, after deducting underwriting discounts and offering expenses. The total number of shares of the Company’s common stock outstanding as of June 30, 2016 and December 31, 2015 was 37,136,898 and 37,100,005, respectively. During the six months ended June 30, 2016, the Company repurchased 67,345 shares at an aggregate cost of approximately $247,000 in connection with the vesting of restricted stock awards.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w:t>
      </w:r>
    </w:p>
    <w:p>
      <w:pPr>
        <w:spacing w:after="0" w:line="229" w:lineRule="exact"/>
        <w:rPr>
          <w:sz w:val="20"/>
          <w:szCs w:val="20"/>
          <w:color w:val="auto"/>
        </w:rPr>
      </w:pPr>
    </w:p>
    <w:p>
      <w:pPr>
        <w:ind w:right="20" w:firstLine="414"/>
        <w:spacing w:after="0" w:line="290" w:lineRule="auto"/>
        <w:rPr>
          <w:sz w:val="20"/>
          <w:szCs w:val="20"/>
          <w:color w:val="auto"/>
        </w:rPr>
      </w:pPr>
      <w:r>
        <w:rPr>
          <w:rFonts w:ascii="Arial" w:cs="Arial" w:eastAsia="Arial" w:hAnsi="Arial"/>
          <w:sz w:val="16"/>
          <w:szCs w:val="16"/>
          <w:color w:val="auto"/>
        </w:rPr>
        <w:t>The Company has an equity incentive plan, established in 2006 and as amended in 2008, 2014 and most recently in June 2015 (the “Equity Incentive Plan”). The Company reserved 2,000,000 shares of common stock for issuance under the Equity Incentive Plan. The purpose of the Equity Incentive Plan is to provide officers and employees of the Company with additional incentives and align the interests of its employees with those of its shareholders. Options granted under the Equity Incentive Plan are exercisable at a price equal to the fair market value (market closing price) of the shares on the day the option is granted. Restricted stock granted under the Equity Incentive Plan is granted at a price equal to the fair market value (market closing price) of the shares on the day such restricted stock is granted. Vesting of restricted stock awarded under the 2008 amendment of the Equity Incentive Plan will occur in two equal installments of 50%, on each of the third and fourth anniversaries of the grant date; vesting of restricted stock subsequent to the 2014 amendment of the Equity Incentive Plan will vest in four equal installments of 25%, on each of the first four anniversaries of the grant date.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ind w:left="42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320" w:firstLine="414"/>
        <w:spacing w:after="0" w:line="312" w:lineRule="auto"/>
        <w:rPr>
          <w:sz w:val="20"/>
          <w:szCs w:val="20"/>
          <w:color w:val="auto"/>
        </w:rPr>
      </w:pPr>
      <w:r>
        <w:rPr>
          <w:rFonts w:ascii="Arial" w:cs="Arial" w:eastAsia="Arial" w:hAnsi="Arial"/>
          <w:sz w:val="16"/>
          <w:szCs w:val="16"/>
          <w:color w:val="auto"/>
        </w:rPr>
        <w:t>On June 20, 2014, the Company’s Board of Directors approved the amended and restated the Non-Employee Director Plan (the “Non-Employee Director Plan”), which was approved by shareholders on June 10, 2011. Accordingly, the annual grant of options to non-employee directors has been discontinued and replaced with an annual grant of shares of restricted stock as partial annual compensation for the services of the non-employee directors.</w:t>
      </w:r>
    </w:p>
    <w:p>
      <w:pPr>
        <w:spacing w:after="0" w:line="14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2015 through June 30, 2016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Weighted 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7"/>
              </w:rPr>
              <w:t>Weighted Average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3"/>
          </w:tcPr>
          <w:p>
            <w:pPr>
              <w:jc w:val="center"/>
              <w:ind w:right="220"/>
              <w:spacing w:after="0" w:line="181" w:lineRule="exact"/>
              <w:rPr>
                <w:sz w:val="20"/>
                <w:szCs w:val="20"/>
                <w:color w:val="auto"/>
              </w:rPr>
            </w:pPr>
            <w:r>
              <w:rPr>
                <w:rFonts w:ascii="Arial" w:cs="Arial" w:eastAsia="Arial" w:hAnsi="Arial"/>
                <w:sz w:val="18"/>
                <w:szCs w:val="18"/>
                <w:b w:val="1"/>
                <w:bCs w:val="1"/>
                <w:color w:val="auto"/>
                <w:w w:val="89"/>
              </w:rPr>
              <w:t>Exercise Price per</w:t>
            </w:r>
          </w:p>
        </w:tc>
        <w:tc>
          <w:tcPr>
            <w:tcW w:w="158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92"/>
              </w:rPr>
              <w:t>Remaining Term</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Share</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gridSpan w:val="2"/>
          </w:tcPr>
          <w:p>
            <w:pPr>
              <w:jc w:val="center"/>
              <w:ind w:right="220"/>
              <w:spacing w:after="0" w:line="269" w:lineRule="exact"/>
              <w:rPr>
                <w:sz w:val="20"/>
                <w:szCs w:val="20"/>
                <w:color w:val="auto"/>
              </w:rPr>
            </w:pPr>
            <w:r>
              <w:rPr>
                <w:rFonts w:ascii="Arial" w:cs="Arial" w:eastAsia="Arial" w:hAnsi="Arial"/>
                <w:sz w:val="18"/>
                <w:szCs w:val="18"/>
                <w:b w:val="1"/>
                <w:bCs w:val="1"/>
                <w:color w:val="auto"/>
                <w:w w:val="90"/>
              </w:rPr>
              <w:t>Intrinsic Value</w:t>
            </w:r>
            <w:r>
              <w:rPr>
                <w:rFonts w:ascii="Arial" w:cs="Arial" w:eastAsia="Arial" w:hAnsi="Arial"/>
                <w:sz w:val="30"/>
                <w:szCs w:val="30"/>
                <w:b w:val="1"/>
                <w:bCs w:val="1"/>
                <w:color w:val="auto"/>
                <w:w w:val="90"/>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2015</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2015</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5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20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Outstanding at June 30, 2016</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44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7.72</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vested at June 30, 2016</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44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7.72</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20" w:hanging="112"/>
        <w:spacing w:after="0"/>
        <w:tabs>
          <w:tab w:leader="none" w:pos="120" w:val="left"/>
        </w:tabs>
        <w:numPr>
          <w:ilvl w:val="0"/>
          <w:numId w:val="42"/>
        </w:numPr>
        <w:rPr>
          <w:rFonts w:ascii="Arial" w:cs="Arial" w:eastAsia="Arial" w:hAnsi="Arial"/>
          <w:sz w:val="30"/>
          <w:szCs w:val="30"/>
          <w:color w:val="auto"/>
          <w:vertAlign w:val="superscript"/>
        </w:rPr>
      </w:pPr>
      <w:r>
        <w:rPr>
          <w:rFonts w:ascii="Arial" w:cs="Arial" w:eastAsia="Arial" w:hAnsi="Arial"/>
          <w:sz w:val="18"/>
          <w:szCs w:val="18"/>
          <w:color w:val="auto"/>
        </w:rPr>
        <w:t>Represents the difference between the market value of shares of the Company and the exercise price of the options.</w:t>
      </w:r>
    </w:p>
    <w:p>
      <w:pPr>
        <w:spacing w:after="0" w:line="202" w:lineRule="exact"/>
        <w:rPr>
          <w:sz w:val="20"/>
          <w:szCs w:val="20"/>
          <w:color w:val="auto"/>
        </w:rPr>
      </w:pPr>
    </w:p>
    <w:p>
      <w:pPr>
        <w:jc w:val="both"/>
        <w:ind w:right="100" w:firstLine="41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six months ended June 30, 2016 and 2015, the Company did not recognize any non-cash compensation expense related to stock options. At June 30, 2016, the Company had no remaining compensation costs related to unvested stock based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170" w:lineRule="exact"/>
        <w:rPr>
          <w:sz w:val="20"/>
          <w:szCs w:val="20"/>
          <w:color w:val="auto"/>
        </w:rPr>
      </w:pPr>
    </w:p>
    <w:p>
      <w:pPr>
        <w:ind w:left="980" w:hanging="648"/>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23" w:lineRule="exact"/>
        <w:rPr>
          <w:rFonts w:ascii="Arial" w:cs="Arial" w:eastAsia="Arial" w:hAnsi="Arial"/>
          <w:sz w:val="18"/>
          <w:szCs w:val="18"/>
          <w:color w:val="auto"/>
        </w:rPr>
      </w:pPr>
    </w:p>
    <w:p>
      <w:pPr>
        <w:ind w:left="980" w:hanging="648"/>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21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May 5, 2013, the Company’s Board of Directors approved the grant of 240,741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14, 2013, 5,000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5, 2014, 5,000 shares of restricted stock were awarded to the Company’s Board of Directors.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June 20, 2014, the Company’s Board of Directors approved the grant of 355,289 shares of restricted stock to the employees of the Company as partial compensation for their services. 25% of such awards will vest on each of the first four anniversaries of the grant date.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color w:val="auto"/>
        </w:rPr>
        <w:t>On May 21, 2015, 6,000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3, 2016, 6,000 shares of restricted stock were awarded to the Company’s Board of Directors.</w:t>
      </w:r>
    </w:p>
    <w:p>
      <w:pPr>
        <w:spacing w:after="0" w:line="22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On June 16, 2015, the Company received exemptive relief to repurchase shares of its common stock from its employees in connection with certain equity compensation plan arrangements. During the six months ended June 30, 2016, the Company repurchased 67,345 shares of common stock at an aggregate cost of approximately $247,000 in connection with the vesting of employee’s restricted stock, which is reflected as Treasury Stock at cost on the Consolidated Balance Sheet. These shares are not available to be reissued under the Company’s Equity Incentive Plan.</w:t>
      </w:r>
    </w:p>
    <w:p>
      <w:pPr>
        <w:spacing w:after="0" w:line="171"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June 23, 2015, the Company’s Board of Directors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181"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On June 23, 2015, the Company’s Board of Directors also voted to amend the Equity Incentive Plan to specify that shares repurchased by the Company to satisfy employee tax withholding requirements would not be returned to the plan reserve and could not be reissued under the Company’s Equity Incentive Plan.</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six months ended June 30, 2016, 259,855 shares of restricted stock vested and 31,373 shares of restricted stock were forfeited. As of June 30, 2016, after giving effect to these restricted stock awards, there were 415,311 shares of restricted stock outstanding. Information with respect to restricted stock granted, exercised and forfeited under the Plan for the period January 1, 2015 through June 30, 2016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Non-vested</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Restricted</w:t>
            </w:r>
          </w:p>
        </w:tc>
        <w:tc>
          <w:tcPr>
            <w:tcW w:w="0" w:type="dxa"/>
            <w:vAlign w:val="bottom"/>
          </w:tcPr>
          <w:p>
            <w:pPr>
              <w:spacing w:after="0"/>
              <w:rPr>
                <w:sz w:val="1"/>
                <w:szCs w:val="1"/>
                <w:color w:val="auto"/>
              </w:rPr>
            </w:pPr>
          </w:p>
        </w:tc>
      </w:tr>
      <w:tr>
        <w:trPr>
          <w:trHeight w:val="234"/>
        </w:trPr>
        <w:tc>
          <w:tcPr>
            <w:tcW w:w="536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shares outstanding at January 1, 2015</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619,785</w:t>
            </w:r>
          </w:p>
        </w:tc>
        <w:tc>
          <w:tcPr>
            <w:tcW w:w="0" w:type="dxa"/>
            <w:vAlign w:val="bottom"/>
          </w:tcPr>
          <w:p>
            <w:pPr>
              <w:spacing w:after="0"/>
              <w:rPr>
                <w:sz w:val="1"/>
                <w:szCs w:val="1"/>
                <w:color w:val="auto"/>
              </w:rPr>
            </w:pPr>
          </w:p>
        </w:tc>
      </w:tr>
      <w:tr>
        <w:trPr>
          <w:trHeight w:val="257"/>
        </w:trPr>
        <w:tc>
          <w:tcPr>
            <w:tcW w:w="53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196,166</w:t>
            </w: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(104,550)</w:t>
            </w:r>
          </w:p>
        </w:tc>
        <w:tc>
          <w:tcPr>
            <w:tcW w:w="0" w:type="dxa"/>
            <w:vAlign w:val="bottom"/>
          </w:tcPr>
          <w:p>
            <w:pPr>
              <w:spacing w:after="0"/>
              <w:rPr>
                <w:sz w:val="1"/>
                <w:szCs w:val="1"/>
                <w:color w:val="auto"/>
              </w:rPr>
            </w:pP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(10,862)</w:t>
            </w: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shares outstanding at December 31, 2015</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700,539</w:t>
            </w:r>
          </w:p>
        </w:tc>
        <w:tc>
          <w:tcPr>
            <w:tcW w:w="0" w:type="dxa"/>
            <w:vAlign w:val="bottom"/>
          </w:tcPr>
          <w:p>
            <w:pPr>
              <w:spacing w:after="0"/>
              <w:rPr>
                <w:sz w:val="1"/>
                <w:szCs w:val="1"/>
                <w:color w:val="auto"/>
              </w:rPr>
            </w:pPr>
          </w:p>
        </w:tc>
      </w:tr>
      <w:tr>
        <w:trPr>
          <w:trHeight w:val="257"/>
        </w:trPr>
        <w:tc>
          <w:tcPr>
            <w:tcW w:w="53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(259,855)</w:t>
            </w:r>
          </w:p>
        </w:tc>
        <w:tc>
          <w:tcPr>
            <w:tcW w:w="0" w:type="dxa"/>
            <w:vAlign w:val="bottom"/>
          </w:tcPr>
          <w:p>
            <w:pPr>
              <w:spacing w:after="0"/>
              <w:rPr>
                <w:sz w:val="1"/>
                <w:szCs w:val="1"/>
                <w:color w:val="auto"/>
              </w:rPr>
            </w:pPr>
          </w:p>
        </w:tc>
      </w:tr>
      <w:tr>
        <w:trPr>
          <w:trHeight w:val="270"/>
        </w:trPr>
        <w:tc>
          <w:tcPr>
            <w:tcW w:w="53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(31,373)</w:t>
            </w:r>
          </w:p>
        </w:tc>
        <w:tc>
          <w:tcPr>
            <w:tcW w:w="0" w:type="dxa"/>
            <w:vAlign w:val="bottom"/>
          </w:tcPr>
          <w:p>
            <w:pPr>
              <w:spacing w:after="0"/>
              <w:rPr>
                <w:sz w:val="1"/>
                <w:szCs w:val="1"/>
                <w:color w:val="auto"/>
              </w:rPr>
            </w:pPr>
          </w:p>
        </w:tc>
      </w:tr>
      <w:tr>
        <w:trPr>
          <w:trHeight w:val="20"/>
        </w:trPr>
        <w:tc>
          <w:tcPr>
            <w:tcW w:w="53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Non-Vested Outstanding at June 30, 2016</w:t>
            </w: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60" w:type="dxa"/>
            <w:vAlign w:val="bottom"/>
            <w:vMerge w:val="continue"/>
            <w:shd w:val="clear" w:color="auto" w:fill="CCEEFF"/>
          </w:tcPr>
          <w:p>
            <w:pPr>
              <w:spacing w:after="0"/>
              <w:rPr>
                <w:sz w:val="22"/>
                <w:szCs w:val="22"/>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415,311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14"/>
        <w:spacing w:after="0" w:line="302" w:lineRule="auto"/>
        <w:rPr>
          <w:sz w:val="20"/>
          <w:szCs w:val="20"/>
          <w:color w:val="auto"/>
        </w:rPr>
      </w:pPr>
      <w:r>
        <w:rPr>
          <w:rFonts w:ascii="Arial" w:cs="Arial" w:eastAsia="Arial" w:hAnsi="Arial"/>
          <w:sz w:val="16"/>
          <w:szCs w:val="16"/>
          <w:color w:val="auto"/>
        </w:rPr>
        <w:t>For the six months ended June 30, 2016, non-cash compensation expense related to restricted stock was approximately $761,000; of this amount approximately $311,000 was expensed at the Company, and approximately $450,000 was a reimbursable expense allocated to the Asset Manager Affiliates. For the six months ended June 30, 2015, non-cash compensation expense related to restricted stock was approximately $730,000; of this amount approximately $332,000 was expensed at the Company and approximately $398,000 was a reimbursable expense allocated to the Asset Manager Affiliates.</w:t>
      </w:r>
    </w:p>
    <w:p>
      <w:pPr>
        <w:spacing w:after="0" w:line="154" w:lineRule="exact"/>
        <w:rPr>
          <w:sz w:val="20"/>
          <w:szCs w:val="20"/>
          <w:color w:val="auto"/>
        </w:rPr>
      </w:pPr>
    </w:p>
    <w:p>
      <w:pPr>
        <w:ind w:right="120" w:firstLine="414"/>
        <w:spacing w:after="0" w:line="312" w:lineRule="auto"/>
        <w:rPr>
          <w:sz w:val="20"/>
          <w:szCs w:val="20"/>
          <w:color w:val="auto"/>
        </w:rPr>
      </w:pPr>
      <w:r>
        <w:rPr>
          <w:rFonts w:ascii="Arial" w:cs="Arial" w:eastAsia="Arial" w:hAnsi="Arial"/>
          <w:sz w:val="16"/>
          <w:szCs w:val="16"/>
          <w:color w:val="auto"/>
        </w:rPr>
        <w:t>Distributions are paid on all outstanding shares of restricted stock, whether or not vested. In general, shares of unvested restricted stock are forfeited upon the recipient’s termination of employment. As of June 30, 2016, the Company had approximately $2.6 million of total unrecognized compensation cost related to non-vested restricted share awards. That cost is expected to be recognized over the remaining weighted average period of 2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right="20" w:firstLine="414"/>
        <w:spacing w:after="0" w:line="297" w:lineRule="auto"/>
        <w:rPr>
          <w:sz w:val="20"/>
          <w:szCs w:val="20"/>
          <w:color w:val="auto"/>
        </w:rPr>
      </w:pPr>
      <w:r>
        <w:rPr>
          <w:rFonts w:ascii="Arial" w:cs="Arial" w:eastAsia="Arial" w:hAnsi="Arial"/>
          <w:sz w:val="16"/>
          <w:szCs w:val="16"/>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$8,000 and $11,000 was expensed during the three months ended June 30, 2016 and 2015, respectively, related to the 401K Plan. During the six months ended June 30, 2016 and 2015, approximately $18,000 and $22,000 was expensed to the 401K Plan.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ind w:right="40" w:firstLine="324"/>
        <w:spacing w:after="0" w:line="254" w:lineRule="auto"/>
        <w:rPr>
          <w:sz w:val="20"/>
          <w:szCs w:val="20"/>
          <w:color w:val="auto"/>
        </w:rPr>
      </w:pPr>
      <w:r>
        <w:rPr>
          <w:rFonts w:ascii="Arial" w:cs="Arial" w:eastAsia="Arial" w:hAnsi="Arial"/>
          <w:sz w:val="18"/>
          <w:szCs w:val="18"/>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$46,000 and $53,000 was expensed during the three months ended June 30, 2016 and 2015, respectively, related to the Profit-Sharing Plan. During the six months ended June 30, 2016 and 2015, approximately $92,000 and $106,000, respectively, was expensed to the Profit-Sharing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On August 2, 2016, Trimaran Advisors, L.L.C borrowed $7.0 million under the Trimaran Credit Facility and increased its investment in an existing warehouse facility for a CLO to be managed by Trimaran.</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 has evaluated events and transactions occurring subsequent to June 30, 2016 for items that should potentially be recognized or disclosed in these financial statements. Other than described above, management has determined that there are no material subsequent events that would require adjustment to, or disclosure in, these consolidated financial statements.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5" w:name="page66"/>
    <w:bookmarkEnd w:id="65"/>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340" w:firstLine="414"/>
        <w:spacing w:after="0" w:line="277" w:lineRule="auto"/>
        <w:rPr>
          <w:sz w:val="20"/>
          <w:szCs w:val="20"/>
          <w:color w:val="auto"/>
        </w:rPr>
      </w:pPr>
      <w:r>
        <w:rPr>
          <w:rFonts w:ascii="Arial" w:cs="Arial" w:eastAsia="Arial" w:hAnsi="Arial"/>
          <w:sz w:val="18"/>
          <w:szCs w:val="18"/>
          <w:color w:val="auto"/>
        </w:rPr>
        <w:t>In this Quarterly Report on Form 10-Q, “KCAP Financial,” “Company,” “we,” “us,” and “our” refer to KCAP Financial, Inc., and its wholly-owned subsidiaries.</w:t>
      </w:r>
    </w:p>
    <w:p>
      <w:pPr>
        <w:spacing w:after="0" w:line="170" w:lineRule="exact"/>
        <w:rPr>
          <w:sz w:val="20"/>
          <w:szCs w:val="20"/>
          <w:color w:val="auto"/>
        </w:rPr>
      </w:pPr>
    </w:p>
    <w:p>
      <w:pPr>
        <w:ind w:firstLine="414"/>
        <w:spacing w:after="0" w:line="269" w:lineRule="auto"/>
        <w:rPr>
          <w:sz w:val="20"/>
          <w:szCs w:val="20"/>
          <w:color w:val="auto"/>
        </w:rPr>
      </w:pPr>
      <w:r>
        <w:rPr>
          <w:rFonts w:ascii="Arial" w:cs="Arial" w:eastAsia="Arial" w:hAnsi="Arial"/>
          <w:sz w:val="17"/>
          <w:szCs w:val="17"/>
          <w:color w:val="auto"/>
        </w:rPr>
        <w:t>The information contained in this section should be read in conjunction with our consolidated financial statements and notes thereto appearing elsewhere in this Quarterly Report and in conjunction with the financial statements and notes thereto in the Company’s Form 10-K for the year ended December 31, 2015,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KCAP Financial,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 forward-looking statements contained in this Quarterly Report include statements as to:</w:t>
      </w:r>
    </w:p>
    <w:p>
      <w:pPr>
        <w:spacing w:after="0" w:line="180"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registered investment company, including the impact of changes in laws or regulations governing our operations, or the operations of our portfolio companies;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form and amount of any distributions.</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For a discussion of factors that could cause our actual results to differ from forward-looking statements contained in this Quarterly Report, please see the discussion in Part II, “Item 1A. Risk Factors”, and in Part I, “Item 1A. Risk Factors” in our Annual Report on Form 10-K for the fiscal year ended December 31, 2015.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are an internally managed, non-diversified closed-end investment company that is regulated as a business development company, or BDC,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 (the “1940 Act”). We have three principal areas of investments:</w:t>
      </w:r>
    </w:p>
    <w:p>
      <w:pPr>
        <w:spacing w:after="0" w:line="211"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right="340" w:firstLine="270"/>
        <w:spacing w:after="0" w:line="277" w:lineRule="auto"/>
        <w:rPr>
          <w:sz w:val="20"/>
          <w:szCs w:val="20"/>
          <w:color w:val="auto"/>
        </w:rPr>
      </w:pPr>
      <w:r>
        <w:rPr>
          <w:rFonts w:ascii="Arial" w:cs="Arial" w:eastAsia="Arial" w:hAnsi="Arial"/>
          <w:sz w:val="18"/>
          <w:szCs w:val="18"/>
          <w:color w:val="auto"/>
        </w:rPr>
        <w:t>Second, the Company has invested in asset management companies (Katonah Debt Advisors and Trimaran Advisors, collectively the “Asset Manager Affiliates”) that manage collateralized loan obligation funds (“CLO Funds”).</w:t>
      </w:r>
    </w:p>
    <w:p>
      <w:pPr>
        <w:spacing w:after="0" w:line="170" w:lineRule="exact"/>
        <w:rPr>
          <w:sz w:val="20"/>
          <w:szCs w:val="20"/>
          <w:color w:val="auto"/>
        </w:rPr>
      </w:pPr>
    </w:p>
    <w:p>
      <w:pPr>
        <w:jc w:val="both"/>
        <w:ind w:right="80" w:firstLine="270"/>
        <w:spacing w:after="0" w:line="312" w:lineRule="auto"/>
        <w:rPr>
          <w:sz w:val="20"/>
          <w:szCs w:val="20"/>
          <w:color w:val="auto"/>
        </w:rPr>
      </w:pPr>
      <w:r>
        <w:rPr>
          <w:rFonts w:ascii="Arial" w:cs="Arial" w:eastAsia="Arial" w:hAnsi="Arial"/>
          <w:sz w:val="16"/>
          <w:szCs w:val="16"/>
          <w:color w:val="auto"/>
        </w:rPr>
        <w:t>Third, the Company invests in debt and subordinated securities issued by collateralized loan obligation funds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may also invest in other investments such as loans to larger, publicly-traded companies, high-yield bonds and distressed debt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receive warrants or options to purchase common stock in connection with its debt investments.</w:t>
      </w:r>
    </w:p>
    <w:p>
      <w:pPr>
        <w:spacing w:after="0" w:line="211" w:lineRule="exact"/>
        <w:rPr>
          <w:sz w:val="20"/>
          <w:szCs w:val="20"/>
          <w:color w:val="auto"/>
        </w:rPr>
      </w:pPr>
    </w:p>
    <w:p>
      <w:pPr>
        <w:ind w:right="60" w:firstLine="270"/>
        <w:spacing w:after="0" w:line="270"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of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 While our primary investment focus is on making loans to, and selected equity investments in, privately-held middle market companies, we may also invest in other investments such as loans to smaller companies or larger, publicly-traded companies, high-yield bonds and distressed debt securities. We may also receive warrants or options to purchase common stock in connection with our debt investments.</w:t>
      </w:r>
    </w:p>
    <w:p>
      <w:pPr>
        <w:spacing w:after="0" w:line="178" w:lineRule="exact"/>
        <w:rPr>
          <w:sz w:val="20"/>
          <w:szCs w:val="20"/>
          <w:color w:val="auto"/>
        </w:rPr>
      </w:pPr>
    </w:p>
    <w:p>
      <w:pPr>
        <w:ind w:right="40" w:firstLine="270"/>
        <w:spacing w:after="0" w:line="293" w:lineRule="auto"/>
        <w:rPr>
          <w:sz w:val="20"/>
          <w:szCs w:val="20"/>
          <w:color w:val="auto"/>
        </w:rPr>
      </w:pPr>
      <w:r>
        <w:rPr>
          <w:rFonts w:ascii="Arial" w:cs="Arial" w:eastAsia="Arial" w:hAnsi="Arial"/>
          <w:sz w:val="16"/>
          <w:szCs w:val="16"/>
          <w:color w:val="auto"/>
        </w:rPr>
        <w:t>From our Asset Manager Affiliates investment, we expect to receive recurring cash distributions and to generate capital appreciation through the addition of new CLO Funds managed by our Asset Manager Affiliates. We may also seek to monetize our investment in the Asset Manager Affiliates if and when business conditions warrant. The Asset Manager Affiliates manage CLO Funds that invest in broadly syndicated loans, high-yield bonds and other credit instruments. Collectively, the Asset Manager Affiliates have approximately $2.7 billion of par value assets under management as of June 30, 2016. The Asset Manager Affiliates are registered under the Investment Advisers Act of 1940, and are each managed independently from KCAP by a separate management team (however, certain of the Company’s executive officers also act in similar capacities for one or both of the Asset Manager Affiliates).</w:t>
      </w:r>
    </w:p>
    <w:p>
      <w:pPr>
        <w:spacing w:after="0" w:line="165" w:lineRule="exact"/>
        <w:rPr>
          <w:sz w:val="20"/>
          <w:szCs w:val="20"/>
          <w:color w:val="auto"/>
        </w:rPr>
      </w:pPr>
    </w:p>
    <w:p>
      <w:pPr>
        <w:ind w:right="300" w:firstLine="270"/>
        <w:spacing w:after="0" w:line="264" w:lineRule="auto"/>
        <w:rPr>
          <w:sz w:val="20"/>
          <w:szCs w:val="20"/>
          <w:color w:val="auto"/>
        </w:rPr>
      </w:pPr>
      <w:r>
        <w:rPr>
          <w:rFonts w:ascii="Arial" w:cs="Arial" w:eastAsia="Arial" w:hAnsi="Arial"/>
          <w:sz w:val="18"/>
          <w:szCs w:val="18"/>
          <w:color w:val="auto"/>
        </w:rPr>
        <w:t>In addition, our investments in CLO Fund Securities, which are primarily made up of a minority investment in the subordinated securities or preferred stock of CLO Funds raised and managed by our Asset Manager Affiliates, are anticipated to provide the Company with recurring cash distributions and complement the growth of our Asset Manager Affiliates.</w:t>
      </w:r>
    </w:p>
    <w:p>
      <w:pPr>
        <w:spacing w:after="0" w:line="181"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Subject to market conditions, we intend to grow our entire portfolio of investments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after such borrowing.</w:t>
      </w:r>
    </w:p>
    <w:p>
      <w:pPr>
        <w:spacing w:after="0" w:line="181"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We have elected to be treated for U.S. federal income tax purposes as a RIC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primary investments are: (1) lending to and investing in middle-market businesses through investments in senior secured loans, junior secured loans, subordinated/mezzanine debt investments, and other equity investments, which may include warrants, (2) our investments in our Asset Manager Affiliates, which manage portfolios of broadly syndicated loans, high-yield bonds and other credit instruments, and (3) CLO Fund Securities.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portfolio investment activity (excluding activity in time deposit and money market investments) for the six months ended June 30, 2016 (unaudited)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for the year ended December 31, 2015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CLO Fund</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Asset Manager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Securities</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8"/>
              </w:rPr>
              <w:t>Equity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Affiliates</w:t>
            </w:r>
          </w:p>
        </w:tc>
        <w:tc>
          <w:tcPr>
            <w:tcW w:w="6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Total Portfolio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December 31, 2014</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320,143,170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77,514,902</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8,119,681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72,326,000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478,103,753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2015 Activity: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originations /draws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108,670,472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11,952,000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1,953,299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122,575,771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Pay-downs / pay-offs / sales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(135,328,386)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(3,872,700)</w:t>
            </w:r>
          </w:p>
        </w:tc>
        <w:tc>
          <w:tcPr>
            <w:tcW w:w="3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(317,340)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(3,701,446)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(143,219,872)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(amortization)</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1,860,670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(9,507,050)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(7,646,380)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Net realized (losses) gains</w:t>
            </w: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41,580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(6,246,883)</w:t>
            </w:r>
          </w:p>
        </w:tc>
        <w:tc>
          <w:tcPr>
            <w:tcW w:w="3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3,015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(6,202,288)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fair value</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(10,748,262)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(13,967,887)</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(210,167)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(11,243,554)</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(36,169,870)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2015</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284,639,244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55,872,382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9,548,488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57,381,000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407,441,114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to Date 2016 Activity: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originations /draws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17,368,236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17,368,236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Pay-downs / pay-offs / sales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(38,778,564)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(4,200,000)</w:t>
            </w:r>
          </w:p>
        </w:tc>
        <w:tc>
          <w:tcPr>
            <w:tcW w:w="3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(500,000)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(43,478,564)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(amortization)</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(2,265,454)</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Net realized gains (losses)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(582,479)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(10,111,560)</w:t>
            </w:r>
          </w:p>
        </w:tc>
        <w:tc>
          <w:tcPr>
            <w:tcW w:w="3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(10,694,039)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fair value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2,082,813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6,884,699</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(317,286)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(11,593,000)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(2,942,774)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June 30, 2016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264,939,841</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46,180,067</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9,231,202</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45,288,000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365,639,110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ind w:left="340"/>
        <w:spacing w:after="0"/>
        <w:rPr>
          <w:sz w:val="20"/>
          <w:szCs w:val="20"/>
          <w:color w:val="auto"/>
        </w:rPr>
      </w:pPr>
      <w:r>
        <w:rPr>
          <w:rFonts w:ascii="Arial" w:cs="Arial" w:eastAsia="Arial" w:hAnsi="Arial"/>
          <w:sz w:val="18"/>
          <w:szCs w:val="18"/>
          <w:color w:val="auto"/>
        </w:rPr>
        <w:t>The following table shows the Company’s portfolio by security type at June 30, 2016 and December 31,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June 30, 2016 (unaudited)</w:t>
            </w: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ind w:left="1080"/>
              <w:spacing w:after="0"/>
              <w:rPr>
                <w:sz w:val="20"/>
                <w:szCs w:val="20"/>
                <w:color w:val="auto"/>
              </w:rPr>
            </w:pPr>
            <w:r>
              <w:rPr>
                <w:rFonts w:ascii="Arial" w:cs="Arial" w:eastAsia="Arial" w:hAnsi="Arial"/>
                <w:sz w:val="18"/>
                <w:szCs w:val="18"/>
                <w:b w:val="1"/>
                <w:bCs w:val="1"/>
                <w:color w:val="auto"/>
              </w:rPr>
              <w:t>December 31, 2015</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300"/>
              <w:spacing w:after="0" w:line="191" w:lineRule="exact"/>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Security Type</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6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Fair Value</w:t>
            </w: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%¹</w:t>
            </w:r>
          </w:p>
        </w:tc>
        <w:tc>
          <w:tcPr>
            <w:tcW w:w="28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Money Market Accounts³</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7,191,009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7,191,009</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2,129,381</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Senior Secured Loan</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202,023,215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194,066,823</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203,819,074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194,123,223</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37,201,963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34,755,026</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40,221,557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37,591,900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Senior Unsecured Loan</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16,000,000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16,000,000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23,000,000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23,000,000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Lien Bond</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1,564,800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2,216,700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Senior Subordinated Bond</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4,560,314</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4,709,896</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4,466,793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4,615,569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12,232,623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12,379,296</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11,879,187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10,551,724</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Senior Secured Bond</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1,508,522</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1,464,000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1,510,560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1,503,755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66,637,934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46,180,067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83,214,947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55,872,382</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10,467,787</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9,231,202</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10,467,787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9,548,488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Securities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10,411,673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11,036,373</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Asset Manager Affiliates²</w:t>
            </w: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56,091,230</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45,288,000</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56,591,230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57,381,000</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416,914,597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372,830,119</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450,712,189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409,570,495</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percentage of total portfolio at fair value.</w:t>
      </w:r>
    </w:p>
    <w:p>
      <w:pPr>
        <w:spacing w:after="0" w:line="23" w:lineRule="exact"/>
        <w:rPr>
          <w:sz w:val="20"/>
          <w:szCs w:val="20"/>
          <w:color w:val="auto"/>
        </w:rPr>
      </w:pPr>
    </w:p>
    <w:p>
      <w:pPr>
        <w:ind w:right="6360" w:firstLine="8"/>
        <w:spacing w:after="0" w:line="323" w:lineRule="auto"/>
        <w:tabs>
          <w:tab w:leader="none" w:pos="324"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Represents the equity investment in the Asset Manager Affiliates. ³ Includes restricted cash held under employee benefit plans.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29" w:lineRule="exact"/>
        <w:rPr>
          <w:sz w:val="20"/>
          <w:szCs w:val="20"/>
          <w:color w:val="auto"/>
        </w:rPr>
      </w:pPr>
    </w:p>
    <w:p>
      <w:pPr>
        <w:ind w:right="580" w:firstLine="414"/>
        <w:spacing w:after="0" w:line="277" w:lineRule="auto"/>
        <w:rPr>
          <w:sz w:val="20"/>
          <w:szCs w:val="20"/>
          <w:color w:val="auto"/>
        </w:rPr>
      </w:pPr>
      <w:r>
        <w:rPr>
          <w:rFonts w:ascii="Arial" w:cs="Arial" w:eastAsia="Arial" w:hAnsi="Arial"/>
          <w:sz w:val="18"/>
          <w:szCs w:val="18"/>
          <w:color w:val="auto"/>
        </w:rPr>
        <w:t>At June 30, 2016 and December 31, 2015, our investments in income producing loans and debt securities, excluding CLO Fund Securities, had a weighted average interest rate of approximately 7.2% and 7.4%, respectively.</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investment portfolio (excluding the Company’s investment in Asset Manager Affiliates and CLO Funds) at June 30, 2016 was spread across 30 different industries and 99 different entities with an average balance per entity of approximately $3.1 million. As of June 30, 2016, all but one of our portfolio companies were current on their debt service obligations.</w:t>
      </w:r>
    </w:p>
    <w:p>
      <w:pPr>
        <w:spacing w:after="0" w:line="18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may invest up to 30% of our investment portfolio in “Non-qualifying” opportunistic investments such as high-yield bonds, debt and equity securities of CLO Funds, foreign investments, and distressed debt or equity securities of public companies. At June 30, 2016 and December 31, 2015, the total amount of non-qualifying assets were approximately 16% and 18%, respectively. The majority of non-qualifying assets were foreign investments which were approximately 12% and 13% of the Company’s total assets, respectively (including the Company’s investments in CLO Funds, which are typically domiciled outside the U.S. and represented approximately 12% and 13% of its total assets on such dates, respectively). The investments in our Debt Securities Portfolio are all or predominantly below investment grade, and therefore have speculative characteristics with respect to the issuer’s capacity to pay interest and repay principal.</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detail the ten largest portfolio companies (at fair value) as of June 30, 2016 and December 31, 2015: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b w:val="1"/>
                <w:bCs w:val="1"/>
                <w:color w:val="auto"/>
                <w:w w:val="89"/>
              </w:rPr>
              <w:t>June 30, 2016 (unaudited)</w:t>
            </w: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91"/>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260"/>
              <w:spacing w:after="0" w:line="191" w:lineRule="exact"/>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34"/>
        </w:trPr>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Amortized Cost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 of FMV</w:t>
            </w:r>
          </w:p>
        </w:tc>
        <w:tc>
          <w:tcPr>
            <w:tcW w:w="160" w:type="dxa"/>
            <w:vAlign w:val="bottom"/>
            <w:tcBorders>
              <w:bottom w:val="single" w:sz="8" w:color="CCEEFF"/>
            </w:tcBorders>
          </w:tcPr>
          <w:p>
            <w:pPr>
              <w:spacing w:after="0"/>
              <w:rPr>
                <w:sz w:val="20"/>
                <w:szCs w:val="20"/>
                <w:color w:val="auto"/>
              </w:rPr>
            </w:pPr>
          </w:p>
        </w:tc>
        <w:tc>
          <w:tcPr>
            <w:tcW w:w="1720" w:type="dxa"/>
            <w:vAlign w:val="bottom"/>
          </w:tcPr>
          <w:p>
            <w:pPr>
              <w:spacing w:after="0"/>
              <w:rPr>
                <w:sz w:val="20"/>
                <w:szCs w:val="20"/>
                <w:color w:val="auto"/>
              </w:rPr>
            </w:pPr>
          </w:p>
        </w:tc>
      </w:tr>
      <w:tr>
        <w:trPr>
          <w:trHeight w:val="25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56,091,230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45,288,000</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720" w:type="dxa"/>
            <w:vAlign w:val="bottom"/>
          </w:tcPr>
          <w:p>
            <w:pPr>
              <w:spacing w:after="0"/>
              <w:rPr>
                <w:sz w:val="21"/>
                <w:szCs w:val="21"/>
                <w:color w:val="auto"/>
              </w:rPr>
            </w:pPr>
          </w:p>
        </w:tc>
      </w:tr>
      <w:tr>
        <w:trPr>
          <w:trHeight w:val="257"/>
        </w:trPr>
        <w:tc>
          <w:tcPr>
            <w:tcW w:w="5300" w:type="dxa"/>
            <w:vAlign w:val="bottom"/>
          </w:tcPr>
          <w:p>
            <w:pPr>
              <w:ind w:left="60"/>
              <w:spacing w:after="0"/>
              <w:rPr>
                <w:sz w:val="20"/>
                <w:szCs w:val="20"/>
                <w:color w:val="auto"/>
              </w:rPr>
            </w:pPr>
            <w:r>
              <w:rPr>
                <w:rFonts w:ascii="Arial" w:cs="Arial" w:eastAsia="Arial" w:hAnsi="Arial"/>
                <w:sz w:val="18"/>
                <w:szCs w:val="18"/>
                <w:color w:val="auto"/>
              </w:rPr>
              <w:t>Katonah 2007-I CLO Ltd.</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25,788,255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20,940,690</w:t>
            </w:r>
          </w:p>
        </w:tc>
        <w:tc>
          <w:tcPr>
            <w:tcW w:w="2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720" w:type="dxa"/>
            <w:vAlign w:val="bottom"/>
          </w:tcPr>
          <w:p>
            <w:pPr>
              <w:spacing w:after="0"/>
              <w:rPr>
                <w:sz w:val="22"/>
                <w:szCs w:val="22"/>
                <w:color w:val="auto"/>
              </w:rPr>
            </w:pPr>
          </w:p>
        </w:tc>
      </w:tr>
      <w:tr>
        <w:trPr>
          <w:trHeight w:val="257"/>
        </w:trPr>
        <w:tc>
          <w:tcPr>
            <w:tcW w:w="5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Trimaran Advisors, L.L.C.</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16,000,000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16,000,000</w:t>
            </w: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720" w:type="dxa"/>
            <w:vAlign w:val="bottom"/>
          </w:tcPr>
          <w:p>
            <w:pPr>
              <w:spacing w:after="0"/>
              <w:rPr>
                <w:sz w:val="22"/>
                <w:szCs w:val="22"/>
                <w:color w:val="auto"/>
              </w:rPr>
            </w:pP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DBI Holding LLC</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9,039,576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14,056,509</w:t>
            </w:r>
          </w:p>
        </w:tc>
        <w:tc>
          <w:tcPr>
            <w:tcW w:w="2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720" w:type="dxa"/>
            <w:vAlign w:val="bottom"/>
          </w:tcPr>
          <w:p>
            <w:pPr>
              <w:spacing w:after="0"/>
              <w:rPr>
                <w:sz w:val="22"/>
                <w:szCs w:val="2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Grupo HIMA San Pablo, Inc.</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9,822,884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9,330,223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720" w:type="dxa"/>
            <w:vAlign w:val="bottom"/>
          </w:tcPr>
          <w:p>
            <w:pPr>
              <w:spacing w:after="0"/>
              <w:rPr>
                <w:sz w:val="18"/>
                <w:szCs w:val="18"/>
                <w:color w:val="auto"/>
              </w:rPr>
            </w:pP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WireCo WorldGroup Inc.</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8,012,302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8,000,000</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22"/>
                <w:szCs w:val="22"/>
                <w:color w:val="auto"/>
              </w:rPr>
            </w:pPr>
          </w:p>
        </w:tc>
      </w:tr>
      <w:tr>
        <w:trPr>
          <w:trHeight w:val="25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Tank Partners Holdings, LLC</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11,511,938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7,389,802</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22"/>
                <w:szCs w:val="22"/>
                <w:color w:val="auto"/>
              </w:rPr>
            </w:pP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US Bank Money Market Account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7,176,741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7,176,741</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22"/>
                <w:szCs w:val="22"/>
                <w:color w:val="auto"/>
              </w:rPr>
            </w:pPr>
          </w:p>
        </w:tc>
      </w:tr>
      <w:tr>
        <w:trPr>
          <w:trHeight w:val="257"/>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Roscoe Medical, Inc.</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6,660,600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6,434,680</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22"/>
                <w:szCs w:val="22"/>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Weiman Products, LLC</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5,778,211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5,805,118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19"/>
                <w:szCs w:val="19"/>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64"/>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155,881,737</w:t>
            </w: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140,421,763</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720" w:type="dxa"/>
            <w:vAlign w:val="bottom"/>
          </w:tcPr>
          <w:p>
            <w:pPr>
              <w:spacing w:after="0"/>
              <w:rPr>
                <w:sz w:val="22"/>
                <w:szCs w:val="22"/>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36"/>
        </w:trPr>
        <w:tc>
          <w:tcPr>
            <w:tcW w:w="5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0"/>
              </w:rPr>
              <w:t>December 31, 2015</w:t>
            </w:r>
          </w:p>
        </w:tc>
        <w:tc>
          <w:tcPr>
            <w:tcW w:w="12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10"/>
              <w:spacing w:after="0" w:line="191" w:lineRule="exact"/>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Amortized Cost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Fair Value</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of FMV</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56,591,230</w:t>
            </w:r>
          </w:p>
        </w:tc>
        <w:tc>
          <w:tcPr>
            <w:tcW w:w="1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180" w:type="dxa"/>
            <w:vAlign w:val="bottom"/>
            <w:vMerge w:val="continue"/>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80" w:type="dxa"/>
            <w:vAlign w:val="bottom"/>
          </w:tcPr>
          <w:p>
            <w:pPr>
              <w:spacing w:after="0" w:line="256" w:lineRule="exact"/>
              <w:rPr>
                <w:sz w:val="20"/>
                <w:szCs w:val="20"/>
                <w:color w:val="auto"/>
              </w:rPr>
            </w:pPr>
            <w:r>
              <w:rPr>
                <w:rFonts w:ascii="Arial" w:cs="Arial" w:eastAsia="Arial" w:hAnsi="Arial"/>
                <w:sz w:val="18"/>
                <w:szCs w:val="18"/>
                <w:color w:val="auto"/>
              </w:rPr>
              <w:t>Trimaran Advisors, L.L.C.</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23,000,000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23,000,000</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Katonah 2007-I CLO Ltd.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24,312,424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20,295,677</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DBI Holding, LLC</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8,585,578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12,975,447</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Crowley Holdings Preferred, LLC</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10,411,673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11,036,373</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Grupo HIMA San Pablo, Inc.</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9,817,315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9,917,500</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2015-1 Ltd.</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11,869,751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8,789,651</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10,624,515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8,177,538</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Weiman Products, LLC</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6,582,457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6,619,805</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Nielsen &amp; Bainbridge, LLC</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6,803,605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6,510,157</w:t>
            </w:r>
          </w:p>
        </w:tc>
        <w:tc>
          <w:tcPr>
            <w:tcW w:w="1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2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right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168,598,548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164,703,148</w:t>
            </w:r>
          </w:p>
        </w:tc>
        <w:tc>
          <w:tcPr>
            <w:tcW w:w="1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w w:val="92"/>
              </w:rPr>
              <w:t>¹ Related party loan - See Note 5 to Consolidated Financial Statements.</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Excluding the Asset Manager Affiliates and CLO Fund Securities, the Company’s ten largest portfolio companies represented approximately 17% and 19% of the total fair value of the Company’s investments at June 30, 2016 and December 31, 2015,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industry concentrations based on the fair value of the Company’s investment portfolio as of June 30, 2016 and December 31, 2015, were as follows:</w:t>
      </w: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18"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June 30, 2016 (unaudited)</w:t>
            </w: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ind w:left="960"/>
              <w:spacing w:after="0"/>
              <w:rPr>
                <w:sz w:val="20"/>
                <w:szCs w:val="20"/>
                <w:color w:val="auto"/>
              </w:rPr>
            </w:pPr>
            <w:r>
              <w:rPr>
                <w:rFonts w:ascii="Arial" w:cs="Arial" w:eastAsia="Arial" w:hAnsi="Arial"/>
                <w:sz w:val="18"/>
                <w:szCs w:val="18"/>
                <w:b w:val="1"/>
                <w:bCs w:val="1"/>
                <w:color w:val="auto"/>
              </w:rPr>
              <w:t>December 31, 2015</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230"/>
              <w:spacing w:after="0"/>
              <w:rPr>
                <w:sz w:val="20"/>
                <w:szCs w:val="20"/>
                <w:color w:val="auto"/>
              </w:rPr>
            </w:pPr>
            <w:r>
              <w:rPr>
                <w:rFonts w:ascii="Arial" w:cs="Arial" w:eastAsia="Arial" w:hAnsi="Arial"/>
                <w:sz w:val="36"/>
                <w:szCs w:val="36"/>
                <w:b w:val="1"/>
                <w:bCs w:val="1"/>
                <w:color w:val="auto"/>
                <w:vertAlign w:val="subscript"/>
              </w:rPr>
              <w:t>%</w:t>
            </w:r>
            <w:r>
              <w:rPr>
                <w:rFonts w:ascii="Arial" w:cs="Arial" w:eastAsia="Arial" w:hAnsi="Arial"/>
                <w:sz w:val="15"/>
                <w:szCs w:val="15"/>
                <w:b w:val="1"/>
                <w:bCs w:val="1"/>
                <w:color w:val="auto"/>
              </w:rPr>
              <w:t>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230"/>
              <w:spacing w:after="0"/>
              <w:rPr>
                <w:sz w:val="20"/>
                <w:szCs w:val="20"/>
                <w:color w:val="auto"/>
              </w:rPr>
            </w:pPr>
            <w:r>
              <w:rPr>
                <w:rFonts w:ascii="Arial" w:cs="Arial" w:eastAsia="Arial" w:hAnsi="Arial"/>
                <w:sz w:val="36"/>
                <w:szCs w:val="36"/>
                <w:b w:val="1"/>
                <w:bCs w:val="1"/>
                <w:color w:val="auto"/>
                <w:vertAlign w:val="subscript"/>
              </w:rPr>
              <w:t>%</w:t>
            </w:r>
            <w:r>
              <w:rPr>
                <w:rFonts w:ascii="Arial" w:cs="Arial" w:eastAsia="Arial" w:hAnsi="Arial"/>
                <w:sz w:val="15"/>
                <w:szCs w:val="15"/>
                <w:b w:val="1"/>
                <w:bCs w:val="1"/>
                <w:color w:val="auto"/>
              </w:rPr>
              <w:t>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Industry Classification</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6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Fair Value</w:t>
            </w:r>
          </w:p>
        </w:tc>
        <w:tc>
          <w:tcPr>
            <w:tcW w:w="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9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4,333,032</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4,160,920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6,910,349</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6,383,724</w:t>
            </w:r>
          </w:p>
        </w:tc>
        <w:tc>
          <w:tcPr>
            <w:tcW w:w="22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2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56,091,230</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45,288,000</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56,591,230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57,381,000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Portfolio Company Loan</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16,000,000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16,000,000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5,956,735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5,687,897</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9,898,494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9,440,866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Banking, Finance, Insurance &amp; Real Estate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5,244,397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5,182,488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6,270,984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6,008,587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17,167,541</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16,729,529</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17,334,746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16,882,750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9,512,302</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8,750,749</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9,519,342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7,846,767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3,475,643</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3,393,621</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3,494,086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3,359,916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66,637,934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46,180,067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83,214,947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55,872,382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Construction &amp; Building</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1,967,650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1,929,906</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1,976,345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1,907,614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12,267,142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10,660,999</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13,983,607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12,753,455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Consumer goods: Non-durable</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18,976,505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18,571,340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20,124,355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19,646,576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Ecological</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2,970,013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2,970,000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3,431,926</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3,430,000</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Electricity</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3,424,176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3,447,060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3,465,576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3,465,000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Energy: Oil &amp; Gas</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14,006,035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9,161,755</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14,281,821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10,204,318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13,610,316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13,019,366</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13,735,492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13,179,657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Forest Products &amp; Paper</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5,873,851</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5,693,032</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5,888,294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5,883,080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55,492,223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51,945,870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58,649,512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55,417,827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1,079,617</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11,545,810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11,413,643</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11,727,898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11,662,995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Hotel, Gaming &amp; Leisure</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&amp; Publishing</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11,925,369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11,192,734</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11,167,950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10,340,449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Media: Broadcasting &amp; Subscription</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6,599,850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6,614,355</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7,428,110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7,406,792</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Metals &amp; Mining</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228,563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4,402,375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3,950,180</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4,416,709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3,594,599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21,388,178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26,032,083</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18,206,668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21,022,801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Services: Consumer</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6,429,491</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6,335,902</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6,512,029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6,356,054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13,731,707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13,082,487</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13,776,871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12,425,489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gridSpan w:val="2"/>
          </w:tcPr>
          <w:p>
            <w:pPr>
              <w:spacing w:after="0" w:line="206" w:lineRule="exact"/>
              <w:rPr>
                <w:sz w:val="20"/>
                <w:szCs w:val="20"/>
                <w:color w:val="auto"/>
              </w:rPr>
            </w:pPr>
            <w:r>
              <w:rPr>
                <w:rFonts w:ascii="Arial" w:cs="Arial" w:eastAsia="Arial" w:hAnsi="Arial"/>
                <w:sz w:val="18"/>
                <w:szCs w:val="18"/>
                <w:color w:val="auto"/>
              </w:rPr>
              <w:t>Time Deposit and Money Market</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340" w:type="dxa"/>
            <w:vAlign w:val="bottom"/>
            <w:gridSpan w:val="3"/>
          </w:tcPr>
          <w:p>
            <w:pPr>
              <w:spacing w:after="0" w:line="266" w:lineRule="exact"/>
              <w:rPr>
                <w:sz w:val="20"/>
                <w:szCs w:val="20"/>
                <w:color w:val="auto"/>
              </w:rPr>
            </w:pPr>
            <w:r>
              <w:rPr>
                <w:rFonts w:ascii="Arial" w:cs="Arial" w:eastAsia="Arial" w:hAnsi="Arial"/>
                <w:sz w:val="18"/>
                <w:szCs w:val="18"/>
                <w:color w:val="auto"/>
              </w:rPr>
              <w:t>Accounts</w:t>
            </w:r>
            <w:r>
              <w:rPr>
                <w:rFonts w:ascii="Arial" w:cs="Arial" w:eastAsia="Arial" w:hAnsi="Arial"/>
                <w:sz w:val="30"/>
                <w:szCs w:val="30"/>
                <w:color w:val="auto"/>
                <w:vertAlign w:val="superscript"/>
              </w:rPr>
              <w:t>3</w:t>
            </w:r>
          </w:p>
        </w:tc>
        <w:tc>
          <w:tcPr>
            <w:tcW w:w="2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7,191,009</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7,191,009</w:t>
            </w:r>
          </w:p>
        </w:tc>
        <w:tc>
          <w:tcPr>
            <w:tcW w:w="220" w:type="dxa"/>
            <w:vAlign w:val="bottom"/>
          </w:tcPr>
          <w:p>
            <w:pPr>
              <w:spacing w:after="0"/>
              <w:rPr>
                <w:sz w:val="23"/>
                <w:szCs w:val="23"/>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3"/>
                <w:szCs w:val="2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2,129,381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2,129,381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Cargo</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7,592,854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7,384,198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18,232,953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18,865,603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Transportation: Consumer</w:t>
            </w:r>
          </w:p>
        </w:tc>
        <w:tc>
          <w:tcPr>
            <w:tcW w:w="2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2,442,712</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2,450,672</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2,472,795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2,324,381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 Electric</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5,518,411</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4,977,266</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5,673,082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4,806,441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416,914,597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372,830,119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450,712,189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409,570,495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340" w:hanging="332"/>
        <w:spacing w:after="0" w:line="180" w:lineRule="auto"/>
        <w:tabs>
          <w:tab w:leader="none" w:pos="340" w:val="left"/>
        </w:tabs>
        <w:numPr>
          <w:ilvl w:val="0"/>
          <w:numId w:val="48"/>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ind w:left="340" w:hanging="332"/>
        <w:spacing w:after="0" w:line="180" w:lineRule="auto"/>
        <w:tabs>
          <w:tab w:leader="none" w:pos="340" w:val="left"/>
        </w:tabs>
        <w:numPr>
          <w:ilvl w:val="0"/>
          <w:numId w:val="49"/>
        </w:numPr>
        <w:rPr>
          <w:rFonts w:ascii="Arial" w:cs="Arial" w:eastAsia="Arial" w:hAnsi="Arial"/>
          <w:sz w:val="25"/>
          <w:szCs w:val="25"/>
          <w:color w:val="auto"/>
          <w:vertAlign w:val="superscript"/>
        </w:rPr>
      </w:pPr>
      <w:r>
        <w:rPr>
          <w:rFonts w:ascii="Arial" w:cs="Arial" w:eastAsia="Arial" w:hAnsi="Arial"/>
          <w:sz w:val="16"/>
          <w:szCs w:val="16"/>
          <w:color w:val="auto"/>
        </w:rPr>
        <w:t>Includes restricted cash held under employee benefit plans.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CLO Fund Securities</w:t>
      </w:r>
    </w:p>
    <w:p>
      <w:pPr>
        <w:spacing w:after="0" w:line="229"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June 30, 2016, we had approximately $46 million invested in CLO Fund Securities, issued primarily by funds managed by our Asset Manager Affiliates.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71" w:name="page72"/>
    <w:bookmarkEnd w:id="71"/>
    <w:p>
      <w:pPr>
        <w:ind w:left="340"/>
        <w:spacing w:after="0"/>
        <w:rPr>
          <w:sz w:val="20"/>
          <w:szCs w:val="20"/>
          <w:color w:val="auto"/>
        </w:rPr>
      </w:pPr>
      <w:r>
        <w:rPr>
          <w:rFonts w:ascii="Arial" w:cs="Arial" w:eastAsia="Arial" w:hAnsi="Arial"/>
          <w:sz w:val="18"/>
          <w:szCs w:val="18"/>
          <w:color w:val="auto"/>
        </w:rPr>
        <w:t>Our CLO Fund Securities as of June 30, 2016 and December 31, 2015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ind w:left="520"/>
              <w:spacing w:after="0"/>
              <w:rPr>
                <w:sz w:val="20"/>
                <w:szCs w:val="20"/>
                <w:color w:val="auto"/>
              </w:rPr>
            </w:pPr>
            <w:r>
              <w:rPr>
                <w:rFonts w:ascii="Arial" w:cs="Arial" w:eastAsia="Arial" w:hAnsi="Arial"/>
                <w:sz w:val="18"/>
                <w:szCs w:val="18"/>
                <w:b w:val="1"/>
                <w:bCs w:val="1"/>
                <w:color w:val="auto"/>
              </w:rPr>
              <w:t>June 30, 2016</w:t>
            </w:r>
          </w:p>
        </w:tc>
        <w:tc>
          <w:tcPr>
            <w:tcW w:w="240" w:type="dxa"/>
            <w:vAlign w:val="bottom"/>
          </w:tcPr>
          <w:p>
            <w:pPr>
              <w:spacing w:after="0"/>
              <w:rPr>
                <w:sz w:val="20"/>
                <w:szCs w:val="20"/>
                <w:color w:val="auto"/>
              </w:rPr>
            </w:pPr>
          </w:p>
        </w:tc>
        <w:tc>
          <w:tcPr>
            <w:tcW w:w="2400" w:type="dxa"/>
            <w:vAlign w:val="bottom"/>
            <w:gridSpan w:val="5"/>
          </w:tcPr>
          <w:p>
            <w:pPr>
              <w:ind w:left="30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191"/>
        </w:trPr>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ind w:right="291"/>
              <w:spacing w:after="0"/>
              <w:rPr>
                <w:sz w:val="20"/>
                <w:szCs w:val="20"/>
                <w:color w:val="auto"/>
              </w:rPr>
            </w:pPr>
            <w:r>
              <w:rPr>
                <w:rFonts w:ascii="Arial" w:cs="Arial" w:eastAsia="Arial" w:hAnsi="Arial"/>
                <w:sz w:val="36"/>
                <w:szCs w:val="36"/>
                <w:b w:val="1"/>
                <w:bCs w:val="1"/>
                <w:color w:val="auto"/>
                <w:vertAlign w:val="subscript"/>
              </w:rPr>
              <w:t>%</w:t>
            </w:r>
            <w:r>
              <w:rPr>
                <w:rFonts w:ascii="Arial" w:cs="Arial" w:eastAsia="Arial" w:hAnsi="Arial"/>
                <w:sz w:val="15"/>
                <w:szCs w:val="15"/>
                <w:b w:val="1"/>
                <w:bCs w:val="1"/>
                <w:color w:val="auto"/>
              </w:rPr>
              <w:t>1</w:t>
            </w:r>
          </w:p>
        </w:tc>
        <w:tc>
          <w:tcPr>
            <w:tcW w:w="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160"/>
              <w:spacing w:after="0" w:line="191" w:lineRule="exact"/>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660"/>
              <w:spacing w:after="0" w:line="191" w:lineRule="exact"/>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Arial" w:cs="Arial" w:eastAsia="Arial" w:hAnsi="Arial"/>
                <w:sz w:val="18"/>
                <w:szCs w:val="18"/>
                <w:b w:val="1"/>
                <w:bCs w:val="1"/>
                <w:color w:val="auto"/>
              </w:rPr>
              <w:t>CLO Fund Securities</w:t>
            </w:r>
          </w:p>
        </w:tc>
        <w:tc>
          <w:tcPr>
            <w:tcW w:w="100" w:type="dxa"/>
            <w:vAlign w:val="bottom"/>
          </w:tcPr>
          <w:p>
            <w:pPr>
              <w:spacing w:after="0"/>
              <w:rPr>
                <w:sz w:val="20"/>
                <w:szCs w:val="20"/>
                <w:color w:val="auto"/>
              </w:rPr>
            </w:pPr>
          </w:p>
        </w:tc>
        <w:tc>
          <w:tcPr>
            <w:tcW w:w="1720" w:type="dxa"/>
            <w:vAlign w:val="bottom"/>
          </w:tcPr>
          <w:p>
            <w:pPr>
              <w:ind w:left="420"/>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Amortized Cost</w:t>
            </w:r>
          </w:p>
        </w:tc>
        <w:tc>
          <w:tcPr>
            <w:tcW w:w="10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
        </w:trPr>
        <w:tc>
          <w:tcPr>
            <w:tcW w:w="2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Grant Grove CLO, Ltd.</w:t>
            </w:r>
          </w:p>
        </w:tc>
        <w:tc>
          <w:tcPr>
            <w:tcW w:w="100" w:type="dxa"/>
            <w:vAlign w:val="bottom"/>
            <w:vMerge w:val="continue"/>
            <w:shd w:val="clear" w:color="auto" w:fill="CCEEFF"/>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w w:val="88"/>
              </w:rPr>
              <w:t>Subordinated Securities</w:t>
            </w:r>
          </w:p>
        </w:tc>
        <w:tc>
          <w:tcPr>
            <w:tcW w:w="100" w:type="dxa"/>
            <w:vAlign w:val="bottom"/>
            <w:vMerge w:val="continue"/>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2,465,495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91,518</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2,484,943</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40" w:type="dxa"/>
            <w:vAlign w:val="bottom"/>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Preferred Shares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1,387,049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325,000</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1,373,132</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IX CLO Ltd.</w:t>
            </w:r>
            <w:r>
              <w:rPr>
                <w:rFonts w:ascii="Arial" w:cs="Arial" w:eastAsia="Arial" w:hAnsi="Arial"/>
                <w:sz w:val="29"/>
                <w:szCs w:val="29"/>
                <w:color w:val="auto"/>
                <w:vertAlign w:val="superscript"/>
              </w:rPr>
              <w:t>2</w:t>
            </w:r>
          </w:p>
        </w:tc>
        <w:tc>
          <w:tcPr>
            <w:tcW w:w="19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1,140,057</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40" w:type="dxa"/>
            <w:vAlign w:val="bottom"/>
          </w:tcPr>
          <w:p>
            <w:pPr>
              <w:spacing w:after="0" w:line="256" w:lineRule="exact"/>
              <w:rPr>
                <w:sz w:val="20"/>
                <w:szCs w:val="20"/>
                <w:color w:val="auto"/>
              </w:rPr>
            </w:pPr>
            <w:r>
              <w:rPr>
                <w:rFonts w:ascii="Arial" w:cs="Arial" w:eastAsia="Arial" w:hAnsi="Arial"/>
                <w:sz w:val="18"/>
                <w:szCs w:val="18"/>
                <w:color w:val="auto"/>
              </w:rPr>
              <w:t>Katonah X CLO Ltd.</w:t>
            </w:r>
            <w:r>
              <w:rPr>
                <w:rFonts w:ascii="Arial" w:cs="Arial" w:eastAsia="Arial" w:hAnsi="Arial"/>
                <w:sz w:val="29"/>
                <w:szCs w:val="29"/>
                <w:color w:val="auto"/>
                <w:vertAlign w:val="superscript"/>
              </w:rPr>
              <w:t>2</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w w:val="94"/>
              </w:rPr>
              <w:t>Subordinated Securities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7,637,499</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2</w:t>
            </w:r>
          </w:p>
        </w:tc>
        <w:tc>
          <w:tcPr>
            <w:tcW w:w="19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25,788,253</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20,940,687</w:t>
            </w:r>
          </w:p>
        </w:tc>
        <w:tc>
          <w:tcPr>
            <w:tcW w:w="240" w:type="dxa"/>
            <w:vAlign w:val="bottom"/>
            <w:shd w:val="clear" w:color="auto" w:fill="CCEEFF"/>
          </w:tcPr>
          <w:p>
            <w:pPr>
              <w:spacing w:after="0"/>
              <w:rPr>
                <w:sz w:val="22"/>
                <w:szCs w:val="22"/>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24,312,424</w:t>
            </w: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20,295,677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40" w:type="dxa"/>
            <w:vAlign w:val="bottom"/>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2</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Income Notes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1,450,534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1,509,754</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1,375,013</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1,647,272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Catamaran CLO 2012-1 Ltd.</w:t>
            </w:r>
            <w:r>
              <w:rPr>
                <w:rFonts w:ascii="Arial" w:cs="Arial" w:eastAsia="Arial" w:hAnsi="Arial"/>
                <w:sz w:val="29"/>
                <w:szCs w:val="29"/>
                <w:color w:val="auto"/>
                <w:vertAlign w:val="superscript"/>
              </w:rPr>
              <w:t>2</w:t>
            </w:r>
          </w:p>
        </w:tc>
        <w:tc>
          <w:tcPr>
            <w:tcW w:w="19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Subordinated Notes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6,306,230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2,669,020</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6,791,980</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3,312,940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40" w:type="dxa"/>
            <w:vAlign w:val="bottom"/>
          </w:tcPr>
          <w:p>
            <w:pPr>
              <w:spacing w:after="0" w:line="256" w:lineRule="exact"/>
              <w:rPr>
                <w:sz w:val="20"/>
                <w:szCs w:val="20"/>
                <w:color w:val="auto"/>
              </w:rPr>
            </w:pPr>
            <w:r>
              <w:rPr>
                <w:rFonts w:ascii="Arial" w:cs="Arial" w:eastAsia="Arial" w:hAnsi="Arial"/>
                <w:sz w:val="18"/>
                <w:szCs w:val="18"/>
                <w:color w:val="auto"/>
              </w:rPr>
              <w:t>Catamaran CLO 2013-1 Ltd.</w:t>
            </w:r>
            <w:r>
              <w:rPr>
                <w:rFonts w:ascii="Arial" w:cs="Arial" w:eastAsia="Arial" w:hAnsi="Arial"/>
                <w:sz w:val="29"/>
                <w:szCs w:val="29"/>
                <w:color w:val="auto"/>
                <w:vertAlign w:val="superscript"/>
              </w:rPr>
              <w:t>2</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Subordinated Notes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5,715,958</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5,196,495</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6,256,090</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5,639,106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Dryden 30 Senior Loan Fund</w:t>
            </w:r>
          </w:p>
        </w:tc>
        <w:tc>
          <w:tcPr>
            <w:tcW w:w="19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Subordinated Notes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1,443,562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1,744,724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8,928,790</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5,846,325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40" w:type="dxa"/>
            <w:vAlign w:val="bottom"/>
          </w:tcPr>
          <w:p>
            <w:pPr>
              <w:spacing w:after="0" w:line="256" w:lineRule="exact"/>
              <w:rPr>
                <w:sz w:val="20"/>
                <w:szCs w:val="20"/>
                <w:color w:val="auto"/>
              </w:rPr>
            </w:pPr>
            <w:r>
              <w:rPr>
                <w:rFonts w:ascii="Arial" w:cs="Arial" w:eastAsia="Arial" w:hAnsi="Arial"/>
                <w:sz w:val="18"/>
                <w:szCs w:val="18"/>
                <w:color w:val="auto"/>
              </w:rPr>
              <w:t>Catamaran CLO 2014-1 Ltd.</w:t>
            </w:r>
            <w:r>
              <w:rPr>
                <w:rFonts w:ascii="Arial" w:cs="Arial" w:eastAsia="Arial" w:hAnsi="Arial"/>
                <w:sz w:val="29"/>
                <w:szCs w:val="29"/>
                <w:color w:val="auto"/>
                <w:vertAlign w:val="superscript"/>
              </w:rPr>
              <w:t>2</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Subordinated Notes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8,381,930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4,700,325</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1,428,797</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Catamaran CLO 2014-1 Ltd.</w:t>
            </w:r>
            <w:r>
              <w:rPr>
                <w:rFonts w:ascii="Arial" w:cs="Arial" w:eastAsia="Arial" w:hAnsi="Arial"/>
                <w:sz w:val="29"/>
                <w:szCs w:val="29"/>
                <w:color w:val="auto"/>
                <w:vertAlign w:val="superscript"/>
              </w:rPr>
              <w:t>2</w:t>
            </w:r>
          </w:p>
        </w:tc>
        <w:tc>
          <w:tcPr>
            <w:tcW w:w="19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Class E Notes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1,435,070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1,592,303</w:t>
            </w: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1,634,647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840" w:type="dxa"/>
            <w:vAlign w:val="bottom"/>
          </w:tcPr>
          <w:p>
            <w:pPr>
              <w:spacing w:after="0" w:line="256" w:lineRule="exact"/>
              <w:rPr>
                <w:sz w:val="20"/>
                <w:szCs w:val="20"/>
                <w:color w:val="auto"/>
              </w:rPr>
            </w:pPr>
            <w:r>
              <w:rPr>
                <w:rFonts w:ascii="Arial" w:cs="Arial" w:eastAsia="Arial" w:hAnsi="Arial"/>
                <w:sz w:val="18"/>
                <w:szCs w:val="18"/>
                <w:color w:val="auto"/>
              </w:rPr>
              <w:t>Catamaran CLO 2014-2 Ltd.</w:t>
            </w:r>
            <w:r>
              <w:rPr>
                <w:rFonts w:ascii="Arial" w:cs="Arial" w:eastAsia="Arial" w:hAnsi="Arial"/>
                <w:sz w:val="29"/>
                <w:szCs w:val="29"/>
                <w:color w:val="auto"/>
                <w:vertAlign w:val="superscript"/>
              </w:rPr>
              <w:t>2</w:t>
            </w:r>
          </w:p>
        </w:tc>
        <w:tc>
          <w:tcPr>
            <w:tcW w:w="1920" w:type="dxa"/>
            <w:vAlign w:val="bottom"/>
            <w:gridSpan w:val="3"/>
          </w:tcPr>
          <w:p>
            <w:pPr>
              <w:ind w:left="100"/>
              <w:spacing w:after="0"/>
              <w:rPr>
                <w:sz w:val="20"/>
                <w:szCs w:val="20"/>
                <w:color w:val="auto"/>
              </w:rPr>
            </w:pPr>
            <w:r>
              <w:rPr>
                <w:rFonts w:ascii="Arial" w:cs="Arial" w:eastAsia="Arial" w:hAnsi="Arial"/>
                <w:sz w:val="18"/>
                <w:szCs w:val="18"/>
                <w:color w:val="auto"/>
              </w:rPr>
              <w:t>Subordinated Notes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7,535,156</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4,981,344</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8,024,168</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5,751,600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Catamaran CLO 2015-1 Ltd.</w:t>
            </w:r>
            <w:r>
              <w:rPr>
                <w:rFonts w:ascii="Arial" w:cs="Arial" w:eastAsia="Arial" w:hAnsi="Arial"/>
                <w:sz w:val="30"/>
                <w:szCs w:val="30"/>
                <w:color w:val="auto"/>
                <w:vertAlign w:val="superscript"/>
              </w:rPr>
              <w:t>2</w:t>
            </w:r>
          </w:p>
        </w:tc>
        <w:tc>
          <w:tcPr>
            <w:tcW w:w="19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Subordinated Notes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4,728,697</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2,971,200</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11,869,751</w:t>
            </w:r>
          </w:p>
        </w:tc>
        <w:tc>
          <w:tcPr>
            <w:tcW w:w="100" w:type="dxa"/>
            <w:vAlign w:val="bottom"/>
            <w:shd w:val="clear" w:color="auto" w:fill="CCEEFF"/>
          </w:tcPr>
          <w:p>
            <w:pPr>
              <w:spacing w:after="0"/>
              <w:rPr>
                <w:sz w:val="23"/>
                <w:szCs w:val="23"/>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8,789,651</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66,637,934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46,180,067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83,214,947</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55,872,382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percentage of class held.</w:t>
      </w:r>
    </w:p>
    <w:p>
      <w:pPr>
        <w:spacing w:after="0" w:line="23"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CLO Fund managed by an Asset Manager Affiliate.</w:t>
      </w:r>
    </w:p>
    <w:p>
      <w:pPr>
        <w:spacing w:after="0" w:line="9"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of June 30, 2016, this CLO Fund security was not providing a dividend distribution.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June 30, 2016, our Asset Manager Affiliates had approximately $2.7 billion of par value of assets under management on which they earn management fees, and were valued at approximately $45 million.</w:t>
      </w:r>
    </w:p>
    <w:p>
      <w:pPr>
        <w:spacing w:after="0" w:line="1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All CLO Funds managed by the Asset Manager Affiliates are currently paying all senior and subordinate management fees. In addition, during the six months ended June 30, 2016, our Asset Manager Affiliates received incentive fees from two funds.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the three and six months ended June 30,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ind w:firstLine="324"/>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managed by our Asset Manager Affiliates and select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consolidated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 As a RIC, the Company anticipates a timely distribution of its tax-basis taxable income.</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Catamaran 2014-1, interest is earned at a fixed spread relative to the LIBOR index.</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We receive cash distributions from our investment in our Asset Manager Affiliates, which are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and 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taken a first loss position in connection with loan warehouse arrangements for their CLO Funds. The annual management fees that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 as per the terms of each CLO Fund management agreement. During the three and six months ended June 30, 2016, the Asset Manager Affiliates received incentive fees from one and two funds, respectively.</w:t>
      </w:r>
    </w:p>
    <w:p>
      <w:pPr>
        <w:spacing w:after="0" w:line="183"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Asset Manager Affiliates are expected to pay future distributions to the Company based upon their after-tax free cash flow, which generally will be dependent upon the maintenance and growth in their assets under management and incentive fees. As a result of tax-basis goodwill amortization and certain other tax-related adjustments, portions of distributions received may be deemed return of capital. As amortizing funds which are paying incentive fees are redeemed, we expect incentive fees available for distribution to diminish. The fair value of our investment in our Asset Manager Affiliates was approximately $45 million at June 30, 2016, with an unrealized loss during the six months ended June 30, 2016 of approximately $11.6 million. For the three months ended June 30, 2016 and 2015, we recognized dividend income of approximately $850,000 and $1.2 million from the Asset Manager Affiliates, respectively, while cash distributions received were $850,000 and $2.3 million for those periods, respectively. For the six months ended June 30, 2016 and 2015, we recognized dividend income of approximately $1.4 million and $2.6 million from the Asset Manager Affiliates, respectively, while cash distributions received were $1.9 million and $5.0 million for those periods, respectively. The difference between cash distributions received and the tax-basis earnings and profits is recorded as an adjustment to the cost basis of the Asset Manager Affiliates investments.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CLO Funds typically have automatic orderly wind-down features following an initial period of reinvestment. Thus, with all else being equal, as managed CLO Fund portfolios age, projected future assets under management (and associated management fees) will naturally decline, resulting in a reduction in fair value of our Asset Manager Affiliates. On the other hand, mandates to manage new CLO Fund portfolios will generally result in an increase in the fair value of our investment in our Asset Manager Affiliates. The aggregate of par value of assets under management by our Asset Manager Affiliates was $2.7 billion as of June 30, 2016 and December 31, 2015.</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3" w:name="page74"/>
    <w:bookmarkEnd w:id="73"/>
    <w:p>
      <w:pPr>
        <w:ind w:right="320" w:firstLine="32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660" w:firstLine="324"/>
        <w:spacing w:after="0" w:line="308" w:lineRule="auto"/>
        <w:rPr>
          <w:sz w:val="20"/>
          <w:szCs w:val="20"/>
          <w:color w:val="auto"/>
        </w:rPr>
      </w:pPr>
      <w:r>
        <w:rPr>
          <w:rFonts w:ascii="Arial" w:cs="Arial" w:eastAsia="Arial" w:hAnsi="Arial"/>
          <w:sz w:val="17"/>
          <w:szCs w:val="17"/>
          <w:color w:val="auto"/>
        </w:rPr>
        <w:t>Investment income for the three months ended June 30, 2016 and 2015 was approximately $9.6 million and $11.2 million, respectively. Of these amounts, approximately $5.2 million and $5.9 million was attributable to interest income on our Debt Securities Portfolio.</w:t>
      </w:r>
    </w:p>
    <w:p>
      <w:pPr>
        <w:spacing w:after="0" w:line="14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Investment income for the six months ended June 30, 2016 and 2015 was approximately $19.1 million and $23.5 million, respectively. Of these amounts, approximately $10.9 million and $12.1 million was attributable to interest income on our Debt Securities Portfolio.</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weighted average yield on our Debt Securities Portfolio was 7.2% and 7.4% as of June 30, 2016 and December 31, 2015, respectively.</w:t>
      </w:r>
    </w:p>
    <w:p>
      <w:pPr>
        <w:spacing w:after="0" w:line="23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87"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For the three months ended June 30, 2016 and 2015, approximately $3.4 million and $4.0 million, respectively, of investment income was attributable to investments in CLO Fund Securities. For the six months ended June 30, 2016 and 2015, approximately $6.6 million and $8.6 million, respectively, of investment income was attributable to investments in CLO Fund Securities. On a tax-basis, the Company recognized $3.7 million of taxable distributable income on distributions from our CLO Fund Securities during the six months ended June 30, 2016.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4" w:name="page75"/>
    <w:bookmarkEnd w:id="74"/>
    <w:p>
      <w:pPr>
        <w:ind w:right="40" w:firstLine="324"/>
        <w:spacing w:after="0" w:line="264"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the Company’s borrowings. These amounts are capitalized and amortized ratably over the expected term of the borrowing.</w:t>
      </w:r>
    </w:p>
    <w:p>
      <w:pPr>
        <w:spacing w:after="0" w:line="181"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 compensation, employee benefits and employer-related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largest components of total compensation costs are base salaries and bonuses; generally, base salaries are expensed as incurred and annual bonus expenses are estimated and accrued. Our compensation arrangements with our employees contain a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17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includes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Total expenses for the three months ended June 30, 2016 and 2015 were approximately $4.5 million and $5.3 million, respectively. Interest expense and amortization on debt issuance costs for the periods, were approximately $2.3 million and $3.0 million, respectively, on average debt outstanding of $188 million and $227 million, respectively.</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the three months ended June 30, 2016 and 2015, approximately $1.0 million and $1.1 million, respectively, of expenses were attributable to employee compensation, including salaries, bonuses, employee benefits, payroll taxes and stock-based compensation expense. For the three months ended June 30,</w:t>
      </w:r>
    </w:p>
    <w:p>
      <w:pPr>
        <w:ind w:right="60"/>
        <w:spacing w:after="0" w:line="255" w:lineRule="auto"/>
        <w:rPr>
          <w:sz w:val="20"/>
          <w:szCs w:val="20"/>
          <w:color w:val="auto"/>
        </w:rPr>
      </w:pPr>
      <w:r>
        <w:rPr>
          <w:rFonts w:ascii="Arial" w:cs="Arial" w:eastAsia="Arial" w:hAnsi="Arial"/>
          <w:sz w:val="18"/>
          <w:szCs w:val="18"/>
          <w:color w:val="auto"/>
        </w:rPr>
        <w:t>2016 and 2015, respectively, professional fees and insurance expenses totaled approximately $669,000 and $812,000. Administrative costs, which include occupancy expense, technology and other office expenses, totaled approximately $491,000 and $479,000 for the three months ended June 30, 2016 and 2015, respectively.</w:t>
      </w:r>
    </w:p>
    <w:p>
      <w:pPr>
        <w:spacing w:after="0" w:line="19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Total expenses for the six months ended June 30, 2016 and 2015 were approximately $9.2 million and $11.2 million, respectively. Interest expense and amortization on debt issuance costs for the periods, were approximately $4.8 million and $6.0 million, respectively, on average debt outstanding of $196 million and $227 million, respectively.</w:t>
      </w:r>
    </w:p>
    <w:p>
      <w:pPr>
        <w:spacing w:after="0" w:line="18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For the six months ended June 30, 2016 and 2015, approximately $2.0 million and $2.1 million, respectively, of expenses were attributable to employee compensation, including salaries, bonuses, employee benefits, payroll taxes and stock-based compensation expense. For the six months ended June 30, 2016 and 2015, respectively, professional fees and insurance expenses totaled approximately $1.4 million and $2.1 million. Administrative costs, which include occupancy expense, technology and other office expenses, totaled approximately $938,000 and $990,000 for the six months ended June 30, 2016 and 2015,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Income and Net Realized Gains (Losses)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Net investment income and net realized gains (losses) represents the net change in stockholder’s equity before net unrealized appreciation or depreciation on investments. For the three months ended June 30, 2016, net investment income and net realized losses were approximately $2.2 million, or $0.06 per share. For the three months ended June 30, 2015, net investment income and net realized gains were approximately $5.9 million or $0.16 per share. For the six months ended June 30, 2016, net investment income and net realized losses were approximately $(821,000), or $(0.02) per share. For the six months ended June 30, 2015, net investment income and net realized gains were approximately $12.4 million or $0.33 per share. Net investment income represents the income earned on our investments less operating and interest expense before net realized gains or losses and unrealized appreciation or depreciation on investments. 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 For the three months ended June 30, 2016 and 2015, GAAP-basis net investment income was approximately $5.1 million or $0.14 per share, and $5.8 million or $0.16 per share, respectively, while tax-basis distributable income was approximately $4.3 million or $0.12 per share and $6.3 million or $0.17 per share, respectively. For the six months ended June 30, 2016 and 2015, GAAP-basis net investment income was approximately $9.9 million or $0.27 per share, and $12.3 million or $0.33 per share, respectively, while tax-basis distributable income was approximately $10.3 million or $0.28 per share and $13.4 million or $0.36 per share, respectively.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During the three months ended June 30, 2016, our total investments had net unrealized appreciation of approximately $853,000. During the three months ended June 30, 2015, our total investments had net unrealized depreciation of approximately $4.6 million. For the three months ended June 30, 2016, our Asset Manager Affiliates had net unrealized depreciation of approximately $5.1 million. For the three months ended June 30, 2015, our Asset Manager Affiliates had net unrealized appreciation of approximately $3.3 million. For the three months ended June 30, 2016, our portfolio of debt securities and equity securities had net unrealized appreciation of approximately $2.1 million, compared with net unrealized depreciation of $2.7 million during the second quarter of 2015. For the three months ended June 30, 2016, our CLO Fund Securities had net unrealized appreciation of approximately $3.8 million compared with net unrealized depreciation of $5.2 million during the second quarter of 2015.</w:t>
      </w:r>
    </w:p>
    <w:p>
      <w:pPr>
        <w:spacing w:after="0" w:line="17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During the six months ended June 30, 2016, our total investments had net unrealized depreciation of approximately $2.9 million. During the six months ended June 30, 2015, our total investments had net unrealized depreciation of approximately $3.5 million. For the six months ended June 30, 2016, our Asset Manager Affiliates had net unrealized depreciation of approximately $11.6 million. For the six months ended June 30, 2015, our Asset Manager Affiliates had net unrealized appreciation of approximately $3.8 million. For the six months ended June 30, 2016, our portfolio of debt securities and equity securities had net unrealized appreciation of approximately $1.8 million, compared with net unrealized depreciation of $1.5 million during the six months ended June 30, 2015. For the six months ended June 30, 2016, our CLO Fund Securities had net unrealized appreciation of approximately $6.9 million compared with net unrealized depreciation of $5.8 million during the six months ended June 30,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229"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The net increase in stockholders’ equity resulting from operations for the three months ended June 30, 2016 was $3.0 million, or $0.08 per share. Net increase in stockholders’ equity resulting from operations for the three months ended June 30, 2015 was $1.2 million, or $0.03 per share.</w:t>
      </w:r>
    </w:p>
    <w:p>
      <w:pPr>
        <w:spacing w:after="0" w:line="124"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The net decrease in stockholders’ equity resulting from operations for the six months ended June 30, 2016 was $3.8 million, or $0.10 per share. Net increase in stockholders’ equity resulting from operations for the six months ended June 30, 2015 was $8.9 million, or $0.24 per share.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60" w:firstLine="41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2016 and December 31, 2015 the fair value of investments and cash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80" w:type="dxa"/>
            <w:vAlign w:val="bottom"/>
            <w:gridSpan w:val="6"/>
          </w:tcPr>
          <w:p>
            <w:pPr>
              <w:ind w:left="460"/>
              <w:spacing w:after="0"/>
              <w:rPr>
                <w:sz w:val="20"/>
                <w:szCs w:val="20"/>
                <w:color w:val="auto"/>
              </w:rPr>
            </w:pPr>
            <w:r>
              <w:rPr>
                <w:rFonts w:ascii="Arial" w:cs="Arial" w:eastAsia="Arial" w:hAnsi="Arial"/>
                <w:sz w:val="18"/>
                <w:szCs w:val="18"/>
                <w:b w:val="1"/>
                <w:bCs w:val="1"/>
                <w:color w:val="auto"/>
              </w:rPr>
              <w:t>Investments at Fair Value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3"/>
              </w:rPr>
              <w:t>June 30, 2016</w:t>
            </w:r>
          </w:p>
        </w:tc>
        <w:tc>
          <w:tcPr>
            <w:tcW w:w="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2015</w:t>
            </w: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2,837,207</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Money Market Accounts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7,191,009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2,129,381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Loan</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194,066,823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194,123,223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Junior Secured Loan</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34,755,026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37,591,900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Loan</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16,000,000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23,000,000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First Lien Bond</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1,564,800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2,216,700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Senior Subordinated Bond</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4,709,896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4,615,569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Senior Secured Bond</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1,464,000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1,503,755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Senior Unsecured Bond</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12,379,296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10,551,724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CLO Fund Securities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46,180,067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55,872,382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9,231,202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9,548,488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Preferred</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11,036,373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45,288,000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57,381,000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375,667,326</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409,570,495</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68</w:t>
            </w: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76" w:name="page77"/>
    <w:bookmarkEnd w:id="76"/>
    <w:p>
      <w:pPr>
        <w:ind w:right="20" w:firstLine="414"/>
        <w:spacing w:after="0" w:line="297"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after such borrowing. As of June 30, 2016, we had approximately $186.4 million of par value of outstanding borrowings and our asset coverage ratio of total assets to total borrowings was 205%, compliant with the minimum asset coverage level of 200% generally required for a BDC by the 1940 Act. We may also borrow amounts of up to 5% of the value of our total assets for temporary purposes.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March 15, 2016, the Convertible Notes matured and were repaid in full.</w:t>
      </w:r>
    </w:p>
    <w:p>
      <w:pPr>
        <w:spacing w:after="0" w:line="225" w:lineRule="exact"/>
        <w:rPr>
          <w:sz w:val="20"/>
          <w:szCs w:val="20"/>
          <w:color w:val="auto"/>
        </w:rPr>
      </w:pPr>
    </w:p>
    <w:p>
      <w:pPr>
        <w:ind w:right="20" w:firstLine="414"/>
        <w:spacing w:after="0" w:line="270" w:lineRule="auto"/>
        <w:rPr>
          <w:sz w:val="20"/>
          <w:szCs w:val="20"/>
          <w:color w:val="auto"/>
        </w:rPr>
      </w:pPr>
      <w:r>
        <w:rPr>
          <w:rFonts w:ascii="Arial" w:cs="Arial" w:eastAsia="Arial" w:hAnsi="Arial"/>
          <w:sz w:val="17"/>
          <w:szCs w:val="17"/>
          <w:color w:val="auto"/>
        </w:rPr>
        <w:t>On October 10, 2012, the Company issued $41.4 million in aggregate principal amount of unsecured 7.375% Notes Due 2019. The net proceeds for the 7.375% Notes Due 2019,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coverage test applicable to the Company as a BDC and a covenant that the Company agreed to in connection with the issuance of the 7.375% Notes Due 2019, the Company is limited in its ability to make distributions if its asset coverage, as defined in the 1940 Act, is below 200% at the time of the declaration of the distribution. At June 30, 2016, the Company was in compliance with all of its debt covenants. The indenture governing the 7.375% Notes Due 2019 contains certain restrictive covenants, including compliance with certain provisions of the 1940 Act relating to borrowing and dividends. During the second quarter of 2016, the Company repurchased approximately $2.4 million par value of the 7.375% notes due 2019 at a weighted average price of $25.23 per $25.00 note, resulting in a realized loss on extinguishment of $71,190. KCAP subsequently surrendered these notes to the Trustee for cancellation.</w:t>
      </w:r>
    </w:p>
    <w:p>
      <w:pPr>
        <w:spacing w:after="0" w:line="178"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On June 18, 2013, KCAP Senior Funding I, LLC, a specialty finance subsidiary of the Company, was capitalized through the issuance of $140 million of notes (the “KCAP Senior Funding I Notes”). The KCAP Senior Funding I Notes are backed by a diversified portfolio of bank loans. The Company invested in the most junior class of the notes, issued in the approximate amount of $35 million, representing the Company’s primary exposure to the performance of the assets acquired from the proceeds of the issuance of the KCAP Senior Funding I Notes. On December 8, 2014, the Company completed the sale of additional KCAP Senior Funding I Notes for $56 million. The issuance of additional notes was pro-rata across all existing classes of notes originally issued. KCAP purchased an additional $13.9 million in the most junior class of notes. As of June 30, 2016 and December 31, 2015, these junior notes eliminate in consolidation and the remaining notes with a par value of $147.4 million are reflected on our consolidated balance sheet, net of $2.6 million and $2.9 million of unamortized discount and $2.8 million and $2.8 million of debt offering costs, respectively. The indenture governing the KCAP Senior Funding I Notes contains an event of default that is triggered in the event that certain coverage tests are not met.</w:t>
      </w:r>
    </w:p>
    <w:p>
      <w:pPr>
        <w:spacing w:after="0" w:line="182" w:lineRule="exact"/>
        <w:rPr>
          <w:sz w:val="20"/>
          <w:szCs w:val="20"/>
          <w:color w:val="auto"/>
        </w:rPr>
      </w:pPr>
    </w:p>
    <w:p>
      <w:pPr>
        <w:ind w:right="560" w:firstLine="414"/>
        <w:spacing w:after="0" w:line="308" w:lineRule="auto"/>
        <w:rPr>
          <w:sz w:val="20"/>
          <w:szCs w:val="20"/>
          <w:color w:val="auto"/>
        </w:rPr>
      </w:pPr>
      <w:r>
        <w:rPr>
          <w:rFonts w:ascii="Arial" w:cs="Arial" w:eastAsia="Arial" w:hAnsi="Arial"/>
          <w:sz w:val="17"/>
          <w:szCs w:val="17"/>
          <w:color w:val="auto"/>
        </w:rPr>
        <w:t>On October 6, 2014, the Company priced a follow-on public offering of 3.0 million shares of its common stock at a price of $8.02 per share. The offering raised net proceeds were approximately $23.8 million, after deducting underwriting discounts and offering expenses.</w:t>
      </w:r>
    </w:p>
    <w:p>
      <w:pPr>
        <w:spacing w:after="0" w:line="147" w:lineRule="exact"/>
        <w:rPr>
          <w:sz w:val="20"/>
          <w:szCs w:val="20"/>
          <w:color w:val="auto"/>
        </w:rPr>
      </w:pPr>
    </w:p>
    <w:p>
      <w:pPr>
        <w:ind w:right="40" w:firstLine="414"/>
        <w:spacing w:after="0" w:line="291" w:lineRule="auto"/>
        <w:rPr>
          <w:sz w:val="20"/>
          <w:szCs w:val="20"/>
          <w:color w:val="auto"/>
        </w:rPr>
      </w:pPr>
      <w:r>
        <w:rPr>
          <w:rFonts w:ascii="Arial" w:cs="Arial" w:eastAsia="Arial" w:hAnsi="Arial"/>
          <w:sz w:val="16"/>
          <w:szCs w:val="16"/>
          <w:color w:val="auto"/>
        </w:rPr>
        <w:t>Subject to prevailing market conditions, we intend to grow our portfolio of assets by raising additional capital, including through the prudent use of leverage available to us. However, we may face difficulty in obtaining a new debt and equity financing as a result of current market conditions. In this regard, because our common stock has traded at a price below our current net asset value per share over the last year or so and we are limited in our ability to sell our common stock at a price below net asset value per share without stockholder approval (which we currently do not have), we have been and may continue to be limited in our ability to raise equity capital. From time to time, we may seek to retire, repurchase, or exchange debt securities in open market purchases or by other means dependent on market conditions, liquidity, contractual obligations, and other matters. In addition, we evaluate strategic opportunities available to us and/or the Asset Manager Affiliates, including mergers, divestures, spin-offs, joint ventures and other similar transactions from time to time.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170" w:lineRule="exact"/>
        <w:rPr>
          <w:sz w:val="20"/>
          <w:szCs w:val="20"/>
          <w:color w:val="auto"/>
        </w:rPr>
      </w:pPr>
    </w:p>
    <w:p>
      <w:pPr>
        <w:ind w:right="20" w:firstLine="414"/>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170" w:lineRule="exact"/>
        <w:rPr>
          <w:sz w:val="20"/>
          <w:szCs w:val="20"/>
          <w:color w:val="auto"/>
        </w:rPr>
      </w:pPr>
    </w:p>
    <w:p>
      <w:pPr>
        <w:ind w:right="80" w:firstLine="41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distributable taxable income and after-tax free cash flow from our Asset Manager Affiliates.</w:t>
      </w:r>
    </w:p>
    <w:p>
      <w:pPr>
        <w:spacing w:after="0" w:line="170" w:lineRule="exact"/>
        <w:rPr>
          <w:sz w:val="20"/>
          <w:szCs w:val="20"/>
          <w:color w:val="auto"/>
        </w:rPr>
      </w:pPr>
    </w:p>
    <w:p>
      <w:pPr>
        <w:ind w:right="80" w:firstLine="414"/>
        <w:spacing w:after="0" w:line="342" w:lineRule="auto"/>
        <w:rPr>
          <w:sz w:val="20"/>
          <w:szCs w:val="20"/>
          <w:color w:val="auto"/>
        </w:rPr>
      </w:pPr>
      <w:r>
        <w:rPr>
          <w:rFonts w:ascii="Arial" w:cs="Arial" w:eastAsia="Arial" w:hAnsi="Arial"/>
          <w:sz w:val="16"/>
          <w:szCs w:val="16"/>
          <w:color w:val="auto"/>
        </w:rPr>
        <w:t>We will be prohibited by the 1940 Act and the indenture governing our 7.375% Notes from making distributions if our asset coverage, as defined in the 1940 Act, falls below 200%. In any such event, we would be prohibited from making distributions required in order to maintain our status as a RIC.</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quarterly distributions declared by us since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Declaration</w:t>
            </w:r>
          </w:p>
        </w:tc>
        <w:tc>
          <w:tcPr>
            <w:tcW w:w="1600" w:type="dxa"/>
            <w:vAlign w:val="bottom"/>
          </w:tcPr>
          <w:p>
            <w:pPr>
              <w:jc w:val="right"/>
              <w:ind w:right="430"/>
              <w:spacing w:after="0"/>
              <w:rPr>
                <w:sz w:val="20"/>
                <w:szCs w:val="20"/>
                <w:color w:val="auto"/>
              </w:rPr>
            </w:pPr>
            <w:r>
              <w:rPr>
                <w:rFonts w:ascii="Arial" w:cs="Arial" w:eastAsia="Arial" w:hAnsi="Arial"/>
                <w:sz w:val="18"/>
                <w:szCs w:val="18"/>
                <w:b w:val="1"/>
                <w:bCs w:val="1"/>
                <w:color w:val="auto"/>
              </w:rPr>
              <w:t>Record</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Distribution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Date</w:t>
            </w:r>
          </w:p>
        </w:tc>
        <w:tc>
          <w:tcPr>
            <w:tcW w:w="100" w:type="dxa"/>
            <w:vAlign w:val="bottom"/>
          </w:tcPr>
          <w:p>
            <w:pPr>
              <w:spacing w:after="0"/>
              <w:rPr>
                <w:sz w:val="20"/>
                <w:szCs w:val="20"/>
                <w:color w:val="auto"/>
              </w:rPr>
            </w:pPr>
          </w:p>
        </w:tc>
        <w:tc>
          <w:tcPr>
            <w:tcW w:w="1620" w:type="dxa"/>
            <w:vAlign w:val="bottom"/>
            <w:gridSpan w:val="2"/>
          </w:tcPr>
          <w:p>
            <w:pPr>
              <w:ind w:left="46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5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5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6/21/2016</w:t>
            </w:r>
          </w:p>
        </w:tc>
        <w:tc>
          <w:tcPr>
            <w:tcW w:w="1600" w:type="dxa"/>
            <w:vAlign w:val="bottom"/>
          </w:tcPr>
          <w:p>
            <w:pPr>
              <w:jc w:val="right"/>
              <w:spacing w:after="0"/>
              <w:rPr>
                <w:sz w:val="20"/>
                <w:szCs w:val="20"/>
                <w:color w:val="auto"/>
              </w:rPr>
            </w:pPr>
            <w:r>
              <w:rPr>
                <w:rFonts w:ascii="Arial" w:cs="Arial" w:eastAsia="Arial" w:hAnsi="Arial"/>
                <w:sz w:val="18"/>
                <w:szCs w:val="18"/>
                <w:color w:val="auto"/>
              </w:rPr>
              <w:t>7/7/2016</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3/18/2016</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4/7/2016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declared in 2016</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5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160" w:type="dxa"/>
            <w:vAlign w:val="bottom"/>
          </w:tcPr>
          <w:p>
            <w:pPr>
              <w:ind w:left="180"/>
              <w:spacing w:after="0" w:line="149" w:lineRule="exact"/>
              <w:rPr>
                <w:sz w:val="20"/>
                <w:szCs w:val="20"/>
                <w:color w:val="auto"/>
              </w:rPr>
            </w:pPr>
            <w:r>
              <w:rPr>
                <w:rFonts w:ascii="Arial" w:cs="Arial" w:eastAsia="Arial" w:hAnsi="Arial"/>
                <w:sz w:val="17"/>
                <w:szCs w:val="17"/>
                <w:color w:val="auto"/>
              </w:rPr>
              <w:t>Fourth quarter</w:t>
            </w:r>
          </w:p>
        </w:tc>
        <w:tc>
          <w:tcPr>
            <w:tcW w:w="1740" w:type="dxa"/>
            <w:vAlign w:val="bottom"/>
            <w:gridSpan w:val="2"/>
          </w:tcPr>
          <w:p>
            <w:pPr>
              <w:jc w:val="right"/>
              <w:ind w:right="100"/>
              <w:spacing w:after="0" w:line="149" w:lineRule="exact"/>
              <w:rPr>
                <w:sz w:val="20"/>
                <w:szCs w:val="20"/>
                <w:color w:val="auto"/>
              </w:rPr>
            </w:pPr>
            <w:r>
              <w:rPr>
                <w:rFonts w:ascii="Arial" w:cs="Arial" w:eastAsia="Arial" w:hAnsi="Arial"/>
                <w:sz w:val="17"/>
                <w:szCs w:val="17"/>
                <w:color w:val="auto"/>
              </w:rPr>
              <w:t>$</w:t>
            </w:r>
          </w:p>
        </w:tc>
        <w:tc>
          <w:tcPr>
            <w:tcW w:w="1520" w:type="dxa"/>
            <w:vAlign w:val="bottom"/>
            <w:gridSpan w:val="2"/>
          </w:tcPr>
          <w:p>
            <w:pPr>
              <w:jc w:val="right"/>
              <w:ind w:right="220"/>
              <w:spacing w:after="0" w:line="149" w:lineRule="exact"/>
              <w:rPr>
                <w:sz w:val="20"/>
                <w:szCs w:val="20"/>
                <w:color w:val="auto"/>
              </w:rPr>
            </w:pPr>
            <w:r>
              <w:rPr>
                <w:rFonts w:ascii="Arial" w:cs="Arial" w:eastAsia="Arial" w:hAnsi="Arial"/>
                <w:sz w:val="17"/>
                <w:szCs w:val="17"/>
                <w:color w:val="auto"/>
              </w:rPr>
              <w:t>0.15</w:t>
            </w:r>
          </w:p>
        </w:tc>
        <w:tc>
          <w:tcPr>
            <w:tcW w:w="1700" w:type="dxa"/>
            <w:vAlign w:val="bottom"/>
            <w:gridSpan w:val="2"/>
          </w:tcPr>
          <w:p>
            <w:pPr>
              <w:jc w:val="right"/>
              <w:ind w:right="100"/>
              <w:spacing w:after="0" w:line="149" w:lineRule="exact"/>
              <w:rPr>
                <w:sz w:val="20"/>
                <w:szCs w:val="20"/>
                <w:color w:val="auto"/>
              </w:rPr>
            </w:pPr>
            <w:r>
              <w:rPr>
                <w:rFonts w:ascii="Arial" w:cs="Arial" w:eastAsia="Arial" w:hAnsi="Arial"/>
                <w:sz w:val="17"/>
                <w:szCs w:val="17"/>
                <w:color w:val="auto"/>
              </w:rPr>
              <w:t>12/16/2015</w:t>
            </w:r>
          </w:p>
        </w:tc>
        <w:tc>
          <w:tcPr>
            <w:tcW w:w="1600" w:type="dxa"/>
            <w:vAlign w:val="bottom"/>
          </w:tcPr>
          <w:p>
            <w:pPr>
              <w:jc w:val="right"/>
              <w:spacing w:after="0" w:line="149" w:lineRule="exact"/>
              <w:rPr>
                <w:sz w:val="20"/>
                <w:szCs w:val="20"/>
                <w:color w:val="auto"/>
              </w:rPr>
            </w:pPr>
            <w:r>
              <w:rPr>
                <w:rFonts w:ascii="Arial" w:cs="Arial" w:eastAsia="Arial" w:hAnsi="Arial"/>
                <w:sz w:val="17"/>
                <w:szCs w:val="17"/>
                <w:color w:val="auto"/>
              </w:rPr>
              <w:t>1/6/2016</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1</w:t>
            </w:r>
          </w:p>
        </w:tc>
        <w:tc>
          <w:tcPr>
            <w:tcW w:w="1600" w:type="dxa"/>
            <w:vAlign w:val="bottom"/>
          </w:tcPr>
          <w:p>
            <w:pPr>
              <w:jc w:val="right"/>
              <w:spacing w:after="0" w:line="149" w:lineRule="exact"/>
              <w:rPr>
                <w:sz w:val="20"/>
                <w:szCs w:val="20"/>
                <w:color w:val="auto"/>
              </w:rPr>
            </w:pPr>
            <w:r>
              <w:rPr>
                <w:rFonts w:ascii="Arial" w:cs="Arial" w:eastAsia="Arial" w:hAnsi="Arial"/>
                <w:sz w:val="17"/>
                <w:szCs w:val="17"/>
                <w:color w:val="auto"/>
              </w:rPr>
              <w:t>1/28/2016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6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3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9/22/2015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10/14/2015</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10/27/2015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6/23/2015</w:t>
            </w:r>
          </w:p>
        </w:tc>
        <w:tc>
          <w:tcPr>
            <w:tcW w:w="1600" w:type="dxa"/>
            <w:vAlign w:val="bottom"/>
          </w:tcPr>
          <w:p>
            <w:pPr>
              <w:jc w:val="right"/>
              <w:spacing w:after="0"/>
              <w:rPr>
                <w:sz w:val="20"/>
                <w:szCs w:val="20"/>
                <w:color w:val="auto"/>
              </w:rPr>
            </w:pPr>
            <w:r>
              <w:rPr>
                <w:rFonts w:ascii="Arial" w:cs="Arial" w:eastAsia="Arial" w:hAnsi="Arial"/>
                <w:sz w:val="18"/>
                <w:szCs w:val="18"/>
                <w:color w:val="auto"/>
              </w:rPr>
              <w:t>7/6/2015</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7/27/2015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3/24/2015</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4/6/2015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declared in 2015</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0.78</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5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12/17/2014</w:t>
            </w:r>
          </w:p>
        </w:tc>
        <w:tc>
          <w:tcPr>
            <w:tcW w:w="1600" w:type="dxa"/>
            <w:vAlign w:val="bottom"/>
          </w:tcPr>
          <w:p>
            <w:pPr>
              <w:jc w:val="right"/>
              <w:spacing w:after="0"/>
              <w:rPr>
                <w:sz w:val="20"/>
                <w:szCs w:val="20"/>
                <w:color w:val="auto"/>
              </w:rPr>
            </w:pPr>
            <w:r>
              <w:rPr>
                <w:rFonts w:ascii="Arial" w:cs="Arial" w:eastAsia="Arial" w:hAnsi="Arial"/>
                <w:sz w:val="18"/>
                <w:szCs w:val="18"/>
                <w:color w:val="auto"/>
              </w:rPr>
              <w:t>12/29/2014</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9/19/2014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10/14/2014</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6/20/2014</w:t>
            </w:r>
          </w:p>
        </w:tc>
        <w:tc>
          <w:tcPr>
            <w:tcW w:w="1600" w:type="dxa"/>
            <w:vAlign w:val="bottom"/>
          </w:tcPr>
          <w:p>
            <w:pPr>
              <w:jc w:val="right"/>
              <w:spacing w:after="0"/>
              <w:rPr>
                <w:sz w:val="20"/>
                <w:szCs w:val="20"/>
                <w:color w:val="auto"/>
              </w:rPr>
            </w:pPr>
            <w:r>
              <w:rPr>
                <w:rFonts w:ascii="Arial" w:cs="Arial" w:eastAsia="Arial" w:hAnsi="Arial"/>
                <w:sz w:val="18"/>
                <w:szCs w:val="18"/>
                <w:color w:val="auto"/>
              </w:rPr>
              <w:t>7/3/2014</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7/25/2014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3/21/2014</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4/4/2014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declared in 2014</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Since the record date of this distribution is in 2016, it is a 2016 tax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a party to financial instruments with off-balance sheet risk in the normal course of business in order to meet the needs of the Company’s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investment objectives. Such instruments include commitments to extend credit and may involve, in varying degrees, elements of credit risk in excess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on our balance sheet. Prior to extending such credit, we attempt to limit our credit risk by conducting extensive due diligence, obtaining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collateral where necessary and negotiating appropriate financial covenants. As of June 30, 2016 and December 31, 2015, the Company had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$7.3 million and $360,000 of commitments to make such investments, respectively. At June 30, 2016, $7 million of such amount related to a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facility provided to Trimaran Advisors. Because Trimaran Advisors is wholly-owned by the Company, the Company fully controls when amounts thereunder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are drawn by Trimaran Advisors.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840" w:type="dxa"/>
            <w:vAlign w:val="bottom"/>
            <w:gridSpan w:val="14"/>
          </w:tcPr>
          <w:p>
            <w:pPr>
              <w:ind w:left="420"/>
              <w:spacing w:after="0"/>
              <w:rPr>
                <w:sz w:val="20"/>
                <w:szCs w:val="20"/>
                <w:color w:val="auto"/>
              </w:rPr>
            </w:pPr>
            <w:r>
              <w:rPr>
                <w:rFonts w:ascii="Arial" w:cs="Arial" w:eastAsia="Arial" w:hAnsi="Arial"/>
                <w:sz w:val="18"/>
                <w:szCs w:val="18"/>
                <w:color w:val="auto"/>
                <w:w w:val="97"/>
              </w:rPr>
              <w:t>The following table summarizes our contractual cash obligations and other commercial commitments as of June 30, 2016:</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6"/>
          </w:tcPr>
          <w:p>
            <w:pPr>
              <w:jc w:val="right"/>
              <w:ind w:right="185"/>
              <w:spacing w:after="0"/>
              <w:rPr>
                <w:sz w:val="20"/>
                <w:szCs w:val="20"/>
                <w:color w:val="auto"/>
              </w:rPr>
            </w:pPr>
            <w:r>
              <w:rPr>
                <w:rFonts w:ascii="Arial" w:cs="Arial" w:eastAsia="Arial" w:hAnsi="Arial"/>
                <w:sz w:val="18"/>
                <w:szCs w:val="18"/>
                <w:b w:val="1"/>
                <w:bCs w:val="1"/>
                <w:color w:val="auto"/>
              </w:rPr>
              <w:t>Payments Due by Period</w:t>
            </w: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3"/>
          </w:tcPr>
          <w:p>
            <w:pPr>
              <w:jc w:val="center"/>
              <w:ind w:right="530"/>
              <w:spacing w:after="0" w:line="191" w:lineRule="exact"/>
              <w:rPr>
                <w:sz w:val="20"/>
                <w:szCs w:val="20"/>
                <w:color w:val="auto"/>
              </w:rPr>
            </w:pPr>
            <w:r>
              <w:rPr>
                <w:rFonts w:ascii="Arial" w:cs="Arial" w:eastAsia="Arial" w:hAnsi="Arial"/>
                <w:sz w:val="18"/>
                <w:szCs w:val="18"/>
                <w:b w:val="1"/>
                <w:bCs w:val="1"/>
                <w:color w:val="auto"/>
                <w:w w:val="85"/>
              </w:rPr>
              <w:t>Less than one</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r>
      <w:tr>
        <w:trPr>
          <w:trHeight w:val="234"/>
        </w:trPr>
        <w:tc>
          <w:tcPr>
            <w:tcW w:w="288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780" w:type="dxa"/>
            <w:vAlign w:val="bottom"/>
            <w:gridSpan w:val="3"/>
          </w:tcPr>
          <w:p>
            <w:pPr>
              <w:jc w:val="center"/>
              <w:ind w:right="510"/>
              <w:spacing w:after="0"/>
              <w:rPr>
                <w:sz w:val="20"/>
                <w:szCs w:val="20"/>
                <w:color w:val="auto"/>
              </w:rPr>
            </w:pPr>
            <w:r>
              <w:rPr>
                <w:rFonts w:ascii="Arial" w:cs="Arial" w:eastAsia="Arial" w:hAnsi="Arial"/>
                <w:sz w:val="18"/>
                <w:szCs w:val="18"/>
                <w:b w:val="1"/>
                <w:bCs w:val="1"/>
                <w:color w:val="auto"/>
                <w:w w:val="91"/>
              </w:rPr>
              <w:t>year</w:t>
            </w:r>
          </w:p>
        </w:tc>
        <w:tc>
          <w:tcPr>
            <w:tcW w:w="1680" w:type="dxa"/>
            <w:vAlign w:val="bottom"/>
            <w:gridSpan w:val="3"/>
          </w:tcPr>
          <w:p>
            <w:pPr>
              <w:jc w:val="right"/>
              <w:ind w:right="685"/>
              <w:spacing w:after="0"/>
              <w:rPr>
                <w:sz w:val="20"/>
                <w:szCs w:val="20"/>
                <w:color w:val="auto"/>
              </w:rPr>
            </w:pPr>
            <w:r>
              <w:rPr>
                <w:rFonts w:ascii="Arial" w:cs="Arial" w:eastAsia="Arial" w:hAnsi="Arial"/>
                <w:sz w:val="18"/>
                <w:szCs w:val="18"/>
                <w:b w:val="1"/>
                <w:bCs w:val="1"/>
                <w:color w:val="auto"/>
              </w:rPr>
              <w:t>1 - 3 years</w:t>
            </w: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3 - 5 years</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years</w:t>
            </w: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186,350,350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39,000,350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147,350,000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207"/>
        <w:spacing w:after="0" w:line="276"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70"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193" w:lineRule="exact"/>
        <w:rPr>
          <w:sz w:val="20"/>
          <w:szCs w:val="20"/>
          <w:color w:val="auto"/>
        </w:rPr>
      </w:pPr>
    </w:p>
    <w:p>
      <w:pPr>
        <w:ind w:right="40" w:firstLine="270"/>
        <w:spacing w:after="0" w:line="286" w:lineRule="auto"/>
        <w:rPr>
          <w:sz w:val="20"/>
          <w:szCs w:val="20"/>
          <w:color w:val="auto"/>
        </w:rPr>
      </w:pPr>
      <w:r>
        <w:rPr>
          <w:rFonts w:ascii="Arial" w:cs="Arial" w:eastAsia="Arial" w:hAnsi="Arial"/>
          <w:sz w:val="17"/>
          <w:szCs w:val="17"/>
          <w:color w:val="auto"/>
        </w:rPr>
        <w:t>Pursuant to the AICPA Guide, we reflect our investments on our balance sheet at their estimated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66" w:lineRule="exact"/>
        <w:rPr>
          <w:sz w:val="20"/>
          <w:szCs w:val="20"/>
          <w:color w:val="auto"/>
        </w:rPr>
      </w:pPr>
    </w:p>
    <w:p>
      <w:pPr>
        <w:ind w:right="400" w:firstLine="270"/>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170" w:lineRule="exact"/>
        <w:rPr>
          <w:sz w:val="20"/>
          <w:szCs w:val="20"/>
          <w:color w:val="auto"/>
        </w:rPr>
      </w:pPr>
    </w:p>
    <w:p>
      <w:pPr>
        <w:ind w:right="20" w:firstLine="270"/>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p>
      <w:pPr>
        <w:ind w:right="140" w:firstLine="41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980" w:right="300" w:hanging="324"/>
        <w:spacing w:after="0" w:line="312" w:lineRule="auto"/>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Level I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6" w:lineRule="exact"/>
        <w:rPr>
          <w:rFonts w:ascii="Arial" w:cs="Arial" w:eastAsia="Arial" w:hAnsi="Arial"/>
          <w:sz w:val="16"/>
          <w:szCs w:val="16"/>
          <w:color w:val="auto"/>
        </w:rPr>
      </w:pPr>
    </w:p>
    <w:p>
      <w:pPr>
        <w:ind w:left="980" w:hanging="324"/>
        <w:spacing w:after="0" w:line="297" w:lineRule="auto"/>
        <w:tabs>
          <w:tab w:leader="none" w:pos="9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58" w:lineRule="exact"/>
        <w:rPr>
          <w:rFonts w:ascii="Arial" w:cs="Arial" w:eastAsia="Arial" w:hAnsi="Arial"/>
          <w:sz w:val="16"/>
          <w:szCs w:val="16"/>
          <w:color w:val="auto"/>
        </w:rPr>
      </w:pPr>
    </w:p>
    <w:p>
      <w:pPr>
        <w:ind w:left="980" w:right="140" w:hanging="324"/>
        <w:spacing w:after="0" w:line="255"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89"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The majority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Ongoing reviews by the Company’s investment analysts, Chief Investment Officer, Valuation Committee and independent valuation firms (if engaged)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78" w:lineRule="exact"/>
        <w:rPr>
          <w:sz w:val="20"/>
          <w:szCs w:val="20"/>
          <w:color w:val="auto"/>
        </w:rPr>
      </w:pPr>
    </w:p>
    <w:p>
      <w:pPr>
        <w:ind w:right="40" w:firstLine="41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66" w:lineRule="exact"/>
        <w:rPr>
          <w:sz w:val="20"/>
          <w:szCs w:val="20"/>
          <w:color w:val="auto"/>
        </w:rPr>
      </w:pPr>
    </w:p>
    <w:p>
      <w:pPr>
        <w:ind w:right="40" w:firstLine="41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ind w:right="120" w:firstLine="324"/>
        <w:spacing w:after="0" w:line="297" w:lineRule="auto"/>
        <w:rPr>
          <w:sz w:val="20"/>
          <w:szCs w:val="20"/>
          <w:color w:val="auto"/>
        </w:rPr>
      </w:pPr>
      <w:r>
        <w:rPr>
          <w:rFonts w:ascii="Arial" w:cs="Arial" w:eastAsia="Arial" w:hAnsi="Arial"/>
          <w:sz w:val="16"/>
          <w:szCs w:val="16"/>
          <w:color w:val="auto"/>
        </w:rPr>
        <w:t>The Company’s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5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82"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Board of Directors may consider other methods of valuation to determine the fair value of investments as appropriate in conformity with GAAP.</w:t>
      </w:r>
    </w:p>
    <w:p>
      <w:pPr>
        <w:spacing w:after="0" w:line="237"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160" w:firstLine="414"/>
        <w:spacing w:after="0" w:line="297" w:lineRule="auto"/>
        <w:rPr>
          <w:sz w:val="20"/>
          <w:szCs w:val="20"/>
          <w:color w:val="auto"/>
        </w:rPr>
      </w:pPr>
      <w:r>
        <w:rPr>
          <w:rFonts w:ascii="Arial" w:cs="Arial" w:eastAsia="Arial" w:hAnsi="Arial"/>
          <w:sz w:val="16"/>
          <w:szCs w:val="16"/>
          <w:color w:val="auto"/>
        </w:rPr>
        <w:t>Interest income, including amortization of premium and accretion of discount,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Non-accrual loans remain in such status until the borrower has demonstrated the ability and intent to pay contractual amounts due or such loans become current. As of June 30, 2016 and December 31, 2015, there was one issuer representing less than 1% of our total investments at fair value on non-accrual status.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225"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ind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7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Catamaran 2014-1, interest is earned at a fixed spread relative to the LIBOR index.</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Distributions from Asset Manager Affiliates</w:t>
      </w:r>
    </w:p>
    <w:p>
      <w:pPr>
        <w:spacing w:after="0" w:line="225" w:lineRule="exact"/>
        <w:rPr>
          <w:sz w:val="20"/>
          <w:szCs w:val="20"/>
          <w:color w:val="auto"/>
        </w:rPr>
      </w:pPr>
    </w:p>
    <w:p>
      <w:pPr>
        <w:ind w:right="20" w:firstLine="414"/>
        <w:spacing w:after="0" w:line="273" w:lineRule="auto"/>
        <w:rPr>
          <w:sz w:val="20"/>
          <w:szCs w:val="20"/>
          <w:color w:val="auto"/>
        </w:rPr>
      </w:pPr>
      <w:r>
        <w:rPr>
          <w:rFonts w:ascii="Arial" w:cs="Arial" w:eastAsia="Arial" w:hAnsi="Arial"/>
          <w:sz w:val="17"/>
          <w:szCs w:val="17"/>
          <w:color w:val="auto"/>
        </w:rPr>
        <w:t>We record distributions from our Asset Manager Affiliates on the declaration date, which represents the ex-dividend date. Distributions in excess of tax-basis earnings and profits are recorded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225" w:lineRule="exact"/>
        <w:rPr>
          <w:sz w:val="20"/>
          <w:szCs w:val="20"/>
          <w:color w:val="auto"/>
        </w:rPr>
      </w:pPr>
    </w:p>
    <w:p>
      <w:pPr>
        <w:ind w:right="220" w:firstLine="41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ind w:right="100" w:firstLine="41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ind w:right="40" w:firstLine="414"/>
        <w:spacing w:after="0" w:line="264" w:lineRule="auto"/>
        <w:rPr>
          <w:sz w:val="20"/>
          <w:szCs w:val="20"/>
          <w:color w:val="auto"/>
        </w:rPr>
      </w:pPr>
      <w:r>
        <w:rPr>
          <w:rFonts w:ascii="Arial" w:cs="Arial" w:eastAsia="Arial" w:hAnsi="Arial"/>
          <w:sz w:val="18"/>
          <w:szCs w:val="18"/>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right="40" w:firstLine="41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225" w:lineRule="exact"/>
        <w:rPr>
          <w:sz w:val="20"/>
          <w:szCs w:val="20"/>
          <w:color w:val="auto"/>
        </w:rPr>
      </w:pPr>
    </w:p>
    <w:p>
      <w:pPr>
        <w:ind w:right="60" w:firstLine="41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distributable taxable income and after-tax free cash flow from our Asset Manager Affiliates.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2" w:name="page83"/>
    <w:bookmarkEnd w:id="82"/>
    <w:p>
      <w:pPr>
        <w:ind w:left="420"/>
        <w:spacing w:after="0"/>
        <w:rPr>
          <w:sz w:val="20"/>
          <w:szCs w:val="20"/>
          <w:color w:val="auto"/>
        </w:rPr>
      </w:pPr>
      <w:r>
        <w:rPr>
          <w:rFonts w:ascii="Arial" w:cs="Arial" w:eastAsia="Arial" w:hAnsi="Arial"/>
          <w:sz w:val="18"/>
          <w:szCs w:val="18"/>
          <w:color w:val="auto"/>
        </w:rPr>
        <w:t>The following table sets forth the quarterly distributions declared by us since the most recent completed calendar year.</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Declaration</w:t>
            </w: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Record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Distribution</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7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2"/>
              </w:rPr>
              <w:t>Date</w:t>
            </w:r>
          </w:p>
        </w:tc>
        <w:tc>
          <w:tcPr>
            <w:tcW w:w="1280" w:type="dxa"/>
            <w:vAlign w:val="bottom"/>
          </w:tcPr>
          <w:p>
            <w:pPr>
              <w:jc w:val="right"/>
              <w:ind w:right="31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6/21/2016</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7/7/2016</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7/28/2016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3/18/2016</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4/7/2016</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declared in 2016</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12/16/2015</w:t>
            </w:r>
          </w:p>
        </w:tc>
        <w:tc>
          <w:tcPr>
            <w:tcW w:w="1760" w:type="dxa"/>
            <w:vAlign w:val="bottom"/>
            <w:gridSpan w:val="3"/>
          </w:tcPr>
          <w:p>
            <w:pPr>
              <w:jc w:val="right"/>
              <w:ind w:right="200"/>
              <w:spacing w:after="0"/>
              <w:rPr>
                <w:sz w:val="20"/>
                <w:szCs w:val="20"/>
                <w:color w:val="auto"/>
              </w:rPr>
            </w:pPr>
            <w:r>
              <w:rPr>
                <w:rFonts w:ascii="Arial" w:cs="Arial" w:eastAsia="Arial" w:hAnsi="Arial"/>
                <w:sz w:val="18"/>
                <w:szCs w:val="18"/>
                <w:color w:val="auto"/>
              </w:rPr>
              <w:t xml:space="preserve">1/6/2016 </w:t>
            </w:r>
            <w:r>
              <w:rPr>
                <w:rFonts w:ascii="Arial" w:cs="Arial" w:eastAsia="Arial" w:hAnsi="Arial"/>
                <w:sz w:val="15"/>
                <w:szCs w:val="15"/>
                <w:color w:val="auto"/>
              </w:rPr>
              <w:t>1</w:t>
            </w:r>
          </w:p>
        </w:tc>
        <w:tc>
          <w:tcPr>
            <w:tcW w:w="1280" w:type="dxa"/>
            <w:vAlign w:val="bottom"/>
          </w:tcPr>
          <w:p>
            <w:pPr>
              <w:jc w:val="right"/>
              <w:spacing w:after="0"/>
              <w:rPr>
                <w:sz w:val="20"/>
                <w:szCs w:val="20"/>
                <w:color w:val="auto"/>
              </w:rPr>
            </w:pPr>
            <w:r>
              <w:rPr>
                <w:rFonts w:ascii="Arial" w:cs="Arial" w:eastAsia="Arial" w:hAnsi="Arial"/>
                <w:sz w:val="18"/>
                <w:szCs w:val="18"/>
                <w:color w:val="auto"/>
              </w:rPr>
              <w:t>1/28/2016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9/22/2015</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10/14/2015</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6/23/2015</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7/6/2015</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7/27/2015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3/24/2015</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4/6/2015</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declared in 2015</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0.78</w:t>
            </w: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12/17/2014</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12/29/2014</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9/19/2014</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10/14/2014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6/20/2014</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7/3/2014</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7/25/2014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0.25</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3/21/2014</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4/4/2014</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4/25/2014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declared in 2014</w:t>
            </w: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Since the record date of this distribution is in 2016, it is a 2016 tax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depicts the composition of shareholder distributions on a per share basis: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7"/>
          </w:tcPr>
          <w:p>
            <w:pPr>
              <w:ind w:left="220"/>
              <w:spacing w:after="0"/>
              <w:rPr>
                <w:sz w:val="20"/>
                <w:szCs w:val="20"/>
                <w:color w:val="auto"/>
              </w:rPr>
            </w:pPr>
            <w:r>
              <w:rPr>
                <w:rFonts w:ascii="Arial" w:cs="Arial" w:eastAsia="Arial" w:hAnsi="Arial"/>
                <w:sz w:val="18"/>
                <w:szCs w:val="18"/>
                <w:b w:val="1"/>
                <w:bCs w:val="1"/>
                <w:color w:val="auto"/>
              </w:rPr>
              <w:t>Six Months Ended June 30,</w:t>
            </w: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Borders>
              <w:top w:val="single" w:sz="8" w:color="auto"/>
            </w:tcBorders>
          </w:tcPr>
          <w:p>
            <w:pPr>
              <w:jc w:val="right"/>
              <w:spacing w:after="0" w:line="251"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9"/>
                <w:szCs w:val="29"/>
                <w:b w:val="1"/>
                <w:bCs w:val="1"/>
                <w:color w:val="auto"/>
                <w:vertAlign w:val="superscript"/>
              </w:rPr>
              <w:t>1</w:t>
            </w:r>
          </w:p>
        </w:tc>
        <w:tc>
          <w:tcPr>
            <w:tcW w:w="4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gridSpan w:val="2"/>
          </w:tcPr>
          <w:p>
            <w:pPr>
              <w:jc w:val="right"/>
              <w:ind w:right="25"/>
              <w:spacing w:after="0" w:line="251" w:lineRule="exact"/>
              <w:rPr>
                <w:sz w:val="20"/>
                <w:szCs w:val="20"/>
                <w:color w:val="auto"/>
              </w:rPr>
            </w:pPr>
            <w:r>
              <w:rPr>
                <w:rFonts w:ascii="Arial" w:cs="Arial" w:eastAsia="Arial" w:hAnsi="Arial"/>
                <w:sz w:val="18"/>
                <w:szCs w:val="18"/>
                <w:b w:val="1"/>
                <w:bCs w:val="1"/>
                <w:color w:val="auto"/>
              </w:rPr>
              <w:t>2015</w:t>
            </w:r>
            <w:r>
              <w:rPr>
                <w:rFonts w:ascii="Arial" w:cs="Arial" w:eastAsia="Arial" w:hAnsi="Arial"/>
                <w:sz w:val="29"/>
                <w:szCs w:val="29"/>
                <w:b w:val="1"/>
                <w:bCs w:val="1"/>
                <w:color w:val="auto"/>
                <w:vertAlign w:val="superscript"/>
              </w:rPr>
              <w:t>1</w:t>
            </w:r>
          </w:p>
        </w:tc>
        <w:tc>
          <w:tcPr>
            <w:tcW w:w="4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30"/>
              <w:spacing w:after="0" w:line="251"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9"/>
                <w:szCs w:val="29"/>
                <w:b w:val="1"/>
                <w:bCs w:val="1"/>
                <w:color w:val="auto"/>
                <w:vertAlign w:val="superscript"/>
              </w:rPr>
              <w:t>1</w:t>
            </w:r>
          </w:p>
        </w:tc>
        <w:tc>
          <w:tcPr>
            <w:tcW w:w="2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30"/>
              <w:spacing w:after="0" w:line="251" w:lineRule="exact"/>
              <w:rPr>
                <w:sz w:val="20"/>
                <w:szCs w:val="20"/>
                <w:color w:val="auto"/>
              </w:rPr>
            </w:pPr>
            <w:r>
              <w:rPr>
                <w:rFonts w:ascii="Arial" w:cs="Arial" w:eastAsia="Arial" w:hAnsi="Arial"/>
                <w:sz w:val="18"/>
                <w:szCs w:val="18"/>
                <w:b w:val="1"/>
                <w:bCs w:val="1"/>
                <w:color w:val="auto"/>
              </w:rPr>
              <w:t>2015</w:t>
            </w:r>
            <w:r>
              <w:rPr>
                <w:rFonts w:ascii="Arial" w:cs="Arial" w:eastAsia="Arial" w:hAnsi="Arial"/>
                <w:sz w:val="29"/>
                <w:szCs w:val="29"/>
                <w:b w:val="1"/>
                <w:bCs w:val="1"/>
                <w:color w:val="auto"/>
                <w:vertAlign w:val="superscript"/>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1"/>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5"/>
              </w:rPr>
              <w:t>0.14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Tax Accounting Difference on CLO Equity Investments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w w:val="85"/>
              </w:rPr>
              <w:t>0.01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Other tax accounting differences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(0.03)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Taxable distributable income</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w w:val="85"/>
              </w:rPr>
              <w:t>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Cash distributed to the Company by Asset Manager Affiliates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4"/>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 excess of their taxable earnings</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21"/>
                <w:szCs w:val="21"/>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color w:val="auto"/>
              </w:rPr>
              <w:t>Available for distribution²</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w w:val="85"/>
              </w:rPr>
              <w:t>0.12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Distributed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0.15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0.42</w:t>
            </w:r>
          </w:p>
        </w:tc>
        <w:tc>
          <w:tcPr>
            <w:tcW w:w="80" w:type="dxa"/>
            <w:vAlign w:val="bottom"/>
            <w:shd w:val="clear" w:color="auto" w:fill="CCEEFF"/>
          </w:tcPr>
          <w:p>
            <w:pPr>
              <w:spacing w:after="0"/>
              <w:rPr>
                <w:sz w:val="19"/>
                <w:szCs w:val="19"/>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Difference</w:t>
            </w: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1"/>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(0.01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32588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17"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Table may not foot due to rounding.</w:t>
      </w:r>
    </w:p>
    <w:p>
      <w:pPr>
        <w:spacing w:after="0" w:line="23" w:lineRule="exact"/>
        <w:rPr>
          <w:sz w:val="20"/>
          <w:szCs w:val="20"/>
          <w:color w:val="auto"/>
        </w:rPr>
      </w:pPr>
    </w:p>
    <w:p>
      <w:pPr>
        <w:ind w:left="340" w:right="100" w:hanging="332"/>
        <w:spacing w:after="0" w:line="290" w:lineRule="auto"/>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"Available for distribution" financial measure is a non-GAAP financial measure that is calculated by including the cash distributed to the Company by the Asset Manager Affiliates in excess of their taxable earnings to the Company's taxable distributable income, which is the most directly comparable GAAP financial measure. In order to reconcile the "Available for distribution" financial measure to taxable distributable income per share in accordance with GAAP, the $0.00 and $0.01 per share of cash distributed to the Company by the Asset Manager Affiliates in excess of their taxable earnings is subtracted from the "Available for distribution" financial measure for the three and six months ended June, 30, 2016, respectively. The Company's management believes that the presentation of the non-GAAP "Available for distribution" financial measure provides useful information to investors.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20" w:firstLine="207"/>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ind w:right="160" w:firstLine="414"/>
        <w:spacing w:after="0" w:line="302" w:lineRule="auto"/>
        <w:rPr>
          <w:sz w:val="20"/>
          <w:szCs w:val="20"/>
          <w:color w:val="auto"/>
        </w:rPr>
      </w:pPr>
      <w:r>
        <w:rPr>
          <w:rFonts w:ascii="Arial" w:cs="Arial" w:eastAsia="Arial" w:hAnsi="Arial"/>
          <w:sz w:val="16"/>
          <w:szCs w:val="16"/>
          <w:color w:val="auto"/>
        </w:rPr>
        <w:t>Our investment income is affected by fluctuations in various interest rates, including LIBOR and prime rates. As of June 30, 2016, approximately 89.3% of our debt securities portfolio were either fixed rate or floating rate with a spread to an interest rate index such as LIBOR or the prime rate. Most of these floating rate loans contain LIBOR floors ranging between 0.75% and 3.00%. We generally expect that future portfolio investments will predominately be floating rate investments. As of June 30, 2016, we had $186.4 million of borrowings outstanding at a current weighted average rate of 3.81%.</w:t>
      </w:r>
    </w:p>
    <w:p>
      <w:pPr>
        <w:spacing w:after="0" w:line="154" w:lineRule="exact"/>
        <w:rPr>
          <w:sz w:val="20"/>
          <w:szCs w:val="20"/>
          <w:color w:val="auto"/>
        </w:rPr>
      </w:pPr>
    </w:p>
    <w:p>
      <w:pPr>
        <w:ind w:right="180" w:firstLine="414"/>
        <w:spacing w:after="0" w:line="257"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7.375% Notes Due 2019 would remain the same at 7.375%, given that this debt is at a fixed rate. The Notes issued by KCAP Senior Funding are floating rate based upon a LIBOR index plus a spread, which serves as a floor should LIBOR decrease to zero. Accordingly, our interest costs associated with this debt will fluctuate with changes in LIBOR.</w:t>
      </w:r>
    </w:p>
    <w:p>
      <w:pPr>
        <w:spacing w:after="0" w:line="188" w:lineRule="exact"/>
        <w:rPr>
          <w:sz w:val="20"/>
          <w:szCs w:val="20"/>
          <w:color w:val="auto"/>
        </w:rPr>
      </w:pPr>
    </w:p>
    <w:p>
      <w:pPr>
        <w:jc w:val="both"/>
        <w:ind w:right="180" w:firstLine="414"/>
        <w:spacing w:after="0" w:line="264"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June 30, 2016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900" w:type="dxa"/>
            <w:vAlign w:val="bottom"/>
            <w:gridSpan w:val="10"/>
          </w:tcPr>
          <w:p>
            <w:pPr>
              <w:spacing w:after="0"/>
              <w:rPr>
                <w:sz w:val="20"/>
                <w:szCs w:val="20"/>
                <w:color w:val="auto"/>
              </w:rPr>
            </w:pPr>
            <w:r>
              <w:rPr>
                <w:rFonts w:ascii="Arial" w:cs="Arial" w:eastAsia="Arial" w:hAnsi="Arial"/>
                <w:sz w:val="18"/>
                <w:szCs w:val="18"/>
                <w:color w:val="auto"/>
                <w:w w:val="90"/>
              </w:rPr>
              <w:t>Impact on net investment income from a change in interest rates at: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interest rate</w:t>
            </w: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(91,024)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613,203</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1,317,429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Decrease in interest rate</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877,727</w:t>
            </w:r>
          </w:p>
        </w:tc>
        <w:tc>
          <w:tcPr>
            <w:tcW w:w="940" w:type="dxa"/>
            <w:vAlign w:val="bottom"/>
            <w:gridSpan w:val="2"/>
            <w:shd w:val="clear" w:color="auto" w:fill="CCEEFF"/>
          </w:tcPr>
          <w:p>
            <w:pPr>
              <w:jc w:val="right"/>
              <w:ind w:right="70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877,727</w:t>
            </w:r>
          </w:p>
        </w:tc>
        <w:tc>
          <w:tcPr>
            <w:tcW w:w="56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877,727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14"/>
        <w:spacing w:after="0" w:line="273" w:lineRule="auto"/>
        <w:rPr>
          <w:sz w:val="20"/>
          <w:szCs w:val="20"/>
          <w:color w:val="auto"/>
        </w:rPr>
      </w:pPr>
      <w:r>
        <w:rPr>
          <w:rFonts w:ascii="Arial" w:cs="Arial" w:eastAsia="Arial" w:hAnsi="Arial"/>
          <w:sz w:val="17"/>
          <w:szCs w:val="17"/>
          <w:color w:val="auto"/>
        </w:rPr>
        <w:t>As shown above, net investment income assuming a 1% increase in interest rates would decrease by approximately $91,000 on an annualized basis, reflecting the impact to investments in our portfolio that are either fixed rate or which have embedded floors that would be unaffected by a 1% change in the underlying interest rate while our interest expense would be increasing. However, if the increase in rates was more significant, such as 2% or 3%, the net effect on net investment income would be an increase of approximately $613,000 and $1.3 million, respectively. Since LIBOR underlying certain investments, as well as certain of our borrowings, is currently low, it is unlikely that the underlying rate will decrease by 1% or 2% or even 3%. If the underlying rate decreased to 0%, it would result in approximately an $877,000 increase in net investment income.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4" w:name="page85"/>
    <w:bookmarkEnd w:id="84"/>
    <w:p>
      <w:pPr>
        <w:ind w:right="100" w:firstLine="41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derivative financial instruments for hedging purposes as of June 30, 2016.</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7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20" w:firstLine="414"/>
        <w:spacing w:after="0" w:line="302" w:lineRule="auto"/>
        <w:rPr>
          <w:sz w:val="20"/>
          <w:szCs w:val="20"/>
          <w:color w:val="auto"/>
        </w:rPr>
      </w:pPr>
      <w:r>
        <w:rPr>
          <w:rFonts w:ascii="Arial" w:cs="Arial" w:eastAsia="Arial" w:hAnsi="Arial"/>
          <w:sz w:val="16"/>
          <w:szCs w:val="16"/>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60" w:firstLine="41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June 30, 2016 that have materially affected, or are reasonably likely to materially affect, our internal control over financial reporting.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5" w:name="page86"/>
    <w:bookmarkEnd w:id="85"/>
    <w:p>
      <w:pPr>
        <w:jc w:val="center"/>
        <w:ind w:right="-1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firstLine="414"/>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Annual Report on Form 10-K for the year ended December 31, 2015.</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right="20" w:firstLine="414"/>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three months ended June 30, 2016, we issued a total of 67,810 shares of common stock under our dividend reinvestment plan (“DRIP”). This issuance was not subject to the registration requirements of the Securities Act of 1933. For the three months ended June 30, 2016, the aggregate value of the shares of our common stock issued under our DRIP was approximately $243,000.</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6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904" w:right="41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41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KCAP FINANCIAL,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3, 2016</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Dayl W. Pearson</w:t>
            </w:r>
          </w:p>
        </w:tc>
      </w:tr>
      <w:tr>
        <w:trPr>
          <w:trHeight w:val="195"/>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w w:val="90"/>
              </w:rPr>
              <w:t>Dayl W. Pearson</w:t>
            </w:r>
          </w:p>
        </w:tc>
      </w:tr>
      <w:tr>
        <w:trPr>
          <w:trHeight w:val="216"/>
        </w:trPr>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3, 2016</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/s/ Edward U. Gilpin</w:t>
            </w:r>
          </w:p>
        </w:tc>
      </w:tr>
    </w:tbl>
    <w:p>
      <w:pPr>
        <w:jc w:val="center"/>
        <w:ind w:left="628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800" w:type="dxa"/>
            <w:vAlign w:val="bottom"/>
          </w:tcPr>
          <w:p>
            <w:pPr>
              <w:spacing w:after="0"/>
              <w:rPr>
                <w:sz w:val="24"/>
                <w:szCs w:val="24"/>
                <w:color w:val="auto"/>
              </w:rPr>
            </w:pPr>
          </w:p>
        </w:tc>
      </w:tr>
      <w:tr>
        <w:trPr>
          <w:trHeight w:val="234"/>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800" w:type="dxa"/>
            <w:vAlign w:val="bottom"/>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411"/>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98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Purchase and Sale Agreement, dated February 29, 2012, by and among Kohlberg Capital Corporation (the “Company”), Commodore</w:t>
            </w:r>
          </w:p>
        </w:tc>
      </w:tr>
      <w:tr>
        <w:trPr>
          <w:trHeight w:val="220"/>
        </w:trPr>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Holdings, L.L.C., Trimaran Advisors, L.L.C., HBK Caravelle, L.L.C., Trimaran Fund Management, L.L.C., Jay R. Bloom, and Dean C.</w:t>
            </w:r>
          </w:p>
        </w:tc>
      </w:tr>
      <w:tr>
        <w:trPr>
          <w:trHeight w:val="390"/>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Kehler.</w:t>
            </w:r>
            <w:r>
              <w:rPr>
                <w:rFonts w:ascii="Arial" w:cs="Arial" w:eastAsia="Arial" w:hAnsi="Arial"/>
                <w:sz w:val="30"/>
                <w:szCs w:val="30"/>
                <w:color w:val="auto"/>
                <w:vertAlign w:val="superscript"/>
              </w:rPr>
              <w:t>(1)</w:t>
            </w:r>
          </w:p>
        </w:tc>
      </w:tr>
      <w:tr>
        <w:trPr>
          <w:trHeight w:val="473"/>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Certificate of Incorporation of the Company.</w:t>
            </w:r>
            <w:r>
              <w:rPr>
                <w:rFonts w:ascii="Arial" w:cs="Arial" w:eastAsia="Arial" w:hAnsi="Arial"/>
                <w:sz w:val="30"/>
                <w:szCs w:val="30"/>
                <w:color w:val="auto"/>
                <w:vertAlign w:val="superscript"/>
              </w:rPr>
              <w:t>(2)</w:t>
            </w:r>
          </w:p>
        </w:tc>
      </w:tr>
      <w:tr>
        <w:trPr>
          <w:trHeight w:val="473"/>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Bylaws of the Company, as amended and restated effective February 29, 2012.</w:t>
            </w:r>
            <w:r>
              <w:rPr>
                <w:rFonts w:ascii="Arial" w:cs="Arial" w:eastAsia="Arial" w:hAnsi="Arial"/>
                <w:sz w:val="30"/>
                <w:szCs w:val="30"/>
                <w:color w:val="auto"/>
                <w:vertAlign w:val="superscript"/>
              </w:rPr>
              <w:t>(3)</w:t>
            </w:r>
          </w:p>
        </w:tc>
      </w:tr>
      <w:tr>
        <w:trPr>
          <w:trHeight w:val="473"/>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Dividend Reinvestment Plan.</w:t>
            </w:r>
            <w:r>
              <w:rPr>
                <w:rFonts w:ascii="Arial" w:cs="Arial" w:eastAsia="Arial" w:hAnsi="Arial"/>
                <w:sz w:val="30"/>
                <w:szCs w:val="30"/>
                <w:color w:val="auto"/>
                <w:vertAlign w:val="superscript"/>
              </w:rPr>
              <w:t>(4)</w:t>
            </w:r>
          </w:p>
        </w:tc>
      </w:tr>
      <w:tr>
        <w:trPr>
          <w:trHeight w:val="473"/>
        </w:trPr>
        <w:tc>
          <w:tcPr>
            <w:tcW w:w="1620" w:type="dxa"/>
            <w:vAlign w:val="bottom"/>
            <w:gridSpan w:val="2"/>
          </w:tcPr>
          <w:p>
            <w:pPr>
              <w:spacing w:after="0"/>
              <w:rPr>
                <w:sz w:val="20"/>
                <w:szCs w:val="20"/>
                <w:color w:val="auto"/>
              </w:rPr>
            </w:pPr>
            <w:r>
              <w:rPr>
                <w:rFonts w:ascii="Arial" w:cs="Arial" w:eastAsia="Arial" w:hAnsi="Arial"/>
                <w:sz w:val="18"/>
                <w:szCs w:val="18"/>
                <w:color w:val="auto"/>
              </w:rPr>
              <w:t>4.2(a)</w:t>
            </w:r>
          </w:p>
        </w:tc>
        <w:tc>
          <w:tcPr>
            <w:tcW w:w="9800" w:type="dxa"/>
            <w:vAlign w:val="bottom"/>
          </w:tcPr>
          <w:p>
            <w:pPr>
              <w:spacing w:after="0"/>
              <w:rPr>
                <w:sz w:val="20"/>
                <w:szCs w:val="20"/>
                <w:color w:val="auto"/>
              </w:rPr>
            </w:pPr>
            <w:r>
              <w:rPr>
                <w:rFonts w:ascii="Arial" w:cs="Arial" w:eastAsia="Arial" w:hAnsi="Arial"/>
                <w:sz w:val="18"/>
                <w:szCs w:val="18"/>
                <w:color w:val="auto"/>
                <w:w w:val="92"/>
              </w:rPr>
              <w:t>Form of Base Indenture between the Company and U.S. Bank National Association relating to the 7.375% Senior Notes Due 2019</w:t>
            </w:r>
            <w:r>
              <w:rPr>
                <w:rFonts w:ascii="Arial" w:cs="Arial" w:eastAsia="Arial" w:hAnsi="Arial"/>
                <w:sz w:val="30"/>
                <w:szCs w:val="30"/>
                <w:color w:val="auto"/>
                <w:w w:val="92"/>
                <w:vertAlign w:val="superscript"/>
              </w:rPr>
              <w:t>(5)</w:t>
            </w:r>
          </w:p>
        </w:tc>
      </w:tr>
      <w:tr>
        <w:trPr>
          <w:trHeight w:val="299"/>
        </w:trPr>
        <w:tc>
          <w:tcPr>
            <w:tcW w:w="1620" w:type="dxa"/>
            <w:vAlign w:val="bottom"/>
            <w:gridSpan w:val="2"/>
          </w:tcPr>
          <w:p>
            <w:pPr>
              <w:spacing w:after="0"/>
              <w:rPr>
                <w:sz w:val="20"/>
                <w:szCs w:val="20"/>
                <w:color w:val="auto"/>
              </w:rPr>
            </w:pPr>
            <w:r>
              <w:rPr>
                <w:rFonts w:ascii="Arial" w:cs="Arial" w:eastAsia="Arial" w:hAnsi="Arial"/>
                <w:sz w:val="18"/>
                <w:szCs w:val="18"/>
                <w:color w:val="auto"/>
              </w:rPr>
              <w:t>4.2(b)</w:t>
            </w:r>
          </w:p>
        </w:tc>
        <w:tc>
          <w:tcPr>
            <w:tcW w:w="9800" w:type="dxa"/>
            <w:vAlign w:val="bottom"/>
          </w:tcPr>
          <w:p>
            <w:pPr>
              <w:spacing w:after="0"/>
              <w:rPr>
                <w:sz w:val="20"/>
                <w:szCs w:val="20"/>
                <w:color w:val="auto"/>
              </w:rPr>
            </w:pPr>
            <w:r>
              <w:rPr>
                <w:rFonts w:ascii="Arial" w:cs="Arial" w:eastAsia="Arial" w:hAnsi="Arial"/>
                <w:sz w:val="18"/>
                <w:szCs w:val="18"/>
                <w:color w:val="auto"/>
                <w:w w:val="92"/>
              </w:rPr>
              <w:t>Form of First Supplemental Indenture between the Company and U.S. Bank National Association relating to the 7.375% Senior Notes</w:t>
            </w:r>
          </w:p>
        </w:tc>
      </w:tr>
      <w:tr>
        <w:trPr>
          <w:trHeight w:val="390"/>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Due 2019</w:t>
            </w:r>
            <w:r>
              <w:rPr>
                <w:rFonts w:ascii="Arial" w:cs="Arial" w:eastAsia="Arial" w:hAnsi="Arial"/>
                <w:sz w:val="30"/>
                <w:szCs w:val="30"/>
                <w:color w:val="auto"/>
                <w:vertAlign w:val="superscript"/>
              </w:rPr>
              <w:t>(5)</w:t>
            </w:r>
          </w:p>
        </w:tc>
      </w:tr>
      <w:tr>
        <w:trPr>
          <w:trHeight w:val="473"/>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4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Note relating to the 7.375% Senior Notes Due 2019 (included as part of Exhibit 4.2)</w:t>
            </w:r>
            <w:r>
              <w:rPr>
                <w:rFonts w:ascii="Arial" w:cs="Arial" w:eastAsia="Arial" w:hAnsi="Arial"/>
                <w:sz w:val="30"/>
                <w:szCs w:val="30"/>
                <w:color w:val="auto"/>
                <w:vertAlign w:val="superscript"/>
              </w:rPr>
              <w:t>(5)</w:t>
            </w:r>
          </w:p>
        </w:tc>
      </w:tr>
      <w:tr>
        <w:trPr>
          <w:trHeight w:val="299"/>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Indenture dated as of March 16, 2011, by and between the Company and U.S. Bank National Association, as trustee relating to the</w:t>
            </w:r>
          </w:p>
        </w:tc>
      </w:tr>
      <w:tr>
        <w:trPr>
          <w:trHeight w:val="390"/>
        </w:trPr>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8.75% Convertible Senior Notes Due 2016.</w:t>
            </w:r>
            <w:r>
              <w:rPr>
                <w:rFonts w:ascii="Arial" w:cs="Arial" w:eastAsia="Arial" w:hAnsi="Arial"/>
                <w:sz w:val="30"/>
                <w:szCs w:val="30"/>
                <w:color w:val="auto"/>
                <w:vertAlign w:val="superscript"/>
              </w:rPr>
              <w:t>(6)</w:t>
            </w:r>
          </w:p>
        </w:tc>
      </w:tr>
      <w:tr>
        <w:trPr>
          <w:trHeight w:val="473"/>
        </w:trPr>
        <w:tc>
          <w:tcPr>
            <w:tcW w:w="1160" w:type="dxa"/>
            <w:vAlign w:val="bottom"/>
          </w:tcPr>
          <w:p>
            <w:pPr>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of 8.75% Convertible Senior Notes Due 2016 (included as part of Exhibit 4.4).</w:t>
            </w:r>
            <w:r>
              <w:rPr>
                <w:rFonts w:ascii="Arial" w:cs="Arial" w:eastAsia="Arial" w:hAnsi="Arial"/>
                <w:sz w:val="30"/>
                <w:szCs w:val="30"/>
                <w:color w:val="auto"/>
                <w:vertAlign w:val="superscript"/>
              </w:rPr>
              <w:t>(6)</w:t>
            </w:r>
          </w:p>
        </w:tc>
      </w:tr>
      <w:tr>
        <w:trPr>
          <w:trHeight w:val="309"/>
        </w:trPr>
        <w:tc>
          <w:tcPr>
            <w:tcW w:w="1160" w:type="dxa"/>
            <w:vAlign w:val="bottom"/>
          </w:tcPr>
          <w:p>
            <w:pPr>
              <w:spacing w:after="0"/>
              <w:rPr>
                <w:sz w:val="20"/>
                <w:szCs w:val="20"/>
                <w:color w:val="auto"/>
              </w:rPr>
            </w:pPr>
            <w:r>
              <w:rPr>
                <w:rFonts w:ascii="Arial" w:cs="Arial" w:eastAsia="Arial" w:hAnsi="Arial"/>
                <w:sz w:val="18"/>
                <w:szCs w:val="18"/>
                <w:color w:val="auto"/>
              </w:rPr>
              <w:t>11.1</w:t>
            </w:r>
          </w:p>
        </w:tc>
        <w:tc>
          <w:tcPr>
            <w:tcW w:w="4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Computation of Per Share Earnings (included in the notes to the unaudited financial statements contained in this report).</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Certification of Chief Executive Officer Pursuant to Rule 13a-14(a) under the Securities Exchange Act of 1934, as adopted pursuant to</w:t>
            </w: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Certification of Chief Financial Officer Pursuant to Rule 13a-14(a) under the Securities Exchange Act of 1934, as adopted pursuant to</w:t>
            </w: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Certification of Chief Executive Officer Pursuant to 18 U. S. C. 1350, as adopted pursuant to Section 906 of the Sarbanes-Oxley Act of</w:t>
            </w: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2002. **</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4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Certification of Chief Financial Officer Pursuant to 18 U. S. C. 1350, as adopted pursuant to Section 906 of the Sarbanes-Oxley Act of</w:t>
            </w:r>
          </w:p>
        </w:tc>
      </w:tr>
      <w:tr>
        <w:trPr>
          <w:trHeight w:val="230"/>
        </w:trPr>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2002.**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Submitted herewith</w:t>
            </w:r>
          </w:p>
        </w:tc>
      </w:tr>
    </w:tbl>
    <w:p>
      <w:pPr>
        <w:spacing w:after="0" w:line="202"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Incorporated by reference to Exhibit 2.1 of the Current Report on Form 8-K, as filed on March 1, 2012 (File No. 814-00735).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Incorporated by reference to the exhibit included in Pre-Effective Amendment No. 1 on Form N-2, as filed on October 6, 2006 (File No. 333-136714).</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8" w:name="page89"/>
    <w:bookmarkEnd w:id="88"/>
    <w:p>
      <w:pPr>
        <w:ind w:left="332" w:hanging="332"/>
        <w:spacing w:after="0"/>
        <w:tabs>
          <w:tab w:leader="none" w:pos="33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Exhibit 3.1 of the Current Report on Form 8-K, as filed on March 1, 2012 (File No. 814-00735).</w:t>
      </w:r>
    </w:p>
    <w:p>
      <w:pPr>
        <w:spacing w:after="0" w:line="225" w:lineRule="exact"/>
        <w:rPr>
          <w:rFonts w:ascii="Arial" w:cs="Arial" w:eastAsia="Arial" w:hAnsi="Arial"/>
          <w:sz w:val="18"/>
          <w:szCs w:val="18"/>
          <w:color w:val="auto"/>
        </w:rPr>
      </w:pPr>
    </w:p>
    <w:p>
      <w:pPr>
        <w:ind w:left="332" w:hanging="332"/>
        <w:spacing w:after="0" w:line="277" w:lineRule="auto"/>
        <w:tabs>
          <w:tab w:leader="none" w:pos="33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the exhibit included in Pre-Effective Amendment No. 2 on Form N-2, as filed on November 20, 2006 (File No. 333-136714).</w:t>
      </w:r>
    </w:p>
    <w:p>
      <w:pPr>
        <w:spacing w:after="0" w:line="170" w:lineRule="exact"/>
        <w:rPr>
          <w:rFonts w:ascii="Arial" w:cs="Arial" w:eastAsia="Arial" w:hAnsi="Arial"/>
          <w:sz w:val="18"/>
          <w:szCs w:val="18"/>
          <w:color w:val="auto"/>
        </w:rPr>
      </w:pPr>
    </w:p>
    <w:p>
      <w:pPr>
        <w:ind w:left="332" w:hanging="332"/>
        <w:spacing w:after="0"/>
        <w:tabs>
          <w:tab w:leader="none" w:pos="332"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Incorporated by reference to exhibit included in the Registration Statement in Form N-2, as filed on October 3, 2012 (File No. 333-183032).</w:t>
      </w:r>
    </w:p>
    <w:p>
      <w:pPr>
        <w:spacing w:after="0" w:line="236" w:lineRule="exact"/>
        <w:rPr>
          <w:rFonts w:ascii="Arial" w:cs="Arial" w:eastAsia="Arial" w:hAnsi="Arial"/>
          <w:sz w:val="17"/>
          <w:szCs w:val="17"/>
          <w:color w:val="auto"/>
        </w:rPr>
      </w:pPr>
    </w:p>
    <w:p>
      <w:pPr>
        <w:ind w:left="332" w:hanging="332"/>
        <w:spacing w:after="0"/>
        <w:tabs>
          <w:tab w:leader="none" w:pos="33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Incorporated by reference to Exhibit 4.1 of the Current Report on Form 8-K, as filed on March 16, 2011 (File No. 814-00735).</w:t>
      </w:r>
    </w:p>
    <w:p>
      <w:pPr>
        <w:spacing w:after="0" w:line="200" w:lineRule="exact"/>
        <w:rPr>
          <w:sz w:val="20"/>
          <w:szCs w:val="20"/>
          <w:color w:val="auto"/>
        </w:rPr>
      </w:pPr>
    </w:p>
    <w:p>
      <w:pPr>
        <w:spacing w:after="0" w:line="241" w:lineRule="exact"/>
        <w:rPr>
          <w:sz w:val="20"/>
          <w:szCs w:val="20"/>
          <w:color w:val="auto"/>
        </w:rPr>
      </w:pPr>
    </w:p>
    <w:p>
      <w:pPr>
        <w:ind w:left="5632"/>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92"/>
          </w:cols>
          <w:pgMar w:left="248" w:top="908" w:right="85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Dayl W. Pearson, certify that:</w:t>
      </w:r>
    </w:p>
    <w:p>
      <w:pPr>
        <w:spacing w:after="0" w:line="225" w:lineRule="exact"/>
        <w:rPr>
          <w:sz w:val="20"/>
          <w:szCs w:val="20"/>
          <w:color w:val="auto"/>
        </w:rPr>
      </w:pPr>
    </w:p>
    <w:p>
      <w:pPr>
        <w:ind w:left="600" w:hanging="178"/>
        <w:spacing w:after="0"/>
        <w:tabs>
          <w:tab w:leader="none" w:pos="6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2016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8060" w:val="left"/>
        </w:tabs>
        <w:rPr>
          <w:sz w:val="20"/>
          <w:szCs w:val="20"/>
          <w:color w:val="auto"/>
        </w:rPr>
      </w:pPr>
      <w:r>
        <w:rPr>
          <w:rFonts w:ascii="Arial" w:cs="Arial" w:eastAsia="Arial" w:hAnsi="Arial"/>
          <w:sz w:val="18"/>
          <w:szCs w:val="18"/>
          <w:color w:val="auto"/>
        </w:rPr>
        <w:t>Date: August 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w:t>
      </w:r>
      <w:r>
        <w:rPr>
          <w:rFonts w:ascii="Arial" w:cs="Arial" w:eastAsia="Arial" w:hAnsi="Arial"/>
          <w:sz w:val="11"/>
          <w:szCs w:val="11"/>
          <w:color w:val="auto"/>
        </w:rPr>
        <w:t>AY</w:t>
      </w:r>
      <w:r>
        <w:rPr>
          <w:rFonts w:ascii="Arial" w:cs="Arial" w:eastAsia="Arial" w:hAnsi="Arial"/>
          <w:sz w:val="17"/>
          <w:szCs w:val="17"/>
          <w:color w:val="auto"/>
        </w:rPr>
        <w:t>l W. P</w:t>
      </w:r>
      <w:r>
        <w:rPr>
          <w:rFonts w:ascii="Arial" w:cs="Arial" w:eastAsia="Arial" w:hAnsi="Arial"/>
          <w:sz w:val="11"/>
          <w:szCs w:val="11"/>
          <w:color w:val="auto"/>
        </w:rPr>
        <w:t>EARSON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600" w:hanging="178"/>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2016 of KCAP Financial, Inc. (the “registrant”);</w:t>
      </w:r>
    </w:p>
    <w:p>
      <w:pPr>
        <w:spacing w:after="0" w:line="225" w:lineRule="exact"/>
        <w:rPr>
          <w:rFonts w:ascii="Arial" w:cs="Arial" w:eastAsia="Arial" w:hAnsi="Arial"/>
          <w:sz w:val="18"/>
          <w:szCs w:val="18"/>
          <w:color w:val="auto"/>
        </w:rPr>
      </w:pPr>
    </w:p>
    <w:p>
      <w:pPr>
        <w:ind w:right="280" w:firstLine="422"/>
        <w:spacing w:after="0" w:line="342" w:lineRule="auto"/>
        <w:tabs>
          <w:tab w:leader="none" w:pos="594"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40" w:firstLine="422"/>
        <w:spacing w:after="0" w:line="308" w:lineRule="auto"/>
        <w:tabs>
          <w:tab w:leader="none" w:pos="594"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422"/>
        <w:spacing w:after="0" w:line="264" w:lineRule="auto"/>
        <w:tabs>
          <w:tab w:leader="none" w:pos="59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20" w:firstLine="422"/>
        <w:spacing w:after="0" w:line="264" w:lineRule="auto"/>
        <w:tabs>
          <w:tab w:leader="none" w:pos="659"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firstLine="422"/>
        <w:spacing w:after="0" w:line="264" w:lineRule="auto"/>
        <w:tabs>
          <w:tab w:leader="none" w:pos="669"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0" w:firstLine="422"/>
        <w:spacing w:after="0" w:line="277" w:lineRule="auto"/>
        <w:tabs>
          <w:tab w:leader="none" w:pos="659"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00" w:firstLine="422"/>
        <w:spacing w:after="0" w:line="264" w:lineRule="auto"/>
        <w:tabs>
          <w:tab w:leader="none" w:pos="669"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40" w:firstLine="422"/>
        <w:spacing w:after="0" w:line="308" w:lineRule="auto"/>
        <w:tabs>
          <w:tab w:leader="none" w:pos="594"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40" w:firstLine="422"/>
        <w:spacing w:after="0" w:line="277" w:lineRule="auto"/>
        <w:tabs>
          <w:tab w:leader="none" w:pos="65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422"/>
        <w:spacing w:after="0" w:line="277" w:lineRule="auto"/>
        <w:tabs>
          <w:tab w:leader="none" w:pos="66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8040" w:val="left"/>
        </w:tabs>
        <w:rPr>
          <w:sz w:val="20"/>
          <w:szCs w:val="20"/>
          <w:color w:val="auto"/>
        </w:rPr>
      </w:pPr>
      <w:r>
        <w:rPr>
          <w:rFonts w:ascii="Arial" w:cs="Arial" w:eastAsia="Arial" w:hAnsi="Arial"/>
          <w:sz w:val="18"/>
          <w:szCs w:val="18"/>
          <w:color w:val="auto"/>
        </w:rPr>
        <w:t>Date: August 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June 30, 2016 (the “Report”), I, Dayl W. Pearson, President and Chief Executive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 w:leader="none" w:pos="8040" w:val="left"/>
        </w:tabs>
        <w:rPr>
          <w:sz w:val="20"/>
          <w:szCs w:val="20"/>
          <w:color w:val="auto"/>
        </w:rPr>
      </w:pPr>
      <w:r>
        <w:rPr>
          <w:rFonts w:ascii="Arial" w:cs="Arial" w:eastAsia="Arial" w:hAnsi="Arial"/>
          <w:sz w:val="18"/>
          <w:szCs w:val="18"/>
          <w:color w:val="auto"/>
        </w:rPr>
        <w:t>Date: August 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w:t>
      </w:r>
      <w:r>
        <w:rPr>
          <w:rFonts w:ascii="Arial" w:cs="Arial" w:eastAsia="Arial" w:hAnsi="Arial"/>
          <w:sz w:val="11"/>
          <w:szCs w:val="11"/>
          <w:color w:val="auto"/>
        </w:rPr>
        <w:t>AYL</w:t>
      </w:r>
      <w:r>
        <w:rPr>
          <w:rFonts w:ascii="Arial" w:cs="Arial" w:eastAsia="Arial" w:hAnsi="Arial"/>
          <w:sz w:val="17"/>
          <w:szCs w:val="17"/>
          <w:color w:val="auto"/>
        </w:rPr>
        <w:t xml:space="preserve"> W. P</w:t>
      </w:r>
      <w:r>
        <w:rPr>
          <w:rFonts w:ascii="Arial" w:cs="Arial" w:eastAsia="Arial" w:hAnsi="Arial"/>
          <w:sz w:val="11"/>
          <w:szCs w:val="11"/>
          <w:color w:val="auto"/>
        </w:rPr>
        <w:t>EARSON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firstLine="41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June 30, 2016 (the “Report”), I, Edward U. Gilpin, Chief Financial Officer of the Company, certify, pursuant to 18 U.S.C. §1350, as adopted pursuant to §906 of the Sarbanes-Oxley Act of 2002, that:</w:t>
      </w:r>
    </w:p>
    <w:p>
      <w:pPr>
        <w:spacing w:after="0" w:line="181" w:lineRule="exact"/>
        <w:rPr>
          <w:sz w:val="20"/>
          <w:szCs w:val="20"/>
          <w:color w:val="auto"/>
        </w:rPr>
      </w:pPr>
    </w:p>
    <w:p>
      <w:pPr>
        <w:ind w:left="680" w:hanging="258"/>
        <w:spacing w:after="0"/>
        <w:tabs>
          <w:tab w:leader="none" w:pos="6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680" w:hanging="258"/>
        <w:spacing w:after="0"/>
        <w:tabs>
          <w:tab w:leader="none" w:pos="6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5700" w:val="left"/>
          <w:tab w:leader="none" w:pos="8040" w:val="left"/>
        </w:tabs>
        <w:rPr>
          <w:sz w:val="20"/>
          <w:szCs w:val="20"/>
          <w:color w:val="auto"/>
        </w:rPr>
      </w:pPr>
      <w:r>
        <w:rPr>
          <w:rFonts w:ascii="Arial" w:cs="Arial" w:eastAsia="Arial" w:hAnsi="Arial"/>
          <w:sz w:val="18"/>
          <w:szCs w:val="18"/>
          <w:color w:val="auto"/>
        </w:rPr>
        <w:t>Date: August 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w:t>
      </w:r>
      <w:r>
        <w:rPr>
          <w:rFonts w:ascii="Arial" w:cs="Arial" w:eastAsia="Arial" w:hAnsi="Arial"/>
          <w:sz w:val="11"/>
          <w:szCs w:val="11"/>
          <w:color w:val="auto"/>
        </w:rPr>
        <w:t>DWARD</w:t>
      </w:r>
      <w:r>
        <w:rPr>
          <w:rFonts w:ascii="Arial" w:cs="Arial" w:eastAsia="Arial" w:hAnsi="Arial"/>
          <w:sz w:val="17"/>
          <w:szCs w:val="17"/>
          <w:color w:val="auto"/>
        </w:rPr>
        <w:t xml:space="preserve"> U. G</w:t>
      </w:r>
      <w:r>
        <w:rPr>
          <w:rFonts w:ascii="Arial" w:cs="Arial" w:eastAsia="Arial" w:hAnsi="Arial"/>
          <w:sz w:val="11"/>
          <w:szCs w:val="11"/>
          <w:color w:val="auto"/>
        </w:rPr>
        <w:t>ILPIN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x"/>
      <w:numFmt w:val="bullet"/>
      <w:start w:val="1"/>
    </w:lvl>
  </w:abstractNum>
  <w:abstractNum w:abstractNumId="1">
    <w:nsid w:val="5072367"/>
    <w:multiLevelType w:val="hybridMultilevel"/>
    <w:lvl w:ilvl="0">
      <w:lvlJc w:val="left"/>
      <w:lvlText w:val="o"/>
      <w:numFmt w:val="bullet"/>
      <w:start w:val="1"/>
    </w:lvl>
  </w:abstractNum>
  <w:abstractNum w:abstractNumId="2">
    <w:nsid w:val="3804823E"/>
    <w:multiLevelType w:val="hybridMultilevel"/>
    <w:lvl w:ilvl="0">
      <w:lvlJc w:val="left"/>
      <w:lvlText w:val="%1"/>
      <w:numFmt w:val="upperLetter"/>
      <w:start w:val="54"/>
    </w:lvl>
  </w:abstractNum>
  <w:abstractNum w:abstractNumId="3">
    <w:nsid w:val="77465F01"/>
    <w:multiLevelType w:val="hybridMultilevel"/>
    <w:lvl w:ilvl="0">
      <w:lvlJc w:val="left"/>
      <w:lvlText w:val="1"/>
      <w:numFmt w:val="bullet"/>
      <w:start w:val="1"/>
    </w:lvl>
  </w:abstractNum>
  <w:abstractNum w:abstractNumId="4">
    <w:nsid w:val="7724C67E"/>
    <w:multiLevelType w:val="hybridMultilevel"/>
    <w:lvl w:ilvl="0">
      <w:lvlJc w:val="left"/>
      <w:lvlText w:val="2"/>
      <w:numFmt w:val="bullet"/>
      <w:start w:val="1"/>
    </w:lvl>
  </w:abstractNum>
  <w:abstractNum w:abstractNumId="5">
    <w:nsid w:val="5C482A97"/>
    <w:multiLevelType w:val="hybridMultilevel"/>
    <w:lvl w:ilvl="0">
      <w:lvlJc w:val="left"/>
      <w:lvlText w:val="3"/>
      <w:numFmt w:val="bullet"/>
      <w:start w:val="1"/>
    </w:lvl>
  </w:abstractNum>
  <w:abstractNum w:abstractNumId="6">
    <w:nsid w:val="2463B9EA"/>
    <w:multiLevelType w:val="hybridMultilevel"/>
    <w:lvl w:ilvl="0">
      <w:lvlJc w:val="left"/>
      <w:lvlText w:val="4"/>
      <w:numFmt w:val="bullet"/>
      <w:start w:val="1"/>
    </w:lvl>
  </w:abstractNum>
  <w:abstractNum w:abstractNumId="7">
    <w:nsid w:val="5E884ADC"/>
    <w:multiLevelType w:val="hybridMultilevel"/>
    <w:lvl w:ilvl="0">
      <w:lvlJc w:val="left"/>
      <w:lvlText w:val="5"/>
      <w:numFmt w:val="bullet"/>
      <w:start w:val="1"/>
    </w:lvl>
  </w:abstractNum>
  <w:abstractNum w:abstractNumId="8">
    <w:nsid w:val="51EAD36B"/>
    <w:multiLevelType w:val="hybridMultilevel"/>
    <w:lvl w:ilvl="0">
      <w:lvlJc w:val="left"/>
      <w:lvlText w:val="6"/>
      <w:numFmt w:val="bullet"/>
      <w:start w:val="1"/>
    </w:lvl>
  </w:abstractNum>
  <w:abstractNum w:abstractNumId="9">
    <w:nsid w:val="2D517796"/>
    <w:multiLevelType w:val="hybridMultilevel"/>
    <w:lvl w:ilvl="0">
      <w:lvlJc w:val="left"/>
      <w:lvlText w:val="7"/>
      <w:numFmt w:val="bullet"/>
      <w:start w:val="1"/>
    </w:lvl>
  </w:abstractNum>
  <w:abstractNum w:abstractNumId="10">
    <w:nsid w:val="580BD78F"/>
    <w:multiLevelType w:val="hybridMultilevel"/>
    <w:lvl w:ilvl="0">
      <w:lvlJc w:val="left"/>
      <w:lvlText w:val="8"/>
      <w:numFmt w:val="bullet"/>
      <w:start w:val="1"/>
    </w:lvl>
  </w:abstractNum>
  <w:abstractNum w:abstractNumId="11">
    <w:nsid w:val="153EA438"/>
    <w:multiLevelType w:val="hybridMultilevel"/>
    <w:lvl w:ilvl="0">
      <w:lvlJc w:val="left"/>
      <w:lvlText w:val="9"/>
      <w:numFmt w:val="bullet"/>
      <w:start w:val="1"/>
    </w:lvl>
  </w:abstractNum>
  <w:abstractNum w:abstractNumId="12">
    <w:nsid w:val="3855585C"/>
    <w:multiLevelType w:val="hybridMultilevel"/>
    <w:lvl w:ilvl="0">
      <w:lvlJc w:val="left"/>
      <w:lvlText w:val="%1"/>
      <w:numFmt w:val="decimal"/>
      <w:start w:val="10"/>
    </w:lvl>
  </w:abstractNum>
  <w:abstractNum w:abstractNumId="13">
    <w:nsid w:val="70A64E2A"/>
    <w:multiLevelType w:val="hybridMultilevel"/>
    <w:lvl w:ilvl="0">
      <w:lvlJc w:val="left"/>
      <w:lvlText w:val="%1"/>
      <w:numFmt w:val="upperLetter"/>
      <w:start w:val="54"/>
    </w:lvl>
  </w:abstractNum>
  <w:abstractNum w:abstractNumId="14">
    <w:nsid w:val="6A2342EC"/>
    <w:multiLevelType w:val="hybridMultilevel"/>
    <w:lvl w:ilvl="0">
      <w:lvlJc w:val="left"/>
      <w:lvlText w:val="1"/>
      <w:numFmt w:val="bullet"/>
      <w:start w:val="1"/>
    </w:lvl>
  </w:abstractNum>
  <w:abstractNum w:abstractNumId="15">
    <w:nsid w:val="2A487CB0"/>
    <w:multiLevelType w:val="hybridMultilevel"/>
    <w:lvl w:ilvl="0">
      <w:lvlJc w:val="left"/>
      <w:lvlText w:val="2"/>
      <w:numFmt w:val="bullet"/>
      <w:start w:val="1"/>
    </w:lvl>
  </w:abstractNum>
  <w:abstractNum w:abstractNumId="16">
    <w:nsid w:val="1D4ED43B"/>
    <w:multiLevelType w:val="hybridMultilevel"/>
    <w:lvl w:ilvl="0">
      <w:lvlJc w:val="left"/>
      <w:lvlText w:val="3"/>
      <w:numFmt w:val="bullet"/>
      <w:start w:val="1"/>
    </w:lvl>
  </w:abstractNum>
  <w:abstractNum w:abstractNumId="17">
    <w:nsid w:val="725A06FB"/>
    <w:multiLevelType w:val="hybridMultilevel"/>
    <w:lvl w:ilvl="0">
      <w:lvlJc w:val="left"/>
      <w:lvlText w:val="4"/>
      <w:numFmt w:val="bullet"/>
      <w:start w:val="1"/>
    </w:lvl>
  </w:abstractNum>
  <w:abstractNum w:abstractNumId="18">
    <w:nsid w:val="2CD89A32"/>
    <w:multiLevelType w:val="hybridMultilevel"/>
    <w:lvl w:ilvl="0">
      <w:lvlJc w:val="left"/>
      <w:lvlText w:val="5"/>
      <w:numFmt w:val="bullet"/>
      <w:start w:val="1"/>
    </w:lvl>
  </w:abstractNum>
  <w:abstractNum w:abstractNumId="19">
    <w:nsid w:val="57E4CCAF"/>
    <w:multiLevelType w:val="hybridMultilevel"/>
    <w:lvl w:ilvl="0">
      <w:lvlJc w:val="left"/>
      <w:lvlText w:val="6"/>
      <w:numFmt w:val="bullet"/>
      <w:start w:val="1"/>
    </w:lvl>
  </w:abstractNum>
  <w:abstractNum w:abstractNumId="20">
    <w:nsid w:val="7A6D8D3C"/>
    <w:multiLevelType w:val="hybridMultilevel"/>
    <w:lvl w:ilvl="0">
      <w:lvlJc w:val="left"/>
      <w:lvlText w:val="7"/>
      <w:numFmt w:val="bullet"/>
      <w:start w:val="1"/>
    </w:lvl>
  </w:abstractNum>
  <w:abstractNum w:abstractNumId="21">
    <w:nsid w:val="4B588F54"/>
    <w:multiLevelType w:val="hybridMultilevel"/>
    <w:lvl w:ilvl="0">
      <w:lvlJc w:val="left"/>
      <w:lvlText w:val="8"/>
      <w:numFmt w:val="bullet"/>
      <w:start w:val="1"/>
    </w:lvl>
  </w:abstractNum>
  <w:abstractNum w:abstractNumId="22">
    <w:nsid w:val="542289EC"/>
    <w:multiLevelType w:val="hybridMultilevel"/>
    <w:lvl w:ilvl="0">
      <w:lvlJc w:val="left"/>
      <w:lvlText w:val="9"/>
      <w:numFmt w:val="bullet"/>
      <w:start w:val="1"/>
    </w:lvl>
  </w:abstractNum>
  <w:abstractNum w:abstractNumId="23">
    <w:nsid w:val="6DE91B18"/>
    <w:multiLevelType w:val="hybridMultilevel"/>
    <w:lvl w:ilvl="0">
      <w:lvlJc w:val="left"/>
      <w:lvlText w:val="%1"/>
      <w:numFmt w:val="decimal"/>
      <w:start w:val="10"/>
    </w:lvl>
  </w:abstractNum>
  <w:abstractNum w:abstractNumId="24">
    <w:nsid w:val="38437FDB"/>
    <w:multiLevelType w:val="hybridMultilevel"/>
    <w:lvl w:ilvl="0">
      <w:lvlJc w:val="left"/>
      <w:lvlText w:val="1"/>
      <w:numFmt w:val="bullet"/>
      <w:start w:val="1"/>
    </w:lvl>
  </w:abstractNum>
  <w:abstractNum w:abstractNumId="25">
    <w:nsid w:val="7644A45C"/>
    <w:multiLevelType w:val="hybridMultilevel"/>
    <w:lvl w:ilvl="0">
      <w:lvlJc w:val="left"/>
      <w:lvlText w:val="2"/>
      <w:numFmt w:val="bullet"/>
      <w:start w:val="1"/>
    </w:lvl>
  </w:abstractNum>
  <w:abstractNum w:abstractNumId="26">
    <w:nsid w:val="32FFF902"/>
    <w:multiLevelType w:val="hybridMultilevel"/>
    <w:lvl w:ilvl="0">
      <w:lvlJc w:val="left"/>
      <w:lvlText w:val="3"/>
      <w:numFmt w:val="bullet"/>
      <w:start w:val="1"/>
    </w:lvl>
  </w:abstractNum>
  <w:abstractNum w:abstractNumId="27">
    <w:nsid w:val="684A481A"/>
    <w:multiLevelType w:val="hybridMultilevel"/>
    <w:lvl w:ilvl="0">
      <w:lvlJc w:val="left"/>
      <w:lvlText w:val="4"/>
      <w:numFmt w:val="bullet"/>
      <w:start w:val="1"/>
    </w:lvl>
  </w:abstractNum>
  <w:abstractNum w:abstractNumId="28">
    <w:nsid w:val="579478FE"/>
    <w:multiLevelType w:val="hybridMultilevel"/>
    <w:lvl w:ilvl="0">
      <w:lvlJc w:val="left"/>
      <w:lvlText w:val="5"/>
      <w:numFmt w:val="bullet"/>
      <w:start w:val="1"/>
    </w:lvl>
  </w:abstractNum>
  <w:abstractNum w:abstractNumId="29">
    <w:nsid w:val="749ABB43"/>
    <w:multiLevelType w:val="hybridMultilevel"/>
    <w:lvl w:ilvl="0">
      <w:lvlJc w:val="left"/>
      <w:lvlText w:val="6"/>
      <w:numFmt w:val="bullet"/>
      <w:start w:val="1"/>
    </w:lvl>
  </w:abstractNum>
  <w:abstractNum w:abstractNumId="30">
    <w:nsid w:val="3DC240FB"/>
    <w:multiLevelType w:val="hybridMultilevel"/>
    <w:lvl w:ilvl="0">
      <w:lvlJc w:val="left"/>
      <w:lvlText w:val="%1."/>
      <w:numFmt w:val="decimal"/>
      <w:start w:val="2"/>
    </w:lvl>
  </w:abstractNum>
  <w:abstractNum w:abstractNumId="31">
    <w:nsid w:val="1BA026FA"/>
    <w:multiLevelType w:val="hybridMultilevel"/>
    <w:lvl w:ilvl="0">
      <w:lvlJc w:val="left"/>
      <w:lvlText w:val="\endash "/>
      <w:numFmt w:val="bullet"/>
      <w:start w:val="1"/>
    </w:lvl>
  </w:abstractNum>
  <w:abstractNum w:abstractNumId="32">
    <w:nsid w:val="79A1DEAA"/>
    <w:multiLevelType w:val="hybridMultilevel"/>
    <w:lvl w:ilvl="0">
      <w:lvlJc w:val="left"/>
      <w:lvlText w:val="¹"/>
      <w:numFmt w:val="bullet"/>
      <w:start w:val="1"/>
    </w:lvl>
  </w:abstractNum>
  <w:abstractNum w:abstractNumId="33">
    <w:nsid w:val="75C6C33A"/>
    <w:multiLevelType w:val="hybridMultilevel"/>
    <w:lvl w:ilvl="0">
      <w:lvlJc w:val="left"/>
      <w:lvlText w:val="²"/>
      <w:numFmt w:val="bullet"/>
      <w:start w:val="1"/>
    </w:lvl>
  </w:abstractNum>
  <w:abstractNum w:abstractNumId="34">
    <w:nsid w:val="12E685FB"/>
    <w:multiLevelType w:val="hybridMultilevel"/>
    <w:lvl w:ilvl="0">
      <w:lvlJc w:val="left"/>
      <w:lvlText w:val="1"/>
      <w:numFmt w:val="bullet"/>
      <w:start w:val="1"/>
    </w:lvl>
  </w:abstractNum>
  <w:abstractNum w:abstractNumId="35">
    <w:nsid w:val="70C6A529"/>
    <w:multiLevelType w:val="hybridMultilevel"/>
    <w:lvl w:ilvl="0">
      <w:lvlJc w:val="left"/>
      <w:lvlText w:val="2"/>
      <w:numFmt w:val="bullet"/>
      <w:start w:val="1"/>
    </w:lvl>
  </w:abstractNum>
  <w:abstractNum w:abstractNumId="36">
    <w:nsid w:val="520EEDD1"/>
    <w:multiLevelType w:val="hybridMultilevel"/>
    <w:lvl w:ilvl="0">
      <w:lvlJc w:val="left"/>
      <w:lvlText w:val="3"/>
      <w:numFmt w:val="bullet"/>
      <w:start w:val="1"/>
    </w:lvl>
  </w:abstractNum>
  <w:abstractNum w:abstractNumId="37">
    <w:nsid w:val="374A3FE6"/>
    <w:multiLevelType w:val="hybridMultilevel"/>
    <w:lvl w:ilvl="0">
      <w:lvlJc w:val="left"/>
      <w:lvlText w:val="¹"/>
      <w:numFmt w:val="bullet"/>
      <w:start w:val="1"/>
    </w:lvl>
  </w:abstractNum>
  <w:abstractNum w:abstractNumId="38">
    <w:nsid w:val="4F4EF005"/>
    <w:multiLevelType w:val="hybridMultilevel"/>
    <w:lvl w:ilvl="0">
      <w:lvlJc w:val="left"/>
      <w:lvlText w:val="¹"/>
      <w:numFmt w:val="bullet"/>
      <w:start w:val="1"/>
    </w:lvl>
  </w:abstractNum>
  <w:abstractNum w:abstractNumId="39">
    <w:nsid w:val="23F9C13C"/>
    <w:multiLevelType w:val="hybridMultilevel"/>
    <w:lvl w:ilvl="0">
      <w:lvlJc w:val="left"/>
      <w:lvlText w:val="¹"/>
      <w:numFmt w:val="bullet"/>
      <w:start w:val="1"/>
    </w:lvl>
  </w:abstractNum>
  <w:abstractNum w:abstractNumId="40">
    <w:nsid w:val="649BB77C"/>
    <w:multiLevelType w:val="hybridMultilevel"/>
    <w:lvl w:ilvl="0">
      <w:lvlJc w:val="left"/>
      <w:lvlText w:val="(%1)"/>
      <w:numFmt w:val="decimal"/>
      <w:start w:val="1"/>
    </w:lvl>
  </w:abstractNum>
  <w:abstractNum w:abstractNumId="41">
    <w:nsid w:val="275AC794"/>
    <w:multiLevelType w:val="hybridMultilevel"/>
    <w:lvl w:ilvl="0">
      <w:lvlJc w:val="left"/>
      <w:lvlText w:val="1"/>
      <w:numFmt w:val="bullet"/>
      <w:start w:val="1"/>
    </w:lvl>
  </w:abstractNum>
  <w:abstractNum w:abstractNumId="42">
    <w:nsid w:val="39386575"/>
    <w:multiLevelType w:val="hybridMultilevel"/>
    <w:lvl w:ilvl="0">
      <w:lvlJc w:val="left"/>
      <w:lvlText w:val="(%1)"/>
      <w:numFmt w:val="lowerRoman"/>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¹"/>
      <w:numFmt w:val="bullet"/>
      <w:start w:val="1"/>
    </w:lvl>
  </w:abstractNum>
  <w:abstractNum w:abstractNumId="45">
    <w:nsid w:val="235BA861"/>
    <w:multiLevelType w:val="hybridMultilevel"/>
    <w:lvl w:ilvl="0">
      <w:lvlJc w:val="left"/>
      <w:lvlText w:val="²"/>
      <w:numFmt w:val="bullet"/>
      <w:start w:val="1"/>
    </w:lvl>
  </w:abstractNum>
  <w:abstractNum w:abstractNumId="46">
    <w:nsid w:val="47398C89"/>
    <w:multiLevelType w:val="hybridMultilevel"/>
    <w:lvl w:ilvl="0">
      <w:lvlJc w:val="left"/>
      <w:lvlText w:val="1"/>
      <w:numFmt w:val="bullet"/>
      <w:start w:val="1"/>
    </w:lvl>
  </w:abstractNum>
  <w:abstractNum w:abstractNumId="47">
    <w:nsid w:val="354FE9F9"/>
    <w:multiLevelType w:val="hybridMultilevel"/>
    <w:lvl w:ilvl="0">
      <w:lvlJc w:val="left"/>
      <w:lvlText w:val="2"/>
      <w:numFmt w:val="bullet"/>
      <w:start w:val="1"/>
    </w:lvl>
  </w:abstractNum>
  <w:abstractNum w:abstractNumId="48">
    <w:nsid w:val="15B5AF5C"/>
    <w:multiLevelType w:val="hybridMultilevel"/>
    <w:lvl w:ilvl="0">
      <w:lvlJc w:val="left"/>
      <w:lvlText w:val="3"/>
      <w:numFmt w:val="bullet"/>
      <w:start w:val="1"/>
    </w:lvl>
  </w:abstractNum>
  <w:abstractNum w:abstractNumId="49">
    <w:nsid w:val="741226BB"/>
    <w:multiLevelType w:val="hybridMultilevel"/>
    <w:lvl w:ilvl="0">
      <w:lvlJc w:val="left"/>
      <w:lvlText w:val="¹"/>
      <w:numFmt w:val="bullet"/>
      <w:start w:val="1"/>
    </w:lvl>
  </w:abstractNum>
  <w:abstractNum w:abstractNumId="50">
    <w:nsid w:val="D34B6A8"/>
    <w:multiLevelType w:val="hybridMultilevel"/>
    <w:lvl w:ilvl="0">
      <w:lvlJc w:val="left"/>
      <w:lvlText w:val="²"/>
      <w:numFmt w:val="bullet"/>
      <w:start w:val="1"/>
    </w:lvl>
  </w:abstractNum>
  <w:abstractNum w:abstractNumId="51">
    <w:nsid w:val="10233C99"/>
    <w:multiLevelType w:val="hybridMultilevel"/>
    <w:lvl w:ilvl="0">
      <w:lvlJc w:val="left"/>
      <w:lvlText w:val="³"/>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¹"/>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¹"/>
      <w:numFmt w:val="bullet"/>
      <w:start w:val="1"/>
    </w:lvl>
  </w:abstractNum>
  <w:abstractNum w:abstractNumId="56">
    <w:nsid w:val="579BE4F1"/>
    <w:multiLevelType w:val="hybridMultilevel"/>
    <w:lvl w:ilvl="0">
      <w:lvlJc w:val="left"/>
      <w:lvlText w:val="¹"/>
      <w:numFmt w:val="bullet"/>
      <w:start w:val="1"/>
    </w:lvl>
  </w:abstractNum>
  <w:abstractNum w:abstractNumId="57">
    <w:nsid w:val="310C50B3"/>
    <w:multiLevelType w:val="hybridMultilevel"/>
    <w:lvl w:ilvl="0">
      <w:lvlJc w:val="left"/>
      <w:lvlText w:val="²"/>
      <w:numFmt w:val="bullet"/>
      <w:start w:val="1"/>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1)"/>
      <w:numFmt w:val="decimal"/>
      <w:start w:val="3"/>
    </w:lvl>
  </w:abstractNum>
  <w:abstractNum w:abstractNumId="60">
    <w:nsid w:val="25A70BF7"/>
    <w:multiLevelType w:val="hybridMultilevel"/>
    <w:lvl w:ilvl="0">
      <w:lvlJc w:val="left"/>
      <w:lvlText w:val="%1."/>
      <w:numFmt w:val="decimal"/>
      <w:start w:val="1"/>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decimal"/>
      <w:start w:val="5"/>
    </w:lvl>
  </w:abstractNum>
  <w:abstractNum w:abstractNumId="63">
    <w:nsid w:val="1F48EAA1"/>
    <w:multiLevelType w:val="hybridMultilevel"/>
    <w:lvl w:ilvl="0">
      <w:lvlJc w:val="left"/>
      <w:lvlText w:val="(%1)"/>
      <w:numFmt w:val="lowerLetter"/>
      <w:start w:val="1"/>
    </w:lvl>
  </w:abstractNum>
  <w:abstractNum w:abstractNumId="64">
    <w:nsid w:val="1381823A"/>
    <w:multiLevelType w:val="hybridMultilevel"/>
    <w:lvl w:ilvl="0">
      <w:lvlJc w:val="left"/>
      <w:lvlText w:val="%1."/>
      <w:numFmt w:val="decimal"/>
      <w:start w:val="1"/>
    </w:lvl>
  </w:abstractNum>
  <w:abstractNum w:abstractNumId="65">
    <w:nsid w:val="5DB70AE5"/>
    <w:multiLevelType w:val="hybridMultilevel"/>
    <w:lvl w:ilvl="0">
      <w:lvlJc w:val="left"/>
      <w:lvlText w:val="(%1)"/>
      <w:numFmt w:val="lowerLetter"/>
      <w:start w:val="1"/>
    </w:lvl>
  </w:abstractNum>
  <w:abstractNum w:abstractNumId="66">
    <w:nsid w:val="100F8FCA"/>
    <w:multiLevelType w:val="hybridMultilevel"/>
    <w:lvl w:ilvl="0">
      <w:lvlJc w:val="left"/>
      <w:lvlText w:val="%1."/>
      <w:numFmt w:val="decimal"/>
      <w:start w:val="5"/>
    </w:lvl>
  </w:abstractNum>
  <w:abstractNum w:abstractNumId="67">
    <w:nsid w:val="6590700B"/>
    <w:multiLevelType w:val="hybridMultilevel"/>
    <w:lvl w:ilvl="0">
      <w:lvlJc w:val="left"/>
      <w:lvlText w:val="(%1)"/>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2019-12-29T10:26:29Z</dcterms:created>
  <dcterms:modified xsi:type="dcterms:W3CDTF">2019-12-29T10:26:29Z</dcterms:modified>
</cp:coreProperties>
</file>