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2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Portman Ridge Finance Corporation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2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650 Madison Avenue, 23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rd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Floor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2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New York, New York 10022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December 1, 2021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VIA EDGAR CORRESPONDENCE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U.S.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Investment Management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DC 20549-4644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4"/>
        <w:spacing w:after="0"/>
        <w:tabs>
          <w:tab w:leader="none" w:pos="98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Attention: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David Orlic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David Manion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4"/>
        <w:spacing w:after="0"/>
        <w:tabs>
          <w:tab w:leader="none" w:pos="40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Re:</w:t>
        <w:tab/>
        <w:t>Portman Ridge Finance Corporation (the “Company”)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 No. 333-260074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4"/>
        <w:spacing w:after="0" w:line="26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Request for Acceleration of Effectiveness of Pre-Effective Amendment No. 1 (the “Amendment”) to the Company’s Registration Statement on Form N-14 as filed on November 23, 2021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Dear Messrs. Orlic and Manion: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 w:right="34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under the Securities Act of 1933, as amended, we hereby respectfully request that the effectiveness of the above-captioned Amendment be accelerated so that the same will become effective immediately or as soon as practicable thereafter.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Please contact Harry S. Pangas at Dechert LLP at (202) 261-3466 with any comments or questions concerning this correspondence.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Portman Ridge Finance Corporation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tbl>
      <w:tblPr>
        <w:tblLayout w:type="fixed"/>
        <w:tblInd w:w="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By:</w:t>
            </w:r>
          </w:p>
        </w:tc>
        <w:tc>
          <w:tcPr>
            <w:tcW w:w="3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/s/ Jason T. Roos</w:t>
            </w:r>
          </w:p>
        </w:tc>
      </w:tr>
      <w:tr>
        <w:trPr>
          <w:trHeight w:val="205"/>
        </w:trPr>
        <w:tc>
          <w:tcPr>
            <w:tcW w:w="620" w:type="dxa"/>
            <w:vAlign w:val="bottom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3780" w:type="dxa"/>
            <w:vAlign w:val="bottom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Jason T. Roos</w:t>
            </w:r>
          </w:p>
        </w:tc>
      </w:tr>
      <w:tr>
        <w:trPr>
          <w:trHeight w:val="234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Chief Financial Officer, Secretary and Treasurer</w:t>
            </w:r>
          </w:p>
        </w:tc>
      </w:tr>
    </w:tbl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44" w:right="7320" w:hanging="444"/>
        <w:spacing w:after="0" w:line="312" w:lineRule="auto"/>
        <w:tabs>
          <w:tab w:leader="none" w:pos="43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Harry S. Pangas, Dechert LLP Alexander C. Karampatsos, Dechert LLP</w:t>
      </w:r>
    </w:p>
    <w:sectPr>
      <w:pgSz w:w="11900" w:h="16838" w:orient="portrait"/>
      <w:cols w:equalWidth="0" w:num="1">
        <w:col w:w="10724"/>
      </w:cols>
      <w:pgMar w:left="436" w:top="225" w:right="7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2023-03-20T23:19:40Z</dcterms:created>
  <dcterms:modified xsi:type="dcterms:W3CDTF">2023-03-20T23:19:40Z</dcterms:modified>
</cp:coreProperties>
</file>