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-224155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24130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3" w:lineRule="exact"/>
        <w:rPr>
          <w:sz w:val="24"/>
          <w:szCs w:val="24"/>
          <w:color w:val="auto"/>
        </w:rPr>
      </w:pPr>
    </w:p>
    <w:p>
      <w:pPr>
        <w:ind w:left="660" w:right="1620" w:hanging="652"/>
        <w:spacing w:after="0" w:line="48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29"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6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20-5951150</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960" w:space="720"/>
            <w:col w:w="3740"/>
          </w:cols>
          <w:pgMar w:left="240" w:top="760"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20"/>
          </w:cols>
          <w:pgMar w:left="240" w:top="760" w:right="2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455-8300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“large accelerated filer”, "non-accelerated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66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470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60" w:type="dxa"/>
            <w:vAlign w:val="bottom"/>
          </w:tcPr>
          <w:p>
            <w:pPr>
              <w:ind w:left="66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20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56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10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common stock of the registrant as of May 2, 2017 was 37,225,664.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580" w:type="dxa"/>
            <w:vAlign w:val="bottom"/>
            <w:gridSpan w:val="13"/>
          </w:tcPr>
          <w:p>
            <w:pPr>
              <w:jc w:val="center"/>
              <w:ind w:right="354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0" w:type="dxa"/>
            <w:vAlign w:val="bottom"/>
            <w:gridSpan w:val="14"/>
            <w:shd w:val="clear" w:color="auto" w:fill="CCEEFF"/>
          </w:tcPr>
          <w:p>
            <w:pPr>
              <w:jc w:val="center"/>
              <w:ind w:right="2320"/>
              <w:spacing w:after="0" w:line="202" w:lineRule="exact"/>
              <w:rPr>
                <w:sz w:val="20"/>
                <w:szCs w:val="20"/>
                <w:color w:val="auto"/>
              </w:rPr>
            </w:pPr>
            <w:r>
              <w:rPr>
                <w:rFonts w:ascii="Arial" w:cs="Arial" w:eastAsia="Arial" w:hAnsi="Arial"/>
                <w:sz w:val="18"/>
                <w:szCs w:val="18"/>
                <w:b w:val="1"/>
                <w:bCs w:val="1"/>
                <w:color w:val="auto"/>
                <w:w w:val="94"/>
              </w:rPr>
              <w:t>Part I. Financial Information</w:t>
            </w: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12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auto"/>
              </w:rPr>
              <w:t>Consolidated Financial Statements</w:t>
            </w: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2017 (unaudited) and December 31, 2016</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 for the three months ended March 31, 2017 and 2016</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Statements of Changes in Net Assets (unaudited) for the three months ended March 31, 2017 and 2016</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three months ended March 31, 2017 and 2016</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March 31, 2017 (unaudited) and December 31, 2016</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Consolidated Financial Highlights (unaudited) for the three months ended March 31, 2017 and 2016</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Notes to Consolidated Financial Statements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 Disclosure</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580" w:type="dxa"/>
            <w:vAlign w:val="bottom"/>
            <w:gridSpan w:val="13"/>
            <w:shd w:val="clear" w:color="auto" w:fill="CCEEFF"/>
          </w:tcPr>
          <w:p>
            <w:pPr>
              <w:jc w:val="center"/>
              <w:ind w:right="3520"/>
              <w:spacing w:after="0" w:line="176" w:lineRule="exact"/>
              <w:rPr>
                <w:rFonts w:ascii="Arial" w:cs="Arial" w:eastAsia="Arial" w:hAnsi="Arial"/>
                <w:sz w:val="18"/>
                <w:szCs w:val="18"/>
                <w:b w:val="1"/>
                <w:bCs w:val="1"/>
                <w:color w:val="0000EE"/>
                <w:w w:val="97"/>
              </w:rPr>
            </w:pPr>
            <w:hyperlink w:anchor="page81">
              <w:r>
                <w:rPr>
                  <w:rFonts w:ascii="Arial" w:cs="Arial" w:eastAsia="Arial" w:hAnsi="Arial"/>
                  <w:sz w:val="18"/>
                  <w:szCs w:val="18"/>
                  <w:b w:val="1"/>
                  <w:bCs w:val="1"/>
                  <w:color w:val="0000EE"/>
                  <w:w w:val="97"/>
                </w:rPr>
                <w:t>Part II. Other Information</w:t>
              </w:r>
            </w:hyperlink>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Legal Proceedings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Unregistered Sales of Equity Securities and Use of Proceeds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Mine Safety Disclosures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Exhibits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5"/>
              </w:rPr>
              <w:t>March 31, 2017   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 (cost: 2017 - $22,674,790; 2016 - $28,699,269)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22,674,790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Debt securities (cost: 2017 - $247,632,590; 2016 - $249,520,234)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237,657,701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238,343,330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 Fund Securities managed by affiliates (cost: 2017 - $71,906,949; 2016 - $71,734,809)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50,827,938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51,908,784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2017 - $5,088,026; 2016 - $5,116,508)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2,171,090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(cost: 2017 - $10,389,008; 2016 - $10,389,007)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4,902,794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Asset Manager Affiliates (cost: 2017 - $54,691,230; 2016 - $55,341,230)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36,942,000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40,198,000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 (cost: 2017 - $412,382,593; 2016 - $420,801,057)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355,176,313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366,471,304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5,178,290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1,307,257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7,986,487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1,143,363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open trades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Due from affiliates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378,731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612,854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404,245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370,267,429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381,371,983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tcPr>
          <w:p>
            <w:pPr>
              <w:spacing w:after="0" w:line="201" w:lineRule="exact"/>
              <w:rPr>
                <w:sz w:val="20"/>
                <w:szCs w:val="20"/>
                <w:color w:val="auto"/>
              </w:rPr>
            </w:pPr>
            <w:r>
              <w:rPr>
                <w:rFonts w:ascii="Arial" w:cs="Arial" w:eastAsia="Arial" w:hAnsi="Arial"/>
                <w:sz w:val="18"/>
                <w:szCs w:val="18"/>
                <w:color w:val="auto"/>
                <w:w w:val="96"/>
              </w:rPr>
              <w:t>Notes issued by KCAP Senior Funding I, LLC (net of discount and offering costs of: 2017 - $2,128,524 and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$2,289,547, respectively; 2016 - $2,286,425 and $2,459,156, respectively)</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142,931,928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142,604,419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 (net of offering costs of: 2017 - $505,488; 2016 - $550,774)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33,025,437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Payable for open trades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7,884,943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932,301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947,873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930,086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178,837,539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186,447,058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tcPr>
          <w:p>
            <w:pPr>
              <w:spacing w:after="0" w:line="201" w:lineRule="exact"/>
              <w:rPr>
                <w:sz w:val="20"/>
                <w:szCs w:val="20"/>
                <w:color w:val="auto"/>
              </w:rPr>
            </w:pPr>
            <w:r>
              <w:rPr>
                <w:rFonts w:ascii="Arial" w:cs="Arial" w:eastAsia="Arial" w:hAnsi="Arial"/>
                <w:sz w:val="18"/>
                <w:szCs w:val="18"/>
                <w:color w:val="auto"/>
                <w:w w:val="94"/>
              </w:rPr>
              <w:t>Common stock, par value $0.01 per share, 100,000,000 common shares authorized; 37,313,651 issued, and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w w:val="91"/>
              </w:rPr>
              <w:t>37,209,649 outstanding at March 31, 2017, and 37,282,296 issued, and 37,178,294 outstanding at December 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372,096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353,955,039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353,404,155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Excess distribution of net investment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(15,843,963)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(14,630,319)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(88,447,958)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(88,491,896)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(58,605,324)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(55,728,798)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191,429,890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194,924,925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370,267,429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381,371,983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3480"/>
              <w:spacing w:after="0"/>
              <w:rPr>
                <w:sz w:val="20"/>
                <w:szCs w:val="20"/>
                <w:color w:val="auto"/>
              </w:rPr>
            </w:pPr>
            <w:r>
              <w:rPr>
                <w:rFonts w:ascii="Arial" w:cs="Arial" w:eastAsia="Arial" w:hAnsi="Arial"/>
                <w:sz w:val="18"/>
                <w:szCs w:val="18"/>
                <w:color w:val="auto"/>
                <w:w w:val="94"/>
              </w:rPr>
              <w:t>See accompanying notes to consolidated financial statements.</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2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4,555,178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5,705,577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from cash and time deposits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Investment income on CLO Fund Securities managed by affiliates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2,974,558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3,051,816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 on CLO Fund Securities managed by non-affiliates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118,111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structuring service fees</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110,644</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investment income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7,774,397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9,510,321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2,180,972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2,573,440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1,225,735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549,281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95,036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505,234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447,361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Total expenses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4,556,258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4,745,551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3,218,139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4,764,770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Net realized gains (losses) from investment transactions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43,938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(7,811,888)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unrealized appreciation (depreciation) on:</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1,202,017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(1,731,990)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(153,562)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(1,252,986)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3,270,541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(65,994)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(180,545)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Asset Manager Affiliates investments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(2,606,000)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(6,533,000)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Total net change in unrealized depreciation</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(2,876,525)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(3,795,581)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Net realized and unrealized loss on investments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(2,832,587)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(11,607,469)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Net Increase (Decrease) In Stockholders’ Equity Resulting From Operations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385,552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(6,842,699)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w w:val="99"/>
              </w:rPr>
              <w:t>Net Increase (Decrease) In Stockholders' Equity Resulting from Operations per Common Share: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Diluted: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Basic:</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37,202,996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37,109,735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37,202,996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37,109,735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3,218,139</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4,764,770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from investment transactions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43,938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(7,811,888)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change in unrealized depreciation on investments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(2,876,525)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(3,795,581)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Net increase (decrease) in stockholders’ equity resulting from operations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385,552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(6,842,699)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(4,431,785)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(5,496,812)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Dividend reinvestment plan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162,384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205,796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388,814</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net assets resulting from capital share transactions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551,198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194,924,925</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216,100,470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w w:val="96"/>
              </w:rPr>
              <w:t>Net assets at end of period (including undistributed net investment income of $0 in 2017 and $0 in 2016)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191,429,890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204,387,728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37,209,649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37,130,433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Net increase (decrease) in stockholder's equity resulting from operations</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385,552</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(6,842,699)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reconcile net increase (decrease) in stockholder’s equity resulting from operations to net cash</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provided by operations:</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Net realized (gains) losses on investment transactions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(43,938)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7,811,888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depreciation from investments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2,876,525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3,795,581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(28,597,362)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37,452,361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24,051,566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Net accretion of investments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(243,790)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1,826,450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157,901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214,894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238,882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Payment-in-kind interest income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(148,805)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388,814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(Decrease) in payable for open trades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(6,884,943)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receivable for open trades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2,950,658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(Increase) decrease in interest and dividends receivable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(109,446)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80,111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other assets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63,450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Decrease (increase) in due from affiliates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234,123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(718,554)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due to affiliates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(1,097,317)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(1,754,022)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7,598,623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22,351,736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stockholders net of dividend reinvestment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(4,269,401)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Repayment/repurchase of Convertible Notes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4"/>
              </w:rPr>
              <w:t>(19,299,000)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(4,269,401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(24,590,018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CHANGE IN CASH AND RESTRICTED CASH</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3,329,222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(2,238,282)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BEGINNING OF PERIOD</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9,835,555</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7,138,272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RESTRICTED CASH, END OF PERIOD</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13,164,777</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4,899,990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1,790,390</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2,567,401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162,384</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205,796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Company / Principal Business</w:t>
      </w:r>
    </w:p>
    <w:p>
      <w:pPr>
        <w:spacing w:after="0" w:line="216" w:lineRule="auto"/>
        <w:rPr>
          <w:sz w:val="20"/>
          <w:szCs w:val="20"/>
          <w:color w:val="auto"/>
        </w:rPr>
      </w:pPr>
      <w:r>
        <w:rPr>
          <w:rFonts w:ascii="Arial" w:cs="Arial" w:eastAsia="Arial" w:hAnsi="Arial"/>
          <w:sz w:val="18"/>
          <w:szCs w:val="18"/>
          <w:color w:val="auto"/>
        </w:rPr>
        <w:t>1A Smart Start LLC</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200" w:lineRule="exact"/>
        <w:rPr>
          <w:sz w:val="20"/>
          <w:szCs w:val="20"/>
          <w:color w:val="auto"/>
        </w:rPr>
      </w:pPr>
    </w:p>
    <w:p>
      <w:pPr>
        <w:spacing w:after="0" w:line="266" w:lineRule="exact"/>
        <w:rPr>
          <w:sz w:val="20"/>
          <w:szCs w:val="20"/>
          <w:color w:val="auto"/>
        </w:rPr>
      </w:pPr>
    </w:p>
    <w:p>
      <w:pPr>
        <w:ind w:right="80"/>
        <w:spacing w:after="0" w:line="212" w:lineRule="auto"/>
        <w:rPr>
          <w:sz w:val="20"/>
          <w:szCs w:val="20"/>
          <w:color w:val="auto"/>
        </w:rPr>
      </w:pPr>
      <w:r>
        <w:rPr>
          <w:rFonts w:ascii="Arial" w:cs="Arial" w:eastAsia="Arial" w:hAnsi="Arial"/>
          <w:sz w:val="18"/>
          <w:szCs w:val="18"/>
          <w:color w:val="auto"/>
        </w:rPr>
        <w:t>4L Technologies Inc. (fka Clover Holdings, Inc.)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Advanced Lighting Technologies, Inc,</w:t>
      </w:r>
      <w:r>
        <w:rPr>
          <w:rFonts w:ascii="Arial" w:cs="Arial" w:eastAsia="Arial" w:hAnsi="Arial"/>
          <w:sz w:val="25"/>
          <w:szCs w:val="25"/>
          <w:color w:val="auto"/>
          <w:vertAlign w:val="superscript"/>
        </w:rPr>
        <w:t>8, 9, 14</w:t>
      </w:r>
    </w:p>
    <w:p>
      <w:pPr>
        <w:ind w:left="140"/>
        <w:spacing w:after="0"/>
        <w:rPr>
          <w:sz w:val="20"/>
          <w:szCs w:val="20"/>
          <w:color w:val="auto"/>
        </w:rPr>
      </w:pPr>
      <w:r>
        <w:rPr>
          <w:rFonts w:ascii="Arial" w:cs="Arial" w:eastAsia="Arial" w:hAnsi="Arial"/>
          <w:sz w:val="18"/>
          <w:szCs w:val="18"/>
          <w:i w:val="1"/>
          <w:iCs w:val="1"/>
          <w:color w:val="auto"/>
        </w:rPr>
        <w:t>Consumer goods: Durable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Alere Inc. (fka IM US Holdings, LLC)</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American Seafoods Group LLC</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Anaren, Inc.</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Aerospace and Defense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Apco Holdings, Inc.</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API Technologies Corp.</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High Tech Industries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Aristotle Corporation, The</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As of March 31, 2017</w:t>
      </w:r>
    </w:p>
    <w:p>
      <w:pPr>
        <w:spacing w:after="0" w:line="9"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b w:val="1"/>
                <w:bCs w:val="1"/>
                <w:color w:val="auto"/>
                <w:w w:val="94"/>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Senior Secured Loan — Initial Term Loan</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0" w:type="dxa"/>
            <w:vAlign w:val="bottom"/>
            <w:gridSpan w:val="2"/>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5.9%</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2/22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2,962,500</w:t>
            </w:r>
          </w:p>
        </w:tc>
        <w:tc>
          <w:tcPr>
            <w:tcW w:w="120" w:type="dxa"/>
            <w:vAlign w:val="bottom"/>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2,940,096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2,958,353</w:t>
            </w:r>
          </w:p>
        </w:tc>
        <w:tc>
          <w:tcPr>
            <w:tcW w:w="0" w:type="dxa"/>
            <w:vAlign w:val="bottom"/>
          </w:tcPr>
          <w:p>
            <w:pPr>
              <w:spacing w:after="0"/>
              <w:rPr>
                <w:sz w:val="1"/>
                <w:szCs w:val="1"/>
                <w:color w:val="auto"/>
              </w:rPr>
            </w:pPr>
          </w:p>
        </w:tc>
      </w:tr>
      <w:tr>
        <w:trPr>
          <w:trHeight w:val="689"/>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5.5%</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5/20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2,713,465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2,699,414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2,637,217</w:t>
            </w:r>
          </w:p>
        </w:tc>
        <w:tc>
          <w:tcPr>
            <w:tcW w:w="0" w:type="dxa"/>
            <w:vAlign w:val="bottom"/>
          </w:tcPr>
          <w:p>
            <w:pPr>
              <w:spacing w:after="0"/>
              <w:rPr>
                <w:sz w:val="1"/>
                <w:szCs w:val="1"/>
                <w:color w:val="auto"/>
              </w:rPr>
            </w:pPr>
          </w:p>
        </w:tc>
      </w:tr>
      <w:tr>
        <w:trPr>
          <w:trHeight w:val="458"/>
        </w:trPr>
        <w:tc>
          <w:tcPr>
            <w:tcW w:w="3560" w:type="dxa"/>
            <w:vAlign w:val="bottom"/>
            <w:gridSpan w:val="5"/>
          </w:tcPr>
          <w:p>
            <w:pPr>
              <w:spacing w:after="0"/>
              <w:rPr>
                <w:sz w:val="20"/>
                <w:szCs w:val="20"/>
                <w:color w:val="auto"/>
              </w:rPr>
            </w:pPr>
            <w:r>
              <w:rPr>
                <w:rFonts w:ascii="Arial" w:cs="Arial" w:eastAsia="Arial" w:hAnsi="Arial"/>
                <w:sz w:val="18"/>
                <w:szCs w:val="18"/>
                <w:color w:val="auto"/>
              </w:rPr>
              <w:t>First Lien Bond — 12.500% - 6/2019 -</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00753CAG7</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7.3%</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PIK, Due 6/19</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3,157,500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3,054,338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1,089,338</w:t>
            </w:r>
          </w:p>
        </w:tc>
        <w:tc>
          <w:tcPr>
            <w:tcW w:w="0" w:type="dxa"/>
            <w:vAlign w:val="bottom"/>
          </w:tcPr>
          <w:p>
            <w:pPr>
              <w:spacing w:after="0"/>
              <w:rPr>
                <w:sz w:val="1"/>
                <w:szCs w:val="1"/>
                <w:color w:val="auto"/>
              </w:rPr>
            </w:pPr>
          </w:p>
        </w:tc>
      </w:tr>
      <w:tr>
        <w:trPr>
          <w:trHeight w:val="458"/>
        </w:trPr>
        <w:tc>
          <w:tcPr>
            <w:tcW w:w="3560" w:type="dxa"/>
            <w:vAlign w:val="bottom"/>
            <w:gridSpan w:val="5"/>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4"/>
              </w:rPr>
              <w:t>Lien)</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7.5%</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7/22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1,001,676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990,200</w:t>
            </w:r>
          </w:p>
        </w:tc>
        <w:tc>
          <w:tcPr>
            <w:tcW w:w="0" w:type="dxa"/>
            <w:vAlign w:val="bottom"/>
          </w:tcPr>
          <w:p>
            <w:pPr>
              <w:spacing w:after="0"/>
              <w:rPr>
                <w:sz w:val="1"/>
                <w:szCs w:val="1"/>
                <w:color w:val="auto"/>
              </w:rPr>
            </w:pPr>
          </w:p>
        </w:tc>
      </w:tr>
      <w:tr>
        <w:trPr>
          <w:trHeight w:val="473"/>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B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4.3%</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6/22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3,022,586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3,017,016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3,033,921</w:t>
            </w:r>
          </w:p>
        </w:tc>
        <w:tc>
          <w:tcPr>
            <w:tcW w:w="0" w:type="dxa"/>
            <w:vAlign w:val="bottom"/>
          </w:tcPr>
          <w:p>
            <w:pPr>
              <w:spacing w:after="0"/>
              <w:rPr>
                <w:sz w:val="1"/>
                <w:szCs w:val="1"/>
                <w:color w:val="auto"/>
              </w:rPr>
            </w:pPr>
          </w:p>
        </w:tc>
      </w:tr>
      <w:tr>
        <w:trPr>
          <w:trHeight w:val="458"/>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4"/>
              </w:rPr>
              <w:t>Lien)</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6.0%</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8/21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3,683,704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3,670,208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3,696,597</w:t>
            </w:r>
          </w:p>
        </w:tc>
        <w:tc>
          <w:tcPr>
            <w:tcW w:w="0" w:type="dxa"/>
            <w:vAlign w:val="bottom"/>
          </w:tcPr>
          <w:p>
            <w:pPr>
              <w:spacing w:after="0"/>
              <w:rPr>
                <w:sz w:val="1"/>
                <w:szCs w:val="1"/>
                <w:color w:val="auto"/>
              </w:rPr>
            </w:pPr>
          </w:p>
        </w:tc>
      </w:tr>
      <w:tr>
        <w:trPr>
          <w:trHeight w:val="458"/>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4"/>
              </w:rPr>
              <w:t>Lien)</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5.6%</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2/21</w:t>
            </w: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1,862,112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1,851,738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1,850,195</w:t>
            </w:r>
          </w:p>
        </w:tc>
        <w:tc>
          <w:tcPr>
            <w:tcW w:w="0" w:type="dxa"/>
            <w:vAlign w:val="bottom"/>
          </w:tcPr>
          <w:p>
            <w:pPr>
              <w:spacing w:after="0"/>
              <w:rPr>
                <w:sz w:val="1"/>
                <w:szCs w:val="1"/>
                <w:color w:val="auto"/>
              </w:rPr>
            </w:pPr>
          </w:p>
        </w:tc>
      </w:tr>
      <w:tr>
        <w:trPr>
          <w:trHeight w:val="473"/>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7.0%</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1/22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3,792,162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3,700,381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3,788,370</w:t>
            </w:r>
          </w:p>
        </w:tc>
        <w:tc>
          <w:tcPr>
            <w:tcW w:w="0" w:type="dxa"/>
            <w:vAlign w:val="bottom"/>
          </w:tcPr>
          <w:p>
            <w:pPr>
              <w:spacing w:after="0"/>
              <w:rPr>
                <w:sz w:val="1"/>
                <w:szCs w:val="1"/>
                <w:color w:val="auto"/>
              </w:rPr>
            </w:pPr>
          </w:p>
        </w:tc>
      </w:tr>
      <w:tr>
        <w:trPr>
          <w:trHeight w:val="473"/>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7.6%</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4/22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3,473,750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3,414,914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3,472,013</w:t>
            </w:r>
          </w:p>
        </w:tc>
        <w:tc>
          <w:tcPr>
            <w:tcW w:w="0" w:type="dxa"/>
            <w:vAlign w:val="bottom"/>
          </w:tcPr>
          <w:p>
            <w:pPr>
              <w:spacing w:after="0"/>
              <w:rPr>
                <w:sz w:val="1"/>
                <w:szCs w:val="1"/>
                <w:color w:val="auto"/>
              </w:rPr>
            </w:pPr>
          </w:p>
        </w:tc>
      </w:tr>
      <w:tr>
        <w:trPr>
          <w:trHeight w:val="473"/>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5.6%</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6/21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3,656,556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3,643,560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3,648,146</w:t>
            </w:r>
          </w:p>
        </w:tc>
        <w:tc>
          <w:tcPr>
            <w:tcW w:w="0" w:type="dxa"/>
            <w:vAlign w:val="bottom"/>
          </w:tcPr>
          <w:p>
            <w:pPr>
              <w:spacing w:after="0"/>
              <w:rPr>
                <w:sz w:val="1"/>
                <w:szCs w:val="1"/>
                <w:color w:val="auto"/>
              </w:rPr>
            </w:pPr>
          </w:p>
        </w:tc>
      </w:tr>
      <w:tr>
        <w:trPr>
          <w:trHeight w:val="648"/>
        </w:trPr>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ind w:left="8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-5102225</wp:posOffset>
            </wp:positionV>
            <wp:extent cx="7246620" cy="43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-4501515</wp:posOffset>
            </wp:positionV>
            <wp:extent cx="7246620" cy="43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-3901440</wp:posOffset>
            </wp:positionV>
            <wp:extent cx="7246620"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-3300730</wp:posOffset>
            </wp:positionV>
            <wp:extent cx="724662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-2837815</wp:posOffset>
            </wp:positionV>
            <wp:extent cx="7246620"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-2237740</wp:posOffset>
            </wp:positionV>
            <wp:extent cx="7246620"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-1637030</wp:posOffset>
            </wp:positionV>
            <wp:extent cx="724662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-1174115</wp:posOffset>
            </wp:positionV>
            <wp:extent cx="724662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-711200</wp:posOffset>
            </wp:positionV>
            <wp:extent cx="724662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-5710555</wp:posOffset>
            </wp:positionV>
            <wp:extent cx="724662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20" w:space="340"/>
            <w:col w:w="7760"/>
          </w:cols>
          <w:pgMar w:left="24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Asurion, LLC (fka Asurion Corporation)</w:t>
            </w:r>
            <w:r>
              <w:rPr>
                <w:rFonts w:ascii="Arial" w:cs="Arial" w:eastAsia="Arial" w:hAnsi="Arial"/>
                <w:sz w:val="22"/>
                <w:szCs w:val="22"/>
                <w:color w:val="auto"/>
                <w:vertAlign w:val="superscript"/>
              </w:rPr>
              <w:t>8, 9</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Replacement B-2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w w:val="99"/>
              </w:rPr>
              <w:t>Banking, Finance, Insurance &amp; Real Estate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Term Loan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4.2%</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0.8%</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184,525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185,948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Avalign Technologies, Inc.</w:t>
            </w:r>
            <w:r>
              <w:rPr>
                <w:rFonts w:ascii="Arial" w:cs="Arial" w:eastAsia="Arial" w:hAnsi="Arial"/>
                <w:sz w:val="23"/>
                <w:szCs w:val="23"/>
                <w:color w:val="auto"/>
                <w:vertAlign w:val="superscript"/>
              </w:rPr>
              <w:t>8</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Lien)</w:t>
            </w: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9.6%</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983,400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Avalign Technologies, Inc.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2,916,442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2,917,386</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BarBri, Inc. (Gemini Holdings, Inc.)</w:t>
            </w:r>
            <w:r>
              <w:rPr>
                <w:rFonts w:ascii="Arial" w:cs="Arial" w:eastAsia="Arial" w:hAnsi="Arial"/>
                <w:sz w:val="28"/>
                <w:szCs w:val="28"/>
                <w:color w:val="auto"/>
                <w:vertAlign w:val="superscript"/>
              </w:rPr>
              <w:t>8, 9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Consumer</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2,465,308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2,460,567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2,434,738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BBB Industries US Holdings, Inc.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Automotive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2,947,500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2,908,792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2,831,369</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Bestop, Inc.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9"/>
              </w:rPr>
              <w:t>Senior Secured Loan — Delayed Draw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Automotive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Bestop, Inc.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First Amendment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Automotive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Term Loan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493,566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492,974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Bestop, Inc.</w:t>
            </w:r>
            <w:r>
              <w:rPr>
                <w:rFonts w:ascii="Arial" w:cs="Arial" w:eastAsia="Arial" w:hAnsi="Arial"/>
                <w:sz w:val="28"/>
                <w:szCs w:val="28"/>
                <w:color w:val="auto"/>
                <w:vertAlign w:val="superscript"/>
              </w:rPr>
              <w:t>8, 9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Automotive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1,480,368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1,460,358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1,478,591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Carolina Beverage Group LLC</w:t>
            </w:r>
            <w:r>
              <w:rPr>
                <w:rFonts w:ascii="Arial" w:cs="Arial" w:eastAsia="Arial" w:hAnsi="Arial"/>
                <w:sz w:val="23"/>
                <w:szCs w:val="23"/>
                <w:color w:val="auto"/>
                <w:vertAlign w:val="superscript"/>
              </w:rPr>
              <w:t>8</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7"/>
              </w:rPr>
              <w:t>Senior Secured Bond — 10.625% - 08/2018 -</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Beverage, Food and Tobacco</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143818AA0 144A</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10.6% Cash, Due 8/18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1,505,454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1,489,350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CCS Intermediate Holdings, LLC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5.1%</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2,915,919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2,479,523</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Cengage Learning, Inc.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2016 Refinancing</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Term Loan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3,784,380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3,779,649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3,620,592</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Checkout Holding Corp. (fka Catalina</w:t>
            </w: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B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Marketing)</w:t>
            </w:r>
            <w:r>
              <w:rPr>
                <w:rFonts w:ascii="Arial" w:cs="Arial" w:eastAsia="Arial" w:hAnsi="Arial"/>
                <w:sz w:val="29"/>
                <w:szCs w:val="29"/>
                <w:color w:val="auto"/>
                <w:vertAlign w:val="superscript"/>
              </w:rPr>
              <w:t>8, 9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4/21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952,250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864,275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CHS/Community Health Systems, Inc.</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Incremental 2021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H Loan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2,878,621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2,854,616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2,844,264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Consolidated Communications, Inc.</w:t>
            </w:r>
            <w:r>
              <w:rPr>
                <w:rFonts w:ascii="Arial" w:cs="Arial" w:eastAsia="Arial" w:hAnsi="Arial"/>
                <w:sz w:val="28"/>
                <w:szCs w:val="28"/>
                <w:color w:val="auto"/>
                <w:vertAlign w:val="superscript"/>
              </w:rPr>
              <w:t>9</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10/23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2,062,263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2,057,462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2,075,337</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CSM Bakery Solutions Limited (fka CSM</w:t>
            </w:r>
          </w:p>
        </w:tc>
        <w:tc>
          <w:tcPr>
            <w:tcW w:w="3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Bakery Supplies Limited)</w:t>
            </w:r>
            <w:r>
              <w:rPr>
                <w:rFonts w:ascii="Arial" w:cs="Arial" w:eastAsia="Arial" w:hAnsi="Arial"/>
                <w:sz w:val="29"/>
                <w:szCs w:val="29"/>
                <w:color w:val="auto"/>
                <w:vertAlign w:val="superscript"/>
              </w:rPr>
              <w:t>8</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8.8%</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7/21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3,010,709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CT Technologies Intermediate Holdings, Inc.</w:t>
            </w:r>
          </w:p>
        </w:tc>
        <w:tc>
          <w:tcPr>
            <w:tcW w:w="3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New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9"/>
              </w:rPr>
              <w:t>(Smart Holdings Corp.) (aka HealthPort)</w:t>
            </w:r>
            <w:r>
              <w:rPr>
                <w:rFonts w:ascii="Arial" w:cs="Arial" w:eastAsia="Arial" w:hAnsi="Arial"/>
                <w:sz w:val="29"/>
                <w:szCs w:val="29"/>
                <w:color w:val="auto"/>
                <w:w w:val="99"/>
                <w:vertAlign w:val="superscript"/>
              </w:rPr>
              <w:t>8, 9</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Facility</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2,932,763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2,911,439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2,783,778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Drew Marine Group Inc.</w:t>
            </w:r>
            <w:r>
              <w:rPr>
                <w:rFonts w:ascii="Arial" w:cs="Arial" w:eastAsia="Arial" w:hAnsi="Arial"/>
                <w:sz w:val="23"/>
                <w:szCs w:val="23"/>
                <w:color w:val="auto"/>
                <w:vertAlign w:val="superscript"/>
              </w:rPr>
              <w:t>8</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Transportation: Cargo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8.1%</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5/21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2,496,538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Eastern Power, LLC (Eastern Covert Midco,</w:t>
            </w:r>
          </w:p>
        </w:tc>
        <w:tc>
          <w:tcPr>
            <w:tcW w:w="35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LLC) (aka TPF II LC, LLC)</w:t>
            </w:r>
            <w:r>
              <w:rPr>
                <w:rFonts w:ascii="Arial" w:cs="Arial" w:eastAsia="Arial" w:hAnsi="Arial"/>
                <w:sz w:val="29"/>
                <w:szCs w:val="29"/>
                <w:color w:val="auto"/>
                <w:vertAlign w:val="superscript"/>
              </w:rPr>
              <w:t>8, 9</w:t>
            </w:r>
          </w:p>
        </w:tc>
        <w:tc>
          <w:tcPr>
            <w:tcW w:w="3560" w:type="dxa"/>
            <w:vAlign w:val="bottom"/>
            <w:gridSpan w:val="3"/>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Utilities: Electric</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10/23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2,796,756</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2,815,456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2,813,187</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ELO Touch Solutions, Inc.</w:t>
            </w:r>
            <w:r>
              <w:rPr>
                <w:rFonts w:ascii="Arial" w:cs="Arial" w:eastAsia="Arial" w:hAnsi="Arial"/>
                <w:sz w:val="23"/>
                <w:szCs w:val="23"/>
                <w:color w:val="auto"/>
                <w:vertAlign w:val="superscript"/>
              </w:rPr>
              <w:t>8, 9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High Tech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1.5% Libor Floor, Due 6/18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1,398,040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1,378,666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1,364,347</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Empower Payments Acquisition, Inc</w:t>
            </w:r>
            <w:r>
              <w:rPr>
                <w:rFonts w:ascii="Arial" w:cs="Arial" w:eastAsia="Arial" w:hAnsi="Arial"/>
                <w:sz w:val="28"/>
                <w:szCs w:val="28"/>
                <w:color w:val="auto"/>
                <w:vertAlign w:val="superscript"/>
              </w:rPr>
              <w:t>8, 9</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11/23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2,935,328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2,981,727</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EWT Holdings III Corp. (fka WTG Holdings</w:t>
            </w:r>
          </w:p>
        </w:tc>
        <w:tc>
          <w:tcPr>
            <w:tcW w:w="3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III Corp.)</w:t>
            </w:r>
            <w:r>
              <w:rPr>
                <w:rFonts w:ascii="Arial" w:cs="Arial" w:eastAsia="Arial" w:hAnsi="Arial"/>
                <w:sz w:val="29"/>
                <w:szCs w:val="29"/>
                <w:color w:val="auto"/>
                <w:vertAlign w:val="superscript"/>
              </w:rPr>
              <w:t>8, 9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4.9%</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1,741,003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1,737,060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1,724,985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FHC Health Systems, Inc.</w:t>
            </w:r>
            <w:r>
              <w:rPr>
                <w:rFonts w:ascii="Arial" w:cs="Arial" w:eastAsia="Arial" w:hAnsi="Arial"/>
                <w:sz w:val="28"/>
                <w:szCs w:val="28"/>
                <w:color w:val="auto"/>
                <w:vertAlign w:val="superscript"/>
              </w:rPr>
              <w:t>8, 9</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3,615,208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First American Payment Systems, L.P.</w:t>
            </w:r>
            <w:r>
              <w:rPr>
                <w:rFonts w:ascii="Arial" w:cs="Arial" w:eastAsia="Arial" w:hAnsi="Arial"/>
                <w:sz w:val="23"/>
                <w:szCs w:val="23"/>
                <w:color w:val="auto"/>
                <w:vertAlign w:val="superscript"/>
              </w:rPr>
              <w:t>8</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w w:val="99"/>
              </w:rPr>
              <w:t>Banking, Finance, Insurance &amp; Real Estate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11.5% Cash, 1.0% Libor Floor, Due 7/24</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1,456,303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1,408,350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Getty Images, Inc.</w:t>
            </w:r>
            <w:r>
              <w:rPr>
                <w:rFonts w:ascii="Arial" w:cs="Arial" w:eastAsia="Arial" w:hAnsi="Arial"/>
                <w:sz w:val="28"/>
                <w:szCs w:val="28"/>
                <w:color w:val="auto"/>
                <w:vertAlign w:val="superscript"/>
              </w:rPr>
              <w:t>8, 9</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4.8%</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1.3% Libor Floor, Due 10/19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2,134,995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2,141,472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1,875,465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GI Advo Opco, LLC</w:t>
            </w:r>
            <w:r>
              <w:rPr>
                <w:rFonts w:ascii="Arial" w:cs="Arial" w:eastAsia="Arial" w:hAnsi="Arial"/>
                <w:sz w:val="27"/>
                <w:szCs w:val="27"/>
                <w:color w:val="auto"/>
                <w:vertAlign w:val="superscript"/>
              </w:rPr>
              <w:t>8</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5.7%</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246,875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244,956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223,471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GI Advo Opco, LLC</w:t>
            </w:r>
            <w:r>
              <w:rPr>
                <w:rFonts w:ascii="Arial" w:cs="Arial" w:eastAsia="Arial" w:hAnsi="Arial"/>
                <w:sz w:val="28"/>
                <w:szCs w:val="28"/>
                <w:color w:val="auto"/>
                <w:vertAlign w:val="superscript"/>
              </w:rPr>
              <w:t>8, 9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5.7%</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2,715,625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2,694,524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2,458,184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GK Holdings, Inc. (aka Global Knowledge)</w:t>
            </w:r>
            <w:r>
              <w:rPr>
                <w:rFonts w:ascii="Arial" w:cs="Arial" w:eastAsia="Arial" w:hAnsi="Arial"/>
                <w:sz w:val="29"/>
                <w:szCs w:val="29"/>
                <w:color w:val="auto"/>
                <w:vertAlign w:val="superscript"/>
              </w:rPr>
              <w:t>8</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Lien)</w:t>
            </w: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11.4% Cash, 1.0% Libor Floor, Due 1/22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1,479,272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1,474,050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5"/>
              </w:rPr>
              <w:t>GK Holdings, Inc. (aka Global Knowledge)</w:t>
            </w:r>
            <w:r>
              <w:rPr>
                <w:rFonts w:ascii="Arial" w:cs="Arial" w:eastAsia="Arial" w:hAnsi="Arial"/>
                <w:sz w:val="29"/>
                <w:szCs w:val="29"/>
                <w:color w:val="auto"/>
                <w:w w:val="95"/>
                <w:vertAlign w:val="superscript"/>
              </w:rPr>
              <w:t>8, 9</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7.1%</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4,413,162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4,405,358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Global Tel*Link Corporation</w:t>
            </w:r>
            <w:r>
              <w:rPr>
                <w:rFonts w:ascii="Arial" w:cs="Arial" w:eastAsia="Arial" w:hAnsi="Arial"/>
                <w:sz w:val="29"/>
                <w:szCs w:val="29"/>
                <w:color w:val="auto"/>
                <w:vertAlign w:val="superscript"/>
              </w:rPr>
              <w:t>8</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9.0%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3,960,194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3,911,600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Gold Standard Baking, Inc.</w:t>
            </w:r>
            <w:r>
              <w:rPr>
                <w:rFonts w:ascii="Arial" w:cs="Arial" w:eastAsia="Arial" w:hAnsi="Arial"/>
                <w:sz w:val="28"/>
                <w:szCs w:val="28"/>
                <w:color w:val="auto"/>
                <w:vertAlign w:val="superscript"/>
              </w:rPr>
              <w:t>8, 9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5.4%</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4/21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2,456,250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2,447,837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2,454,531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B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Grupo HIMA San Pablo, Inc.</w:t>
            </w:r>
            <w:r>
              <w:rPr>
                <w:rFonts w:ascii="Arial" w:cs="Arial" w:eastAsia="Arial" w:hAnsi="Arial"/>
                <w:sz w:val="29"/>
                <w:szCs w:val="29"/>
                <w:color w:val="auto"/>
                <w:vertAlign w:val="superscript"/>
              </w:rPr>
              <w:t>8</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2,870,374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2,764,800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Grupo HIMA San Pablo, Inc.</w:t>
            </w:r>
            <w:r>
              <w:rPr>
                <w:rFonts w:ascii="Arial" w:cs="Arial" w:eastAsia="Arial" w:hAnsi="Arial"/>
                <w:sz w:val="29"/>
                <w:szCs w:val="29"/>
                <w:color w:val="auto"/>
                <w:vertAlign w:val="superscript"/>
              </w:rPr>
              <w:t>8</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13.8% Cash, Due 7/18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6,960,865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6,370,000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Gymboree Corporation., The</w:t>
            </w:r>
            <w:r>
              <w:rPr>
                <w:rFonts w:ascii="Arial" w:cs="Arial" w:eastAsia="Arial" w:hAnsi="Arial"/>
                <w:sz w:val="28"/>
                <w:szCs w:val="28"/>
                <w:color w:val="auto"/>
                <w:vertAlign w:val="superscript"/>
              </w:rPr>
              <w:t>8, 9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Retail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2/18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1,420,455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1,416,024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593,445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Hargray Communications Group, Inc. (HCP</w:t>
            </w:r>
          </w:p>
        </w:tc>
        <w:tc>
          <w:tcPr>
            <w:tcW w:w="356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Senior Secured Loan — Term B-1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Acquisition LLC)</w:t>
            </w:r>
            <w:r>
              <w:rPr>
                <w:rFonts w:ascii="Arial" w:cs="Arial" w:eastAsia="Arial" w:hAnsi="Arial"/>
                <w:sz w:val="29"/>
                <w:szCs w:val="29"/>
                <w:color w:val="auto"/>
                <w:vertAlign w:val="superscript"/>
              </w:rPr>
              <w:t>8, 9</w:t>
            </w:r>
          </w:p>
        </w:tc>
        <w:tc>
          <w:tcPr>
            <w:tcW w:w="3560" w:type="dxa"/>
            <w:vAlign w:val="bottom"/>
            <w:gridSpan w:val="5"/>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Broadcasting &amp; Subscription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4.9%</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2,879,638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2,855,975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2,879,638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Harland Clarke Holdings Corp. (fka Clarke</w:t>
            </w: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Tranche B-5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American Corp.)</w:t>
            </w:r>
            <w:r>
              <w:rPr>
                <w:rFonts w:ascii="Arial" w:cs="Arial" w:eastAsia="Arial" w:hAnsi="Arial"/>
                <w:sz w:val="29"/>
                <w:szCs w:val="29"/>
                <w:color w:val="auto"/>
                <w:vertAlign w:val="superscript"/>
              </w:rPr>
              <w:t>8, 9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7.1%</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1,318,965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1,348,886</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Harland Clarke Holdings Corp. (fka Clarke</w:t>
            </w: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Tranche B-6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American Corp.)</w:t>
            </w:r>
            <w:r>
              <w:rPr>
                <w:rFonts w:ascii="Arial" w:cs="Arial" w:eastAsia="Arial" w:hAnsi="Arial"/>
                <w:sz w:val="29"/>
                <w:szCs w:val="29"/>
                <w:color w:val="auto"/>
                <w:vertAlign w:val="superscript"/>
              </w:rPr>
              <w:t>8, 9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6.6%</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2/22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2,917,761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2,889,214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2,944,021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Highland Acquisition Holdings, LLC (aka</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20" w:type="dxa"/>
            <w:vAlign w:val="bottom"/>
            <w:tcBorders>
              <w:top w:val="single" w:sz="8" w:color="CCEEFF"/>
            </w:tcBorders>
            <w:vMerge w:val="restart"/>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HealthSun Health Plans, Inc.)</w:t>
            </w:r>
            <w:r>
              <w:rPr>
                <w:rFonts w:ascii="Arial" w:cs="Arial" w:eastAsia="Arial" w:hAnsi="Arial"/>
                <w:sz w:val="29"/>
                <w:szCs w:val="29"/>
                <w:color w:val="auto"/>
                <w:vertAlign w:val="superscript"/>
              </w:rPr>
              <w:t>8, 9</w:t>
            </w:r>
          </w:p>
        </w:tc>
        <w:tc>
          <w:tcPr>
            <w:tcW w:w="3440" w:type="dxa"/>
            <w:vAlign w:val="bottom"/>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 Cash, 1.0% Libor Floor, Due 11/22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1,975,000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1,883,259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1,950,313</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Highline Aftermarket Acquisition, LLC</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Automotive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 Cash, 1.0% Libor Floor, Due 3/24</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1,492,512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1,492,500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Forest Products &amp; Paper</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Lien)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 Cash, 1.0% Libor Floor, Due 11/24</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1,554,026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8, 9</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Forest Products &amp; Paper</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Lien)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 Cash, 1.0% Libor Floor, Due 11/23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2,634,684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2,661,862</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Industrial Services Acquisition, LLC (aka</w:t>
            </w:r>
          </w:p>
        </w:tc>
        <w:tc>
          <w:tcPr>
            <w:tcW w:w="3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Evergreen / NAIC)</w:t>
            </w:r>
            <w:r>
              <w:rPr>
                <w:rFonts w:ascii="Arial" w:cs="Arial" w:eastAsia="Arial" w:hAnsi="Arial"/>
                <w:sz w:val="29"/>
                <w:szCs w:val="29"/>
                <w:color w:val="auto"/>
                <w:vertAlign w:val="superscript"/>
              </w:rPr>
              <w:t>8, 9</w:t>
            </w:r>
          </w:p>
        </w:tc>
        <w:tc>
          <w:tcPr>
            <w:tcW w:w="356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 Cash, 1.0% Libor Floor, Due 6/22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2,887,500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2,862,271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2,887,500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Ivanti Software, Inc. (fka LANDesk Group,</w:t>
            </w:r>
          </w:p>
        </w:tc>
        <w:tc>
          <w:tcPr>
            <w:tcW w:w="3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Junior Secured Loan — Loan (Second Lien)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Inc.)</w:t>
            </w:r>
            <w:r>
              <w:rPr>
                <w:rFonts w:ascii="Arial" w:cs="Arial" w:eastAsia="Arial" w:hAnsi="Arial"/>
                <w:sz w:val="29"/>
                <w:szCs w:val="29"/>
                <w:color w:val="auto"/>
                <w:vertAlign w:val="superscript"/>
              </w:rPr>
              <w:t>8</w:t>
            </w:r>
          </w:p>
        </w:tc>
        <w:tc>
          <w:tcPr>
            <w:tcW w:w="356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High Tech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Cash, 1.0% Libor Floor, Due 1/25</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3,228,619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3,228,619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3,228,619</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Kellermeyer Bergensons Services, LLC</w:t>
            </w:r>
            <w:r>
              <w:rPr>
                <w:rFonts w:ascii="Arial" w:cs="Arial" w:eastAsia="Arial" w:hAnsi="Arial"/>
                <w:sz w:val="23"/>
                <w:szCs w:val="23"/>
                <w:color w:val="auto"/>
                <w:vertAlign w:val="superscript"/>
              </w:rPr>
              <w:t>8, 9</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Lien)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 Cash, 1.0% Libor Floor, Due 10/21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3,950,120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3,927,591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3,890,868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Key Safety Systems, Inc.</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Automotive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 Cash, 1.0% Libor Floor, Due 8/21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1,394,077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1,389,685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1,410,457</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MB Aerospace ACP Holdings II Corp.</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 Cash, 1.0% Libor Floor, Due 12/22</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1,339,110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1,328,548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1,339,646</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Medrisk, Inc.</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 Cash, 1.0% Libor Floor, Due 2/23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1,963,205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National Home Health Care Corp.</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Cash, 1.0% Libor Floor, Due 12/22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1,479,192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1,470,863</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National Home Health Care Corp.</w:t>
            </w:r>
            <w:r>
              <w:rPr>
                <w:rFonts w:ascii="Arial" w:cs="Arial" w:eastAsia="Arial" w:hAnsi="Arial"/>
                <w:sz w:val="23"/>
                <w:szCs w:val="23"/>
                <w:color w:val="auto"/>
                <w:vertAlign w:val="superscript"/>
              </w:rPr>
              <w:t>8, 9</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 Cash, 1.0% 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2,981,250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2,953,191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2,977,673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Nellson Nutraceutical, LLC</w:t>
            </w:r>
            <w:r>
              <w:rPr>
                <w:rFonts w:ascii="Arial" w:cs="Arial" w:eastAsia="Arial" w:hAnsi="Arial"/>
                <w:sz w:val="22"/>
                <w:szCs w:val="22"/>
                <w:color w:val="auto"/>
                <w:vertAlign w:val="superscript"/>
              </w:rPr>
              <w:t>8, 9</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w w:val="94"/>
              </w:rPr>
              <w:t>Senior Secured Loan — Term A-1 Loan (First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Beverage, Food and Tobacco</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6.1%</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2,344,706</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2,330,591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2,344,471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Nellson Nutraceutical, LLC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7"/>
              </w:rPr>
              <w:t>Senior Secured Loan — Term A-2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Beverage, Food and Tobacco</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6.1%</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2,066,562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2,053,576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2,066,355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Nielsen &amp; Bainbridge, LLC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Durable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6.0%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8/20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5,361,360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5,328,534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5,361,360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NM Z Parent Inc. (aka Zep, Inc.)</w:t>
            </w:r>
            <w:r>
              <w:rPr>
                <w:rFonts w:ascii="Arial" w:cs="Arial" w:eastAsia="Arial" w:hAnsi="Arial"/>
                <w:sz w:val="28"/>
                <w:szCs w:val="28"/>
                <w:color w:val="auto"/>
                <w:vertAlign w:val="superscript"/>
              </w:rPr>
              <w:t>8, 9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2016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Chemicals, Plastics and Rubber</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3,438,750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3,450,149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3,474,169</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Novitex Acquisition, LLC (fka ARSloane</w:t>
            </w: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Tranche B-2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Acquisition, LLC)</w:t>
            </w:r>
            <w:r>
              <w:rPr>
                <w:rFonts w:ascii="Arial" w:cs="Arial" w:eastAsia="Arial" w:hAnsi="Arial"/>
                <w:sz w:val="29"/>
                <w:szCs w:val="29"/>
                <w:color w:val="auto"/>
                <w:vertAlign w:val="superscript"/>
              </w:rPr>
              <w:t>8, 9</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Loan (First Lien)</w:t>
            </w: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8.1%</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1,890,331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1,880,029</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8</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9.6%</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12/19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1,932,311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1,783,523</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5"/>
              </w:rPr>
              <w:t>Senior Secured Loan — Term Loan (First Lien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6"/>
              </w:rPr>
              <w:t>2013)</w:t>
            </w:r>
          </w:p>
        </w:tc>
        <w:tc>
          <w:tcPr>
            <w:tcW w:w="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5.1%</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1,723,617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1,726,495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1,701,383</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Otter Products, LLC (OtterBox Holdings,</w:t>
            </w:r>
          </w:p>
        </w:tc>
        <w:tc>
          <w:tcPr>
            <w:tcW w:w="356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Inc.)</w:t>
            </w:r>
            <w:r>
              <w:rPr>
                <w:rFonts w:ascii="Arial" w:cs="Arial" w:eastAsia="Arial" w:hAnsi="Arial"/>
                <w:sz w:val="29"/>
                <w:szCs w:val="29"/>
                <w:color w:val="auto"/>
                <w:vertAlign w:val="superscript"/>
              </w:rPr>
              <w:t>8, 9</w:t>
            </w:r>
          </w:p>
        </w:tc>
        <w:tc>
          <w:tcPr>
            <w:tcW w:w="3560" w:type="dxa"/>
            <w:vAlign w:val="bottom"/>
            <w:gridSpan w:val="5"/>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Durable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2,600,266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2,588,047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2,544,360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PGX Holdings, Inc.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Consumer</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6.3%</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9/20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3,595,714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3,574,690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3,586,365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Playpower, Inc.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Construction &amp; Building</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5.9%</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1,954,591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1,965,196</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Power Products, LLC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1,990,243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1,990,000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w w:val="95"/>
              </w:rPr>
              <w:t>PrimeLine Utility Services LLC (fka FR Utility</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20" w:type="dxa"/>
            <w:vAlign w:val="bottom"/>
            <w:tcBorders>
              <w:top w:val="single" w:sz="8" w:color="CCEEFF"/>
            </w:tcBorders>
            <w:vMerge w:val="restart"/>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Services LLC)</w:t>
            </w:r>
            <w:r>
              <w:rPr>
                <w:rFonts w:ascii="Arial" w:cs="Arial" w:eastAsia="Arial" w:hAnsi="Arial"/>
                <w:sz w:val="29"/>
                <w:szCs w:val="29"/>
                <w:color w:val="auto"/>
                <w:vertAlign w:val="superscript"/>
              </w:rPr>
              <w:t>8, 9</w:t>
            </w:r>
          </w:p>
        </w:tc>
        <w:tc>
          <w:tcPr>
            <w:tcW w:w="344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Electricity</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11/22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3,925,659</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3,895,827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3,928,014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Priority Payment Systems Holdings LLC</w:t>
            </w:r>
            <w:r>
              <w:rPr>
                <w:rFonts w:ascii="Arial" w:cs="Arial" w:eastAsia="Arial" w:hAnsi="Arial"/>
                <w:sz w:val="28"/>
                <w:szCs w:val="28"/>
                <w:color w:val="auto"/>
                <w:vertAlign w:val="superscript"/>
              </w:rPr>
              <w:t>8, 9</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w w:val="99"/>
              </w:rPr>
              <w:t>Banking, Finance, Insurance &amp; Real Estate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3,951,668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3,960,873</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PSC Industrial Holdings Corp.</w:t>
            </w:r>
            <w:r>
              <w:rPr>
                <w:rFonts w:ascii="Arial" w:cs="Arial" w:eastAsia="Arial" w:hAnsi="Arial"/>
                <w:sz w:val="23"/>
                <w:szCs w:val="23"/>
                <w:color w:val="auto"/>
                <w:vertAlign w:val="superscript"/>
              </w:rPr>
              <w:t>8, 9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5.9%</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2,947,322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2,953,066</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7"/>
              </w:rPr>
              <w:t>Q Holding Company (fka Lexington Precision</w:t>
            </w:r>
          </w:p>
        </w:tc>
        <w:tc>
          <w:tcPr>
            <w:tcW w:w="35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Corporation)</w:t>
            </w:r>
            <w:r>
              <w:rPr>
                <w:rFonts w:ascii="Arial" w:cs="Arial" w:eastAsia="Arial" w:hAnsi="Arial"/>
                <w:sz w:val="29"/>
                <w:szCs w:val="29"/>
                <w:color w:val="auto"/>
                <w:vertAlign w:val="superscript"/>
              </w:rPr>
              <w:t>8, 9</w:t>
            </w:r>
          </w:p>
        </w:tc>
        <w:tc>
          <w:tcPr>
            <w:tcW w:w="3560" w:type="dxa"/>
            <w:vAlign w:val="bottom"/>
            <w:gridSpan w:val="3"/>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Chemicals, Plastics and Rubber</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6.1%</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2,984,733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2,956,243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2,955,781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Quad-C JH Holdings Inc. (aka Joerns</w:t>
            </w:r>
          </w:p>
        </w:tc>
        <w:tc>
          <w:tcPr>
            <w:tcW w:w="35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Senior Secured Loan — Term Loan A</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Healthcare)</w:t>
            </w:r>
            <w:r>
              <w:rPr>
                <w:rFonts w:ascii="Arial" w:cs="Arial" w:eastAsia="Arial" w:hAnsi="Arial"/>
                <w:sz w:val="29"/>
                <w:szCs w:val="29"/>
                <w:color w:val="auto"/>
                <w:vertAlign w:val="superscript"/>
              </w:rPr>
              <w:t>8, 9</w:t>
            </w:r>
          </w:p>
        </w:tc>
        <w:tc>
          <w:tcPr>
            <w:tcW w:w="3560" w:type="dxa"/>
            <w:vAlign w:val="bottom"/>
            <w:gridSpan w:val="3"/>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6.2%</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5/20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3,890,093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3,874,832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3,617,786</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Ravn Air Group, Inc.</w:t>
            </w:r>
            <w:r>
              <w:rPr>
                <w:rFonts w:ascii="Arial" w:cs="Arial" w:eastAsia="Arial" w:hAnsi="Arial"/>
                <w:sz w:val="28"/>
                <w:szCs w:val="28"/>
                <w:color w:val="auto"/>
                <w:vertAlign w:val="superscript"/>
              </w:rPr>
              <w:t>8, 9</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Transportation: Consumer</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5.4%</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7/21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2,406,250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2,397,545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2,317,219</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Roscoe Medical, Inc.</w:t>
            </w:r>
            <w:r>
              <w:rPr>
                <w:rFonts w:ascii="Arial" w:cs="Arial" w:eastAsia="Arial" w:hAnsi="Arial"/>
                <w:sz w:val="23"/>
                <w:szCs w:val="23"/>
                <w:color w:val="auto"/>
                <w:vertAlign w:val="superscript"/>
              </w:rPr>
              <w:t>8</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11.3% Cash, Due 9/19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6,669,733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6,499,000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Salient CRGT Inc.</w:t>
            </w:r>
            <w:r>
              <w:rPr>
                <w:rFonts w:ascii="Arial" w:cs="Arial" w:eastAsia="Arial" w:hAnsi="Arial"/>
                <w:sz w:val="28"/>
                <w:szCs w:val="28"/>
                <w:color w:val="auto"/>
                <w:vertAlign w:val="superscript"/>
              </w:rPr>
              <w:t>8, 9</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High Tech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6.8%</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2/22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2,940,954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Sandy Creek Energy Associates, L.P.</w:t>
            </w:r>
            <w:r>
              <w:rPr>
                <w:rFonts w:ascii="Arial" w:cs="Arial" w:eastAsia="Arial" w:hAnsi="Arial"/>
                <w:sz w:val="28"/>
                <w:szCs w:val="28"/>
                <w:color w:val="auto"/>
                <w:vertAlign w:val="superscript"/>
              </w:rPr>
              <w:t>8, 9</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Utilities: Electric</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5.1%</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11/20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2,606,504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2,599,760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2,077,905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Stafford Logistics, Inc.(dba Custom Ecology,</w:t>
            </w:r>
          </w:p>
        </w:tc>
        <w:tc>
          <w:tcPr>
            <w:tcW w:w="35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Inc.)</w:t>
            </w:r>
            <w:r>
              <w:rPr>
                <w:rFonts w:ascii="Arial" w:cs="Arial" w:eastAsia="Arial" w:hAnsi="Arial"/>
                <w:sz w:val="29"/>
                <w:szCs w:val="29"/>
                <w:color w:val="auto"/>
                <w:vertAlign w:val="superscript"/>
              </w:rPr>
              <w:t>8, 9</w:t>
            </w:r>
          </w:p>
        </w:tc>
        <w:tc>
          <w:tcPr>
            <w:tcW w:w="3560" w:type="dxa"/>
            <w:vAlign w:val="bottom"/>
            <w:gridSpan w:val="3"/>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7.7%</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8/21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2,709,639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2,695,021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2,439,488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Tank Partners Holdings, LLC</w:t>
            </w:r>
            <w:r>
              <w:rPr>
                <w:rFonts w:ascii="Arial" w:cs="Arial" w:eastAsia="Arial" w:hAnsi="Arial"/>
                <w:sz w:val="23"/>
                <w:szCs w:val="23"/>
                <w:color w:val="auto"/>
                <w:vertAlign w:val="superscript"/>
              </w:rPr>
              <w:t>8, 14</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10.3% Cash, 4.0% PIK, 3.0% Libor Floor, Due</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8/19</w:t>
            </w:r>
          </w:p>
        </w:tc>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11,049,279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10,820,492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7,819,575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Terra Millennium Corporation</w:t>
            </w:r>
            <w:r>
              <w:rPr>
                <w:rFonts w:ascii="Arial" w:cs="Arial" w:eastAsia="Arial" w:hAnsi="Arial"/>
                <w:sz w:val="27"/>
                <w:szCs w:val="27"/>
                <w:color w:val="auto"/>
                <w:vertAlign w:val="superscript"/>
              </w:rPr>
              <w:t>8, 9</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5"/>
              </w:rPr>
              <w:t>Senior Secured Loan — First Out Term Loan</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Construction &amp; Building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10/22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3,975,000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3,937,126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3,975,000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Time Manufacturing Acquisition, LLC</w:t>
            </w:r>
            <w:r>
              <w:rPr>
                <w:rFonts w:ascii="Arial" w:cs="Arial" w:eastAsia="Arial" w:hAnsi="Arial"/>
                <w:sz w:val="28"/>
                <w:szCs w:val="28"/>
                <w:color w:val="auto"/>
                <w:vertAlign w:val="superscript"/>
              </w:rPr>
              <w:t>8, 9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6.2%</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2/23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1,492,672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TronAir Parent Inc.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5.9%</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9/23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3,942,913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3,979,204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TRSO I, Inc.</w:t>
            </w:r>
            <w:r>
              <w:rPr>
                <w:rFonts w:ascii="Arial" w:cs="Arial" w:eastAsia="Arial" w:hAnsi="Arial"/>
                <w:sz w:val="23"/>
                <w:szCs w:val="23"/>
                <w:color w:val="auto"/>
                <w:vertAlign w:val="superscript"/>
              </w:rPr>
              <w:t>8</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14.0% Cash, 1.0% Libor Floor, Due 12/19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992,199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Shipping Corp (fka U.S. Shipping</w:t>
            </w: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Tranche B-2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Partners LP)</w:t>
            </w:r>
            <w:r>
              <w:rPr>
                <w:rFonts w:ascii="Arial" w:cs="Arial" w:eastAsia="Arial" w:hAnsi="Arial"/>
                <w:sz w:val="29"/>
                <w:szCs w:val="29"/>
                <w:color w:val="auto"/>
                <w:vertAlign w:val="superscript"/>
              </w:rPr>
              <w:t>8, 9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Transportation: Cargo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1,265,891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1,199,999</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USJ-IMECO Holding Company, LLC</w:t>
            </w:r>
            <w:r>
              <w:rPr>
                <w:rFonts w:ascii="Arial" w:cs="Arial" w:eastAsia="Arial" w:hAnsi="Arial"/>
                <w:sz w:val="28"/>
                <w:szCs w:val="28"/>
                <w:color w:val="auto"/>
                <w:vertAlign w:val="superscript"/>
              </w:rPr>
              <w:t>8, 9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Transportation: Cargo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4/20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3,670,376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3,660,989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3,518,790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Verdesian Life Sciences, LLC</w:t>
            </w:r>
            <w:r>
              <w:rPr>
                <w:rFonts w:ascii="Arial" w:cs="Arial" w:eastAsia="Arial" w:hAnsi="Arial"/>
                <w:sz w:val="28"/>
                <w:szCs w:val="28"/>
                <w:color w:val="auto"/>
                <w:vertAlign w:val="superscript"/>
              </w:rPr>
              <w:t>8, 9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3,712,558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3,682,896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3,584,846</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VIP Cinema Holdings, Inc.</w:t>
            </w:r>
            <w:r>
              <w:rPr>
                <w:rFonts w:ascii="Arial" w:cs="Arial" w:eastAsia="Arial" w:hAnsi="Arial"/>
                <w:sz w:val="23"/>
                <w:szCs w:val="23"/>
                <w:color w:val="auto"/>
                <w:vertAlign w:val="superscript"/>
              </w:rPr>
              <w:t>8, 9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Hotel, Gaming &amp; Leisure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3/23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1,990,110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Weiman Products, LLC</w:t>
            </w:r>
            <w:r>
              <w:rPr>
                <w:rFonts w:ascii="Arial" w:cs="Arial" w:eastAsia="Arial" w:hAnsi="Arial"/>
                <w:sz w:val="28"/>
                <w:szCs w:val="28"/>
                <w:color w:val="auto"/>
                <w:vertAlign w:val="superscript"/>
              </w:rPr>
              <w:t>8</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Non-durable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5.9%</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11/18</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832,018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829,219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819,371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Weiman Products, LLC</w:t>
            </w:r>
            <w:r>
              <w:rPr>
                <w:rFonts w:ascii="Arial" w:cs="Arial" w:eastAsia="Arial" w:hAnsi="Arial"/>
                <w:sz w:val="28"/>
                <w:szCs w:val="28"/>
                <w:color w:val="auto"/>
                <w:vertAlign w:val="superscript"/>
              </w:rPr>
              <w:t>8, 9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Non-durable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5.9%</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4,148,678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4,134,948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4,085,618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WideOpenWest Finance, LLC</w:t>
            </w:r>
            <w:r>
              <w:rPr>
                <w:rFonts w:ascii="Arial" w:cs="Arial" w:eastAsia="Arial" w:hAnsi="Arial"/>
                <w:sz w:val="28"/>
                <w:szCs w:val="28"/>
                <w:color w:val="auto"/>
                <w:vertAlign w:val="superscript"/>
              </w:rPr>
              <w:t>8, 9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New Term B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Broadcasting &amp; Subscription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4.6%</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8/23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3,004,477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1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2"/>
                <w:szCs w:val="22"/>
                <w:color w:val="auto"/>
                <w:vertAlign w:val="superscript"/>
              </w:rPr>
              <w:t>8</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Junior Secured Loan — Initial Term Loan</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120" w:type="dxa"/>
            <w:vAlign w:val="bottom"/>
            <w:shd w:val="clear" w:color="auto" w:fill="CCEEFF"/>
          </w:tcPr>
          <w:p>
            <w:pPr>
              <w:spacing w:after="0"/>
              <w:rPr>
                <w:sz w:val="22"/>
                <w:szCs w:val="22"/>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Lien)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Cash, 1.0% Libor Floor, Due 9/24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2,957,746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3,002,700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WireCo WorldGroup Inc. (WireCo</w:t>
            </w:r>
          </w:p>
        </w:tc>
        <w:tc>
          <w:tcPr>
            <w:tcW w:w="1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WorldGroup Finance LP)</w:t>
            </w:r>
            <w:r>
              <w:rPr>
                <w:rFonts w:ascii="Arial" w:cs="Arial" w:eastAsia="Arial" w:hAnsi="Arial"/>
                <w:sz w:val="29"/>
                <w:szCs w:val="29"/>
                <w:color w:val="auto"/>
                <w:vertAlign w:val="superscript"/>
              </w:rPr>
              <w:t>8, 9</w:t>
            </w:r>
          </w:p>
        </w:tc>
        <w:tc>
          <w:tcPr>
            <w:tcW w:w="120" w:type="dxa"/>
            <w:vAlign w:val="bottom"/>
            <w:shd w:val="clear" w:color="auto" w:fill="CCEEFF"/>
          </w:tcPr>
          <w:p>
            <w:pPr>
              <w:spacing w:after="0"/>
              <w:rPr>
                <w:sz w:val="22"/>
                <w:szCs w:val="22"/>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Lien)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1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 Cash, 1.0% Libor Floor, Due 9/23</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1,741,250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1,725,053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1,743,165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Debt Securities</w:t>
            </w:r>
          </w:p>
        </w:tc>
        <w:tc>
          <w:tcPr>
            <w:tcW w:w="1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(124% of net asset value at fair value)</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249,597,832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247,632,590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237,657,701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 Portfolio</w:t>
            </w:r>
          </w:p>
        </w:tc>
        <w:tc>
          <w:tcPr>
            <w:tcW w:w="2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02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Interest/Shares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Advanced Lighting Technologies, Inc,</w:t>
            </w:r>
            <w:r>
              <w:rPr>
                <w:rFonts w:ascii="Arial" w:cs="Arial" w:eastAsia="Arial" w:hAnsi="Arial"/>
                <w:sz w:val="27"/>
                <w:szCs w:val="27"/>
                <w:color w:val="auto"/>
                <w:vertAlign w:val="superscript"/>
              </w:rPr>
              <w:t>5, 8, 9</w:t>
            </w:r>
          </w:p>
        </w:tc>
        <w:tc>
          <w:tcPr>
            <w:tcW w:w="120" w:type="dxa"/>
            <w:vAlign w:val="bottom"/>
            <w:tcBorders>
              <w:top w:val="single" w:sz="8" w:color="CCEEFF"/>
            </w:tcBorders>
            <w:shd w:val="clear" w:color="auto" w:fill="CCEEFF"/>
          </w:tcPr>
          <w:p>
            <w:pPr>
              <w:spacing w:after="0"/>
              <w:rPr>
                <w:sz w:val="20"/>
                <w:szCs w:val="20"/>
                <w:color w:val="auto"/>
              </w:rPr>
            </w:pPr>
          </w:p>
        </w:tc>
        <w:tc>
          <w:tcPr>
            <w:tcW w:w="202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Durable</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Series C</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5, 8</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Partnership Interests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5, 8</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0"/>
              </w:rPr>
              <w:t>Series A Preferred Interests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1,091,819</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20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Investments Incorporated)</w:t>
            </w:r>
            <w:r>
              <w:rPr>
                <w:rFonts w:ascii="Arial" w:cs="Arial" w:eastAsia="Arial" w:hAnsi="Arial"/>
                <w:sz w:val="29"/>
                <w:szCs w:val="29"/>
                <w:color w:val="auto"/>
                <w:vertAlign w:val="superscript"/>
              </w:rPr>
              <w:t>5, 8</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554,067</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5, 8</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Class A Warrants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5, 8</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3, 5</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2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707,874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5, 8</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Hotel, Gaming &amp; Leisure</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5, 8</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Class A Units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5, 8, 11</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Class B Units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5, 8</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Company / Principal Business</w:t>
      </w:r>
    </w:p>
    <w:p>
      <w:pPr>
        <w:spacing w:after="0" w:line="224" w:lineRule="auto"/>
        <w:rPr>
          <w:sz w:val="20"/>
          <w:szCs w:val="20"/>
          <w:color w:val="auto"/>
        </w:rPr>
      </w:pPr>
      <w:r>
        <w:rPr>
          <w:rFonts w:ascii="Arial" w:cs="Arial" w:eastAsia="Arial" w:hAnsi="Arial"/>
          <w:sz w:val="18"/>
          <w:szCs w:val="18"/>
          <w:color w:val="auto"/>
        </w:rPr>
        <w:t>TRSO II, Inc.</w:t>
      </w:r>
      <w:r>
        <w:rPr>
          <w:rFonts w:ascii="Arial" w:cs="Arial" w:eastAsia="Arial" w:hAnsi="Arial"/>
          <w:sz w:val="30"/>
          <w:szCs w:val="30"/>
          <w:color w:val="auto"/>
          <w:vertAlign w:val="superscript"/>
        </w:rPr>
        <w:t>5, 8</w:t>
      </w:r>
    </w:p>
    <w:p>
      <w:pPr>
        <w:ind w:left="140"/>
        <w:spacing w:after="0"/>
        <w:rPr>
          <w:sz w:val="20"/>
          <w:szCs w:val="20"/>
          <w:color w:val="auto"/>
        </w:rPr>
      </w:pPr>
      <w:r>
        <w:rPr>
          <w:rFonts w:ascii="Arial" w:cs="Arial" w:eastAsia="Arial" w:hAnsi="Arial"/>
          <w:sz w:val="18"/>
          <w:szCs w:val="18"/>
          <w:i w:val="1"/>
          <w:iCs w:val="1"/>
          <w:color w:val="auto"/>
        </w:rPr>
        <w:t>Energy: Oil &amp; Gas</w:t>
      </w:r>
    </w:p>
    <w:p>
      <w:pPr>
        <w:spacing w:after="0" w:line="250"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New Millennium Holdco, Inc. (Millennium Health, LLC)</w:t>
      </w:r>
      <w:r>
        <w:rPr>
          <w:rFonts w:ascii="Arial" w:cs="Arial" w:eastAsia="Arial" w:hAnsi="Arial"/>
          <w:sz w:val="30"/>
          <w:szCs w:val="30"/>
          <w:color w:val="auto"/>
          <w:vertAlign w:val="superscript"/>
        </w:rPr>
        <w:t>5, 8</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259" w:lineRule="exact"/>
        <w:rPr>
          <w:sz w:val="20"/>
          <w:szCs w:val="20"/>
          <w:color w:val="auto"/>
        </w:rPr>
      </w:pPr>
    </w:p>
    <w:p>
      <w:pPr>
        <w:jc w:val="right"/>
        <w:ind w:right="240"/>
        <w:spacing w:after="0" w:line="347" w:lineRule="auto"/>
        <w:rPr>
          <w:sz w:val="20"/>
          <w:szCs w:val="20"/>
          <w:color w:val="auto"/>
        </w:rPr>
      </w:pPr>
      <w:r>
        <w:rPr>
          <w:rFonts w:ascii="Arial" w:cs="Arial" w:eastAsia="Arial" w:hAnsi="Arial"/>
          <w:sz w:val="16"/>
          <w:szCs w:val="16"/>
          <w:b w:val="1"/>
          <w:bCs w:val="1"/>
          <w:color w:val="auto"/>
        </w:rPr>
        <w:t>Total Investment in Equity Securities (3% of net asset value at fair value)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00" w:lineRule="exact"/>
        <w:rPr>
          <w:sz w:val="20"/>
          <w:szCs w:val="20"/>
          <w:color w:val="auto"/>
        </w:rPr>
      </w:pPr>
    </w:p>
    <w:p>
      <w:pPr>
        <w:spacing w:after="0" w:line="241" w:lineRule="exact"/>
        <w:rPr>
          <w:sz w:val="20"/>
          <w:szCs w:val="20"/>
          <w:color w:val="auto"/>
        </w:rPr>
      </w:pPr>
    </w:p>
    <w:p>
      <w:pPr>
        <w:ind w:right="1180"/>
        <w:spacing w:after="0" w:line="352" w:lineRule="auto"/>
        <w:rPr>
          <w:sz w:val="20"/>
          <w:szCs w:val="20"/>
          <w:color w:val="auto"/>
        </w:rPr>
      </w:pPr>
      <w:r>
        <w:rPr>
          <w:rFonts w:ascii="Arial" w:cs="Arial" w:eastAsia="Arial" w:hAnsi="Arial"/>
          <w:sz w:val="16"/>
          <w:szCs w:val="16"/>
          <w:b w:val="1"/>
          <w:bCs w:val="1"/>
          <w:color w:val="auto"/>
        </w:rPr>
        <w:t xml:space="preserve">Portfolio Company </w:t>
      </w:r>
      <w:r>
        <w:rPr>
          <w:rFonts w:ascii="Arial" w:cs="Arial" w:eastAsia="Arial" w:hAnsi="Arial"/>
          <w:sz w:val="16"/>
          <w:szCs w:val="16"/>
          <w:color w:val="auto"/>
        </w:rPr>
        <w:t>Grant Grove CLO, Ltd.</w:t>
      </w:r>
      <w:r>
        <w:rPr>
          <w:rFonts w:ascii="Arial" w:cs="Arial" w:eastAsia="Arial" w:hAnsi="Arial"/>
          <w:sz w:val="26"/>
          <w:szCs w:val="26"/>
          <w:color w:val="auto"/>
          <w:vertAlign w:val="superscript"/>
        </w:rPr>
        <w:t>3,13</w:t>
      </w:r>
    </w:p>
    <w:p>
      <w:pPr>
        <w:spacing w:after="0" w:line="2" w:lineRule="exact"/>
        <w:rPr>
          <w:sz w:val="20"/>
          <w:szCs w:val="20"/>
          <w:color w:val="auto"/>
        </w:rPr>
      </w:pPr>
    </w:p>
    <w:p>
      <w:pPr>
        <w:ind w:right="780"/>
        <w:spacing w:after="0" w:line="378" w:lineRule="auto"/>
        <w:rPr>
          <w:sz w:val="20"/>
          <w:szCs w:val="20"/>
          <w:color w:val="auto"/>
        </w:rPr>
      </w:pPr>
      <w:r>
        <w:rPr>
          <w:rFonts w:ascii="Arial" w:cs="Arial" w:eastAsia="Arial" w:hAnsi="Arial"/>
          <w:sz w:val="16"/>
          <w:szCs w:val="16"/>
          <w:color w:val="auto"/>
        </w:rPr>
        <w:t>Katonah III, Ltd.</w:t>
      </w:r>
      <w:r>
        <w:rPr>
          <w:rFonts w:ascii="Arial" w:cs="Arial" w:eastAsia="Arial" w:hAnsi="Arial"/>
          <w:sz w:val="26"/>
          <w:szCs w:val="26"/>
          <w:color w:val="auto"/>
          <w:vertAlign w:val="superscript"/>
        </w:rPr>
        <w:t>3,13</w:t>
      </w:r>
      <w:r>
        <w:rPr>
          <w:rFonts w:ascii="Arial" w:cs="Arial" w:eastAsia="Arial" w:hAnsi="Arial"/>
          <w:sz w:val="16"/>
          <w:szCs w:val="16"/>
          <w:color w:val="auto"/>
        </w:rPr>
        <w:t xml:space="preserve"> Katonah 2007-I CLO Ltd.</w:t>
      </w:r>
      <w:r>
        <w:rPr>
          <w:rFonts w:ascii="Arial" w:cs="Arial" w:eastAsia="Arial" w:hAnsi="Arial"/>
          <w:sz w:val="26"/>
          <w:szCs w:val="26"/>
          <w:color w:val="auto"/>
          <w:vertAlign w:val="superscript"/>
        </w:rPr>
        <w:t>3, 6</w:t>
      </w:r>
      <w:r>
        <w:rPr>
          <w:rFonts w:ascii="Arial" w:cs="Arial" w:eastAsia="Arial" w:hAnsi="Arial"/>
          <w:sz w:val="16"/>
          <w:szCs w:val="16"/>
          <w:color w:val="auto"/>
        </w:rPr>
        <w:t xml:space="preserve"> Trimaran CLO VII, Ltd.</w:t>
      </w:r>
      <w:r>
        <w:rPr>
          <w:rFonts w:ascii="Arial" w:cs="Arial" w:eastAsia="Arial" w:hAnsi="Arial"/>
          <w:sz w:val="26"/>
          <w:szCs w:val="26"/>
          <w:color w:val="auto"/>
          <w:vertAlign w:val="superscript"/>
        </w:rPr>
        <w:t>3, 6, 13</w:t>
      </w:r>
      <w:r>
        <w:rPr>
          <w:rFonts w:ascii="Arial" w:cs="Arial" w:eastAsia="Arial" w:hAnsi="Arial"/>
          <w:sz w:val="16"/>
          <w:szCs w:val="16"/>
          <w:color w:val="auto"/>
        </w:rPr>
        <w:t xml:space="preserve"> Catamaran CLO 2012-1 Ltd.</w:t>
      </w:r>
      <w:r>
        <w:rPr>
          <w:rFonts w:ascii="Arial" w:cs="Arial" w:eastAsia="Arial" w:hAnsi="Arial"/>
          <w:sz w:val="26"/>
          <w:szCs w:val="26"/>
          <w:color w:val="auto"/>
          <w:vertAlign w:val="superscript"/>
        </w:rPr>
        <w:t>3, 6</w:t>
      </w:r>
      <w:r>
        <w:rPr>
          <w:rFonts w:ascii="Arial" w:cs="Arial" w:eastAsia="Arial" w:hAnsi="Arial"/>
          <w:sz w:val="16"/>
          <w:szCs w:val="16"/>
          <w:color w:val="auto"/>
        </w:rPr>
        <w:t xml:space="preserve"> Catamaran CLO 2013- 1 Ltd.</w:t>
      </w:r>
      <w:r>
        <w:rPr>
          <w:rFonts w:ascii="Arial" w:cs="Arial" w:eastAsia="Arial" w:hAnsi="Arial"/>
          <w:sz w:val="26"/>
          <w:szCs w:val="26"/>
          <w:color w:val="auto"/>
          <w:vertAlign w:val="superscript"/>
        </w:rPr>
        <w:t>3, 6</w:t>
      </w:r>
      <w:r>
        <w:rPr>
          <w:rFonts w:ascii="Arial" w:cs="Arial" w:eastAsia="Arial" w:hAnsi="Arial"/>
          <w:sz w:val="16"/>
          <w:szCs w:val="16"/>
          <w:color w:val="auto"/>
        </w:rPr>
        <w:t xml:space="preserve"> Catamaran CLO 2014-1 Ltd.</w:t>
      </w:r>
      <w:r>
        <w:rPr>
          <w:rFonts w:ascii="Arial" w:cs="Arial" w:eastAsia="Arial" w:hAnsi="Arial"/>
          <w:sz w:val="26"/>
          <w:szCs w:val="26"/>
          <w:color w:val="auto"/>
          <w:vertAlign w:val="superscript"/>
        </w:rPr>
        <w:t>3, 6</w:t>
      </w:r>
      <w:r>
        <w:rPr>
          <w:rFonts w:ascii="Arial" w:cs="Arial" w:eastAsia="Arial" w:hAnsi="Arial"/>
          <w:sz w:val="16"/>
          <w:szCs w:val="16"/>
          <w:color w:val="auto"/>
        </w:rPr>
        <w:t xml:space="preserve"> Dryden 30 Senior Loan Fund</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Catamaran CLO 2014-2 Ltd.</w:t>
      </w:r>
      <w:r>
        <w:rPr>
          <w:rFonts w:ascii="Arial" w:cs="Arial" w:eastAsia="Arial" w:hAnsi="Arial"/>
          <w:sz w:val="26"/>
          <w:szCs w:val="26"/>
          <w:color w:val="auto"/>
          <w:vertAlign w:val="superscript"/>
        </w:rPr>
        <w:t>3, 6</w:t>
      </w:r>
      <w:r>
        <w:rPr>
          <w:rFonts w:ascii="Arial" w:cs="Arial" w:eastAsia="Arial" w:hAnsi="Arial"/>
          <w:sz w:val="16"/>
          <w:szCs w:val="16"/>
          <w:color w:val="auto"/>
        </w:rPr>
        <w:t xml:space="preserve"> Catamaran CLO 2015-1 Ltd.</w:t>
      </w:r>
      <w:r>
        <w:rPr>
          <w:rFonts w:ascii="Arial" w:cs="Arial" w:eastAsia="Arial" w:hAnsi="Arial"/>
          <w:sz w:val="26"/>
          <w:szCs w:val="26"/>
          <w:color w:val="auto"/>
          <w:vertAlign w:val="superscript"/>
        </w:rPr>
        <w:t>3, 6</w:t>
      </w:r>
      <w:r>
        <w:rPr>
          <w:rFonts w:ascii="Arial" w:cs="Arial" w:eastAsia="Arial" w:hAnsi="Arial"/>
          <w:sz w:val="16"/>
          <w:szCs w:val="16"/>
          <w:color w:val="auto"/>
        </w:rPr>
        <w:t xml:space="preserve"> Catamaran CLO 2016-1 Ltd.</w:t>
      </w:r>
      <w:r>
        <w:rPr>
          <w:rFonts w:ascii="Arial" w:cs="Arial" w:eastAsia="Arial" w:hAnsi="Arial"/>
          <w:sz w:val="26"/>
          <w:szCs w:val="26"/>
          <w:color w:val="auto"/>
          <w:vertAlign w:val="superscript"/>
        </w:rPr>
        <w:t>3, 6</w:t>
      </w:r>
    </w:p>
    <w:p>
      <w:pPr>
        <w:spacing w:after="0" w:line="1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Total Investment in CLO Subordinated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Interest/Shares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1,680,161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1,359,563</w:t>
            </w:r>
          </w:p>
        </w:tc>
        <w:tc>
          <w:tcPr>
            <w:tcW w:w="0" w:type="dxa"/>
            <w:vAlign w:val="bottom"/>
          </w:tcPr>
          <w:p>
            <w:pPr>
              <w:spacing w:after="0"/>
              <w:rPr>
                <w:sz w:val="1"/>
                <w:szCs w:val="1"/>
                <w:color w:val="auto"/>
              </w:rPr>
            </w:pPr>
          </w:p>
        </w:tc>
      </w:tr>
      <w:tr>
        <w:trPr>
          <w:trHeight w:val="959"/>
        </w:trPr>
        <w:tc>
          <w:tcPr>
            <w:tcW w:w="1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1,953,299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53"/>
        </w:trPr>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10,389,008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4,902,794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-899795</wp:posOffset>
            </wp:positionV>
            <wp:extent cx="72466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-290830</wp:posOffset>
            </wp:positionV>
            <wp:extent cx="7246620"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-1371600</wp:posOffset>
            </wp:positionV>
            <wp:extent cx="72466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12</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0" w:type="dxa"/>
            <w:vAlign w:val="bottom"/>
          </w:tcPr>
          <w:p>
            <w:pPr>
              <w:spacing w:after="0"/>
              <w:rPr>
                <w:sz w:val="1"/>
                <w:szCs w:val="1"/>
                <w:color w:val="auto"/>
              </w:rPr>
            </w:pPr>
          </w:p>
        </w:tc>
      </w:tr>
      <w:tr>
        <w:trPr>
          <w:trHeight w:val="234"/>
        </w:trPr>
        <w:tc>
          <w:tcPr>
            <w:tcW w:w="3540" w:type="dxa"/>
            <w:vAlign w:val="bottom"/>
            <w:gridSpan w:val="2"/>
            <w:vMerge w:val="continue"/>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Subordinated Securities, effective interest</w:t>
            </w: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Arial" w:cs="Arial" w:eastAsia="Arial" w:hAnsi="Arial"/>
                <w:sz w:val="18"/>
                <w:szCs w:val="18"/>
                <w:color w:val="auto"/>
              </w:rPr>
              <w:t>N/M, 1/21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2,485,886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Preferred Shares, effective interest N/M, 5/15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1,287,155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2"/>
              </w:rPr>
              <w:t>Preferred Shares, effective interest 25.6%, 4/22</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29,101,810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20,847,854</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Income Notes, effective interest N/M, 6/21</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934,010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565,000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Notes, effective interest 8.3%,</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12/23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5,778,004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2,679,951</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Subordinated Notes, effective interest 14.6%,</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1/25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5,067,975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4,613,262</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Notes, effective interest 9.8%,</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4/26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7,635,476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4,376,540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Subordinated Notes, effective interest 35.2%,</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11/25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1,314,985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1,801,090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Subordinated Notes, effective interest 11.2%,</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10/26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6,972,176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4,879,005</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Notes, effective interest 9.8%,</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4/27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4,494,789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3,110,826</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Subordinated Notes, effective interest 13.3%,</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40" w:type="dxa"/>
            <w:vAlign w:val="bottom"/>
            <w:gridSpan w:val="2"/>
          </w:tcPr>
          <w:p>
            <w:pPr>
              <w:spacing w:after="0"/>
              <w:rPr>
                <w:sz w:val="20"/>
                <w:szCs w:val="20"/>
                <w:color w:val="auto"/>
              </w:rPr>
            </w:pPr>
            <w:r>
              <w:rPr>
                <w:rFonts w:ascii="Arial" w:cs="Arial" w:eastAsia="Arial" w:hAnsi="Arial"/>
                <w:sz w:val="18"/>
                <w:szCs w:val="18"/>
                <w:color w:val="auto"/>
              </w:rPr>
              <w:t>1/29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10,478,346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8,365,500</w:t>
            </w:r>
          </w:p>
        </w:tc>
        <w:tc>
          <w:tcPr>
            <w:tcW w:w="0" w:type="dxa"/>
            <w:vAlign w:val="bottom"/>
          </w:tcPr>
          <w:p>
            <w:pPr>
              <w:spacing w:after="0"/>
              <w:rPr>
                <w:sz w:val="1"/>
                <w:szCs w:val="1"/>
                <w:color w:val="auto"/>
              </w:rPr>
            </w:pPr>
          </w:p>
        </w:tc>
      </w:tr>
      <w:tr>
        <w:trPr>
          <w:trHeight w:val="426"/>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75,550,612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51,609,028</w:t>
            </w:r>
          </w:p>
        </w:tc>
        <w:tc>
          <w:tcPr>
            <w:tcW w:w="0" w:type="dxa"/>
            <w:vAlign w:val="bottom"/>
          </w:tcPr>
          <w:p>
            <w:pPr>
              <w:spacing w:after="0"/>
              <w:rPr>
                <w:sz w:val="1"/>
                <w:szCs w:val="1"/>
                <w:color w:val="auto"/>
              </w:rPr>
            </w:pPr>
          </w:p>
        </w:tc>
      </w:tr>
      <w:tr>
        <w:trPr>
          <w:trHeight w:val="642"/>
        </w:trPr>
        <w:tc>
          <w:tcPr>
            <w:tcW w:w="3440" w:type="dxa"/>
            <w:vAlign w:val="bottom"/>
          </w:tcPr>
          <w:p>
            <w:pPr>
              <w:ind w:left="20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-3404235</wp:posOffset>
            </wp:positionV>
            <wp:extent cx="724662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-2803525</wp:posOffset>
            </wp:positionV>
            <wp:extent cx="7246620" cy="30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-2203450</wp:posOffset>
            </wp:positionV>
            <wp:extent cx="724662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-1602740</wp:posOffset>
            </wp:positionV>
            <wp:extent cx="724662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-1002665</wp:posOffset>
            </wp:positionV>
            <wp:extent cx="724662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-4012565</wp:posOffset>
            </wp:positionV>
            <wp:extent cx="724662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140" w:space="300"/>
            <w:col w:w="7980"/>
          </w:cols>
          <w:pgMar w:left="240" w:top="90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CLO Rated-Note Investment</w:t>
            </w: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Borders>
              <w:bottom w:val="single" w:sz="8" w:color="CCEEFF"/>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30"/>
                <w:szCs w:val="30"/>
                <w:color w:val="auto"/>
                <w:vertAlign w:val="superscript"/>
              </w:rPr>
              <w:t>3, 6</w:t>
            </w:r>
          </w:p>
        </w:tc>
        <w:tc>
          <w:tcPr>
            <w:tcW w:w="120" w:type="dxa"/>
            <w:vAlign w:val="bottom"/>
            <w:shd w:val="clear" w:color="auto" w:fill="CCEEFF"/>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Float - 04/2026 - E - 14889FAC7</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1,444,363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1,390,000</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Investment in CLO Rated-Note</w:t>
            </w:r>
          </w:p>
        </w:tc>
        <w:tc>
          <w:tcPr>
            <w:tcW w:w="1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1,444,363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Total Investment in CLO Fund Securities</w:t>
            </w:r>
          </w:p>
        </w:tc>
        <w:tc>
          <w:tcPr>
            <w:tcW w:w="1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(28% of net asset value at fair value)</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76,994,975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52,999,028</w:t>
            </w:r>
          </w:p>
        </w:tc>
        <w:tc>
          <w:tcPr>
            <w:tcW w:w="0" w:type="dxa"/>
            <w:vAlign w:val="bottom"/>
          </w:tcPr>
          <w:p>
            <w:pPr>
              <w:spacing w:after="0"/>
              <w:rPr>
                <w:sz w:val="1"/>
                <w:szCs w:val="1"/>
                <w:color w:val="auto"/>
              </w:rPr>
            </w:pPr>
          </w:p>
        </w:tc>
      </w:tr>
      <w:tr>
        <w:trPr>
          <w:trHeight w:val="642"/>
        </w:trPr>
        <w:tc>
          <w:tcPr>
            <w:tcW w:w="3440" w:type="dxa"/>
            <w:vAlign w:val="bottom"/>
          </w:tcPr>
          <w:p>
            <w:pPr>
              <w:spacing w:after="0"/>
              <w:rPr>
                <w:sz w:val="20"/>
                <w:szCs w:val="20"/>
                <w:color w:val="auto"/>
              </w:rPr>
            </w:pPr>
            <w:r>
              <w:rPr>
                <w:rFonts w:ascii="Arial" w:cs="Arial" w:eastAsia="Arial" w:hAnsi="Arial"/>
                <w:sz w:val="18"/>
                <w:szCs w:val="18"/>
                <w:b w:val="1"/>
                <w:bCs w:val="1"/>
                <w:color w:val="auto"/>
              </w:rPr>
              <w:t>Asset Manager Affiliates</w:t>
            </w: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120" w:type="dxa"/>
            <w:vAlign w:val="bottom"/>
            <w:tcBorders>
              <w:bottom w:val="single" w:sz="8" w:color="CCEEFF"/>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Asset Manager Affiliates</w:t>
            </w:r>
            <w:r>
              <w:rPr>
                <w:rFonts w:ascii="Arial" w:cs="Arial" w:eastAsia="Arial" w:hAnsi="Arial"/>
                <w:sz w:val="28"/>
                <w:szCs w:val="28"/>
                <w:color w:val="auto"/>
                <w:vertAlign w:val="superscript"/>
              </w:rPr>
              <w:t>8, 10</w:t>
            </w:r>
          </w:p>
        </w:tc>
        <w:tc>
          <w:tcPr>
            <w:tcW w:w="1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Company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54,691,230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36,942,000</w:t>
            </w: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Arial" w:cs="Arial" w:eastAsia="Arial" w:hAnsi="Arial"/>
                <w:sz w:val="18"/>
                <w:szCs w:val="18"/>
                <w:b w:val="1"/>
                <w:bCs w:val="1"/>
                <w:color w:val="auto"/>
              </w:rPr>
              <w:t>Total Investment in Asset Manager</w:t>
            </w: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Affiliates</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40" w:type="dxa"/>
            <w:vAlign w:val="bottom"/>
          </w:tcPr>
          <w:p>
            <w:pPr>
              <w:ind w:left="180"/>
              <w:spacing w:after="0"/>
              <w:rPr>
                <w:sz w:val="20"/>
                <w:szCs w:val="20"/>
                <w:color w:val="auto"/>
              </w:rPr>
            </w:pPr>
            <w:r>
              <w:rPr>
                <w:rFonts w:ascii="Arial" w:cs="Arial" w:eastAsia="Arial" w:hAnsi="Arial"/>
                <w:sz w:val="18"/>
                <w:szCs w:val="18"/>
                <w:b w:val="1"/>
                <w:bCs w:val="1"/>
                <w:color w:val="auto"/>
              </w:rPr>
              <w:t>(19% of net asset value at fair value)</w:t>
            </w:r>
          </w:p>
        </w:tc>
        <w:tc>
          <w:tcPr>
            <w:tcW w:w="1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54,691,230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36,942,000</w:t>
            </w:r>
          </w:p>
        </w:tc>
        <w:tc>
          <w:tcPr>
            <w:tcW w:w="0" w:type="dxa"/>
            <w:vAlign w:val="bottom"/>
          </w:tcPr>
          <w:p>
            <w:pPr>
              <w:spacing w:after="0"/>
              <w:rPr>
                <w:sz w:val="1"/>
                <w:szCs w:val="1"/>
                <w:color w:val="auto"/>
              </w:rPr>
            </w:pPr>
          </w:p>
        </w:tc>
      </w:tr>
      <w:tr>
        <w:trPr>
          <w:trHeight w:val="642"/>
        </w:trPr>
        <w:tc>
          <w:tcPr>
            <w:tcW w:w="3440" w:type="dxa"/>
            <w:vAlign w:val="bottom"/>
          </w:tcPr>
          <w:p>
            <w:pPr>
              <w:spacing w:after="0"/>
              <w:rPr>
                <w:sz w:val="20"/>
                <w:szCs w:val="20"/>
                <w:color w:val="auto"/>
              </w:rPr>
            </w:pPr>
            <w:r>
              <w:rPr>
                <w:rFonts w:ascii="Arial" w:cs="Arial" w:eastAsia="Arial" w:hAnsi="Arial"/>
                <w:sz w:val="18"/>
                <w:szCs w:val="18"/>
                <w:b w:val="1"/>
                <w:bCs w:val="1"/>
                <w:color w:val="auto"/>
                <w:w w:val="94"/>
              </w:rPr>
              <w:t>Time Deposits and Money Market Account</w:t>
            </w: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Time Deposit and Money Market Accounts</w:t>
            </w:r>
          </w:p>
        </w:tc>
        <w:tc>
          <w:tcPr>
            <w:tcW w:w="120" w:type="dxa"/>
            <w:vAlign w:val="bottom"/>
            <w:tcBorders>
              <w:bottom w:val="single" w:sz="8" w:color="CCEEFF"/>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4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w w:val="97"/>
              </w:rPr>
              <w:t>JP Morgan Business Money Market Account</w:t>
            </w:r>
            <w:r>
              <w:rPr>
                <w:rFonts w:ascii="Arial" w:cs="Arial" w:eastAsia="Arial" w:hAnsi="Arial"/>
                <w:sz w:val="27"/>
                <w:szCs w:val="27"/>
                <w:color w:val="auto"/>
                <w:w w:val="97"/>
                <w:vertAlign w:val="superscript"/>
              </w:rPr>
              <w:t>7,</w:t>
            </w:r>
          </w:p>
        </w:tc>
        <w:tc>
          <w:tcPr>
            <w:tcW w:w="120" w:type="dxa"/>
            <w:vAlign w:val="bottom"/>
            <w:shd w:val="clear" w:color="auto" w:fill="CCEEFF"/>
          </w:tcPr>
          <w:p>
            <w:pPr>
              <w:spacing w:after="0"/>
              <w:rPr>
                <w:sz w:val="20"/>
                <w:szCs w:val="20"/>
                <w:color w:val="auto"/>
              </w:rPr>
            </w:pPr>
          </w:p>
        </w:tc>
        <w:tc>
          <w:tcPr>
            <w:tcW w:w="3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14,268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18"/>
                <w:szCs w:val="18"/>
                <w:color w:val="auto"/>
              </w:rPr>
            </w:pPr>
          </w:p>
        </w:tc>
        <w:tc>
          <w:tcPr>
            <w:tcW w:w="3540" w:type="dxa"/>
            <w:vAlign w:val="bottom"/>
            <w:gridSpan w:val="2"/>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8</w:t>
            </w:r>
          </w:p>
        </w:tc>
        <w:tc>
          <w:tcPr>
            <w:tcW w:w="120" w:type="dxa"/>
            <w:vAlign w:val="bottom"/>
            <w:shd w:val="clear" w:color="auto" w:fill="CCEEFF"/>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22,660,522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22,660,522</w:t>
            </w: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Arial" w:cs="Arial" w:eastAsia="Arial" w:hAnsi="Arial"/>
                <w:sz w:val="18"/>
                <w:szCs w:val="18"/>
                <w:b w:val="1"/>
                <w:bCs w:val="1"/>
                <w:color w:val="auto"/>
              </w:rPr>
              <w:t>Total Investment in Time Deposit and</w:t>
            </w: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Money Market Accounts</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40" w:type="dxa"/>
            <w:vAlign w:val="bottom"/>
          </w:tcPr>
          <w:p>
            <w:pPr>
              <w:ind w:left="180"/>
              <w:spacing w:after="0"/>
              <w:rPr>
                <w:sz w:val="20"/>
                <w:szCs w:val="20"/>
                <w:color w:val="auto"/>
              </w:rPr>
            </w:pPr>
            <w:r>
              <w:rPr>
                <w:rFonts w:ascii="Arial" w:cs="Arial" w:eastAsia="Arial" w:hAnsi="Arial"/>
                <w:sz w:val="18"/>
                <w:szCs w:val="18"/>
                <w:b w:val="1"/>
                <w:bCs w:val="1"/>
                <w:color w:val="auto"/>
              </w:rPr>
              <w:t>(12% of net asset value at fair value)</w:t>
            </w:r>
          </w:p>
        </w:tc>
        <w:tc>
          <w:tcPr>
            <w:tcW w:w="1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22,674,790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22,674,790</w:t>
            </w:r>
          </w:p>
        </w:tc>
        <w:tc>
          <w:tcPr>
            <w:tcW w:w="0" w:type="dxa"/>
            <w:vAlign w:val="bottom"/>
          </w:tcPr>
          <w:p>
            <w:pPr>
              <w:spacing w:after="0"/>
              <w:rPr>
                <w:sz w:val="1"/>
                <w:szCs w:val="1"/>
                <w:color w:val="auto"/>
              </w:rPr>
            </w:pPr>
          </w:p>
        </w:tc>
      </w:tr>
      <w:tr>
        <w:trPr>
          <w:trHeight w:val="218"/>
        </w:trPr>
        <w:tc>
          <w:tcPr>
            <w:tcW w:w="3440" w:type="dxa"/>
            <w:vAlign w:val="bottom"/>
            <w:tcBorders>
              <w:top w:val="single" w:sz="8" w:color="CCEEFF"/>
            </w:tcBorders>
            <w:shd w:val="clear" w:color="auto" w:fill="CCEEFF"/>
          </w:tcPr>
          <w:p>
            <w:pPr>
              <w:spacing w:after="0" w:line="218" w:lineRule="exact"/>
              <w:rPr>
                <w:sz w:val="20"/>
                <w:szCs w:val="20"/>
                <w:color w:val="auto"/>
              </w:rPr>
            </w:pPr>
            <w:r>
              <w:rPr>
                <w:rFonts w:ascii="Arial" w:cs="Arial" w:eastAsia="Arial" w:hAnsi="Arial"/>
                <w:sz w:val="16"/>
                <w:szCs w:val="16"/>
                <w:b w:val="1"/>
                <w:bCs w:val="1"/>
                <w:color w:val="auto"/>
              </w:rPr>
              <w:t>Total Investments</w:t>
            </w:r>
            <w:r>
              <w:rPr>
                <w:rFonts w:ascii="Arial" w:cs="Arial" w:eastAsia="Arial" w:hAnsi="Arial"/>
                <w:sz w:val="25"/>
                <w:szCs w:val="25"/>
                <w:b w:val="1"/>
                <w:bCs w:val="1"/>
                <w:color w:val="auto"/>
                <w:vertAlign w:val="superscript"/>
              </w:rPr>
              <w:t>4</w:t>
            </w:r>
          </w:p>
        </w:tc>
        <w:tc>
          <w:tcPr>
            <w:tcW w:w="1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(186% of net asset value at fair value)</w:t>
            </w:r>
          </w:p>
        </w:tc>
        <w:tc>
          <w:tcPr>
            <w:tcW w:w="120" w:type="dxa"/>
            <w:vAlign w:val="bottom"/>
            <w:shd w:val="clear" w:color="auto" w:fill="CCEEFF"/>
          </w:tcPr>
          <w:p>
            <w:pPr>
              <w:spacing w:after="0"/>
              <w:rPr>
                <w:sz w:val="22"/>
                <w:szCs w:val="22"/>
                <w:color w:val="auto"/>
              </w:rPr>
            </w:pPr>
          </w:p>
        </w:tc>
        <w:tc>
          <w:tcPr>
            <w:tcW w:w="3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412,382,593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355,176,313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gridSpan w:val="2"/>
            <w:vMerge w:val="restart"/>
          </w:tcPr>
          <w:p>
            <w:pPr>
              <w:jc w:val="right"/>
              <w:ind w:right="109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8" w:name="page19"/>
    <w:bookmarkEnd w:id="18"/>
    <w:p>
      <w:pPr>
        <w:ind w:left="332" w:hanging="332"/>
        <w:spacing w:after="0" w:line="224" w:lineRule="auto"/>
        <w:tabs>
          <w:tab w:leader="none" w:pos="332"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March 31, 2017. As noted in the table above, 93% (based on par) of debt securities contain LIBOR floors which range between 0.75% and 3.0%.</w:t>
      </w:r>
    </w:p>
    <w:p>
      <w:pPr>
        <w:spacing w:after="0" w:line="87" w:lineRule="exact"/>
        <w:rPr>
          <w:sz w:val="20"/>
          <w:szCs w:val="20"/>
          <w:color w:val="auto"/>
        </w:rPr>
      </w:pPr>
    </w:p>
    <w:p>
      <w:pPr>
        <w:ind w:left="332" w:hanging="332"/>
        <w:spacing w:after="0"/>
        <w:tabs>
          <w:tab w:leader="none" w:pos="332"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March 31, 2017, as determined by the Company’s Board of Directors.</w:t>
      </w:r>
    </w:p>
    <w:p>
      <w:pPr>
        <w:spacing w:after="0" w:line="87" w:lineRule="exact"/>
        <w:rPr>
          <w:sz w:val="20"/>
          <w:szCs w:val="20"/>
          <w:color w:val="auto"/>
        </w:rPr>
      </w:pPr>
    </w:p>
    <w:p>
      <w:pPr>
        <w:ind w:left="332" w:hanging="332"/>
        <w:spacing w:after="0"/>
        <w:tabs>
          <w:tab w:leader="none" w:pos="332"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202" w:lineRule="exact"/>
        <w:rPr>
          <w:sz w:val="20"/>
          <w:szCs w:val="20"/>
          <w:color w:val="auto"/>
        </w:rPr>
      </w:pPr>
    </w:p>
    <w:p>
      <w:pPr>
        <w:ind w:left="332" w:right="640" w:hanging="332"/>
        <w:spacing w:after="0" w:line="209" w:lineRule="auto"/>
        <w:tabs>
          <w:tab w:leader="none" w:pos="332"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$420 million. The aggregate gross unrealized appreciation is approximately $2.2 million, the aggregate gross unrealized depreciation is approximately $67.1 million, and the net unrealized depreciation is approximately $64.9 million.</w:t>
      </w:r>
    </w:p>
    <w:p>
      <w:pPr>
        <w:spacing w:after="0" w:line="89" w:lineRule="exact"/>
        <w:rPr>
          <w:sz w:val="20"/>
          <w:szCs w:val="20"/>
          <w:color w:val="auto"/>
        </w:rPr>
      </w:pPr>
    </w:p>
    <w:p>
      <w:pPr>
        <w:ind w:left="332" w:hanging="332"/>
        <w:spacing w:after="0"/>
        <w:tabs>
          <w:tab w:leader="none" w:pos="332"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Non-income producing.</w:t>
      </w:r>
    </w:p>
    <w:p>
      <w:pPr>
        <w:spacing w:after="0" w:line="110" w:lineRule="exact"/>
        <w:rPr>
          <w:sz w:val="20"/>
          <w:szCs w:val="20"/>
          <w:color w:val="auto"/>
        </w:rPr>
      </w:pPr>
    </w:p>
    <w:p>
      <w:pPr>
        <w:ind w:left="332" w:hanging="332"/>
        <w:spacing w:after="0"/>
        <w:tabs>
          <w:tab w:leader="none" w:pos="332"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87" w:lineRule="exact"/>
        <w:rPr>
          <w:sz w:val="20"/>
          <w:szCs w:val="20"/>
          <w:color w:val="auto"/>
        </w:rPr>
      </w:pPr>
    </w:p>
    <w:p>
      <w:pPr>
        <w:ind w:left="332" w:hanging="332"/>
        <w:spacing w:after="0"/>
        <w:tabs>
          <w:tab w:leader="none" w:pos="332"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Money market account holding restricted cash and security deposits for employee benefit plans.</w:t>
      </w:r>
    </w:p>
    <w:p>
      <w:pPr>
        <w:spacing w:after="0" w:line="87" w:lineRule="exact"/>
        <w:rPr>
          <w:sz w:val="20"/>
          <w:szCs w:val="20"/>
          <w:color w:val="auto"/>
        </w:rPr>
      </w:pPr>
    </w:p>
    <w:p>
      <w:pPr>
        <w:ind w:left="332" w:hanging="332"/>
        <w:spacing w:after="0"/>
        <w:tabs>
          <w:tab w:leader="none" w:pos="332"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w:t>
      </w:r>
    </w:p>
    <w:p>
      <w:pPr>
        <w:spacing w:after="0" w:line="202" w:lineRule="exact"/>
        <w:rPr>
          <w:sz w:val="20"/>
          <w:szCs w:val="20"/>
          <w:color w:val="auto"/>
        </w:rPr>
      </w:pPr>
    </w:p>
    <w:p>
      <w:pPr>
        <w:ind w:left="332" w:right="540" w:hanging="332"/>
        <w:spacing w:after="0" w:line="194" w:lineRule="auto"/>
        <w:tabs>
          <w:tab w:leader="none" w:pos="332"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As of March 31, 2017, this investment is owned by KCAP Senior Funding I, LLC and was pledged to secure KCAP Senior Funding I, LLC’s debt obligation.</w:t>
      </w:r>
    </w:p>
    <w:p>
      <w:pPr>
        <w:spacing w:after="0" w:line="202" w:lineRule="exact"/>
        <w:rPr>
          <w:sz w:val="20"/>
          <w:szCs w:val="20"/>
          <w:color w:val="auto"/>
        </w:rPr>
      </w:pPr>
    </w:p>
    <w:p>
      <w:pPr>
        <w:ind w:left="332" w:right="220" w:hanging="332"/>
        <w:spacing w:after="0" w:line="218" w:lineRule="auto"/>
        <w:tabs>
          <w:tab w:leader="none" w:pos="33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88" w:lineRule="exact"/>
        <w:rPr>
          <w:rFonts w:ascii="Arial" w:cs="Arial" w:eastAsia="Arial" w:hAnsi="Arial"/>
          <w:sz w:val="30"/>
          <w:szCs w:val="30"/>
          <w:color w:val="auto"/>
          <w:vertAlign w:val="superscript"/>
        </w:rPr>
      </w:pPr>
    </w:p>
    <w:p>
      <w:pPr>
        <w:ind w:left="332" w:hanging="332"/>
        <w:spacing w:after="0"/>
        <w:tabs>
          <w:tab w:leader="none" w:pos="33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Non-voting.</w:t>
      </w:r>
    </w:p>
    <w:p>
      <w:pPr>
        <w:spacing w:after="0" w:line="201" w:lineRule="exact"/>
        <w:rPr>
          <w:rFonts w:ascii="Arial" w:cs="Arial" w:eastAsia="Arial" w:hAnsi="Arial"/>
          <w:sz w:val="30"/>
          <w:szCs w:val="30"/>
          <w:color w:val="auto"/>
          <w:vertAlign w:val="superscript"/>
        </w:rPr>
      </w:pPr>
    </w:p>
    <w:p>
      <w:pPr>
        <w:jc w:val="both"/>
        <w:ind w:left="332" w:right="180" w:hanging="332"/>
        <w:spacing w:after="0" w:line="218" w:lineRule="auto"/>
        <w:tabs>
          <w:tab w:leader="none" w:pos="33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88" w:lineRule="exact"/>
        <w:rPr>
          <w:rFonts w:ascii="Arial" w:cs="Arial" w:eastAsia="Arial" w:hAnsi="Arial"/>
          <w:sz w:val="30"/>
          <w:szCs w:val="30"/>
          <w:color w:val="auto"/>
          <w:vertAlign w:val="superscript"/>
        </w:rPr>
      </w:pPr>
    </w:p>
    <w:p>
      <w:pPr>
        <w:ind w:left="332" w:hanging="332"/>
        <w:spacing w:after="0"/>
        <w:tabs>
          <w:tab w:leader="none" w:pos="33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Notice of redemption has been received for this transaction.</w:t>
      </w:r>
    </w:p>
    <w:p>
      <w:pPr>
        <w:spacing w:after="0" w:line="163" w:lineRule="exact"/>
        <w:rPr>
          <w:rFonts w:ascii="Arial" w:cs="Arial" w:eastAsia="Arial" w:hAnsi="Arial"/>
          <w:sz w:val="30"/>
          <w:szCs w:val="30"/>
          <w:color w:val="auto"/>
          <w:vertAlign w:val="superscript"/>
        </w:rPr>
      </w:pPr>
    </w:p>
    <w:p>
      <w:pPr>
        <w:ind w:left="332" w:hanging="332"/>
        <w:spacing w:after="0" w:line="186" w:lineRule="auto"/>
        <w:tabs>
          <w:tab w:leader="none" w:pos="33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Loan or security was on partial non-accrual status, whereby we have recognized income on a portion of contractual PIK amounts due.</w:t>
      </w:r>
    </w:p>
    <w:p>
      <w:pPr>
        <w:spacing w:after="0" w:line="200" w:lineRule="exact"/>
        <w:rPr>
          <w:sz w:val="20"/>
          <w:szCs w:val="20"/>
          <w:color w:val="auto"/>
        </w:rPr>
      </w:pP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420"/>
          </w:cols>
          <w:pgMar w:left="240" w:top="904" w:right="239" w:bottom="0" w:gutter="0" w:footer="0" w:header="0"/>
        </w:sectPr>
      </w:pPr>
    </w:p>
    <w:p>
      <w:pPr>
        <w:spacing w:after="0" w:line="225" w:lineRule="exact"/>
        <w:rPr>
          <w:sz w:val="20"/>
          <w:szCs w:val="20"/>
          <w:color w:val="auto"/>
        </w:rPr>
      </w:pPr>
    </w:p>
    <w:p>
      <w:pPr>
        <w:ind w:right="1140"/>
        <w:spacing w:after="0" w:line="322" w:lineRule="auto"/>
        <w:rPr>
          <w:sz w:val="20"/>
          <w:szCs w:val="20"/>
          <w:color w:val="auto"/>
        </w:rPr>
      </w:pPr>
      <w:r>
        <w:rPr>
          <w:rFonts w:ascii="Arial" w:cs="Arial" w:eastAsia="Arial" w:hAnsi="Arial"/>
          <w:sz w:val="16"/>
          <w:szCs w:val="16"/>
          <w:b w:val="1"/>
          <w:bCs w:val="1"/>
          <w:color w:val="auto"/>
        </w:rPr>
        <w:t>Portfolio Company/Principal Business</w:t>
      </w:r>
    </w:p>
    <w:p>
      <w:pPr>
        <w:spacing w:after="0" w:line="187" w:lineRule="auto"/>
        <w:rPr>
          <w:sz w:val="20"/>
          <w:szCs w:val="20"/>
          <w:color w:val="auto"/>
        </w:rPr>
      </w:pPr>
      <w:r>
        <w:rPr>
          <w:rFonts w:ascii="Arial" w:cs="Arial" w:eastAsia="Arial" w:hAnsi="Arial"/>
          <w:sz w:val="18"/>
          <w:szCs w:val="18"/>
          <w:color w:val="auto"/>
        </w:rPr>
        <w:t xml:space="preserve">1A Smart Start LLC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4L Technologies Inc. (fka Clover Holdings,</w:t>
      </w:r>
    </w:p>
    <w:p>
      <w:pPr>
        <w:ind w:left="140"/>
        <w:spacing w:after="0" w:line="184" w:lineRule="auto"/>
        <w:rPr>
          <w:sz w:val="20"/>
          <w:szCs w:val="20"/>
          <w:color w:val="auto"/>
        </w:rPr>
      </w:pPr>
      <w:r>
        <w:rPr>
          <w:rFonts w:ascii="Arial" w:cs="Arial" w:eastAsia="Arial" w:hAnsi="Arial"/>
          <w:sz w:val="33"/>
          <w:szCs w:val="33"/>
          <w:color w:val="auto"/>
          <w:vertAlign w:val="subscript"/>
        </w:rPr>
        <w:t>Inc.)</w:t>
      </w:r>
      <w:r>
        <w:rPr>
          <w:rFonts w:ascii="Arial" w:cs="Arial" w:eastAsia="Arial" w:hAnsi="Arial"/>
          <w:sz w:val="14"/>
          <w:szCs w:val="14"/>
          <w:color w:val="auto"/>
        </w:rPr>
        <w:t xml:space="preserve"> (8) ,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Advanced Lighting Technologies, Inc, </w:t>
      </w:r>
      <w:r>
        <w:rPr>
          <w:rFonts w:ascii="Arial" w:cs="Arial" w:eastAsia="Arial" w:hAnsi="Arial"/>
          <w:sz w:val="26"/>
          <w:szCs w:val="26"/>
          <w:color w:val="auto"/>
          <w:vertAlign w:val="superscript"/>
        </w:rPr>
        <w:t>(8) , (9) ,</w:t>
      </w:r>
    </w:p>
    <w:p>
      <w:pPr>
        <w:ind w:left="140"/>
        <w:spacing w:after="0"/>
        <w:rPr>
          <w:sz w:val="20"/>
          <w:szCs w:val="20"/>
          <w:color w:val="auto"/>
        </w:rPr>
      </w:pPr>
      <w:r>
        <w:rPr>
          <w:rFonts w:ascii="Arial" w:cs="Arial" w:eastAsia="Arial" w:hAnsi="Arial"/>
          <w:sz w:val="15"/>
          <w:szCs w:val="15"/>
          <w:color w:val="auto"/>
        </w:rPr>
        <w:t>(14)</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Consumer goods: Durable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Advantage Sales &amp; Marketing Inc.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213" w:lineRule="exact"/>
        <w:rPr>
          <w:sz w:val="20"/>
          <w:szCs w:val="20"/>
          <w:color w:val="auto"/>
        </w:rPr>
      </w:pPr>
    </w:p>
    <w:p>
      <w:pPr>
        <w:ind w:left="140" w:right="360" w:hanging="129"/>
        <w:spacing w:after="0" w:line="210" w:lineRule="auto"/>
        <w:rPr>
          <w:sz w:val="20"/>
          <w:szCs w:val="20"/>
          <w:color w:val="auto"/>
        </w:rPr>
      </w:pPr>
      <w:r>
        <w:rPr>
          <w:rFonts w:ascii="Arial" w:cs="Arial" w:eastAsia="Arial" w:hAnsi="Arial"/>
          <w:sz w:val="18"/>
          <w:szCs w:val="18"/>
          <w:color w:val="auto"/>
        </w:rPr>
        <w:t xml:space="preserve">Alere Inc. (fka IM US Holdings, LLC) </w:t>
      </w:r>
      <w:r>
        <w:rPr>
          <w:rFonts w:ascii="Arial" w:cs="Arial" w:eastAsia="Arial" w:hAnsi="Arial"/>
          <w:sz w:val="30"/>
          <w:szCs w:val="30"/>
          <w:color w:val="auto"/>
          <w:vertAlign w:val="superscript"/>
        </w:rPr>
        <w:t>(9)</w:t>
      </w:r>
      <w:r>
        <w:rPr>
          <w:rFonts w:ascii="Arial" w:cs="Arial" w:eastAsia="Arial" w:hAnsi="Arial"/>
          <w:sz w:val="18"/>
          <w:szCs w:val="18"/>
          <w:color w:val="auto"/>
        </w:rPr>
        <w:t xml:space="preserve"> </w:t>
      </w:r>
      <w:r>
        <w:rPr>
          <w:rFonts w:ascii="Arial" w:cs="Arial" w:eastAsia="Arial" w:hAnsi="Arial"/>
          <w:sz w:val="18"/>
          <w:szCs w:val="18"/>
          <w:i w:val="1"/>
          <w:iCs w:val="1"/>
          <w:color w:val="auto"/>
        </w:rPr>
        <w:t>Healthcare &amp; Pharmaceuticals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American Seafoods Group LLC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Anaren, Inc.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Aerospace and Defense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Apco Holdings, Inc.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API Technologies Corp.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High Tech Industries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Aristotle Corporation, The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 Term Loan</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5.8%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2,970,000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2,946,408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2,919,807</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5.5%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5/20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2,720,465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2,705,259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2,606,194</w:t>
            </w:r>
          </w:p>
        </w:tc>
        <w:tc>
          <w:tcPr>
            <w:tcW w:w="0" w:type="dxa"/>
            <w:vAlign w:val="bottom"/>
          </w:tcPr>
          <w:p>
            <w:pPr>
              <w:spacing w:after="0"/>
              <w:rPr>
                <w:sz w:val="1"/>
                <w:szCs w:val="1"/>
                <w:color w:val="auto"/>
              </w:rPr>
            </w:pPr>
          </w:p>
        </w:tc>
      </w:tr>
      <w:tr>
        <w:trPr>
          <w:trHeight w:val="661"/>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Bond — 12.500% – 6/2019 —</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00753CAG7 5.3% Cash, 7.3% PIK, Due 6/19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3,060,919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3,060,919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1,089,338</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7.5% Cash, 1.0% Libor Floor, Due 7/22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1,001,753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995,300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B Term Loan 4.3%</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6/22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3,030,277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3,024,429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3,034,489</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6.0% Cash, 1.0% Libor Floor, Due 8/21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3,853,704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3,838,792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3,874,899</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5.5% Cash, 1.0% Libor Floor, Due 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1,871,912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1,860,822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1,864,237</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 Due 1/22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3,867,838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3,769,454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3,900,714</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 Due 4/22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3,482,500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3,420,642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3,480,759</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5.5%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6/21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3,665,860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3,652,075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3,604,274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-4064000</wp:posOffset>
            </wp:positionV>
            <wp:extent cx="7246620" cy="43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-3489960</wp:posOffset>
            </wp:positionV>
            <wp:extent cx="7246620" cy="428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-2923540</wp:posOffset>
            </wp:positionV>
            <wp:extent cx="7246620"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-2486025</wp:posOffset>
            </wp:positionV>
            <wp:extent cx="7246620"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-2049145</wp:posOffset>
            </wp:positionV>
            <wp:extent cx="724662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-1611630</wp:posOffset>
            </wp:positionV>
            <wp:extent cx="724662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-1174115</wp:posOffset>
            </wp:positionV>
            <wp:extent cx="7246620"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-736600</wp:posOffset>
            </wp:positionV>
            <wp:extent cx="724662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-4621530</wp:posOffset>
            </wp:positionV>
            <wp:extent cx="7246620" cy="420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3380" w:space="180"/>
            <w:col w:w="786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6"/>
              </w:rPr>
              <w:t xml:space="preserve">Asurion, LLC (fka Asurion Corporation) </w:t>
            </w:r>
            <w:r>
              <w:rPr>
                <w:rFonts w:ascii="Arial" w:cs="Arial" w:eastAsia="Arial" w:hAnsi="Arial"/>
                <w:sz w:val="30"/>
                <w:szCs w:val="30"/>
                <w:color w:val="auto"/>
                <w:w w:val="96"/>
                <w:vertAlign w:val="superscript"/>
              </w:rPr>
              <w:t>(8) ,</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Secured Loan — Incremental Tranche</w:t>
            </w:r>
          </w:p>
        </w:tc>
        <w:tc>
          <w:tcPr>
            <w:tcW w:w="1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(9)</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B-4 Term Loan 5.0% Cash, 1.0% Libor Floor,</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w w:val="94"/>
              </w:rPr>
              <w:t>Banking, Finance, Insurance &amp; Real Estate</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8/22</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876,911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873,399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889,736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400" w:type="dxa"/>
            <w:vAlign w:val="bottom"/>
            <w:shd w:val="clear" w:color="auto" w:fill="CCEEFF"/>
          </w:tcPr>
          <w:p>
            <w:pPr>
              <w:spacing w:after="0" w:line="228" w:lineRule="exact"/>
              <w:rPr>
                <w:sz w:val="20"/>
                <w:szCs w:val="20"/>
                <w:color w:val="auto"/>
              </w:rPr>
            </w:pPr>
            <w:r>
              <w:rPr>
                <w:rFonts w:ascii="Arial" w:cs="Arial" w:eastAsia="Arial" w:hAnsi="Arial"/>
                <w:sz w:val="16"/>
                <w:szCs w:val="16"/>
                <w:color w:val="auto"/>
              </w:rPr>
              <w:t xml:space="preserve">Asurion, LLC (fka Asurion Corporation) </w:t>
            </w:r>
            <w:r>
              <w:rPr>
                <w:rFonts w:ascii="Arial" w:cs="Arial" w:eastAsia="Arial" w:hAnsi="Arial"/>
                <w:sz w:val="26"/>
                <w:szCs w:val="26"/>
                <w:color w:val="auto"/>
                <w:vertAlign w:val="superscript"/>
              </w:rPr>
              <w:t>(8) ,</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Secured Loan — Replacement B-2</w:t>
            </w:r>
          </w:p>
        </w:tc>
        <w:tc>
          <w:tcPr>
            <w:tcW w:w="1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(9)</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Term Loan 4.0% Cash, 0.8% Libor Floor, Due</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w w:val="94"/>
              </w:rPr>
              <w:t>Banking, Finance, Insurance &amp; Real Estate</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187,812</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188,275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Avalign Technologies, Inc. </w:t>
            </w:r>
            <w:r>
              <w:rPr>
                <w:rFonts w:ascii="Arial" w:cs="Arial" w:eastAsia="Arial" w:hAnsi="Arial"/>
                <w:sz w:val="23"/>
                <w:szCs w:val="23"/>
                <w:color w:val="auto"/>
                <w:vertAlign w:val="superscript"/>
              </w:rPr>
              <w:t>(8)</w:t>
            </w:r>
          </w:p>
        </w:tc>
        <w:tc>
          <w:tcPr>
            <w:tcW w:w="38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Junior Secured Loan — Initial Term Loan</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Lien) 9.5% Cash, 1.0% Libor Floor,</w:t>
            </w:r>
          </w:p>
        </w:tc>
        <w:tc>
          <w:tcPr>
            <w:tcW w:w="14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1,000,000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992,078</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985,000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7/22</w:t>
            </w:r>
          </w:p>
        </w:tc>
        <w:tc>
          <w:tcPr>
            <w:tcW w:w="14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Avalign Technologies, Inc. </w:t>
            </w:r>
            <w:r>
              <w:rPr>
                <w:rFonts w:ascii="Arial" w:cs="Arial" w:eastAsia="Arial" w:hAnsi="Arial"/>
                <w:sz w:val="23"/>
                <w:szCs w:val="23"/>
                <w:color w:val="auto"/>
                <w:vertAlign w:val="superscript"/>
              </w:rPr>
              <w:t>(8) , (9)</w:t>
            </w:r>
          </w:p>
        </w:tc>
        <w:tc>
          <w:tcPr>
            <w:tcW w:w="38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Lien) 5.5% Cash, 1.0% Libor Floor, Due</w:t>
            </w:r>
          </w:p>
        </w:tc>
        <w:tc>
          <w:tcPr>
            <w:tcW w:w="14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2,925,000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2,913,921</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2,915,640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7/21</w:t>
            </w:r>
          </w:p>
        </w:tc>
        <w:tc>
          <w:tcPr>
            <w:tcW w:w="14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904" w:right="239" w:bottom="0" w:gutter="0" w:footer="0" w:header="0"/>
          <w:type w:val="continuous"/>
        </w:sectPr>
      </w:pPr>
    </w:p>
    <w:p>
      <w:pPr>
        <w:spacing w:after="0"/>
        <w:rPr>
          <w:sz w:val="20"/>
          <w:szCs w:val="20"/>
          <w:color w:val="auto"/>
        </w:rPr>
      </w:pPr>
      <w:r>
        <w:rPr>
          <w:rFonts w:ascii="Arial" w:cs="Arial" w:eastAsia="Arial" w:hAnsi="Arial"/>
          <w:sz w:val="16"/>
          <w:szCs w:val="16"/>
          <w:color w:val="auto"/>
        </w:rPr>
        <w:t xml:space="preserve">Bankruptcy Management Solutions, Inc. </w:t>
      </w:r>
      <w:r>
        <w:rPr>
          <w:rFonts w:ascii="Arial" w:cs="Arial" w:eastAsia="Arial" w:hAnsi="Arial"/>
          <w:sz w:val="26"/>
          <w:szCs w:val="26"/>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BarBri, Inc. (Gemini Holdings, Inc.) </w:t>
      </w:r>
      <w:r>
        <w:rPr>
          <w:rFonts w:ascii="Arial" w:cs="Arial" w:eastAsia="Arial" w:hAnsi="Arial"/>
          <w:sz w:val="26"/>
          <w:szCs w:val="26"/>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Services: Consumer</w:t>
      </w:r>
    </w:p>
    <w:p>
      <w:pPr>
        <w:spacing w:after="0" w:line="213" w:lineRule="exact"/>
        <w:rPr>
          <w:sz w:val="20"/>
          <w:szCs w:val="20"/>
          <w:color w:val="auto"/>
        </w:rPr>
      </w:pPr>
    </w:p>
    <w:p>
      <w:pPr>
        <w:ind w:left="140" w:right="140" w:hanging="132"/>
        <w:spacing w:after="0" w:line="210" w:lineRule="auto"/>
        <w:tabs>
          <w:tab w:leader="none" w:pos="4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Industries US Holdings, Inc. </w:t>
      </w:r>
      <w:r>
        <w:rPr>
          <w:rFonts w:ascii="Arial" w:cs="Arial" w:eastAsia="Arial" w:hAnsi="Arial"/>
          <w:sz w:val="30"/>
          <w:szCs w:val="30"/>
          <w:color w:val="auto"/>
          <w:vertAlign w:val="superscript"/>
        </w:rPr>
        <w:t>(8) , (9)</w:t>
      </w:r>
      <w:r>
        <w:rPr>
          <w:rFonts w:ascii="Arial" w:cs="Arial" w:eastAsia="Arial" w:hAnsi="Arial"/>
          <w:sz w:val="18"/>
          <w:szCs w:val="18"/>
          <w:color w:val="auto"/>
        </w:rPr>
        <w:t xml:space="preserve"> </w:t>
      </w:r>
      <w:r>
        <w:rPr>
          <w:rFonts w:ascii="Arial" w:cs="Arial" w:eastAsia="Arial" w:hAnsi="Arial"/>
          <w:sz w:val="18"/>
          <w:szCs w:val="18"/>
          <w:i w:val="1"/>
          <w:iCs w:val="1"/>
          <w:color w:val="auto"/>
        </w:rPr>
        <w:t>Automotive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Bestop, Inc.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Automotive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B Loan 7.0%</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1.0% Libor Floor, Due 6/18</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665,654</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665,654</w:t>
            </w:r>
          </w:p>
        </w:tc>
        <w:tc>
          <w:tcPr>
            <w:tcW w:w="1100" w:type="dxa"/>
            <w:vAlign w:val="bottom"/>
          </w:tcPr>
          <w:p>
            <w:pPr>
              <w:jc w:val="right"/>
              <w:spacing w:after="0"/>
              <w:rPr>
                <w:sz w:val="20"/>
                <w:szCs w:val="20"/>
                <w:color w:val="auto"/>
              </w:rPr>
            </w:pPr>
            <w:r>
              <w:rPr>
                <w:rFonts w:ascii="Arial" w:cs="Arial" w:eastAsia="Arial" w:hAnsi="Arial"/>
                <w:sz w:val="18"/>
                <w:szCs w:val="18"/>
                <w:color w:val="auto"/>
              </w:rPr>
              <w:t>655,935</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Loan 4.5%</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1.0% Libor Floor, Due 7/19</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2,619,636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2,614,056</w:t>
            </w:r>
          </w:p>
        </w:tc>
        <w:tc>
          <w:tcPr>
            <w:tcW w:w="1100" w:type="dxa"/>
            <w:vAlign w:val="bottom"/>
          </w:tcPr>
          <w:p>
            <w:pPr>
              <w:jc w:val="right"/>
              <w:spacing w:after="0"/>
              <w:rPr>
                <w:sz w:val="20"/>
                <w:szCs w:val="20"/>
                <w:color w:val="auto"/>
              </w:rPr>
            </w:pPr>
            <w:r>
              <w:rPr>
                <w:rFonts w:ascii="Arial" w:cs="Arial" w:eastAsia="Arial" w:hAnsi="Arial"/>
                <w:sz w:val="18"/>
                <w:szCs w:val="18"/>
                <w:color w:val="auto"/>
              </w:rPr>
              <w:t>2,578,508</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(First Lien) 6.0%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11/21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2,947,500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2,906,715</w:t>
            </w:r>
          </w:p>
        </w:tc>
        <w:tc>
          <w:tcPr>
            <w:tcW w:w="1100" w:type="dxa"/>
            <w:vAlign w:val="bottom"/>
          </w:tcPr>
          <w:p>
            <w:pPr>
              <w:jc w:val="right"/>
              <w:spacing w:after="0"/>
              <w:rPr>
                <w:sz w:val="20"/>
                <w:szCs w:val="20"/>
                <w:color w:val="auto"/>
              </w:rPr>
            </w:pPr>
            <w:r>
              <w:rPr>
                <w:rFonts w:ascii="Arial" w:cs="Arial" w:eastAsia="Arial" w:hAnsi="Arial"/>
                <w:sz w:val="18"/>
                <w:szCs w:val="18"/>
                <w:color w:val="auto"/>
              </w:rPr>
              <w:t>2,800,125</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Senior Secured Loan — Delayed Draw Term</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Loan 6.3% Cash, 1.0% Libor Floor, Due 7/21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34,660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32,776</w:t>
            </w:r>
          </w:p>
        </w:tc>
        <w:tc>
          <w:tcPr>
            <w:tcW w:w="1100" w:type="dxa"/>
            <w:vAlign w:val="bottom"/>
          </w:tcPr>
          <w:p>
            <w:pPr>
              <w:jc w:val="right"/>
              <w:spacing w:after="0"/>
              <w:rPr>
                <w:sz w:val="20"/>
                <w:szCs w:val="20"/>
                <w:color w:val="auto"/>
              </w:rPr>
            </w:pPr>
            <w:r>
              <w:rPr>
                <w:rFonts w:ascii="Arial" w:cs="Arial" w:eastAsia="Arial" w:hAnsi="Arial"/>
                <w:sz w:val="18"/>
                <w:szCs w:val="18"/>
                <w:color w:val="auto"/>
              </w:rPr>
              <w:t>34,466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-1723390</wp:posOffset>
            </wp:positionV>
            <wp:extent cx="7246620"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-1285875</wp:posOffset>
            </wp:positionV>
            <wp:extent cx="7246620" cy="300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-848360</wp:posOffset>
            </wp:positionV>
            <wp:extent cx="7246620"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ectPr>
          <w:pgSz w:w="11900" w:h="16838" w:orient="portrait"/>
          <w:cols w:equalWidth="0" w:num="2">
            <w:col w:w="3140" w:space="420"/>
            <w:col w:w="7860"/>
          </w:cols>
          <w:pgMar w:left="240" w:top="904" w:right="239" w:bottom="0" w:gutter="0" w:footer="0" w:header="0"/>
          <w:type w:val="continuous"/>
        </w:sectPr>
      </w:pPr>
    </w:p>
    <w:bookmarkStart w:id="20" w:name="page21"/>
    <w:bookmarkEnd w:id="20"/>
    <w:p>
      <w:pPr>
        <w:spacing w:after="0"/>
        <w:rPr>
          <w:sz w:val="20"/>
          <w:szCs w:val="20"/>
          <w:color w:val="auto"/>
        </w:rPr>
      </w:pPr>
      <w:r>
        <w:rPr>
          <w:rFonts w:ascii="Arial" w:cs="Arial" w:eastAsia="Arial" w:hAnsi="Arial"/>
          <w:sz w:val="15"/>
          <w:szCs w:val="15"/>
          <w:color w:val="auto"/>
        </w:rPr>
        <w:t xml:space="preserve">Bestop, Inc. </w:t>
      </w:r>
      <w:r>
        <w:rPr>
          <w:rFonts w:ascii="Arial" w:cs="Arial" w:eastAsia="Arial" w:hAnsi="Arial"/>
          <w:sz w:val="24"/>
          <w:szCs w:val="24"/>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Automotive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Senior Secured Loan — First Amendment</w:t>
            </w: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Term Loan 6.3% Cash, 1.0% Libor Floor, Due</w:t>
            </w: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7/21</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500,000</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495,290</w:t>
            </w:r>
          </w:p>
        </w:tc>
        <w:tc>
          <w:tcPr>
            <w:tcW w:w="1020" w:type="dxa"/>
            <w:vAlign w:val="bottom"/>
          </w:tcPr>
          <w:p>
            <w:pPr>
              <w:jc w:val="right"/>
              <w:spacing w:after="0"/>
              <w:rPr>
                <w:sz w:val="20"/>
                <w:szCs w:val="20"/>
                <w:color w:val="auto"/>
              </w:rPr>
            </w:pPr>
            <w:r>
              <w:rPr>
                <w:rFonts w:ascii="Arial" w:cs="Arial" w:eastAsia="Arial" w:hAnsi="Arial"/>
                <w:sz w:val="18"/>
                <w:szCs w:val="18"/>
                <w:color w:val="auto"/>
              </w:rPr>
              <w:t>497,200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840" w:space="720"/>
            <w:col w:w="7760"/>
          </w:cols>
          <w:pgMar w:left="240" w:top="338" w:right="339" w:bottom="1440" w:gutter="0" w:footer="0" w:header="0"/>
        </w:sectPr>
      </w:pPr>
    </w:p>
    <w:bookmarkStart w:id="21" w:name="page22"/>
    <w:bookmarkEnd w:id="21"/>
    <w:p>
      <w:pPr>
        <w:spacing w:after="0" w:line="41" w:lineRule="exact"/>
        <w:rPr>
          <w:sz w:val="20"/>
          <w:szCs w:val="20"/>
          <w:color w:val="auto"/>
        </w:rPr>
      </w:pPr>
    </w:p>
    <w:p>
      <w:pPr>
        <w:ind w:right="1000"/>
        <w:spacing w:after="0" w:line="295" w:lineRule="auto"/>
        <w:rPr>
          <w:sz w:val="20"/>
          <w:szCs w:val="20"/>
          <w:color w:val="auto"/>
        </w:rPr>
      </w:pPr>
      <w:r>
        <w:rPr>
          <w:rFonts w:ascii="Arial" w:cs="Arial" w:eastAsia="Arial" w:hAnsi="Arial"/>
          <w:sz w:val="16"/>
          <w:szCs w:val="16"/>
          <w:b w:val="1"/>
          <w:bCs w:val="1"/>
          <w:color w:val="auto"/>
        </w:rPr>
        <w:t>Portfolio Company/Principal Business</w:t>
      </w:r>
    </w:p>
    <w:p>
      <w:pPr>
        <w:spacing w:after="0" w:line="187" w:lineRule="auto"/>
        <w:rPr>
          <w:sz w:val="20"/>
          <w:szCs w:val="20"/>
          <w:color w:val="auto"/>
        </w:rPr>
      </w:pPr>
      <w:r>
        <w:rPr>
          <w:rFonts w:ascii="Arial" w:cs="Arial" w:eastAsia="Arial" w:hAnsi="Arial"/>
          <w:sz w:val="18"/>
          <w:szCs w:val="18"/>
          <w:color w:val="auto"/>
        </w:rPr>
        <w:t xml:space="preserve">Bestop, Inc. </w:t>
      </w:r>
      <w:r>
        <w:rPr>
          <w:rFonts w:ascii="Arial" w:cs="Arial" w:eastAsia="Arial" w:hAnsi="Arial"/>
          <w:sz w:val="30"/>
          <w:szCs w:val="30"/>
          <w:color w:val="auto"/>
          <w:vertAlign w:val="superscript"/>
        </w:rPr>
        <w:t>(8) ,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Automotive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Carolina Beverage Group LLC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CCS Intermediate Holdings, LLC </w:t>
      </w:r>
      <w:r>
        <w:rPr>
          <w:rFonts w:ascii="Arial" w:cs="Arial" w:eastAsia="Arial" w:hAnsi="Arial"/>
          <w:sz w:val="28"/>
          <w:szCs w:val="28"/>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Cengage Learning, Inc.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396" w:lineRule="exact"/>
        <w:rPr>
          <w:sz w:val="20"/>
          <w:szCs w:val="20"/>
          <w:color w:val="auto"/>
        </w:rPr>
      </w:pPr>
    </w:p>
    <w:p>
      <w:pPr>
        <w:ind w:left="140" w:right="480" w:hanging="129"/>
        <w:spacing w:after="0" w:line="212" w:lineRule="auto"/>
        <w:rPr>
          <w:sz w:val="20"/>
          <w:szCs w:val="20"/>
          <w:color w:val="auto"/>
        </w:rPr>
      </w:pPr>
      <w:r>
        <w:rPr>
          <w:rFonts w:ascii="Arial" w:cs="Arial" w:eastAsia="Arial" w:hAnsi="Arial"/>
          <w:sz w:val="18"/>
          <w:szCs w:val="18"/>
          <w:color w:val="auto"/>
        </w:rPr>
        <w:t xml:space="preserve">Checkout Holding Corp. (fka Catalina Marketing) </w:t>
      </w:r>
      <w:r>
        <w:rPr>
          <w:rFonts w:ascii="Arial" w:cs="Arial" w:eastAsia="Arial" w:hAnsi="Arial"/>
          <w:sz w:val="30"/>
          <w:szCs w:val="30"/>
          <w:color w:val="auto"/>
          <w:vertAlign w:val="superscript"/>
        </w:rPr>
        <w:t>(8) ,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CHS/Community Health Systems, Inc. </w:t>
      </w:r>
      <w:r>
        <w:rPr>
          <w:rFonts w:ascii="Arial" w:cs="Arial" w:eastAsia="Arial" w:hAnsi="Arial"/>
          <w:sz w:val="28"/>
          <w:szCs w:val="28"/>
          <w:color w:val="auto"/>
          <w:vertAlign w:val="superscript"/>
        </w:rPr>
        <w:t>(9)</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Communications, Inc. </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i w:val="1"/>
          <w:iCs w:val="1"/>
          <w:color w:val="auto"/>
        </w:rPr>
        <w:t>Telecommunications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CRGT Inc.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High Tech Industries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CSM Bakery Solutions Limited (fka CSM</w:t>
      </w:r>
    </w:p>
    <w:p>
      <w:pPr>
        <w:ind w:left="140"/>
        <w:spacing w:after="0" w:line="195" w:lineRule="auto"/>
        <w:rPr>
          <w:sz w:val="20"/>
          <w:szCs w:val="20"/>
          <w:color w:val="auto"/>
        </w:rPr>
      </w:pPr>
      <w:r>
        <w:rPr>
          <w:rFonts w:ascii="Arial" w:cs="Arial" w:eastAsia="Arial" w:hAnsi="Arial"/>
          <w:sz w:val="18"/>
          <w:szCs w:val="18"/>
          <w:color w:val="auto"/>
        </w:rPr>
        <w:t xml:space="preserve">Bakery Supplies Limited) </w:t>
      </w:r>
      <w:r>
        <w:rPr>
          <w:rFonts w:ascii="Arial" w:cs="Arial" w:eastAsia="Arial" w:hAnsi="Arial"/>
          <w:sz w:val="30"/>
          <w:szCs w:val="30"/>
          <w:color w:val="auto"/>
          <w:vertAlign w:val="superscript"/>
        </w:rPr>
        <w:t>(8)</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6.3%</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7/21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1,520,000</w:t>
            </w: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1,498,330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1,452,512</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w w:val="95"/>
              </w:rPr>
              <w:t>Senior Secured Bond — 10.625% – 08/2018 –</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143818AA0 144A 10.6% Cash, Due 8/18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1,506,461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1,487,400</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5.0%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2,932,500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2,922,875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2,470,338</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2016 Refinancing</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Term Loan 5.3%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3,793,913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3,788,981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3,702,043</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4.5% Cash, 1.0% Libor Floor, Due 4/21</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975,000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972,021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853,125</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Incremental 2021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H Loan 4.0%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1/21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2,878,621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2,853,070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2,796,465</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4.0% Cash, 1.0% Libor Floor, Due 10/23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2,067,444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2,062,450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2,067,444</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7.5%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12/20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3,224,017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3,190,360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3,224,339</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8.8% Cash, 1.0% Libor Floor, Due 7/21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3,011,328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-3970020</wp:posOffset>
            </wp:positionV>
            <wp:extent cx="7246620"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-3532505</wp:posOffset>
            </wp:positionV>
            <wp:extent cx="7246620"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-2983865</wp:posOffset>
            </wp:positionV>
            <wp:extent cx="7246620"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-2434590</wp:posOffset>
            </wp:positionV>
            <wp:extent cx="7246620" cy="437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-1860550</wp:posOffset>
            </wp:positionV>
            <wp:extent cx="724662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-1311275</wp:posOffset>
            </wp:positionV>
            <wp:extent cx="724662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-874395</wp:posOffset>
            </wp:positionV>
            <wp:extent cx="7246620"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-436880</wp:posOffset>
            </wp:positionV>
            <wp:extent cx="7246620" cy="43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-4415790</wp:posOffset>
            </wp:positionV>
            <wp:extent cx="724662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320"/>
            <w:col w:w="7860"/>
          </w:cols>
          <w:pgMar w:left="240" w:top="904" w:right="239" w:bottom="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6"/>
              </w:rPr>
              <w:t>CT Technologies Intermediate Holdings, Inc.</w:t>
            </w:r>
          </w:p>
        </w:tc>
        <w:tc>
          <w:tcPr>
            <w:tcW w:w="3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line="240" w:lineRule="exact"/>
              <w:rPr>
                <w:sz w:val="20"/>
                <w:szCs w:val="20"/>
                <w:color w:val="auto"/>
              </w:rPr>
            </w:pPr>
            <w:r>
              <w:rPr>
                <w:rFonts w:ascii="Arial" w:cs="Arial" w:eastAsia="Arial" w:hAnsi="Arial"/>
                <w:sz w:val="17"/>
                <w:szCs w:val="17"/>
                <w:color w:val="auto"/>
                <w:w w:val="97"/>
              </w:rPr>
              <w:t xml:space="preserve">(Smart Holdings Corp.) (aka HealthPort) </w:t>
            </w:r>
            <w:r>
              <w:rPr>
                <w:rFonts w:ascii="Arial" w:cs="Arial" w:eastAsia="Arial" w:hAnsi="Arial"/>
                <w:sz w:val="27"/>
                <w:szCs w:val="27"/>
                <w:color w:val="auto"/>
                <w:w w:val="97"/>
                <w:vertAlign w:val="superscript"/>
              </w:rPr>
              <w:t>(8) ,</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New Term Loan</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Facility 5.3% Cash, 1.0% Libor Floor, Due</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2,940,225</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2,917,719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2,818,941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Drew Marine Group Inc. </w:t>
            </w:r>
            <w:r>
              <w:rPr>
                <w:rFonts w:ascii="Arial" w:cs="Arial" w:eastAsia="Arial" w:hAnsi="Arial"/>
                <w:sz w:val="28"/>
                <w:szCs w:val="28"/>
                <w:color w:val="auto"/>
                <w:vertAlign w:val="superscript"/>
              </w:rPr>
              <w:t>(8)</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Junior Secured Loan — Term Loan (Second</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Transportation: Cargo</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 8.0% Cash, 1.0% Libor Floor, Due 5/21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2,496,331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8"/>
              </w:rPr>
              <w:t>Eastern Power, LLC (Eastern Covert Midco,</w:t>
            </w:r>
          </w:p>
        </w:tc>
        <w:tc>
          <w:tcPr>
            <w:tcW w:w="38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6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LLC) (aka TPF II LC, LLC) </w:t>
            </w:r>
            <w:r>
              <w:rPr>
                <w:rFonts w:ascii="Arial" w:cs="Arial" w:eastAsia="Arial" w:hAnsi="Arial"/>
                <w:sz w:val="29"/>
                <w:szCs w:val="29"/>
                <w:color w:val="auto"/>
                <w:vertAlign w:val="superscript"/>
              </w:rPr>
              <w:t>(8) ,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 5.0%</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Utilities: Electric</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1.0% Libor Floor, Due 10/21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2,796,756</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2,814,422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2,826,122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Electric Lightwave Holdings, Inc. (f.k.a.</w:t>
            </w:r>
          </w:p>
        </w:tc>
        <w:tc>
          <w:tcPr>
            <w:tcW w:w="38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6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Integra Telecom Holdings, Inc.) </w:t>
            </w:r>
            <w:r>
              <w:rPr>
                <w:rFonts w:ascii="Arial" w:cs="Arial" w:eastAsia="Arial" w:hAnsi="Arial"/>
                <w:sz w:val="29"/>
                <w:szCs w:val="29"/>
                <w:color w:val="auto"/>
                <w:vertAlign w:val="superscript"/>
              </w:rPr>
              <w:t>(8) ,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B-1 Loan 5.3%</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Telecommunications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1.0% Libor Floor, Due 8/20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2,932,538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2,924,968</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2,945,734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ELO Touch Solutions, Inc. </w:t>
            </w:r>
            <w:r>
              <w:rPr>
                <w:rFonts w:ascii="Arial" w:cs="Arial" w:eastAsia="Arial" w:hAnsi="Arial"/>
                <w:sz w:val="28"/>
                <w:szCs w:val="28"/>
                <w:color w:val="auto"/>
                <w:vertAlign w:val="superscript"/>
              </w:rPr>
              <w:t>(8) ,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 (First</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High Tech Industries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 8.5% Cash, 1.5% Libor Floor, Due 6/18</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1,420,897</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1,397,046</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1,380,544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Empower Payments Acquisition, Inc </w:t>
            </w:r>
            <w:r>
              <w:rPr>
                <w:rFonts w:ascii="Arial" w:cs="Arial" w:eastAsia="Arial" w:hAnsi="Arial"/>
                <w:sz w:val="28"/>
                <w:szCs w:val="28"/>
                <w:color w:val="auto"/>
                <w:vertAlign w:val="superscript"/>
              </w:rPr>
              <w:t>(8) ,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 6.5%</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1.0% Libor Floor, Due 11/23</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3,000,000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2,940,565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EWT Holdings III Corp. (fka WTG Holdings</w:t>
            </w:r>
          </w:p>
        </w:tc>
        <w:tc>
          <w:tcPr>
            <w:tcW w:w="38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6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III Corp.) </w:t>
            </w:r>
            <w:r>
              <w:rPr>
                <w:rFonts w:ascii="Arial" w:cs="Arial" w:eastAsia="Arial" w:hAnsi="Arial"/>
                <w:sz w:val="29"/>
                <w:szCs w:val="29"/>
                <w:color w:val="auto"/>
                <w:vertAlign w:val="superscript"/>
              </w:rPr>
              <w:t>(8) ,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 (First</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Ecological</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 4.8% Cash, 1.0% Libor Floor, Due 1/21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1,745,501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1,741,292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1,760,783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 xml:space="preserve">Fender Musical Instruments Corporation </w:t>
            </w:r>
            <w:r>
              <w:rPr>
                <w:rFonts w:ascii="Arial" w:cs="Arial" w:eastAsia="Arial" w:hAnsi="Arial"/>
                <w:sz w:val="28"/>
                <w:szCs w:val="28"/>
                <w:color w:val="auto"/>
                <w:vertAlign w:val="superscript"/>
              </w:rPr>
              <w:t>(8) ,</w:t>
            </w:r>
          </w:p>
        </w:tc>
        <w:tc>
          <w:tcPr>
            <w:tcW w:w="38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Senior Secured Loan — Initial Loan 5.8%</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(9)</w:t>
            </w:r>
          </w:p>
        </w:tc>
        <w:tc>
          <w:tcPr>
            <w:tcW w:w="3820" w:type="dxa"/>
            <w:vAlign w:val="bottom"/>
            <w:vMerge w:val="continue"/>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Durable</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1.3% Libor Floor, Due 4/19</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1,339,534</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1,345,751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1,322,254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FHC Health Systems, Inc. </w:t>
            </w:r>
            <w:r>
              <w:rPr>
                <w:rFonts w:ascii="Arial" w:cs="Arial" w:eastAsia="Arial" w:hAnsi="Arial"/>
                <w:sz w:val="28"/>
                <w:szCs w:val="28"/>
                <w:color w:val="auto"/>
                <w:vertAlign w:val="superscript"/>
              </w:rPr>
              <w:t>(8) ,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5.0% Cash, 1.0% Libor Floor, Due 12/21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3,838,768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3,811,221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3,742,799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First American Payment Systems, L.P. </w:t>
            </w:r>
            <w:r>
              <w:rPr>
                <w:rFonts w:ascii="Arial" w:cs="Arial" w:eastAsia="Arial" w:hAnsi="Arial"/>
                <w:sz w:val="28"/>
                <w:szCs w:val="28"/>
                <w:color w:val="auto"/>
                <w:vertAlign w:val="superscript"/>
              </w:rPr>
              <w:t>(8)</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Junior Secured Loan — Term Loan (Second</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w w:val="96"/>
              </w:rPr>
              <w:t>Banking, Finance, Insurance &amp; Real Estate</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 10.8% Cash, 1.3% Libor Floor, Due 4/19</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1,796,448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1,783,840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1,742,555</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type w:val="continuous"/>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Getty Images, Inc. </w:t>
            </w:r>
            <w:r>
              <w:rPr>
                <w:rFonts w:ascii="Arial" w:cs="Arial" w:eastAsia="Arial" w:hAnsi="Arial"/>
                <w:sz w:val="30"/>
                <w:szCs w:val="30"/>
                <w:color w:val="auto"/>
                <w:vertAlign w:val="superscript"/>
              </w:rPr>
              <w:t>(8) , (9)</w:t>
            </w: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Secured Loan — Initial Term Loan</w:t>
            </w:r>
          </w:p>
        </w:tc>
        <w:tc>
          <w:tcPr>
            <w:tcW w:w="16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w w:val="99"/>
              </w:rPr>
              <w:t>Media: Advertising, Printing &amp; Publishing</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4.8% Cash,</w:t>
            </w:r>
          </w:p>
        </w:tc>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 Libor Floor, Due 10/19</w:t>
            </w:r>
          </w:p>
        </w:tc>
        <w:tc>
          <w:tcPr>
            <w:tcW w:w="1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2,140,569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2,147,692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1,874,775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374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GI Advo Opco, LLC </w:t>
            </w:r>
            <w:r>
              <w:rPr>
                <w:rFonts w:ascii="Arial" w:cs="Arial" w:eastAsia="Arial" w:hAnsi="Arial"/>
                <w:sz w:val="28"/>
                <w:szCs w:val="28"/>
                <w:color w:val="auto"/>
                <w:vertAlign w:val="superscript"/>
              </w:rPr>
              <w:t>(8)</w:t>
            </w: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Secured Loan — Term Loan 5.5%</w:t>
            </w:r>
          </w:p>
        </w:tc>
        <w:tc>
          <w:tcPr>
            <w:tcW w:w="16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Cash, 1.0%</w:t>
            </w:r>
          </w:p>
        </w:tc>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 Floor, Due 11/21</w:t>
            </w:r>
          </w:p>
        </w:tc>
        <w:tc>
          <w:tcPr>
            <w:tcW w:w="1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247,500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245,474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223,913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3" w:right="239" w:bottom="1440" w:gutter="0" w:footer="0" w:header="0"/>
        </w:sectPr>
      </w:pPr>
    </w:p>
    <w:bookmarkStart w:id="23" w:name="page24"/>
    <w:bookmarkEnd w:id="2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Company/Principal</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Business</w:t>
            </w:r>
          </w:p>
        </w:tc>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 xml:space="preserve">GI Advo Opco, LLC </w:t>
            </w:r>
            <w:r>
              <w:rPr>
                <w:rFonts w:ascii="Arial" w:cs="Arial" w:eastAsia="Arial" w:hAnsi="Arial"/>
                <w:sz w:val="27"/>
                <w:szCs w:val="27"/>
                <w:color w:val="auto"/>
                <w:vertAlign w:val="superscript"/>
              </w:rPr>
              <w:t>(8) , (9)</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Loan — Term Loan 5.5%</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11/21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2,722,500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2,700,224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GK Holdings, Inc. (aka Global Knowledge) </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(Second Lien) 10.5% Cash, 1.0% Libor Floor,</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1,478,209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1,465,650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6" w:lineRule="exact"/>
              <w:rPr>
                <w:sz w:val="20"/>
                <w:szCs w:val="20"/>
                <w:color w:val="auto"/>
              </w:rPr>
            </w:pPr>
            <w:r>
              <w:rPr>
                <w:rFonts w:ascii="Arial" w:cs="Arial" w:eastAsia="Arial" w:hAnsi="Arial"/>
                <w:sz w:val="17"/>
                <w:szCs w:val="17"/>
                <w:color w:val="auto"/>
              </w:rPr>
              <w:t xml:space="preserve">GK Holdings, Inc. (aka Global Knowledge) </w:t>
            </w:r>
            <w:r>
              <w:rPr>
                <w:rFonts w:ascii="Arial" w:cs="Arial" w:eastAsia="Arial" w:hAnsi="Arial"/>
                <w:sz w:val="28"/>
                <w:szCs w:val="28"/>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 (9)</w:t>
            </w:r>
          </w:p>
        </w:tc>
        <w:tc>
          <w:tcPr>
            <w:tcW w:w="1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 6.5% Cash, 1.0% Libor Floor, Due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2,433,329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2,446,080</w:t>
            </w: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900" w:orient="portrait"/>
          <w:cols w:equalWidth="0" w:num="1">
            <w:col w:w="11420"/>
          </w:cols>
          <w:pgMar w:left="240" w:top="904" w:right="239" w:bottom="0" w:gutter="0" w:footer="0" w:header="0"/>
        </w:sectPr>
      </w:pPr>
    </w:p>
    <w:p>
      <w:pPr>
        <w:spacing w:after="0"/>
        <w:rPr>
          <w:sz w:val="20"/>
          <w:szCs w:val="20"/>
          <w:color w:val="auto"/>
        </w:rPr>
      </w:pPr>
      <w:r>
        <w:rPr>
          <w:rFonts w:ascii="Arial" w:cs="Arial" w:eastAsia="Arial" w:hAnsi="Arial"/>
          <w:sz w:val="18"/>
          <w:szCs w:val="18"/>
          <w:color w:val="auto"/>
        </w:rPr>
        <w:t xml:space="preserve">Global Tel*Link Corporation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Telecommunications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Gold Standard Baking, Inc.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Grande Communications Networks LLC </w:t>
      </w:r>
      <w:r>
        <w:rPr>
          <w:rFonts w:ascii="Arial" w:cs="Arial" w:eastAsia="Arial" w:hAnsi="Arial"/>
          <w:sz w:val="26"/>
          <w:szCs w:val="26"/>
          <w:color w:val="auto"/>
          <w:vertAlign w:val="superscript"/>
        </w:rPr>
        <w:t>(8) ,</w:t>
      </w:r>
    </w:p>
    <w:p>
      <w:pPr>
        <w:ind w:left="140"/>
        <w:spacing w:after="0"/>
        <w:rPr>
          <w:sz w:val="20"/>
          <w:szCs w:val="20"/>
          <w:color w:val="auto"/>
        </w:rPr>
      </w:pPr>
      <w:r>
        <w:rPr>
          <w:rFonts w:ascii="Arial" w:cs="Arial" w:eastAsia="Arial" w:hAnsi="Arial"/>
          <w:sz w:val="15"/>
          <w:szCs w:val="15"/>
          <w:color w:val="auto"/>
        </w:rPr>
        <w:t>(9)</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Telecommunications</w:t>
      </w:r>
    </w:p>
    <w:p>
      <w:pPr>
        <w:spacing w:after="0" w:line="229" w:lineRule="exact"/>
        <w:rPr>
          <w:sz w:val="20"/>
          <w:szCs w:val="20"/>
          <w:color w:val="auto"/>
        </w:rPr>
      </w:pPr>
    </w:p>
    <w:p>
      <w:pPr>
        <w:jc w:val="right"/>
        <w:ind w:right="840"/>
        <w:spacing w:after="0"/>
        <w:rPr>
          <w:sz w:val="20"/>
          <w:szCs w:val="20"/>
          <w:color w:val="auto"/>
        </w:rPr>
      </w:pPr>
      <w:r>
        <w:rPr>
          <w:rFonts w:ascii="Arial" w:cs="Arial" w:eastAsia="Arial" w:hAnsi="Arial"/>
          <w:sz w:val="16"/>
          <w:szCs w:val="16"/>
          <w:color w:val="auto"/>
        </w:rPr>
        <w:t xml:space="preserve">Grupo HIMA San Pablo, Inc. </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w:t>
      </w:r>
      <w:r>
        <w:rPr>
          <w:rFonts w:ascii="Arial" w:cs="Arial" w:eastAsia="Arial" w:hAnsi="Arial"/>
          <w:sz w:val="16"/>
          <w:szCs w:val="16"/>
          <w:i w:val="1"/>
          <w:iCs w:val="1"/>
          <w:color w:val="auto"/>
        </w:rPr>
        <w:t>Healthcare &amp; Pharmaceuticals</w:t>
      </w:r>
    </w:p>
    <w:p>
      <w:pPr>
        <w:spacing w:after="0" w:line="206" w:lineRule="exact"/>
        <w:rPr>
          <w:sz w:val="20"/>
          <w:szCs w:val="20"/>
          <w:color w:val="auto"/>
        </w:rPr>
      </w:pPr>
    </w:p>
    <w:p>
      <w:pPr>
        <w:jc w:val="right"/>
        <w:ind w:right="840"/>
        <w:spacing w:after="0"/>
        <w:rPr>
          <w:sz w:val="20"/>
          <w:szCs w:val="20"/>
          <w:color w:val="auto"/>
        </w:rPr>
      </w:pPr>
      <w:r>
        <w:rPr>
          <w:rFonts w:ascii="Arial" w:cs="Arial" w:eastAsia="Arial" w:hAnsi="Arial"/>
          <w:sz w:val="16"/>
          <w:szCs w:val="16"/>
          <w:color w:val="auto"/>
        </w:rPr>
        <w:t xml:space="preserve">Grupo HIMA San Pablo, Inc. </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w:t>
      </w:r>
      <w:r>
        <w:rPr>
          <w:rFonts w:ascii="Arial" w:cs="Arial" w:eastAsia="Arial" w:hAnsi="Arial"/>
          <w:sz w:val="16"/>
          <w:szCs w:val="16"/>
          <w:i w:val="1"/>
          <w:iCs w:val="1"/>
          <w:color w:val="auto"/>
        </w:rPr>
        <w:t>Healthcare &amp; Pharmaceuticals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Gymboree Corporation., The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Retail</w:t>
      </w:r>
    </w:p>
    <w:p>
      <w:pPr>
        <w:spacing w:after="0" w:line="209" w:lineRule="exact"/>
        <w:rPr>
          <w:sz w:val="20"/>
          <w:szCs w:val="20"/>
          <w:color w:val="auto"/>
        </w:rPr>
      </w:pPr>
    </w:p>
    <w:p>
      <w:pPr>
        <w:ind w:left="140" w:right="40" w:hanging="129"/>
        <w:spacing w:after="0" w:line="212" w:lineRule="auto"/>
        <w:rPr>
          <w:sz w:val="20"/>
          <w:szCs w:val="20"/>
          <w:color w:val="auto"/>
        </w:rPr>
      </w:pPr>
      <w:r>
        <w:rPr>
          <w:rFonts w:ascii="Arial" w:cs="Arial" w:eastAsia="Arial" w:hAnsi="Arial"/>
          <w:sz w:val="18"/>
          <w:szCs w:val="18"/>
          <w:color w:val="auto"/>
        </w:rPr>
        <w:t xml:space="preserve">Hargray Communications Group, Inc. (HCP Acquisition LLC) </w:t>
      </w:r>
      <w:r>
        <w:rPr>
          <w:rFonts w:ascii="Arial" w:cs="Arial" w:eastAsia="Arial" w:hAnsi="Arial"/>
          <w:sz w:val="30"/>
          <w:szCs w:val="30"/>
          <w:color w:val="auto"/>
          <w:vertAlign w:val="superscript"/>
        </w:rPr>
        <w:t>(8) ,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Harland Clarke Holdings Corp.</w:t>
      </w:r>
    </w:p>
    <w:p>
      <w:pPr>
        <w:ind w:left="140"/>
        <w:spacing w:after="0" w:line="195" w:lineRule="auto"/>
        <w:rPr>
          <w:sz w:val="20"/>
          <w:szCs w:val="20"/>
          <w:color w:val="auto"/>
        </w:rPr>
      </w:pPr>
      <w:r>
        <w:rPr>
          <w:rFonts w:ascii="Arial" w:cs="Arial" w:eastAsia="Arial" w:hAnsi="Arial"/>
          <w:sz w:val="18"/>
          <w:szCs w:val="18"/>
          <w:color w:val="auto"/>
        </w:rPr>
        <w:t xml:space="preserve">(fka Clarke American Corp.) </w:t>
      </w:r>
      <w:r>
        <w:rPr>
          <w:rFonts w:ascii="Arial" w:cs="Arial" w:eastAsia="Arial" w:hAnsi="Arial"/>
          <w:sz w:val="30"/>
          <w:szCs w:val="30"/>
          <w:color w:val="auto"/>
          <w:vertAlign w:val="superscript"/>
        </w:rPr>
        <w:t>(8) ,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Harland Clarke Holdings Corp.</w:t>
      </w:r>
    </w:p>
    <w:p>
      <w:pPr>
        <w:ind w:left="140"/>
        <w:spacing w:after="0" w:line="195" w:lineRule="auto"/>
        <w:rPr>
          <w:sz w:val="20"/>
          <w:szCs w:val="20"/>
          <w:color w:val="auto"/>
        </w:rPr>
      </w:pPr>
      <w:r>
        <w:rPr>
          <w:rFonts w:ascii="Arial" w:cs="Arial" w:eastAsia="Arial" w:hAnsi="Arial"/>
          <w:sz w:val="18"/>
          <w:szCs w:val="18"/>
          <w:color w:val="auto"/>
        </w:rPr>
        <w:t xml:space="preserve">(fka Clarke American Corp.) </w:t>
      </w:r>
      <w:r>
        <w:rPr>
          <w:rFonts w:ascii="Arial" w:cs="Arial" w:eastAsia="Arial" w:hAnsi="Arial"/>
          <w:sz w:val="30"/>
          <w:szCs w:val="30"/>
          <w:color w:val="auto"/>
          <w:vertAlign w:val="superscript"/>
        </w:rPr>
        <w:t>(8) ,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Harland Clarke Holdings Corp.</w:t>
      </w:r>
    </w:p>
    <w:p>
      <w:pPr>
        <w:ind w:left="140"/>
        <w:spacing w:after="0" w:line="195" w:lineRule="auto"/>
        <w:rPr>
          <w:sz w:val="20"/>
          <w:szCs w:val="20"/>
          <w:color w:val="auto"/>
        </w:rPr>
      </w:pPr>
      <w:r>
        <w:rPr>
          <w:rFonts w:ascii="Arial" w:cs="Arial" w:eastAsia="Arial" w:hAnsi="Arial"/>
          <w:sz w:val="18"/>
          <w:szCs w:val="18"/>
          <w:color w:val="auto"/>
        </w:rPr>
        <w:t xml:space="preserve">(fka Clarke American Corp.) </w:t>
      </w:r>
      <w:r>
        <w:rPr>
          <w:rFonts w:ascii="Arial" w:cs="Arial" w:eastAsia="Arial" w:hAnsi="Arial"/>
          <w:sz w:val="30"/>
          <w:szCs w:val="30"/>
          <w:color w:val="auto"/>
          <w:vertAlign w:val="superscript"/>
        </w:rPr>
        <w:t>(8) ,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Highland Acquisition Holdings, LLC (aka</w:t>
      </w:r>
    </w:p>
    <w:p>
      <w:pPr>
        <w:ind w:left="140"/>
        <w:spacing w:after="0" w:line="195" w:lineRule="auto"/>
        <w:rPr>
          <w:sz w:val="20"/>
          <w:szCs w:val="20"/>
          <w:color w:val="auto"/>
        </w:rPr>
      </w:pPr>
      <w:r>
        <w:rPr>
          <w:rFonts w:ascii="Arial" w:cs="Arial" w:eastAsia="Arial" w:hAnsi="Arial"/>
          <w:sz w:val="18"/>
          <w:szCs w:val="18"/>
          <w:color w:val="auto"/>
        </w:rPr>
        <w:t xml:space="preserve">HealthSun Health Plans, Inc.) </w:t>
      </w:r>
      <w:r>
        <w:rPr>
          <w:rFonts w:ascii="Arial" w:cs="Arial" w:eastAsia="Arial" w:hAnsi="Arial"/>
          <w:sz w:val="30"/>
          <w:szCs w:val="30"/>
          <w:color w:val="auto"/>
          <w:vertAlign w:val="superscript"/>
        </w:rPr>
        <w:t>(8) ,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Junior Secured Loan — Term Loan (Second</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Lien) 9.0% Cash, 1.3% Libor Floor, Due 11/20</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4,000,000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3,957,505</w:t>
            </w:r>
          </w:p>
        </w:tc>
        <w:tc>
          <w:tcPr>
            <w:tcW w:w="1100" w:type="dxa"/>
            <w:vAlign w:val="bottom"/>
          </w:tcPr>
          <w:p>
            <w:pPr>
              <w:jc w:val="right"/>
              <w:spacing w:after="0"/>
              <w:rPr>
                <w:sz w:val="20"/>
                <w:szCs w:val="20"/>
                <w:color w:val="auto"/>
              </w:rPr>
            </w:pPr>
            <w:r>
              <w:rPr>
                <w:rFonts w:ascii="Arial" w:cs="Arial" w:eastAsia="Arial" w:hAnsi="Arial"/>
                <w:sz w:val="18"/>
                <w:szCs w:val="18"/>
                <w:color w:val="auto"/>
              </w:rPr>
              <w:t>3,894,500</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Loan 5.3%</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1.0% Libor Floor, Due 4/21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2,462,500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2,453,554</w:t>
            </w:r>
          </w:p>
        </w:tc>
        <w:tc>
          <w:tcPr>
            <w:tcW w:w="1100" w:type="dxa"/>
            <w:vAlign w:val="bottom"/>
          </w:tcPr>
          <w:p>
            <w:pPr>
              <w:jc w:val="right"/>
              <w:spacing w:after="0"/>
              <w:rPr>
                <w:sz w:val="20"/>
                <w:szCs w:val="20"/>
                <w:color w:val="auto"/>
              </w:rPr>
            </w:pPr>
            <w:r>
              <w:rPr>
                <w:rFonts w:ascii="Arial" w:cs="Arial" w:eastAsia="Arial" w:hAnsi="Arial"/>
                <w:sz w:val="18"/>
                <w:szCs w:val="18"/>
                <w:color w:val="auto"/>
              </w:rPr>
              <w:t>2,461,269</w:t>
            </w:r>
          </w:p>
        </w:tc>
      </w:tr>
      <w:tr>
        <w:trPr>
          <w:trHeight w:val="661"/>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4.5% Cash, 1.0% Libor Floor, Due 5/20</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3,860,145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3,864,877</w:t>
            </w:r>
          </w:p>
        </w:tc>
        <w:tc>
          <w:tcPr>
            <w:tcW w:w="1100" w:type="dxa"/>
            <w:vAlign w:val="bottom"/>
          </w:tcPr>
          <w:p>
            <w:pPr>
              <w:jc w:val="right"/>
              <w:spacing w:after="0"/>
              <w:rPr>
                <w:sz w:val="20"/>
                <w:szCs w:val="20"/>
                <w:color w:val="auto"/>
              </w:rPr>
            </w:pPr>
            <w:r>
              <w:rPr>
                <w:rFonts w:ascii="Arial" w:cs="Arial" w:eastAsia="Arial" w:hAnsi="Arial"/>
                <w:sz w:val="18"/>
                <w:szCs w:val="18"/>
                <w:color w:val="auto"/>
              </w:rPr>
              <w:t>3,860,145</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B Loan (First</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Lien) 8.5% Cash, 1.5% Libor Floor, Due 1/18</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2,887,500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2,875,001</w:t>
            </w:r>
          </w:p>
        </w:tc>
        <w:tc>
          <w:tcPr>
            <w:tcW w:w="1100" w:type="dxa"/>
            <w:vAlign w:val="bottom"/>
          </w:tcPr>
          <w:p>
            <w:pPr>
              <w:jc w:val="right"/>
              <w:spacing w:after="0"/>
              <w:rPr>
                <w:sz w:val="20"/>
                <w:szCs w:val="20"/>
                <w:color w:val="auto"/>
              </w:rPr>
            </w:pPr>
            <w:r>
              <w:rPr>
                <w:rFonts w:ascii="Arial" w:cs="Arial" w:eastAsia="Arial" w:hAnsi="Arial"/>
                <w:sz w:val="18"/>
                <w:szCs w:val="18"/>
                <w:color w:val="auto"/>
              </w:rPr>
              <w:t>2,743,125</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Junior Secured Loan — Term Loan (Second</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Lien) 13.8% Cash, Due 7/18</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7,000,000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6,953,618</w:t>
            </w:r>
          </w:p>
        </w:tc>
        <w:tc>
          <w:tcPr>
            <w:tcW w:w="1100" w:type="dxa"/>
            <w:vAlign w:val="bottom"/>
          </w:tcPr>
          <w:p>
            <w:pPr>
              <w:jc w:val="right"/>
              <w:spacing w:after="0"/>
              <w:rPr>
                <w:sz w:val="20"/>
                <w:szCs w:val="20"/>
                <w:color w:val="auto"/>
              </w:rPr>
            </w:pPr>
            <w:r>
              <w:rPr>
                <w:rFonts w:ascii="Arial" w:cs="Arial" w:eastAsia="Arial" w:hAnsi="Arial"/>
                <w:sz w:val="18"/>
                <w:szCs w:val="18"/>
                <w:color w:val="auto"/>
              </w:rPr>
              <w:t>6,370,000</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Loan 5.0%</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1.5% Libor Floor, Due 2/18</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1,421,105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1,415,457</w:t>
            </w:r>
          </w:p>
        </w:tc>
        <w:tc>
          <w:tcPr>
            <w:tcW w:w="1100" w:type="dxa"/>
            <w:vAlign w:val="bottom"/>
          </w:tcPr>
          <w:p>
            <w:pPr>
              <w:jc w:val="right"/>
              <w:spacing w:after="0"/>
              <w:rPr>
                <w:sz w:val="20"/>
                <w:szCs w:val="20"/>
                <w:color w:val="auto"/>
              </w:rPr>
            </w:pPr>
            <w:r>
              <w:rPr>
                <w:rFonts w:ascii="Arial" w:cs="Arial" w:eastAsia="Arial" w:hAnsi="Arial"/>
                <w:sz w:val="18"/>
                <w:szCs w:val="18"/>
                <w:color w:val="auto"/>
              </w:rPr>
              <w:t>759,581</w:t>
            </w:r>
          </w:p>
        </w:tc>
      </w:tr>
      <w:tr>
        <w:trPr>
          <w:trHeight w:val="674"/>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B-1 Loan 4.8%</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1.0% Libor Floor, Due 6/19</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2,887,075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2,860,733</w:t>
            </w:r>
          </w:p>
        </w:tc>
        <w:tc>
          <w:tcPr>
            <w:tcW w:w="1100" w:type="dxa"/>
            <w:vAlign w:val="bottom"/>
          </w:tcPr>
          <w:p>
            <w:pPr>
              <w:jc w:val="right"/>
              <w:spacing w:after="0"/>
              <w:rPr>
                <w:sz w:val="20"/>
                <w:szCs w:val="20"/>
                <w:color w:val="auto"/>
              </w:rPr>
            </w:pPr>
            <w:r>
              <w:rPr>
                <w:rFonts w:ascii="Arial" w:cs="Arial" w:eastAsia="Arial" w:hAnsi="Arial"/>
                <w:sz w:val="18"/>
                <w:szCs w:val="18"/>
                <w:color w:val="auto"/>
              </w:rPr>
              <w:t>2,926,166</w:t>
            </w:r>
          </w:p>
        </w:tc>
      </w:tr>
      <w:tr>
        <w:trPr>
          <w:trHeight w:val="674"/>
        </w:trPr>
        <w:tc>
          <w:tcPr>
            <w:tcW w:w="3740" w:type="dxa"/>
            <w:vAlign w:val="bottom"/>
          </w:tcPr>
          <w:p>
            <w:pPr>
              <w:spacing w:after="0"/>
              <w:rPr>
                <w:sz w:val="20"/>
                <w:szCs w:val="20"/>
                <w:color w:val="auto"/>
              </w:rPr>
            </w:pPr>
            <w:r>
              <w:rPr>
                <w:rFonts w:ascii="Arial" w:cs="Arial" w:eastAsia="Arial" w:hAnsi="Arial"/>
                <w:sz w:val="18"/>
                <w:szCs w:val="18"/>
                <w:color w:val="auto"/>
              </w:rPr>
              <w:t>Senior Secured Loan — Tranche B-3 Term</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Loan 7.0% Cash, 1.5% Libor Floor, Due 5/18</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1,697,272</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1,690,708</w:t>
            </w:r>
          </w:p>
        </w:tc>
        <w:tc>
          <w:tcPr>
            <w:tcW w:w="1100" w:type="dxa"/>
            <w:vAlign w:val="bottom"/>
          </w:tcPr>
          <w:p>
            <w:pPr>
              <w:jc w:val="right"/>
              <w:spacing w:after="0"/>
              <w:rPr>
                <w:sz w:val="20"/>
                <w:szCs w:val="20"/>
                <w:color w:val="auto"/>
              </w:rPr>
            </w:pPr>
            <w:r>
              <w:rPr>
                <w:rFonts w:ascii="Arial" w:cs="Arial" w:eastAsia="Arial" w:hAnsi="Arial"/>
                <w:sz w:val="18"/>
                <w:szCs w:val="18"/>
                <w:color w:val="auto"/>
              </w:rPr>
              <w:t>1,703,637</w:t>
            </w:r>
          </w:p>
        </w:tc>
      </w:tr>
      <w:tr>
        <w:trPr>
          <w:trHeight w:val="674"/>
        </w:trPr>
        <w:tc>
          <w:tcPr>
            <w:tcW w:w="3740" w:type="dxa"/>
            <w:vAlign w:val="bottom"/>
          </w:tcPr>
          <w:p>
            <w:pPr>
              <w:spacing w:after="0"/>
              <w:rPr>
                <w:sz w:val="20"/>
                <w:szCs w:val="20"/>
                <w:color w:val="auto"/>
              </w:rPr>
            </w:pPr>
            <w:r>
              <w:rPr>
                <w:rFonts w:ascii="Arial" w:cs="Arial" w:eastAsia="Arial" w:hAnsi="Arial"/>
                <w:sz w:val="18"/>
                <w:szCs w:val="18"/>
                <w:color w:val="auto"/>
              </w:rPr>
              <w:t>Senior Secured Loan — Tranche B-4 Term</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Loan 7.0% Cash, 1.0% Libor Floor, Due 8/19</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1,387,500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1,384,229</w:t>
            </w:r>
          </w:p>
        </w:tc>
        <w:tc>
          <w:tcPr>
            <w:tcW w:w="1100" w:type="dxa"/>
            <w:vAlign w:val="bottom"/>
          </w:tcPr>
          <w:p>
            <w:pPr>
              <w:jc w:val="right"/>
              <w:spacing w:after="0"/>
              <w:rPr>
                <w:sz w:val="20"/>
                <w:szCs w:val="20"/>
                <w:color w:val="auto"/>
              </w:rPr>
            </w:pPr>
            <w:r>
              <w:rPr>
                <w:rFonts w:ascii="Arial" w:cs="Arial" w:eastAsia="Arial" w:hAnsi="Arial"/>
                <w:sz w:val="18"/>
                <w:szCs w:val="18"/>
                <w:color w:val="auto"/>
              </w:rPr>
              <w:t>1,391,545</w:t>
            </w:r>
          </w:p>
        </w:tc>
      </w:tr>
      <w:tr>
        <w:trPr>
          <w:trHeight w:val="674"/>
        </w:trPr>
        <w:tc>
          <w:tcPr>
            <w:tcW w:w="3740" w:type="dxa"/>
            <w:vAlign w:val="bottom"/>
          </w:tcPr>
          <w:p>
            <w:pPr>
              <w:spacing w:after="0"/>
              <w:rPr>
                <w:sz w:val="20"/>
                <w:szCs w:val="20"/>
                <w:color w:val="auto"/>
              </w:rPr>
            </w:pPr>
            <w:r>
              <w:rPr>
                <w:rFonts w:ascii="Arial" w:cs="Arial" w:eastAsia="Arial" w:hAnsi="Arial"/>
                <w:sz w:val="18"/>
                <w:szCs w:val="18"/>
                <w:color w:val="auto"/>
              </w:rPr>
              <w:t>Senior Secured Loan — Tranche B-5 Term</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Loan 7.0% Cash, 1.0% Libor Floor, Due 12/19</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1,385,417</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1,369,287</w:t>
            </w:r>
          </w:p>
        </w:tc>
        <w:tc>
          <w:tcPr>
            <w:tcW w:w="1100" w:type="dxa"/>
            <w:vAlign w:val="bottom"/>
          </w:tcPr>
          <w:p>
            <w:pPr>
              <w:jc w:val="right"/>
              <w:spacing w:after="0"/>
              <w:rPr>
                <w:sz w:val="20"/>
                <w:szCs w:val="20"/>
                <w:color w:val="auto"/>
              </w:rPr>
            </w:pPr>
            <w:r>
              <w:rPr>
                <w:rFonts w:ascii="Arial" w:cs="Arial" w:eastAsia="Arial" w:hAnsi="Arial"/>
                <w:sz w:val="18"/>
                <w:szCs w:val="18"/>
                <w:color w:val="auto"/>
              </w:rPr>
              <w:t>1,395,980</w:t>
            </w:r>
          </w:p>
        </w:tc>
      </w:tr>
      <w:tr>
        <w:trPr>
          <w:trHeight w:val="674"/>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Loan B 6.5%</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1.0% Libor Floor, Due 11/22</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1,903,216</w:t>
            </w:r>
          </w:p>
        </w:tc>
        <w:tc>
          <w:tcPr>
            <w:tcW w:w="1100" w:type="dxa"/>
            <w:vAlign w:val="bottom"/>
          </w:tcPr>
          <w:p>
            <w:pPr>
              <w:jc w:val="right"/>
              <w:spacing w:after="0"/>
              <w:rPr>
                <w:sz w:val="20"/>
                <w:szCs w:val="20"/>
                <w:color w:val="auto"/>
              </w:rPr>
            </w:pPr>
            <w:r>
              <w:rPr>
                <w:rFonts w:ascii="Arial" w:cs="Arial" w:eastAsia="Arial" w:hAnsi="Arial"/>
                <w:sz w:val="18"/>
                <w:szCs w:val="18"/>
                <w:color w:val="auto"/>
              </w:rPr>
              <w:t>1,910,000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-5487670</wp:posOffset>
            </wp:positionV>
            <wp:extent cx="7246620"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-5050790</wp:posOffset>
            </wp:positionV>
            <wp:extent cx="7246620"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-4613275</wp:posOffset>
            </wp:positionV>
            <wp:extent cx="7246620" cy="428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-4046855</wp:posOffset>
            </wp:positionV>
            <wp:extent cx="7246620" cy="300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-3609975</wp:posOffset>
            </wp:positionV>
            <wp:extent cx="7246620" cy="3003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-3172460</wp:posOffset>
            </wp:positionV>
            <wp:extent cx="7246620"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-2734945</wp:posOffset>
            </wp:positionV>
            <wp:extent cx="7246620" cy="437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-2160270</wp:posOffset>
            </wp:positionV>
            <wp:extent cx="7246620" cy="437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-1585595</wp:posOffset>
            </wp:positionV>
            <wp:extent cx="7246620" cy="437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-1011555</wp:posOffset>
            </wp:positionV>
            <wp:extent cx="7246620" cy="437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-436880</wp:posOffset>
            </wp:positionV>
            <wp:extent cx="7246620" cy="437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74" w:lineRule="exact"/>
        <w:rPr>
          <w:sz w:val="20"/>
          <w:szCs w:val="20"/>
          <w:color w:val="auto"/>
        </w:rPr>
      </w:pPr>
    </w:p>
    <w:p>
      <w:pPr>
        <w:sectPr>
          <w:pgSz w:w="11900" w:h="16900" w:orient="portrait"/>
          <w:cols w:equalWidth="0" w:num="2">
            <w:col w:w="3240" w:space="320"/>
            <w:col w:w="786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Hoffmaster Group, Inc. </w:t>
            </w:r>
            <w:r>
              <w:rPr>
                <w:rFonts w:ascii="Arial" w:cs="Arial" w:eastAsia="Arial" w:hAnsi="Arial"/>
                <w:sz w:val="30"/>
                <w:szCs w:val="30"/>
                <w:color w:val="auto"/>
                <w:vertAlign w:val="superscript"/>
              </w:rPr>
              <w:t>(8)</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Junior Secured Loan — Initial Term Loan</w:t>
            </w:r>
          </w:p>
        </w:tc>
        <w:tc>
          <w:tcPr>
            <w:tcW w:w="1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Forest Products &amp; Paper</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(Second Lien) 10.5% Cash, 1.0% Libor Floor,</w:t>
            </w:r>
          </w:p>
        </w:tc>
        <w:tc>
          <w:tcPr>
            <w:tcW w:w="14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1,600,000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1,552,544</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1,524,640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Due 11/24</w:t>
            </w:r>
          </w:p>
        </w:tc>
        <w:tc>
          <w:tcPr>
            <w:tcW w:w="14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Hoffmaster Group, Inc. </w:t>
            </w:r>
            <w:r>
              <w:rPr>
                <w:rFonts w:ascii="Arial" w:cs="Arial" w:eastAsia="Arial" w:hAnsi="Arial"/>
                <w:sz w:val="23"/>
                <w:szCs w:val="23"/>
                <w:color w:val="auto"/>
                <w:vertAlign w:val="superscript"/>
              </w:rPr>
              <w:t>(8) , (9)</w:t>
            </w:r>
          </w:p>
        </w:tc>
        <w:tc>
          <w:tcPr>
            <w:tcW w:w="38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Forest Products &amp; Paper</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(First Lien) 5.5% Cash, 1.0% Libor Floor, Due</w:t>
            </w:r>
          </w:p>
        </w:tc>
        <w:tc>
          <w:tcPr>
            <w:tcW w:w="14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2,666,667</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2,640,345</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2,668,267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11/23</w:t>
            </w:r>
          </w:p>
        </w:tc>
        <w:tc>
          <w:tcPr>
            <w:tcW w:w="14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Industrial Services Acquisition, LLC (aka</w:t>
            </w:r>
          </w:p>
        </w:tc>
        <w:tc>
          <w:tcPr>
            <w:tcW w:w="38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6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Evergreen/NAIC) </w:t>
            </w:r>
            <w:r>
              <w:rPr>
                <w:rFonts w:ascii="Arial" w:cs="Arial" w:eastAsia="Arial" w:hAnsi="Arial"/>
                <w:sz w:val="29"/>
                <w:szCs w:val="29"/>
                <w:color w:val="auto"/>
                <w:vertAlign w:val="superscript"/>
              </w:rPr>
              <w:t>(8) ,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 6.0%</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1.0% Libor Floor, Due 6/22</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2,925,000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2,898,235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Kellermeyer Bergensons Services, LLC </w:t>
            </w:r>
            <w:r>
              <w:rPr>
                <w:rFonts w:ascii="Arial" w:cs="Arial" w:eastAsia="Arial" w:hAnsi="Arial"/>
                <w:sz w:val="23"/>
                <w:szCs w:val="23"/>
                <w:color w:val="auto"/>
                <w:vertAlign w:val="superscript"/>
              </w:rPr>
              <w:t>(8) , (9)</w:t>
            </w:r>
          </w:p>
        </w:tc>
        <w:tc>
          <w:tcPr>
            <w:tcW w:w="38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(First Lien) 6.0% Cash, 1.0% Libor Floor, Due</w:t>
            </w:r>
          </w:p>
        </w:tc>
        <w:tc>
          <w:tcPr>
            <w:tcW w:w="14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1,950,120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1,936,641</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1,943,100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10/21</w:t>
            </w:r>
          </w:p>
        </w:tc>
        <w:tc>
          <w:tcPr>
            <w:tcW w:w="14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Key Safety Systems, Inc. </w:t>
            </w:r>
            <w:r>
              <w:rPr>
                <w:rFonts w:ascii="Arial" w:cs="Arial" w:eastAsia="Arial" w:hAnsi="Arial"/>
                <w:sz w:val="23"/>
                <w:szCs w:val="23"/>
                <w:color w:val="auto"/>
                <w:vertAlign w:val="superscript"/>
              </w:rPr>
              <w:t>(8) , (9)</w:t>
            </w:r>
          </w:p>
        </w:tc>
        <w:tc>
          <w:tcPr>
            <w:tcW w:w="38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1,394,077</w:t>
            </w:r>
          </w:p>
        </w:tc>
        <w:tc>
          <w:tcPr>
            <w:tcW w:w="14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1,389,440</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1,411,851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5.5% Cash, 1.0% Libor Floor, Due 8/21</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type w:val="continuous"/>
        </w:sectPr>
      </w:pPr>
    </w:p>
    <w:bookmarkStart w:id="24" w:name="page25"/>
    <w:bookmarkEnd w:id="24"/>
    <w:p>
      <w:pPr>
        <w:ind w:left="140"/>
        <w:spacing w:after="0"/>
        <w:rPr>
          <w:sz w:val="20"/>
          <w:szCs w:val="20"/>
          <w:color w:val="auto"/>
        </w:rPr>
      </w:pPr>
      <w:r>
        <w:rPr>
          <w:rFonts w:ascii="Arial" w:cs="Arial" w:eastAsia="Arial" w:hAnsi="Arial"/>
          <w:sz w:val="18"/>
          <w:szCs w:val="18"/>
          <w:i w:val="1"/>
          <w:iCs w:val="1"/>
          <w:color w:val="auto"/>
        </w:rPr>
        <w:t>Automotive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Landslide Holdings, Inc.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High Tech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MB Aerospace ACP Holdings II Corp. </w:t>
      </w:r>
      <w:r>
        <w:rPr>
          <w:rFonts w:ascii="Arial" w:cs="Arial" w:eastAsia="Arial" w:hAnsi="Arial"/>
          <w:sz w:val="26"/>
          <w:szCs w:val="26"/>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Aerospace and Defense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Senior Secured Loan — Term Loan (First</w:t>
            </w: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Lien) 5.5% Cash, 1.0% Libor Floor, Due 9/22</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1,850,467</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1,846,044</w:t>
            </w:r>
          </w:p>
        </w:tc>
        <w:tc>
          <w:tcPr>
            <w:tcW w:w="1100" w:type="dxa"/>
            <w:vAlign w:val="bottom"/>
          </w:tcPr>
          <w:p>
            <w:pPr>
              <w:jc w:val="right"/>
              <w:spacing w:after="0"/>
              <w:rPr>
                <w:sz w:val="20"/>
                <w:szCs w:val="20"/>
                <w:color w:val="auto"/>
              </w:rPr>
            </w:pPr>
            <w:r>
              <w:rPr>
                <w:rFonts w:ascii="Arial" w:cs="Arial" w:eastAsia="Arial" w:hAnsi="Arial"/>
                <w:sz w:val="18"/>
                <w:szCs w:val="18"/>
                <w:color w:val="auto"/>
              </w:rPr>
              <w:t>1,850,467</w:t>
            </w:r>
          </w:p>
        </w:tc>
      </w:tr>
      <w:tr>
        <w:trPr>
          <w:trHeight w:val="458"/>
        </w:trPr>
        <w:tc>
          <w:tcPr>
            <w:tcW w:w="370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6.5% Cash, 1.0% Libor Floor, Due 12/22</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1,342,500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1,331,454</w:t>
            </w:r>
          </w:p>
        </w:tc>
        <w:tc>
          <w:tcPr>
            <w:tcW w:w="1100" w:type="dxa"/>
            <w:vAlign w:val="bottom"/>
          </w:tcPr>
          <w:p>
            <w:pPr>
              <w:jc w:val="right"/>
              <w:spacing w:after="0"/>
              <w:rPr>
                <w:sz w:val="20"/>
                <w:szCs w:val="20"/>
                <w:color w:val="auto"/>
              </w:rPr>
            </w:pPr>
            <w:r>
              <w:rPr>
                <w:rFonts w:ascii="Arial" w:cs="Arial" w:eastAsia="Arial" w:hAnsi="Arial"/>
                <w:sz w:val="18"/>
                <w:szCs w:val="18"/>
                <w:color w:val="auto"/>
              </w:rPr>
              <w:t>1,342,366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-1011555</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-736600</wp:posOffset>
            </wp:positionV>
            <wp:extent cx="7246620"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320" w:space="240"/>
            <w:col w:w="7760"/>
          </w:cols>
          <w:pgMar w:left="240" w:top="125" w:right="339" w:bottom="1440" w:gutter="0" w:footer="0" w:header="0"/>
        </w:sectPr>
      </w:pPr>
    </w:p>
    <w:bookmarkStart w:id="25" w:name="page26"/>
    <w:bookmarkEnd w:id="25"/>
    <w:p>
      <w:pPr>
        <w:spacing w:after="0" w:line="102" w:lineRule="exact"/>
        <w:rPr>
          <w:sz w:val="20"/>
          <w:szCs w:val="20"/>
          <w:color w:val="auto"/>
        </w:rPr>
      </w:pPr>
    </w:p>
    <w:p>
      <w:pPr>
        <w:ind w:right="780"/>
        <w:spacing w:after="0" w:line="295" w:lineRule="auto"/>
        <w:rPr>
          <w:sz w:val="20"/>
          <w:szCs w:val="20"/>
          <w:color w:val="auto"/>
        </w:rPr>
      </w:pPr>
      <w:r>
        <w:rPr>
          <w:rFonts w:ascii="Arial" w:cs="Arial" w:eastAsia="Arial" w:hAnsi="Arial"/>
          <w:sz w:val="16"/>
          <w:szCs w:val="16"/>
          <w:b w:val="1"/>
          <w:bCs w:val="1"/>
          <w:color w:val="auto"/>
        </w:rPr>
        <w:t>Portfolio Company/Principal Business</w:t>
      </w:r>
    </w:p>
    <w:p>
      <w:pPr>
        <w:spacing w:after="0" w:line="187" w:lineRule="auto"/>
        <w:rPr>
          <w:sz w:val="20"/>
          <w:szCs w:val="20"/>
          <w:color w:val="auto"/>
        </w:rPr>
      </w:pPr>
      <w:r>
        <w:rPr>
          <w:rFonts w:ascii="Arial" w:cs="Arial" w:eastAsia="Arial" w:hAnsi="Arial"/>
          <w:sz w:val="18"/>
          <w:szCs w:val="18"/>
          <w:color w:val="auto"/>
        </w:rPr>
        <w:t xml:space="preserve">Medrisk, Inc. </w:t>
      </w:r>
      <w:r>
        <w:rPr>
          <w:rFonts w:ascii="Arial" w:cs="Arial" w:eastAsia="Arial" w:hAnsi="Arial"/>
          <w:sz w:val="30"/>
          <w:szCs w:val="30"/>
          <w:color w:val="auto"/>
          <w:vertAlign w:val="superscript"/>
        </w:rPr>
        <w:t>(8) ,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213" w:lineRule="exact"/>
        <w:rPr>
          <w:sz w:val="20"/>
          <w:szCs w:val="20"/>
          <w:color w:val="auto"/>
        </w:rPr>
      </w:pPr>
    </w:p>
    <w:p>
      <w:pPr>
        <w:ind w:left="140" w:hanging="129"/>
        <w:spacing w:after="0"/>
        <w:rPr>
          <w:sz w:val="20"/>
          <w:szCs w:val="20"/>
          <w:color w:val="auto"/>
        </w:rPr>
      </w:pPr>
      <w:r>
        <w:rPr>
          <w:rFonts w:ascii="Arial" w:cs="Arial" w:eastAsia="Arial" w:hAnsi="Arial"/>
          <w:sz w:val="16"/>
          <w:szCs w:val="16"/>
          <w:color w:val="auto"/>
        </w:rPr>
        <w:t xml:space="preserve">MGOC, Inc. (fka Media General, Inc.) </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Media: Broadcasting &amp; Subscription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National Home Health Care Corp.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National Home Health Care Corp. </w:t>
      </w:r>
      <w:r>
        <w:rPr>
          <w:rFonts w:ascii="Arial" w:cs="Arial" w:eastAsia="Arial" w:hAnsi="Arial"/>
          <w:sz w:val="26"/>
          <w:szCs w:val="26"/>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Nellson Nutraceutical, LLC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Nellson Nutraceutical, LLC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Nielsen &amp; Bainbridge, LLC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Consumer goods: Durable</w:t>
      </w:r>
    </w:p>
    <w:p>
      <w:pPr>
        <w:spacing w:after="0" w:line="213" w:lineRule="exact"/>
        <w:rPr>
          <w:sz w:val="20"/>
          <w:szCs w:val="20"/>
          <w:color w:val="auto"/>
        </w:rPr>
      </w:pPr>
    </w:p>
    <w:p>
      <w:pPr>
        <w:ind w:left="140" w:right="120" w:hanging="129"/>
        <w:spacing w:after="0" w:line="180" w:lineRule="auto"/>
        <w:rPr>
          <w:sz w:val="20"/>
          <w:szCs w:val="20"/>
          <w:color w:val="auto"/>
        </w:rPr>
      </w:pPr>
      <w:r>
        <w:rPr>
          <w:rFonts w:ascii="Arial" w:cs="Arial" w:eastAsia="Arial" w:hAnsi="Arial"/>
          <w:sz w:val="17"/>
          <w:szCs w:val="17"/>
          <w:color w:val="auto"/>
        </w:rPr>
        <w:t xml:space="preserve">NM Z Parent Inc. (aka Zep, Inc.) </w:t>
      </w:r>
      <w:r>
        <w:rPr>
          <w:rFonts w:ascii="Arial" w:cs="Arial" w:eastAsia="Arial" w:hAnsi="Arial"/>
          <w:sz w:val="28"/>
          <w:szCs w:val="28"/>
          <w:color w:val="auto"/>
          <w:vertAlign w:val="superscript"/>
        </w:rPr>
        <w:t>(8) , (9)</w:t>
      </w:r>
      <w:r>
        <w:rPr>
          <w:rFonts w:ascii="Arial" w:cs="Arial" w:eastAsia="Arial" w:hAnsi="Arial"/>
          <w:sz w:val="17"/>
          <w:szCs w:val="17"/>
          <w:color w:val="auto"/>
        </w:rPr>
        <w:t xml:space="preserve"> </w:t>
      </w:r>
      <w:r>
        <w:rPr>
          <w:rFonts w:ascii="Arial" w:cs="Arial" w:eastAsia="Arial" w:hAnsi="Arial"/>
          <w:sz w:val="17"/>
          <w:szCs w:val="17"/>
          <w:i w:val="1"/>
          <w:iCs w:val="1"/>
          <w:color w:val="auto"/>
        </w:rPr>
        <w:t>Chemicals, Plastics and Rubber</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6.3%</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2/23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1,985,000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1,967,461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1,985,000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 4.0%</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7/20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2,417,989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2,419,940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2,417,989</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 11.8%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1,477,675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1,477,500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5.5% Cash, 1.0% Libor Floor, Due 12/21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2,970,280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2,970,000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Senior Secured Loan — Term A-1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6.0% Cash, 1.0% Libor Floor, Due 12/21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2,350,684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2,335,796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2,350,449</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Senior Secured Loan — Term A-2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6.0% Cash, 1.0% Libor Floor, Due 12/21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2,066,562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2,052,899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2,066,355</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6.2% Cash, 1.0% Libor Floor, Due 8/20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5,361,360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5,326,136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5,199,447</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w w:val="94"/>
              </w:rPr>
              <w:t>Senior Secured Loan — 2016 Term Loan 5.0%</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6/22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3,447,500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3,459,466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3,481,630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-3035300</wp:posOffset>
            </wp:positionV>
            <wp:extent cx="7246620"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-2597785</wp:posOffset>
            </wp:positionV>
            <wp:extent cx="7246620" cy="411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-2049145</wp:posOffset>
            </wp:positionV>
            <wp:extent cx="7246620" cy="300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-1611630</wp:posOffset>
            </wp:positionV>
            <wp:extent cx="7246620" cy="300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-1174115</wp:posOffset>
            </wp:positionV>
            <wp:extent cx="7246620"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-736600</wp:posOffset>
            </wp:positionV>
            <wp:extent cx="7246620" cy="300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-3481070</wp:posOffset>
            </wp:positionV>
            <wp:extent cx="7246620"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020" w:space="540"/>
            <w:col w:w="7860"/>
          </w:cols>
          <w:pgMar w:left="240" w:top="904" w:right="239" w:bottom="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Novitex Acquisition, LLC (fka ARSloane</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Tranche B-2 Term</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6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Acquisition, LLC) </w:t>
            </w:r>
            <w:r>
              <w:rPr>
                <w:rFonts w:ascii="Arial" w:cs="Arial" w:eastAsia="Arial" w:hAnsi="Arial"/>
                <w:sz w:val="29"/>
                <w:szCs w:val="29"/>
                <w:color w:val="auto"/>
                <w:vertAlign w:val="superscript"/>
              </w:rPr>
              <w:t>(8) ,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Loan (First Lien) 8.0% Cash, 1.3% Libor</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Floor, Due 7/20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1,941,336</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1,899,875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1,882,707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Onex Carestream Finance LP </w:t>
            </w:r>
            <w:r>
              <w:rPr>
                <w:rFonts w:ascii="Arial" w:cs="Arial" w:eastAsia="Arial" w:hAnsi="Arial"/>
                <w:sz w:val="28"/>
                <w:szCs w:val="28"/>
                <w:color w:val="auto"/>
                <w:vertAlign w:val="superscript"/>
              </w:rPr>
              <w:t>(8)</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Junior Secured Loan — Term Loan (Second</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 9.5% Cash, 1.0% Libor Floor, Due 12/19</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1,932,311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1,932,311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1,647,295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Onex Carestream Finance LP </w:t>
            </w:r>
            <w:r>
              <w:rPr>
                <w:rFonts w:ascii="Arial" w:cs="Arial" w:eastAsia="Arial" w:hAnsi="Arial"/>
                <w:sz w:val="28"/>
                <w:szCs w:val="28"/>
                <w:color w:val="auto"/>
                <w:vertAlign w:val="superscript"/>
              </w:rPr>
              <w:t>(8) ,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 (First Lien</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2013) 5.0% Cash, 1.0% Libor Floor, Due 6/19</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1,750,135</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1,753,387</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1,704,920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5"/>
              </w:rPr>
              <w:t>Otter Products, LLC (OtterBox Holdings, Inc.)</w:t>
            </w:r>
          </w:p>
        </w:tc>
        <w:tc>
          <w:tcPr>
            <w:tcW w:w="38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(8) ,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B Loan 5.8%</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Durable</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1.0% Libor Floor, Due 6/20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2,600,266</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2,587,099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2,507,697</w:t>
            </w: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900" w:orient="portrait"/>
          <w:cols w:equalWidth="0" w:num="1">
            <w:col w:w="11420"/>
          </w:cols>
          <w:pgMar w:left="240" w:top="904" w:right="239" w:bottom="0" w:gutter="0" w:footer="0" w:header="0"/>
          <w:type w:val="continuous"/>
        </w:sectPr>
      </w:pPr>
    </w:p>
    <w:p>
      <w:pPr>
        <w:spacing w:after="0"/>
        <w:rPr>
          <w:sz w:val="20"/>
          <w:szCs w:val="20"/>
          <w:color w:val="auto"/>
        </w:rPr>
      </w:pPr>
      <w:r>
        <w:rPr>
          <w:rFonts w:ascii="Arial" w:cs="Arial" w:eastAsia="Arial" w:hAnsi="Arial"/>
          <w:sz w:val="16"/>
          <w:szCs w:val="16"/>
          <w:color w:val="auto"/>
        </w:rPr>
        <w:t xml:space="preserve">PGX Holdings, Inc. </w:t>
      </w:r>
      <w:r>
        <w:rPr>
          <w:rFonts w:ascii="Arial" w:cs="Arial" w:eastAsia="Arial" w:hAnsi="Arial"/>
          <w:sz w:val="25"/>
          <w:szCs w:val="25"/>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Services: Consumer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Playpower, Inc.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7"/>
          <w:szCs w:val="17"/>
          <w:i w:val="1"/>
          <w:iCs w:val="1"/>
          <w:color w:val="auto"/>
        </w:rPr>
        <w:t>Construction &amp; Building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(First Lien) 6.3%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9/20</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3,620,714</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3,598,052</w:t>
            </w:r>
          </w:p>
        </w:tc>
        <w:tc>
          <w:tcPr>
            <w:tcW w:w="1100" w:type="dxa"/>
            <w:vAlign w:val="bottom"/>
          </w:tcPr>
          <w:p>
            <w:pPr>
              <w:jc w:val="right"/>
              <w:spacing w:after="0"/>
              <w:rPr>
                <w:sz w:val="20"/>
                <w:szCs w:val="20"/>
                <w:color w:val="auto"/>
              </w:rPr>
            </w:pPr>
            <w:r>
              <w:rPr>
                <w:rFonts w:ascii="Arial" w:cs="Arial" w:eastAsia="Arial" w:hAnsi="Arial"/>
                <w:sz w:val="18"/>
                <w:szCs w:val="18"/>
                <w:color w:val="auto"/>
              </w:rPr>
              <w:t>3,626,381</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(First Lien) 5.8%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6/21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1,970,000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1,958,956</w:t>
            </w:r>
          </w:p>
        </w:tc>
        <w:tc>
          <w:tcPr>
            <w:tcW w:w="1100" w:type="dxa"/>
            <w:vAlign w:val="bottom"/>
          </w:tcPr>
          <w:p>
            <w:pPr>
              <w:jc w:val="right"/>
              <w:spacing w:after="0"/>
              <w:rPr>
                <w:sz w:val="20"/>
                <w:szCs w:val="20"/>
                <w:color w:val="auto"/>
              </w:rPr>
            </w:pPr>
            <w:r>
              <w:rPr>
                <w:rFonts w:ascii="Arial" w:cs="Arial" w:eastAsia="Arial" w:hAnsi="Arial"/>
                <w:sz w:val="18"/>
                <w:szCs w:val="18"/>
                <w:color w:val="auto"/>
              </w:rPr>
              <w:t>1,969,606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-960120</wp:posOffset>
            </wp:positionV>
            <wp:extent cx="7246620"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2840" w:space="720"/>
            <w:col w:w="7860"/>
          </w:cols>
          <w:pgMar w:left="240" w:top="904" w:right="239" w:bottom="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PrimeLine Utility Services LLC</w:t>
            </w:r>
          </w:p>
        </w:tc>
        <w:tc>
          <w:tcPr>
            <w:tcW w:w="38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4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(fka FR Utility Services LLC) </w:t>
            </w:r>
            <w:r>
              <w:rPr>
                <w:rFonts w:ascii="Arial" w:cs="Arial" w:eastAsia="Arial" w:hAnsi="Arial"/>
                <w:sz w:val="29"/>
                <w:szCs w:val="29"/>
                <w:color w:val="auto"/>
                <w:vertAlign w:val="superscript"/>
              </w:rPr>
              <w:t>(8) , (9)</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Energy: Electricity</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6.5% Cash, 1.0% Libor Floor, Due 11/22</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3,935,672</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3,904,453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3,937,247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344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w w:val="99"/>
              </w:rPr>
              <w:t xml:space="preserve">Priority Payment Systems Holdings, LLC </w:t>
            </w:r>
            <w:r>
              <w:rPr>
                <w:rFonts w:ascii="Arial" w:cs="Arial" w:eastAsia="Arial" w:hAnsi="Arial"/>
                <w:sz w:val="28"/>
                <w:szCs w:val="28"/>
                <w:color w:val="auto"/>
                <w:w w:val="99"/>
                <w:vertAlign w:val="superscript"/>
              </w:rPr>
              <w:t>(8) ,</w:t>
            </w:r>
          </w:p>
        </w:tc>
        <w:tc>
          <w:tcPr>
            <w:tcW w:w="38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(9)</w:t>
            </w:r>
          </w:p>
        </w:tc>
        <w:tc>
          <w:tcPr>
            <w:tcW w:w="3840" w:type="dxa"/>
            <w:vAlign w:val="bottom"/>
            <w:vMerge w:val="continue"/>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w w:val="96"/>
              </w:rPr>
              <w:t>Banking, Finance, Insurance &amp; Real Estate</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7.0% Cash, 1.0% Libor Floor, Due 1/23</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3,960,000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PSC Industrial Holdings Corp. </w:t>
            </w:r>
            <w:r>
              <w:rPr>
                <w:rFonts w:ascii="Arial" w:cs="Arial" w:eastAsia="Arial" w:hAnsi="Arial"/>
                <w:sz w:val="28"/>
                <w:szCs w:val="28"/>
                <w:color w:val="auto"/>
                <w:vertAlign w:val="superscript"/>
              </w:rPr>
              <w:t>(8) , (9)</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 Term Loan (First</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Lien) 5.8% Cash, 1.0% Libor Floor, Due 12/20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2,974,300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2,953,559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2,941,583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5"/>
              </w:rPr>
              <w:t>Q Holding Company (fka Lexington Precision</w:t>
            </w:r>
          </w:p>
        </w:tc>
        <w:tc>
          <w:tcPr>
            <w:tcW w:w="38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4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Corporation) </w:t>
            </w:r>
            <w:r>
              <w:rPr>
                <w:rFonts w:ascii="Arial" w:cs="Arial" w:eastAsia="Arial" w:hAnsi="Arial"/>
                <w:sz w:val="29"/>
                <w:szCs w:val="29"/>
                <w:color w:val="auto"/>
                <w:vertAlign w:val="superscript"/>
              </w:rPr>
              <w:t>(8) , (9)</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 Term B Loan 6.0%</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Chemicals, Plastics and Rubber</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1.0% Libor Floor, Due 12/21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2,992,366</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2,962,443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2,962,443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Quad-C JH Holdings Inc. (aka Joerns</w:t>
            </w:r>
          </w:p>
        </w:tc>
        <w:tc>
          <w:tcPr>
            <w:tcW w:w="38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4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Healthcare) </w:t>
            </w:r>
            <w:r>
              <w:rPr>
                <w:rFonts w:ascii="Arial" w:cs="Arial" w:eastAsia="Arial" w:hAnsi="Arial"/>
                <w:sz w:val="29"/>
                <w:szCs w:val="29"/>
                <w:color w:val="auto"/>
                <w:vertAlign w:val="superscript"/>
              </w:rPr>
              <w:t>(8) , (9)</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 Term Loan A 6.0%</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1.0% Libor Floor, Due 5/20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3,900,079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3,883,565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3,666,075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20" w:type="dxa"/>
            <w:vAlign w:val="bottom"/>
            <w:vMerge w:val="continue"/>
          </w:tcPr>
          <w:p>
            <w:pPr>
              <w:spacing w:after="0"/>
              <w:rPr>
                <w:sz w:val="24"/>
                <w:szCs w:val="2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Ravn Air Group, Inc. </w:t>
            </w:r>
            <w:r>
              <w:rPr>
                <w:rFonts w:ascii="Arial" w:cs="Arial" w:eastAsia="Arial" w:hAnsi="Arial"/>
                <w:sz w:val="30"/>
                <w:szCs w:val="30"/>
                <w:color w:val="auto"/>
                <w:vertAlign w:val="superscript"/>
              </w:rPr>
              <w:t>(8) , (9)</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2,421,875</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2,412,614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2,324,516</w:t>
            </w: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type w:val="continuous"/>
        </w:sectPr>
      </w:pPr>
    </w:p>
    <w:bookmarkStart w:id="26" w:name="page27"/>
    <w:bookmarkEnd w:id="26"/>
    <w:p>
      <w:pPr>
        <w:spacing w:after="0"/>
        <w:tabs>
          <w:tab w:leader="none" w:pos="3400" w:val="left"/>
        </w:tabs>
        <w:rPr>
          <w:sz w:val="20"/>
          <w:szCs w:val="20"/>
          <w:color w:val="auto"/>
        </w:rPr>
      </w:pPr>
      <w:r>
        <w:rPr>
          <w:rFonts w:ascii="Arial" w:cs="Arial" w:eastAsia="Arial" w:hAnsi="Arial"/>
          <w:sz w:val="18"/>
          <w:szCs w:val="18"/>
          <w:i w:val="1"/>
          <w:iCs w:val="1"/>
          <w:color w:val="auto"/>
        </w:rPr>
        <w:t>Transportation: Consumer</w:t>
      </w:r>
      <w:r>
        <w:rPr>
          <w:sz w:val="20"/>
          <w:szCs w:val="20"/>
          <w:color w:val="auto"/>
        </w:rPr>
        <w:tab/>
      </w:r>
      <w:r>
        <w:rPr>
          <w:rFonts w:ascii="Arial" w:cs="Arial" w:eastAsia="Arial" w:hAnsi="Arial"/>
          <w:sz w:val="16"/>
          <w:szCs w:val="16"/>
          <w:color w:val="auto"/>
        </w:rPr>
        <w:t>5.3% Cash, 1.0% Libor Floor, Due 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-121920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0079"/>
          </w:cols>
          <w:pgMar w:left="380" w:top="125"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See accompanying notes to financial statements.</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79"/>
          </w:cols>
          <w:pgMar w:left="380" w:top="125" w:right="1440"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21"/>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Company/Principal</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Business</w:t>
            </w:r>
          </w:p>
        </w:tc>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 xml:space="preserve">Roscoe Medical, Inc. </w:t>
            </w:r>
            <w:r>
              <w:rPr>
                <w:rFonts w:ascii="Arial" w:cs="Arial" w:eastAsia="Arial" w:hAnsi="Arial"/>
                <w:sz w:val="27"/>
                <w:szCs w:val="27"/>
                <w:color w:val="auto"/>
                <w:vertAlign w:val="superscript"/>
              </w:rPr>
              <w:t>(8)</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Junior Secured Loan — Term Loan (Second</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 11.3% Cash, Due 9/19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6,666,733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Sandy Creek Energy Associates, L.P. </w:t>
            </w:r>
            <w:r>
              <w:rPr>
                <w:rFonts w:ascii="Arial" w:cs="Arial" w:eastAsia="Arial" w:hAnsi="Arial"/>
                <w:sz w:val="28"/>
                <w:szCs w:val="28"/>
                <w:color w:val="auto"/>
                <w:vertAlign w:val="superscript"/>
              </w:rPr>
              <w:t>(8) ,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 5.0%</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Utilities: Electric</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11/20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2,613,239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2,606,016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2,204,921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7"/>
              </w:rPr>
              <w:t>Stafford Logistics, Inc. (dba Custom Ecology,</w:t>
            </w: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29"/>
                <w:szCs w:val="29"/>
                <w:color w:val="auto"/>
                <w:vertAlign w:val="subscript"/>
              </w:rPr>
              <w:t>Inc.)</w:t>
            </w:r>
            <w:r>
              <w:rPr>
                <w:rFonts w:ascii="Arial" w:cs="Arial" w:eastAsia="Arial" w:hAnsi="Arial"/>
                <w:sz w:val="13"/>
                <w:szCs w:val="13"/>
                <w:color w:val="auto"/>
              </w:rPr>
              <w:t xml:space="preserve"> (8) ,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 7.5%</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8/21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2,709,639</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2,694,201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Tank Partners Holdings, LLC </w:t>
            </w:r>
            <w:r>
              <w:rPr>
                <w:rFonts w:ascii="Arial" w:cs="Arial" w:eastAsia="Arial" w:hAnsi="Arial"/>
                <w:sz w:val="28"/>
                <w:szCs w:val="28"/>
                <w:color w:val="auto"/>
                <w:vertAlign w:val="superscript"/>
              </w:rPr>
              <w:t>(8) , (14)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Loan 10.0% Cash,</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PIK, 3.0% Libor Floor, Due 8/19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10,750,808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10,656,975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Terra Millennium Corporation </w:t>
            </w:r>
            <w:r>
              <w:rPr>
                <w:rFonts w:ascii="Arial" w:cs="Arial" w:eastAsia="Arial" w:hAnsi="Arial"/>
                <w:sz w:val="28"/>
                <w:szCs w:val="28"/>
                <w:color w:val="auto"/>
                <w:vertAlign w:val="superscript"/>
              </w:rPr>
              <w:t>(8) ,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Senior Secured Loan — First Out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Construction &amp; Building</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7.3% Cash, 1.0% Libor Floor, Due 10/22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3,960,202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TronAir Parent Inc. </w:t>
            </w:r>
            <w:r>
              <w:rPr>
                <w:rFonts w:ascii="Arial" w:cs="Arial" w:eastAsia="Arial" w:hAnsi="Arial"/>
                <w:sz w:val="23"/>
                <w:szCs w:val="23"/>
                <w:color w:val="auto"/>
                <w:vertAlign w:val="superscript"/>
              </w:rPr>
              <w:t>(8) , (9)</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 5.8% Cash, 1.0% Libor Floor, Due</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3,923,893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3,959,208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color w:val="auto"/>
        </w:rPr>
        <w:t xml:space="preserve">TRSO I, Inc.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Energy: Oil &amp; Gas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U.S. Shipping Corp (fka U.S. Shipping</w:t>
      </w:r>
    </w:p>
    <w:p>
      <w:pPr>
        <w:ind w:left="140"/>
        <w:spacing w:after="0" w:line="195" w:lineRule="auto"/>
        <w:rPr>
          <w:sz w:val="20"/>
          <w:szCs w:val="20"/>
          <w:color w:val="auto"/>
        </w:rPr>
      </w:pPr>
      <w:r>
        <w:rPr>
          <w:rFonts w:ascii="Arial" w:cs="Arial" w:eastAsia="Arial" w:hAnsi="Arial"/>
          <w:sz w:val="18"/>
          <w:szCs w:val="18"/>
          <w:color w:val="auto"/>
        </w:rPr>
        <w:t xml:space="preserve">Partners LP) </w:t>
      </w:r>
      <w:r>
        <w:rPr>
          <w:rFonts w:ascii="Arial" w:cs="Arial" w:eastAsia="Arial" w:hAnsi="Arial"/>
          <w:sz w:val="30"/>
          <w:szCs w:val="30"/>
          <w:color w:val="auto"/>
          <w:vertAlign w:val="superscript"/>
        </w:rPr>
        <w:t>(8) ,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Transportation: Cargo</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USJ-IMECO Holding Company, LLC </w:t>
      </w:r>
      <w:r>
        <w:rPr>
          <w:rFonts w:ascii="Arial" w:cs="Arial" w:eastAsia="Arial" w:hAnsi="Arial"/>
          <w:sz w:val="26"/>
          <w:szCs w:val="26"/>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Transportation: Cargo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Verdesian Life Sciences, LLC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Environmental Industries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Weiman Products, LLC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Weiman Products, LLC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WideOpenWest Finance, LLC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Media: Broadcasting &amp; Subscription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Capital Equipment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Junior Secured Loan — Term Loan (Second</w:t>
            </w: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Lien) 14.0% Cash, 1.0% Libor Floor, Due</w:t>
            </w: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12/19</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991,495</w:t>
            </w:r>
          </w:p>
        </w:tc>
        <w:tc>
          <w:tcPr>
            <w:tcW w:w="110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674"/>
        </w:trPr>
        <w:tc>
          <w:tcPr>
            <w:tcW w:w="3720" w:type="dxa"/>
            <w:vAlign w:val="bottom"/>
          </w:tcPr>
          <w:p>
            <w:pPr>
              <w:spacing w:after="0"/>
              <w:rPr>
                <w:sz w:val="20"/>
                <w:szCs w:val="20"/>
                <w:color w:val="auto"/>
              </w:rPr>
            </w:pPr>
            <w:r>
              <w:rPr>
                <w:rFonts w:ascii="Arial" w:cs="Arial" w:eastAsia="Arial" w:hAnsi="Arial"/>
                <w:sz w:val="18"/>
                <w:szCs w:val="18"/>
                <w:color w:val="auto"/>
              </w:rPr>
              <w:t>Senior Secured Loan — Tranche B-2 Term</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Loan 5.3% Cash, 1.0% Libor Floor, Due 6/21</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1,392,213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1,391,361</w:t>
            </w:r>
          </w:p>
        </w:tc>
        <w:tc>
          <w:tcPr>
            <w:tcW w:w="1100" w:type="dxa"/>
            <w:vAlign w:val="bottom"/>
          </w:tcPr>
          <w:p>
            <w:pPr>
              <w:jc w:val="right"/>
              <w:spacing w:after="0"/>
              <w:rPr>
                <w:sz w:val="20"/>
                <w:szCs w:val="20"/>
                <w:color w:val="auto"/>
              </w:rPr>
            </w:pPr>
            <w:r>
              <w:rPr>
                <w:rFonts w:ascii="Arial" w:cs="Arial" w:eastAsia="Arial" w:hAnsi="Arial"/>
                <w:sz w:val="18"/>
                <w:szCs w:val="18"/>
                <w:color w:val="auto"/>
              </w:rPr>
              <w:t>1,312,857</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Senior Secured Loan — Term Loan 7.0%</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Cash, 1.0% Libor Floor, Due 4/20</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3,679,796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3,669,622</w:t>
            </w:r>
          </w:p>
        </w:tc>
        <w:tc>
          <w:tcPr>
            <w:tcW w:w="1100" w:type="dxa"/>
            <w:vAlign w:val="bottom"/>
          </w:tcPr>
          <w:p>
            <w:pPr>
              <w:jc w:val="right"/>
              <w:spacing w:after="0"/>
              <w:rPr>
                <w:sz w:val="20"/>
                <w:szCs w:val="20"/>
                <w:color w:val="auto"/>
              </w:rPr>
            </w:pPr>
            <w:r>
              <w:rPr>
                <w:rFonts w:ascii="Arial" w:cs="Arial" w:eastAsia="Arial" w:hAnsi="Arial"/>
                <w:sz w:val="18"/>
                <w:szCs w:val="18"/>
                <w:color w:val="auto"/>
              </w:rPr>
              <w:t>3,497,278</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6.0% Cash, 1.0% Libor Floor, Due 7/20</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3,766,302</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3,733,929</w:t>
            </w:r>
          </w:p>
        </w:tc>
        <w:tc>
          <w:tcPr>
            <w:tcW w:w="1100" w:type="dxa"/>
            <w:vAlign w:val="bottom"/>
          </w:tcPr>
          <w:p>
            <w:pPr>
              <w:jc w:val="right"/>
              <w:spacing w:after="0"/>
              <w:rPr>
                <w:sz w:val="20"/>
                <w:szCs w:val="20"/>
                <w:color w:val="auto"/>
              </w:rPr>
            </w:pPr>
            <w:r>
              <w:rPr>
                <w:rFonts w:ascii="Arial" w:cs="Arial" w:eastAsia="Arial" w:hAnsi="Arial"/>
                <w:sz w:val="18"/>
                <w:szCs w:val="18"/>
                <w:color w:val="auto"/>
              </w:rPr>
              <w:t>3,641,261</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Senior Secured Loan — Term Loan 5.8%</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Cash, 1.0% Libor Floor, Due 11/18</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916,023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912,479</w:t>
            </w:r>
          </w:p>
        </w:tc>
        <w:tc>
          <w:tcPr>
            <w:tcW w:w="1100" w:type="dxa"/>
            <w:vAlign w:val="bottom"/>
          </w:tcPr>
          <w:p>
            <w:pPr>
              <w:jc w:val="right"/>
              <w:spacing w:after="0"/>
              <w:rPr>
                <w:sz w:val="20"/>
                <w:szCs w:val="20"/>
                <w:color w:val="auto"/>
              </w:rPr>
            </w:pPr>
            <w:r>
              <w:rPr>
                <w:rFonts w:ascii="Arial" w:cs="Arial" w:eastAsia="Arial" w:hAnsi="Arial"/>
                <w:sz w:val="18"/>
                <w:szCs w:val="18"/>
                <w:color w:val="auto"/>
              </w:rPr>
              <w:t>889,000</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Senior Secured Loan — Term Loan 5.8%</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Cash, 1.0% Libor Floor, Due 11/18</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4,567,552</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4,550,168</w:t>
            </w:r>
          </w:p>
        </w:tc>
        <w:tc>
          <w:tcPr>
            <w:tcW w:w="1100" w:type="dxa"/>
            <w:vAlign w:val="bottom"/>
          </w:tcPr>
          <w:p>
            <w:pPr>
              <w:jc w:val="right"/>
              <w:spacing w:after="0"/>
              <w:rPr>
                <w:sz w:val="20"/>
                <w:szCs w:val="20"/>
                <w:color w:val="auto"/>
              </w:rPr>
            </w:pPr>
            <w:r>
              <w:rPr>
                <w:rFonts w:ascii="Arial" w:cs="Arial" w:eastAsia="Arial" w:hAnsi="Arial"/>
                <w:sz w:val="18"/>
                <w:szCs w:val="18"/>
                <w:color w:val="auto"/>
              </w:rPr>
              <w:t>4,432,809</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Senior Secured Loan — New Term B Loan</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4.5% Cash, 1.0% Libor Floor, Due 8/23</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2,992,500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2,992,500</w:t>
            </w:r>
          </w:p>
        </w:tc>
        <w:tc>
          <w:tcPr>
            <w:tcW w:w="1100" w:type="dxa"/>
            <w:vAlign w:val="bottom"/>
          </w:tcPr>
          <w:p>
            <w:pPr>
              <w:jc w:val="right"/>
              <w:spacing w:after="0"/>
              <w:rPr>
                <w:sz w:val="20"/>
                <w:szCs w:val="20"/>
                <w:color w:val="auto"/>
              </w:rPr>
            </w:pPr>
            <w:r>
              <w:rPr>
                <w:rFonts w:ascii="Arial" w:cs="Arial" w:eastAsia="Arial" w:hAnsi="Arial"/>
                <w:sz w:val="18"/>
                <w:szCs w:val="18"/>
                <w:color w:val="auto"/>
              </w:rPr>
              <w:t>3,028,829</w:t>
            </w:r>
          </w:p>
        </w:tc>
      </w:tr>
      <w:tr>
        <w:trPr>
          <w:trHeight w:val="418"/>
        </w:trPr>
        <w:tc>
          <w:tcPr>
            <w:tcW w:w="3720" w:type="dxa"/>
            <w:vAlign w:val="bottom"/>
          </w:tcPr>
          <w:p>
            <w:pPr>
              <w:spacing w:after="0"/>
              <w:rPr>
                <w:sz w:val="20"/>
                <w:szCs w:val="20"/>
                <w:color w:val="auto"/>
              </w:rPr>
            </w:pPr>
            <w:r>
              <w:rPr>
                <w:rFonts w:ascii="Arial" w:cs="Arial" w:eastAsia="Arial" w:hAnsi="Arial"/>
                <w:sz w:val="18"/>
                <w:szCs w:val="18"/>
                <w:color w:val="auto"/>
              </w:rPr>
              <w:t>Junior Secured Loan — Initial Term Loan</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(Second Lien) 10.0% Cash, 1.0% Libor Floor,</w:t>
            </w: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Due 9/24</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3,000,000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2,956,358</w:t>
            </w:r>
          </w:p>
        </w:tc>
        <w:tc>
          <w:tcPr>
            <w:tcW w:w="1100" w:type="dxa"/>
            <w:vAlign w:val="bottom"/>
          </w:tcPr>
          <w:p>
            <w:pPr>
              <w:jc w:val="right"/>
              <w:spacing w:after="0"/>
              <w:rPr>
                <w:sz w:val="20"/>
                <w:szCs w:val="20"/>
                <w:color w:val="auto"/>
              </w:rPr>
            </w:pPr>
            <w:r>
              <w:rPr>
                <w:rFonts w:ascii="Arial" w:cs="Arial" w:eastAsia="Arial" w:hAnsi="Arial"/>
                <w:sz w:val="18"/>
                <w:szCs w:val="18"/>
                <w:color w:val="auto"/>
              </w:rPr>
              <w:t>3,000,000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-3721100</wp:posOffset>
            </wp:positionV>
            <wp:extent cx="724662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-3172460</wp:posOffset>
            </wp:positionV>
            <wp:extent cx="7246620" cy="43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-2597785</wp:posOffset>
            </wp:positionV>
            <wp:extent cx="7246620" cy="300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-2160270</wp:posOffset>
            </wp:positionV>
            <wp:extent cx="7246620" cy="300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-1723390</wp:posOffset>
            </wp:positionV>
            <wp:extent cx="7246620" cy="300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-1285875</wp:posOffset>
            </wp:positionV>
            <wp:extent cx="7246620" cy="300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-848360</wp:posOffset>
            </wp:positionV>
            <wp:extent cx="7246620" cy="300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300"/>
            <w:col w:w="7860"/>
          </w:cols>
          <w:pgMar w:left="240" w:top="904" w:right="2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WireCo WorldGroup Inc. (WireCo</w:t>
            </w: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Secured Loan — Initial Term Loan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28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WorldGroup Finance LP) </w:t>
            </w:r>
            <w:r>
              <w:rPr>
                <w:rFonts w:ascii="Arial" w:cs="Arial" w:eastAsia="Arial" w:hAnsi="Arial"/>
                <w:sz w:val="29"/>
                <w:szCs w:val="29"/>
                <w:color w:val="auto"/>
                <w:vertAlign w:val="superscript"/>
              </w:rPr>
              <w:t>(8) , (9)</w:t>
            </w: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(First Lien) 6.5% Cash, 1.0% Libor Floor, Due</w:t>
            </w: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9/23</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1,745,625</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1,728,771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1,763,780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Debt Securities</w:t>
            </w:r>
          </w:p>
        </w:tc>
        <w:tc>
          <w:tcPr>
            <w:tcW w:w="3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(122% of net asset value at fair value)</w:t>
            </w:r>
          </w:p>
        </w:tc>
        <w:tc>
          <w:tcPr>
            <w:tcW w:w="4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251,222,570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249,520,234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238,343,330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 Portfolio</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Company/Principal</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Business</w:t>
            </w: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Interest/Shares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 xml:space="preserve">Aerostructures Holdings L.P. </w:t>
            </w:r>
            <w:r>
              <w:rPr>
                <w:rFonts w:ascii="Arial" w:cs="Arial" w:eastAsia="Arial" w:hAnsi="Arial"/>
                <w:sz w:val="27"/>
                <w:szCs w:val="27"/>
                <w:color w:val="auto"/>
                <w:vertAlign w:val="superscript"/>
              </w:rPr>
              <w:t>(5) , (8)</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 Interests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Aerostructures Holdings L.P. </w:t>
            </w:r>
            <w:r>
              <w:rPr>
                <w:rFonts w:ascii="Arial" w:cs="Arial" w:eastAsia="Arial" w:hAnsi="Arial"/>
                <w:sz w:val="28"/>
                <w:szCs w:val="28"/>
                <w:color w:val="auto"/>
                <w:vertAlign w:val="superscript"/>
              </w:rPr>
              <w:t>(5) ,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Preferred Interests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1,183,746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Investments Incorporated) </w:t>
            </w:r>
            <w:r>
              <w:rPr>
                <w:rFonts w:ascii="Arial" w:cs="Arial" w:eastAsia="Arial" w:hAnsi="Arial"/>
                <w:sz w:val="29"/>
                <w:szCs w:val="29"/>
                <w:color w:val="auto"/>
                <w:vertAlign w:val="superscript"/>
              </w:rPr>
              <w:t>(5) ,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DBI Holding LLC </w:t>
            </w:r>
            <w:r>
              <w:rPr>
                <w:rFonts w:ascii="Arial" w:cs="Arial" w:eastAsia="Arial" w:hAnsi="Arial"/>
                <w:sz w:val="28"/>
                <w:szCs w:val="28"/>
                <w:color w:val="auto"/>
                <w:vertAlign w:val="superscript"/>
              </w:rPr>
              <w:t>(5) ,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eInstruction Acquisition, LLC </w:t>
            </w:r>
            <w:r>
              <w:rPr>
                <w:rFonts w:ascii="Arial" w:cs="Arial" w:eastAsia="Arial" w:hAnsi="Arial"/>
                <w:sz w:val="28"/>
                <w:szCs w:val="28"/>
                <w:color w:val="auto"/>
                <w:vertAlign w:val="superscript"/>
              </w:rPr>
              <w:t>(5) ,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Education and Childcare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FP WRCA Coinvestment Fund VII,</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29"/>
                <w:szCs w:val="29"/>
                <w:color w:val="auto"/>
                <w:vertAlign w:val="subscript"/>
              </w:rPr>
              <w:t>Ltd.</w:t>
            </w:r>
            <w:r>
              <w:rPr>
                <w:rFonts w:ascii="Arial" w:cs="Arial" w:eastAsia="Arial" w:hAnsi="Arial"/>
                <w:sz w:val="13"/>
                <w:szCs w:val="13"/>
                <w:color w:val="auto"/>
              </w:rPr>
              <w:t xml:space="preserve"> (3) , (5)</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811,268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Perseus Holding Corp. </w:t>
            </w:r>
            <w:r>
              <w:rPr>
                <w:rFonts w:ascii="Arial" w:cs="Arial" w:eastAsia="Arial" w:hAnsi="Arial"/>
                <w:sz w:val="28"/>
                <w:szCs w:val="28"/>
                <w:color w:val="auto"/>
                <w:vertAlign w:val="superscript"/>
              </w:rPr>
              <w:t>(5) ,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Hotel, Gaming &amp; Leisure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Roscoe Investors, LLC </w:t>
            </w:r>
            <w:r>
              <w:rPr>
                <w:rFonts w:ascii="Arial" w:cs="Arial" w:eastAsia="Arial" w:hAnsi="Arial"/>
                <w:sz w:val="28"/>
                <w:szCs w:val="28"/>
                <w:color w:val="auto"/>
                <w:vertAlign w:val="superscript"/>
              </w:rPr>
              <w:t>(5) ,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Units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Tank Partners Holdings, LLC </w:t>
            </w:r>
            <w:r>
              <w:rPr>
                <w:rFonts w:ascii="Arial" w:cs="Arial" w:eastAsia="Arial" w:hAnsi="Arial"/>
                <w:sz w:val="28"/>
                <w:szCs w:val="28"/>
                <w:color w:val="auto"/>
                <w:vertAlign w:val="superscript"/>
              </w:rPr>
              <w:t>(5) , (8) , (11)</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Tank Partners Holdings, LLC </w:t>
            </w:r>
            <w:r>
              <w:rPr>
                <w:rFonts w:ascii="Arial" w:cs="Arial" w:eastAsia="Arial" w:hAnsi="Arial"/>
                <w:sz w:val="28"/>
                <w:szCs w:val="28"/>
                <w:color w:val="auto"/>
                <w:vertAlign w:val="superscript"/>
              </w:rPr>
              <w:t>(5) ,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TRSO II, Inc. </w:t>
            </w:r>
            <w:r>
              <w:rPr>
                <w:rFonts w:ascii="Arial" w:cs="Arial" w:eastAsia="Arial" w:hAnsi="Arial"/>
                <w:sz w:val="28"/>
                <w:szCs w:val="28"/>
                <w:color w:val="auto"/>
                <w:vertAlign w:val="superscript"/>
              </w:rPr>
              <w:t>(5) ,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1,680,161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1,253,450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New Millennium Holdco, Inc. (Millennium</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Health, LLC) </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 </w:t>
            </w:r>
            <w:r>
              <w:rPr>
                <w:rFonts w:ascii="Arial" w:cs="Arial" w:eastAsia="Arial" w:hAnsi="Arial"/>
                <w:sz w:val="29"/>
                <w:szCs w:val="29"/>
                <w:color w:val="auto"/>
                <w:vertAlign w:val="superscript"/>
              </w:rPr>
              <w:t>(8)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1,953,299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Equity Securities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(3% of 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10,389,007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00" w:type="dxa"/>
            <w:vAlign w:val="bottom"/>
            <w:gridSpan w:val="4"/>
          </w:tcPr>
          <w:p>
            <w:pPr>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Investment </w:t>
            </w:r>
            <w:r>
              <w:rPr>
                <w:rFonts w:ascii="Arial" w:cs="Arial" w:eastAsia="Arial" w:hAnsi="Arial"/>
                <w:sz w:val="30"/>
                <w:szCs w:val="30"/>
                <w:b w:val="1"/>
                <w:bCs w:val="1"/>
                <w:color w:val="auto"/>
                <w:vertAlign w:val="superscript"/>
              </w:rPr>
              <w:t>(12)</w:t>
            </w:r>
          </w:p>
        </w:tc>
        <w:tc>
          <w:tcPr>
            <w:tcW w:w="100" w:type="dxa"/>
            <w:vAlign w:val="bottom"/>
            <w:vMerge w:val="restart"/>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Borders>
              <w:bottom w:val="single" w:sz="8" w:color="CCEEFF"/>
            </w:tcBorders>
          </w:tcPr>
          <w:p>
            <w:pPr>
              <w:spacing w:after="0"/>
              <w:rPr>
                <w:sz w:val="20"/>
                <w:szCs w:val="20"/>
                <w:color w:val="auto"/>
              </w:rPr>
            </w:pPr>
          </w:p>
        </w:tc>
        <w:tc>
          <w:tcPr>
            <w:tcW w:w="34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Ownership</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Grant Grove CLO, Ltd. </w:t>
            </w:r>
            <w:r>
              <w:rPr>
                <w:rFonts w:ascii="Arial" w:cs="Arial" w:eastAsia="Arial" w:hAnsi="Arial"/>
                <w:sz w:val="22"/>
                <w:szCs w:val="22"/>
                <w:color w:val="auto"/>
                <w:vertAlign w:val="superscript"/>
              </w:rPr>
              <w:t>(3) , (13)</w:t>
            </w:r>
          </w:p>
        </w:tc>
        <w:tc>
          <w:tcPr>
            <w:tcW w:w="12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Subordinated Securities, effective interest</w:t>
            </w: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2,485,886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1/21 maturity</w:t>
            </w:r>
          </w:p>
        </w:tc>
        <w:tc>
          <w:tcPr>
            <w:tcW w:w="146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Katonah III, Ltd. </w:t>
            </w:r>
            <w:r>
              <w:rPr>
                <w:rFonts w:ascii="Arial" w:cs="Arial" w:eastAsia="Arial" w:hAnsi="Arial"/>
                <w:sz w:val="23"/>
                <w:szCs w:val="23"/>
                <w:color w:val="auto"/>
                <w:vertAlign w:val="superscript"/>
              </w:rPr>
              <w:t>(3) , (13)</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5"/>
              </w:rPr>
              <w:t>Preferred Shares, effective interest 0.1%, 5/15</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1,287,155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Katonah 2007-I CLO Ltd. </w:t>
            </w:r>
            <w:r>
              <w:rPr>
                <w:rFonts w:ascii="Arial" w:cs="Arial" w:eastAsia="Arial" w:hAnsi="Arial"/>
                <w:sz w:val="23"/>
                <w:szCs w:val="23"/>
                <w:color w:val="auto"/>
                <w:vertAlign w:val="superscript"/>
              </w:rPr>
              <w:t>(3) ,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2"/>
              </w:rPr>
              <w:t>Preferred Shares, effective interest 30.8%, 4/22</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28,022,646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20,453,099</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Trimaran CLO VII, Ltd. </w:t>
            </w:r>
            <w:r>
              <w:rPr>
                <w:rFonts w:ascii="Arial" w:cs="Arial" w:eastAsia="Arial" w:hAnsi="Arial"/>
                <w:sz w:val="23"/>
                <w:szCs w:val="23"/>
                <w:color w:val="auto"/>
                <w:vertAlign w:val="superscript"/>
              </w:rPr>
              <w:t>(3) , (6) , (13)</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9"/>
              </w:rPr>
              <w:t>Income Notes, effective interest 47.9%, 6/21</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1,643,920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1,195,152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2012-1 Ltd. </w:t>
            </w:r>
            <w:r>
              <w:rPr>
                <w:rFonts w:ascii="Arial" w:cs="Arial" w:eastAsia="Arial" w:hAnsi="Arial"/>
                <w:sz w:val="23"/>
                <w:szCs w:val="23"/>
                <w:color w:val="auto"/>
                <w:vertAlign w:val="superscript"/>
              </w:rPr>
              <w:t>(3) ,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 interest 3.1%,</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5,919,933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2,819,412</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12/23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Catamaran CLO 2013- 1 Ltd. </w:t>
            </w:r>
            <w:r>
              <w:rPr>
                <w:rFonts w:ascii="Arial" w:cs="Arial" w:eastAsia="Arial" w:hAnsi="Arial"/>
                <w:sz w:val="23"/>
                <w:szCs w:val="23"/>
                <w:color w:val="auto"/>
                <w:vertAlign w:val="superscript"/>
              </w:rPr>
              <w:t>(3) ,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7"/>
              </w:rPr>
              <w:t>Subordinated Notes, effective interest 14.9%,</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5,237,222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4,918,807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1/25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2014-1 Ltd. </w:t>
            </w:r>
            <w:r>
              <w:rPr>
                <w:rFonts w:ascii="Arial" w:cs="Arial" w:eastAsia="Arial" w:hAnsi="Arial"/>
                <w:sz w:val="23"/>
                <w:szCs w:val="23"/>
                <w:color w:val="auto"/>
                <w:vertAlign w:val="superscript"/>
              </w:rPr>
              <w:t>(3) ,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10.0%,</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7,818,484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4,546,682</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4/26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Catamaran CLO 2014-2 Ltd. </w:t>
            </w:r>
            <w:r>
              <w:rPr>
                <w:rFonts w:ascii="Arial" w:cs="Arial" w:eastAsia="Arial" w:hAnsi="Arial"/>
                <w:sz w:val="23"/>
                <w:szCs w:val="23"/>
                <w:color w:val="auto"/>
                <w:vertAlign w:val="superscript"/>
              </w:rPr>
              <w:t>(3) ,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7"/>
              </w:rPr>
              <w:t>Subordinated Notes, effective interest 10.9%,</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6,967,560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5,092,087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10/26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Dryden 30 Senior Loan Fund </w:t>
            </w:r>
            <w:r>
              <w:rPr>
                <w:rFonts w:ascii="Arial" w:cs="Arial" w:eastAsia="Arial" w:hAnsi="Arial"/>
                <w:sz w:val="23"/>
                <w:szCs w:val="23"/>
                <w:color w:val="auto"/>
                <w:vertAlign w:val="superscript"/>
              </w:rPr>
              <w:t>(3)</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36.2%,</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1,343,467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1,895,566</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11/25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Catamaran CLO 2015-1 Ltd. </w:t>
            </w:r>
            <w:r>
              <w:rPr>
                <w:rFonts w:ascii="Arial" w:cs="Arial" w:eastAsia="Arial" w:hAnsi="Arial"/>
                <w:sz w:val="23"/>
                <w:szCs w:val="23"/>
                <w:color w:val="auto"/>
                <w:vertAlign w:val="superscript"/>
              </w:rPr>
              <w:t>(3) ,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Notes, effective interest 9.5%,</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4,543,317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3,223,255</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4/27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2016-1 Ltd. </w:t>
            </w:r>
            <w:r>
              <w:rPr>
                <w:rFonts w:ascii="Arial" w:cs="Arial" w:eastAsia="Arial" w:hAnsi="Arial"/>
                <w:sz w:val="23"/>
                <w:szCs w:val="23"/>
                <w:color w:val="auto"/>
                <w:vertAlign w:val="superscript"/>
              </w:rPr>
              <w:t>(3) ,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13.9%,</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1/29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10,140,000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8,350,290</w:t>
            </w: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CLO Subordinated</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Securities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75,409,590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52,864,350</w:t>
            </w:r>
          </w:p>
        </w:tc>
        <w:tc>
          <w:tcPr>
            <w:tcW w:w="0" w:type="dxa"/>
            <w:vAlign w:val="bottom"/>
          </w:tcPr>
          <w:p>
            <w:pPr>
              <w:spacing w:after="0"/>
              <w:rPr>
                <w:sz w:val="1"/>
                <w:szCs w:val="1"/>
                <w:color w:val="auto"/>
              </w:rPr>
            </w:pPr>
          </w:p>
        </w:tc>
      </w:tr>
      <w:tr>
        <w:trPr>
          <w:trHeight w:val="42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Investments</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 xml:space="preserve">Catamaran CLO 2014-1 Ltd. </w:t>
            </w:r>
            <w:r>
              <w:rPr>
                <w:rFonts w:ascii="Arial" w:cs="Arial" w:eastAsia="Arial" w:hAnsi="Arial"/>
                <w:sz w:val="22"/>
                <w:szCs w:val="22"/>
                <w:color w:val="auto"/>
                <w:vertAlign w:val="superscript"/>
              </w:rPr>
              <w:t>(3) , (6)</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Float – 04/2026 – E –</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14889FAC7, 6.6%, 4/26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1,441,727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1,310,000</w:t>
            </w: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CLO</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Rated-Note</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1,441,727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1,310,000</w:t>
            </w: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CLO Fund Securities</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(28% of 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76,851,317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54,174,350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right="700"/>
        <w:spacing w:after="0" w:line="295" w:lineRule="auto"/>
        <w:rPr>
          <w:sz w:val="20"/>
          <w:szCs w:val="20"/>
          <w:color w:val="auto"/>
        </w:rPr>
      </w:pPr>
      <w:r>
        <w:rPr>
          <w:rFonts w:ascii="Arial" w:cs="Arial" w:eastAsia="Arial" w:hAnsi="Arial"/>
          <w:sz w:val="16"/>
          <w:szCs w:val="16"/>
          <w:b w:val="1"/>
          <w:bCs w:val="1"/>
          <w:color w:val="auto"/>
        </w:rPr>
        <w:t>Portfolio Company/Principal Business</w:t>
      </w:r>
    </w:p>
    <w:p>
      <w:pPr>
        <w:spacing w:after="0" w:line="197" w:lineRule="auto"/>
        <w:rPr>
          <w:sz w:val="20"/>
          <w:szCs w:val="20"/>
          <w:color w:val="auto"/>
        </w:rPr>
      </w:pPr>
      <w:r>
        <w:rPr>
          <w:rFonts w:ascii="Arial" w:cs="Arial" w:eastAsia="Arial" w:hAnsi="Arial"/>
          <w:sz w:val="18"/>
          <w:szCs w:val="18"/>
          <w:color w:val="auto"/>
        </w:rPr>
        <w:t xml:space="preserve">Asset Manager Affiliates </w:t>
      </w:r>
      <w:r>
        <w:rPr>
          <w:rFonts w:ascii="Arial" w:cs="Arial" w:eastAsia="Arial" w:hAnsi="Arial"/>
          <w:sz w:val="30"/>
          <w:szCs w:val="30"/>
          <w:color w:val="auto"/>
          <w:vertAlign w:val="superscript"/>
        </w:rPr>
        <w:t>(8) , (10)</w:t>
      </w:r>
    </w:p>
    <w:p>
      <w:pPr>
        <w:ind w:left="140" w:right="240" w:hanging="129"/>
        <w:spacing w:after="0" w:line="249" w:lineRule="auto"/>
        <w:rPr>
          <w:sz w:val="20"/>
          <w:szCs w:val="20"/>
          <w:color w:val="auto"/>
        </w:rPr>
      </w:pPr>
      <w:r>
        <w:rPr>
          <w:rFonts w:ascii="Arial" w:cs="Arial" w:eastAsia="Arial" w:hAnsi="Arial"/>
          <w:sz w:val="18"/>
          <w:szCs w:val="18"/>
          <w:b w:val="1"/>
          <w:bCs w:val="1"/>
          <w:color w:val="auto"/>
        </w:rPr>
        <w:t>Total Investment in Asset Manager Affiliates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(21%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Percentage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Ownership</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40" w:type="dxa"/>
            <w:vAlign w:val="bottom"/>
            <w:gridSpan w:val="2"/>
          </w:tcPr>
          <w:p>
            <w:pPr>
              <w:spacing w:after="0"/>
              <w:rPr>
                <w:sz w:val="20"/>
                <w:szCs w:val="20"/>
                <w:color w:val="auto"/>
              </w:rPr>
            </w:pPr>
            <w:r>
              <w:rPr>
                <w:rFonts w:ascii="Arial" w:cs="Arial" w:eastAsia="Arial" w:hAnsi="Arial"/>
                <w:sz w:val="18"/>
                <w:szCs w:val="18"/>
                <w:color w:val="auto"/>
              </w:rPr>
              <w:t>Asset Management Company</w:t>
            </w: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100%  $</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55,341,230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40,198,000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55,341,230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40,198,000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-608330</wp:posOffset>
            </wp:positionV>
            <wp:extent cx="7246620"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940" w:space="620"/>
            <w:col w:w="7860"/>
          </w:cols>
          <w:pgMar w:left="240" w:top="904"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3"/>
          </w:tcPr>
          <w:p>
            <w:pPr>
              <w:ind w:left="500"/>
              <w:spacing w:after="0"/>
              <w:rPr>
                <w:sz w:val="20"/>
                <w:szCs w:val="20"/>
                <w:color w:val="auto"/>
              </w:rPr>
            </w:pPr>
            <w:r>
              <w:rPr>
                <w:rFonts w:ascii="Arial" w:cs="Arial" w:eastAsia="Arial" w:hAnsi="Arial"/>
                <w:sz w:val="18"/>
                <w:szCs w:val="18"/>
                <w:b w:val="1"/>
                <w:bCs w:val="1"/>
                <w:color w:val="auto"/>
                <w:w w:val="92"/>
              </w:rPr>
              <w:t>Time Deposits and Money Market Account</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Time Deposit and Money Market</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Par/Amortized</w:t>
            </w:r>
          </w:p>
        </w:tc>
        <w:tc>
          <w:tcPr>
            <w:tcW w:w="100" w:type="dxa"/>
            <w:vAlign w:val="bottom"/>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Accounts</w:t>
            </w:r>
          </w:p>
        </w:tc>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38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Yield</w:t>
            </w: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4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w w:val="96"/>
              </w:rPr>
              <w:t>JP Morgan Business Money Market Account</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(7) , (8)</w:t>
            </w:r>
          </w:p>
        </w:tc>
        <w:tc>
          <w:tcPr>
            <w:tcW w:w="120" w:type="dxa"/>
            <w:vAlign w:val="bottom"/>
            <w:shd w:val="clear" w:color="auto" w:fill="CCEEFF"/>
          </w:tcPr>
          <w:p>
            <w:pPr>
              <w:spacing w:after="0"/>
              <w:rPr>
                <w:sz w:val="23"/>
                <w:szCs w:val="23"/>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0.1%  $</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US Bank Money Market Account </w:t>
            </w:r>
            <w:r>
              <w:rPr>
                <w:rFonts w:ascii="Arial" w:cs="Arial" w:eastAsia="Arial" w:hAnsi="Arial"/>
                <w:sz w:val="30"/>
                <w:szCs w:val="30"/>
                <w:color w:val="auto"/>
                <w:vertAlign w:val="superscript"/>
              </w:rPr>
              <w:t>(8)</w:t>
            </w:r>
          </w:p>
        </w:tc>
        <w:tc>
          <w:tcPr>
            <w:tcW w:w="3880" w:type="dxa"/>
            <w:vAlign w:val="bottom"/>
            <w:gridSpan w:val="3"/>
          </w:tcPr>
          <w:p>
            <w:pPr>
              <w:spacing w:after="0"/>
              <w:rPr>
                <w:sz w:val="20"/>
                <w:szCs w:val="20"/>
                <w:color w:val="auto"/>
              </w:rPr>
            </w:pPr>
            <w:r>
              <w:rPr>
                <w:rFonts w:ascii="Arial" w:cs="Arial" w:eastAsia="Arial" w:hAnsi="Arial"/>
                <w:sz w:val="18"/>
                <w:szCs w:val="18"/>
                <w:color w:val="auto"/>
              </w:rPr>
              <w:t>Money Market Account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28,685,001</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28,685,001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Time Deposit and</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Money Market Accounts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(15% of 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28,699,269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560" w:type="dxa"/>
            <w:vAlign w:val="bottom"/>
            <w:gridSpan w:val="2"/>
          </w:tcPr>
          <w:p>
            <w:pPr>
              <w:spacing w:after="0" w:line="218" w:lineRule="exact"/>
              <w:rPr>
                <w:sz w:val="20"/>
                <w:szCs w:val="20"/>
                <w:color w:val="auto"/>
              </w:rPr>
            </w:pPr>
            <w:r>
              <w:rPr>
                <w:rFonts w:ascii="Arial" w:cs="Arial" w:eastAsia="Arial" w:hAnsi="Arial"/>
                <w:sz w:val="16"/>
                <w:szCs w:val="16"/>
                <w:b w:val="1"/>
                <w:bCs w:val="1"/>
                <w:color w:val="auto"/>
              </w:rPr>
              <w:t xml:space="preserve">Total Investments </w:t>
            </w:r>
            <w:r>
              <w:rPr>
                <w:rFonts w:ascii="Arial" w:cs="Arial" w:eastAsia="Arial" w:hAnsi="Arial"/>
                <w:sz w:val="25"/>
                <w:szCs w:val="25"/>
                <w:b w:val="1"/>
                <w:bCs w:val="1"/>
                <w:color w:val="auto"/>
                <w:vertAlign w:val="superscript"/>
              </w:rPr>
              <w:t>(4)</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(188% of net asset value at fair value)</w:t>
            </w:r>
          </w:p>
        </w:tc>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420,801,057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366,471,304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24"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2016. As noted in the table above, 93% (based on par) of debt securities contain LIBOR floors which range between 0.75% and 3.0%.</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December 31, 2016, as determined by the Company’s Board of Directors.</w:t>
      </w:r>
    </w:p>
    <w:p>
      <w:pPr>
        <w:spacing w:after="0" w:line="163"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203" w:lineRule="exact"/>
        <w:rPr>
          <w:rFonts w:ascii="Arial" w:cs="Arial" w:eastAsia="Arial" w:hAnsi="Arial"/>
          <w:sz w:val="30"/>
          <w:szCs w:val="30"/>
          <w:color w:val="auto"/>
          <w:vertAlign w:val="superscript"/>
        </w:rPr>
      </w:pPr>
    </w:p>
    <w:p>
      <w:pPr>
        <w:ind w:left="340" w:right="660" w:hanging="332"/>
        <w:spacing w:after="0" w:line="209"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$429 million. The aggregate gross unrealized appreciation is approximately $2.1 million, the aggregate gross unrealized depreciation is approximately $65.0 million, and the net unrealized depreciation is approximately $62.9 million.</w:t>
      </w:r>
    </w:p>
    <w:p>
      <w:pPr>
        <w:spacing w:after="0" w:line="88"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Non-income producing.</w:t>
      </w:r>
    </w:p>
    <w:p>
      <w:pPr>
        <w:spacing w:after="0" w:line="163"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An affiliate CLO Fund managed by an Asset Manager Affiliate (as such term is defined in the notes to the financial statements).</w:t>
      </w:r>
    </w:p>
    <w:p>
      <w:pPr>
        <w:spacing w:after="0" w:line="164"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Money market account holding restricted cash and security deposits for employee benefit plans.</w:t>
      </w:r>
    </w:p>
    <w:p>
      <w:pPr>
        <w:spacing w:after="0" w:line="164"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w:t>
      </w:r>
    </w:p>
    <w:p>
      <w:pPr>
        <w:spacing w:after="0" w:line="203" w:lineRule="exact"/>
        <w:rPr>
          <w:rFonts w:ascii="Arial" w:cs="Arial" w:eastAsia="Arial" w:hAnsi="Arial"/>
          <w:sz w:val="30"/>
          <w:szCs w:val="30"/>
          <w:color w:val="auto"/>
          <w:vertAlign w:val="superscript"/>
        </w:rPr>
      </w:pPr>
    </w:p>
    <w:p>
      <w:pPr>
        <w:ind w:left="340" w:right="640" w:hanging="332"/>
        <w:spacing w:after="0" w:line="194"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As of December 31, 2016, this investment is owned by KCAP Senior Funding I, LLC and was pledged to secure KCAP Senior Funding I, LLC’s obligation.</w:t>
      </w:r>
    </w:p>
    <w:p>
      <w:pPr>
        <w:spacing w:after="0" w:line="202" w:lineRule="exact"/>
        <w:rPr>
          <w:rFonts w:ascii="Arial" w:cs="Arial" w:eastAsia="Arial" w:hAnsi="Arial"/>
          <w:sz w:val="30"/>
          <w:szCs w:val="30"/>
          <w:color w:val="auto"/>
          <w:vertAlign w:val="superscript"/>
        </w:rPr>
      </w:pPr>
    </w:p>
    <w:p>
      <w:pPr>
        <w:ind w:left="340" w:right="240" w:hanging="332"/>
        <w:spacing w:after="0" w:line="232" w:lineRule="auto"/>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110" w:lineRule="exact"/>
        <w:rPr>
          <w:rFonts w:ascii="Arial" w:cs="Arial" w:eastAsia="Arial" w:hAnsi="Arial"/>
          <w:sz w:val="28"/>
          <w:szCs w:val="28"/>
          <w:color w:val="auto"/>
          <w:vertAlign w:val="superscript"/>
        </w:rPr>
      </w:pPr>
    </w:p>
    <w:p>
      <w:pPr>
        <w:ind w:left="340" w:hanging="332"/>
        <w:spacing w:after="0"/>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Non-voting.</w:t>
      </w:r>
    </w:p>
    <w:p>
      <w:pPr>
        <w:spacing w:after="0" w:line="201" w:lineRule="exact"/>
        <w:rPr>
          <w:rFonts w:ascii="Arial" w:cs="Arial" w:eastAsia="Arial" w:hAnsi="Arial"/>
          <w:sz w:val="28"/>
          <w:szCs w:val="28"/>
          <w:color w:val="auto"/>
          <w:vertAlign w:val="superscript"/>
        </w:rPr>
      </w:pPr>
    </w:p>
    <w:p>
      <w:pPr>
        <w:jc w:val="both"/>
        <w:ind w:left="340" w:right="200" w:hanging="332"/>
        <w:spacing w:after="0" w:line="232" w:lineRule="auto"/>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10" w:lineRule="exact"/>
        <w:rPr>
          <w:rFonts w:ascii="Arial" w:cs="Arial" w:eastAsia="Arial" w:hAnsi="Arial"/>
          <w:sz w:val="28"/>
          <w:szCs w:val="28"/>
          <w:color w:val="auto"/>
          <w:vertAlign w:val="superscript"/>
        </w:rPr>
      </w:pPr>
    </w:p>
    <w:p>
      <w:pPr>
        <w:ind w:left="340" w:hanging="332"/>
        <w:spacing w:after="0"/>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Notice of redemption has been received for this transaction.</w:t>
      </w:r>
    </w:p>
    <w:p>
      <w:pPr>
        <w:spacing w:after="0" w:line="163" w:lineRule="exact"/>
        <w:rPr>
          <w:rFonts w:ascii="Arial" w:cs="Arial" w:eastAsia="Arial" w:hAnsi="Arial"/>
          <w:sz w:val="28"/>
          <w:szCs w:val="28"/>
          <w:color w:val="auto"/>
          <w:vertAlign w:val="superscript"/>
        </w:rPr>
      </w:pPr>
    </w:p>
    <w:p>
      <w:pPr>
        <w:ind w:left="340" w:hanging="332"/>
        <w:spacing w:after="0" w:line="200" w:lineRule="auto"/>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Loan or security was on partial non-accrual status, whereby we have recognized income on a portion of contractual PIK amounts due.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8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asset value, at beginning of period</w:t>
            </w:r>
          </w:p>
        </w:tc>
        <w:tc>
          <w:tcPr>
            <w:tcW w:w="2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386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ind w:left="160"/>
              <w:spacing w:after="0" w:line="162" w:lineRule="exact"/>
              <w:rPr>
                <w:sz w:val="20"/>
                <w:szCs w:val="20"/>
                <w:color w:val="auto"/>
              </w:rPr>
            </w:pPr>
            <w:r>
              <w:rPr>
                <w:rFonts w:ascii="Arial" w:cs="Arial" w:eastAsia="Arial" w:hAnsi="Arial"/>
                <w:sz w:val="18"/>
                <w:szCs w:val="18"/>
                <w:color w:val="auto"/>
                <w:w w:val="89"/>
              </w:rPr>
              <w:t>Net realized gains from investments</w:t>
            </w:r>
          </w:p>
        </w:tc>
        <w:tc>
          <w:tcPr>
            <w:tcW w:w="3860" w:type="dxa"/>
            <w:vAlign w:val="bottom"/>
          </w:tcPr>
          <w:p>
            <w:pPr>
              <w:jc w:val="right"/>
              <w:ind w:right="3705"/>
              <w:spacing w:after="0" w:line="162" w:lineRule="exact"/>
              <w:rPr>
                <w:sz w:val="20"/>
                <w:szCs w:val="20"/>
                <w:color w:val="auto"/>
              </w:rPr>
            </w:pPr>
            <w:r>
              <w:rPr>
                <w:rFonts w:ascii="Arial" w:cs="Arial" w:eastAsia="Arial" w:hAnsi="Arial"/>
                <w:sz w:val="15"/>
                <w:szCs w:val="15"/>
                <w:color w:val="auto"/>
                <w:w w:val="71"/>
              </w:rPr>
              <w:t>1</w:t>
            </w: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260"/>
              <w:spacing w:after="0" w:line="16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160"/>
              <w:spacing w:after="0" w:line="162"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gridSpan w:val="2"/>
          </w:tcPr>
          <w:p>
            <w:pPr>
              <w:jc w:val="right"/>
              <w:ind w:right="200"/>
              <w:spacing w:after="0" w:line="95" w:lineRule="exact"/>
              <w:rPr>
                <w:sz w:val="20"/>
                <w:szCs w:val="20"/>
                <w:color w:val="auto"/>
              </w:rPr>
            </w:pPr>
            <w:r>
              <w:rPr>
                <w:rFonts w:ascii="Arial" w:cs="Arial" w:eastAsia="Arial" w:hAnsi="Arial"/>
                <w:sz w:val="10"/>
                <w:szCs w:val="10"/>
                <w:color w:val="auto"/>
              </w:rPr>
              <w:t>4</w:t>
            </w: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gridSpan w:val="2"/>
            <w:shd w:val="clear" w:color="auto" w:fill="CCEEFF"/>
          </w:tcPr>
          <w:p>
            <w:pPr>
              <w:ind w:left="160"/>
              <w:spacing w:after="0" w:line="269" w:lineRule="exact"/>
              <w:rPr>
                <w:sz w:val="20"/>
                <w:szCs w:val="20"/>
                <w:color w:val="auto"/>
              </w:rPr>
            </w:pPr>
            <w:r>
              <w:rPr>
                <w:rFonts w:ascii="Arial" w:cs="Arial" w:eastAsia="Arial" w:hAnsi="Arial"/>
                <w:sz w:val="18"/>
                <w:szCs w:val="18"/>
                <w:color w:val="auto"/>
              </w:rPr>
              <w:t>Net change in unrealized (depreciation) on investments</w:t>
            </w:r>
            <w:r>
              <w:rPr>
                <w:rFonts w:ascii="Arial" w:cs="Arial" w:eastAsia="Arial" w:hAnsi="Arial"/>
                <w:sz w:val="30"/>
                <w:szCs w:val="30"/>
                <w:color w:val="auto"/>
                <w:vertAlign w:val="superscript"/>
              </w:rPr>
              <w:t>1</w:t>
            </w:r>
          </w:p>
        </w:tc>
        <w:tc>
          <w:tcPr>
            <w:tcW w:w="1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2"/>
          </w:tcPr>
          <w:p>
            <w:pPr>
              <w:ind w:left="320"/>
              <w:spacing w:after="0"/>
              <w:rPr>
                <w:sz w:val="20"/>
                <w:szCs w:val="20"/>
                <w:color w:val="auto"/>
              </w:rPr>
            </w:pPr>
            <w:r>
              <w:rPr>
                <w:rFonts w:ascii="Arial" w:cs="Arial" w:eastAsia="Arial" w:hAnsi="Arial"/>
                <w:sz w:val="18"/>
                <w:szCs w:val="18"/>
                <w:color w:val="auto"/>
              </w:rPr>
              <w:t>Net increase (decrease) in net assets resulting from operations</w:t>
            </w:r>
          </w:p>
        </w:tc>
        <w:tc>
          <w:tcPr>
            <w:tcW w:w="1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gridSpan w:val="2"/>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gridSpan w:val="2"/>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increase in net assets relating to stock-based transactions: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Issuance of common stock under dividend reinvestment plan</w:t>
            </w:r>
          </w:p>
        </w:tc>
        <w:tc>
          <w:tcPr>
            <w:tcW w:w="1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w:t>
            </w:r>
            <w:r>
              <w:rPr>
                <w:rFonts w:ascii="Arial" w:cs="Arial" w:eastAsia="Arial" w:hAnsi="Arial"/>
                <w:sz w:val="29"/>
                <w:szCs w:val="29"/>
                <w:color w:val="auto"/>
                <w:vertAlign w:val="superscript"/>
              </w:rPr>
              <w:t>4</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w w:val="88"/>
              </w:rPr>
              <w:t>Stock based compensation expense</w:t>
            </w:r>
          </w:p>
        </w:tc>
        <w:tc>
          <w:tcPr>
            <w:tcW w:w="3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increase in net assets relating to stock-based transactions</w:t>
            </w:r>
          </w:p>
        </w:tc>
        <w:tc>
          <w:tcPr>
            <w:tcW w:w="1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386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vMerge w:val="restart"/>
          </w:tcPr>
          <w:p>
            <w:pPr>
              <w:spacing w:after="0" w:line="250" w:lineRule="exact"/>
              <w:rPr>
                <w:sz w:val="20"/>
                <w:szCs w:val="20"/>
                <w:color w:val="auto"/>
              </w:rPr>
            </w:pPr>
            <w:r>
              <w:rPr>
                <w:rFonts w:ascii="Arial" w:cs="Arial" w:eastAsia="Arial" w:hAnsi="Arial"/>
                <w:sz w:val="17"/>
                <w:szCs w:val="17"/>
                <w:color w:val="auto"/>
              </w:rPr>
              <w:t>Total net asset value return</w:t>
            </w:r>
            <w:r>
              <w:rPr>
                <w:rFonts w:ascii="Arial" w:cs="Arial" w:eastAsia="Arial" w:hAnsi="Arial"/>
                <w:sz w:val="28"/>
                <w:szCs w:val="28"/>
                <w:color w:val="auto"/>
                <w:vertAlign w:val="superscript"/>
              </w:rPr>
              <w:t>2</w:t>
            </w: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market value at beginning of period</w:t>
            </w:r>
          </w:p>
        </w:tc>
        <w:tc>
          <w:tcPr>
            <w:tcW w:w="2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Per share market value at end of period</w:t>
            </w:r>
          </w:p>
        </w:tc>
        <w:tc>
          <w:tcPr>
            <w:tcW w:w="2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4.07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386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5"/>
              </w:rPr>
              <w:t>Shares outstanding at end of period</w:t>
            </w: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37,209,649</w:t>
            </w: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37,130,433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38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191,429,890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204,387,728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Portfolio turnover rate</w:t>
            </w: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Average par debt outstanding</w:t>
            </w:r>
          </w:p>
        </w:tc>
        <w:tc>
          <w:tcPr>
            <w:tcW w:w="38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180,880,925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204,443,692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Asset coverage ratio</w:t>
            </w: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1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2"/>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1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1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2"/>
          </w:tcPr>
          <w:p>
            <w:pPr>
              <w:spacing w:after="0" w:line="256" w:lineRule="exact"/>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29"/>
                <w:szCs w:val="29"/>
                <w:color w:val="auto"/>
                <w:vertAlign w:val="superscript"/>
              </w:rPr>
              <w:t>5</w:t>
            </w:r>
          </w:p>
        </w:tc>
        <w:tc>
          <w:tcPr>
            <w:tcW w:w="1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40" w:type="dxa"/>
            <w:vAlign w:val="bottom"/>
            <w:tcBorders>
              <w:bottom w:val="single" w:sz="8" w:color="auto"/>
            </w:tcBorders>
          </w:tcPr>
          <w:p>
            <w:pPr>
              <w:spacing w:after="0"/>
              <w:rPr>
                <w:sz w:val="23"/>
                <w:szCs w:val="23"/>
                <w:color w:val="auto"/>
              </w:rPr>
            </w:pPr>
          </w:p>
        </w:tc>
        <w:tc>
          <w:tcPr>
            <w:tcW w:w="38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ind w:left="480" w:hanging="472"/>
        <w:spacing w:after="0" w:line="225" w:lineRule="auto"/>
        <w:tabs>
          <w:tab w:leader="none" w:pos="48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spacing w:after="0" w:line="27" w:lineRule="exact"/>
        <w:rPr>
          <w:sz w:val="20"/>
          <w:szCs w:val="20"/>
          <w:color w:val="auto"/>
        </w:rPr>
      </w:pPr>
    </w:p>
    <w:p>
      <w:pPr>
        <w:ind w:right="320" w:firstLine="8"/>
        <w:spacing w:after="0" w:line="194" w:lineRule="auto"/>
        <w:tabs>
          <w:tab w:leader="none" w:pos="48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Total net asset value return (not annualized) equals the change in the net asset value per share over the beginning of period net asset value per share plus distributions, divided by the beginning net asset value per share.</w:t>
      </w:r>
    </w:p>
    <w:p>
      <w:pPr>
        <w:spacing w:after="0" w:line="27" w:lineRule="exact"/>
        <w:rPr>
          <w:sz w:val="20"/>
          <w:szCs w:val="20"/>
          <w:color w:val="auto"/>
        </w:rPr>
      </w:pPr>
    </w:p>
    <w:p>
      <w:pPr>
        <w:ind w:right="480" w:firstLine="8"/>
        <w:spacing w:after="0" w:line="194" w:lineRule="auto"/>
        <w:tabs>
          <w:tab w:leader="none" w:pos="48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Total market return (not annualized) equals the change in the ending market price, over the beginning of period price per share plus distributions, divided by the beginning market price.</w:t>
      </w:r>
    </w:p>
    <w:p>
      <w:pPr>
        <w:ind w:left="480" w:hanging="472"/>
        <w:spacing w:after="0" w:line="184" w:lineRule="auto"/>
        <w:tabs>
          <w:tab w:leader="none" w:pos="4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Balance rounds to less than $0.01.</w:t>
      </w:r>
    </w:p>
    <w:p>
      <w:pPr>
        <w:spacing w:after="0" w:line="43" w:lineRule="exact"/>
        <w:rPr>
          <w:rFonts w:ascii="Arial" w:cs="Arial" w:eastAsia="Arial" w:hAnsi="Arial"/>
          <w:sz w:val="29"/>
          <w:szCs w:val="29"/>
          <w:color w:val="auto"/>
          <w:vertAlign w:val="superscript"/>
        </w:rPr>
      </w:pPr>
    </w:p>
    <w:p>
      <w:pPr>
        <w:spacing w:after="0"/>
        <w:rPr>
          <w:rFonts w:ascii="Arial" w:cs="Arial" w:eastAsia="Arial" w:hAnsi="Arial"/>
          <w:sz w:val="29"/>
          <w:szCs w:val="29"/>
          <w:color w:val="auto"/>
          <w:vertAlign w:val="superscript"/>
        </w:rPr>
      </w:pPr>
      <w:r>
        <w:rPr>
          <w:rFonts w:ascii="Arial" w:cs="Arial" w:eastAsia="Arial" w:hAnsi="Arial"/>
          <w:sz w:val="30"/>
          <w:szCs w:val="30"/>
          <w:color w:val="auto"/>
          <w:vertAlign w:val="superscript"/>
        </w:rPr>
        <w:t>5</w:t>
      </w:r>
      <w:r>
        <w:rPr>
          <w:rFonts w:ascii="Arial" w:cs="Arial" w:eastAsia="Arial" w:hAnsi="Arial"/>
          <w:sz w:val="16"/>
          <w:szCs w:val="16"/>
          <w:color w:val="auto"/>
        </w:rPr>
        <w:t>Annualized.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(collectively, “Katonah Debt Advisors”) and in securities issued by collateralized loan obligation funds (“CLO Funds”) managed by Katonah Debt Advisors and two other asset managers.</w:t>
      </w:r>
    </w:p>
    <w:p>
      <w:pPr>
        <w:spacing w:after="0" w:line="17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the Company’s common stock, and net proceeds of $27 million.</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February 29, 2012, the Company purchased Trimaran Advisors, L.L.C. (“Trimaran Advisors”), an asset manager similar to Katonah Debt Advisors,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of March 31, 2017, Katonah Debt Advisors and Trimaran Advisors, as well as affiliated management companies Katonah 2007-1 Management, L.L.C. and Trimaran Advisors Management, L.L.C. (collectively the “Asset Manager Affiliates”), had approximately $2.8 billion of par value assets under management. The Asset Manager Affiliates are each managed independently from KCAP by a separate management team (however, certain of the Company’s executive officers also act in similar capacities for one or both of the Asset Manager Affiliates). The Asset Manager Affiliates provide investment management services to CLO Funds, making day-to-day investment decisions concerning the assets of the CLO Funds. The Asset Manager Affiliates do not have any investments in the CLO Funds they manage; however, KCAP holds investments in a portion of the securities issued by the CLO Funds managed by the Asset Manager Affiliates.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three principal areas of investment:</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33" w:name="page34"/>
    <w:bookmarkEnd w:id="33"/>
    <w:p>
      <w:pPr>
        <w:jc w:val="both"/>
        <w:ind w:firstLine="324"/>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and distressed debt securities. The Company may also receive warrants or options to purchase common stock in connection with its debt investments.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U.S. generally accepted accounting principles (“U.S.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2016, as filed with the U.S. Securities and Exchange Commission (the “Commission” or the “SEC”).</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9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17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Notwithstanding the foregoing, the Asset Manager Affiliates qualify as a “significant subsidiary” under Regulation S-X promulgated by the SEC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18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In addition, in accordance with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and Katonah 2007-I CLO is set forth in Note 5 to these consolidated financial statements.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right="200" w:firstLine="324"/>
        <w:spacing w:after="0" w:line="264" w:lineRule="auto"/>
        <w:rPr>
          <w:sz w:val="20"/>
          <w:szCs w:val="20"/>
          <w:color w:val="auto"/>
        </w:rPr>
      </w:pPr>
      <w:r>
        <w:rPr>
          <w:rFonts w:ascii="Arial" w:cs="Arial" w:eastAsia="Arial" w:hAnsi="Arial"/>
          <w:sz w:val="18"/>
          <w:szCs w:val="18"/>
          <w:color w:val="auto"/>
        </w:rPr>
        <w:t>The determination of the tax character of stockholder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8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quarter ended March 31, 2017, the Company provided approximately $36 million to portfolio companies to support their growth objectives. None of this support was contractually obligated. See also Note 8 – Commitments and Contingencies. As of March 31, 2017, the Company held loans it has made to 78 investee companies with aggregate principal amounts of approximately $244.9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three months month period ended March 31, 2017, the Company did not engage in any such or similar activities.</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US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Management is still evaluating the effect of the new standard.</w:t>
      </w:r>
    </w:p>
    <w:p>
      <w:pPr>
        <w:spacing w:after="0" w:line="18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The amendments in ASU 2016-09 affect all entities that issue share-based payment awards to their employees and involve multiple aspects of the accounting for share-based payment transactions, including income tax consequences, classification of awards as either equity or liabilities, and classification on the statement of cash flows. For public business entities, ASU 2016-09 is effective for annual periods beginning after December 15 2016, and interim periods within those annual periods. Early adoption is permitted. We adopted 2016-09 during the first quarter of 2017 and there was no impact from adoption.</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November 2016, the FASB issued Accounting Standards Update 2016-18, Restricted Cash (“ASU 2016-18”) which requires entities to show the changes in the total cash, cash equivalents, restricted cash and restricted cash equivalents in the statement of cash flows. The guidance is effective for fiscal years beginning after December 15, 2017, and interim periods within those years. Early adoption is permitted, and entities will be required to apply the guidance retrospectively when adopted. We have early adopted ASU 2016-18 retrospectively during the first quarter of 2017 and earlier periods were restated. The following table depicts the retroactive application of ASU 2016-18:</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2200"/>
              <w:spacing w:after="0"/>
              <w:rPr>
                <w:sz w:val="20"/>
                <w:szCs w:val="20"/>
                <w:color w:val="auto"/>
              </w:rPr>
            </w:pPr>
            <w:r>
              <w:rPr>
                <w:rFonts w:ascii="Arial" w:cs="Arial" w:eastAsia="Arial" w:hAnsi="Arial"/>
                <w:sz w:val="18"/>
                <w:szCs w:val="18"/>
                <w:b w:val="1"/>
                <w:bCs w:val="1"/>
                <w:color w:val="auto"/>
                <w:w w:val="93"/>
              </w:rPr>
              <w:t>Consolidated Statements of Cash Flows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427"/>
        </w:trPr>
        <w:tc>
          <w:tcPr>
            <w:tcW w:w="5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4000" w:type="dxa"/>
            <w:vAlign w:val="bottom"/>
          </w:tcPr>
          <w:p>
            <w:pPr>
              <w:spacing w:after="0"/>
              <w:rPr>
                <w:sz w:val="24"/>
                <w:szCs w:val="24"/>
                <w:color w:val="auto"/>
              </w:rPr>
            </w:pPr>
          </w:p>
        </w:tc>
      </w:tr>
      <w:tr>
        <w:trPr>
          <w:trHeight w:val="234"/>
        </w:trPr>
        <w:tc>
          <w:tcPr>
            <w:tcW w:w="5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March 31, 2016</w:t>
            </w:r>
          </w:p>
        </w:tc>
        <w:tc>
          <w:tcPr>
            <w:tcW w:w="4000" w:type="dxa"/>
            <w:vAlign w:val="bottom"/>
          </w:tcPr>
          <w:p>
            <w:pPr>
              <w:spacing w:after="0"/>
              <w:rPr>
                <w:sz w:val="20"/>
                <w:szCs w:val="20"/>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 as reported</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(21,725,500)</w:t>
            </w:r>
          </w:p>
        </w:tc>
        <w:tc>
          <w:tcPr>
            <w:tcW w:w="60" w:type="dxa"/>
            <w:vAlign w:val="bottom"/>
            <w:tcBorders>
              <w:top w:val="single" w:sz="8" w:color="CCEEFF"/>
            </w:tcBorders>
            <w:shd w:val="clear" w:color="auto" w:fill="CCEEFF"/>
          </w:tcPr>
          <w:p>
            <w:pPr>
              <w:spacing w:after="0"/>
              <w:rPr>
                <w:sz w:val="18"/>
                <w:szCs w:val="18"/>
                <w:color w:val="auto"/>
              </w:rPr>
            </w:pPr>
          </w:p>
        </w:tc>
        <w:tc>
          <w:tcPr>
            <w:tcW w:w="400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Impact of Adoption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(2,864,518)</w:t>
            </w:r>
          </w:p>
        </w:tc>
        <w:tc>
          <w:tcPr>
            <w:tcW w:w="4000" w:type="dxa"/>
            <w:vAlign w:val="bottom"/>
          </w:tcPr>
          <w:p>
            <w:pPr>
              <w:spacing w:after="0"/>
              <w:rPr>
                <w:sz w:val="18"/>
                <w:szCs w:val="18"/>
                <w:color w:val="auto"/>
              </w:rPr>
            </w:pPr>
          </w:p>
        </w:tc>
      </w:tr>
      <w:tr>
        <w:trPr>
          <w:trHeight w:val="230"/>
        </w:trPr>
        <w:tc>
          <w:tcPr>
            <w:tcW w:w="5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cash (used in) financing activities after adoption</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(24,590,018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629"/>
        </w:trPr>
        <w:tc>
          <w:tcPr>
            <w:tcW w:w="5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w:t>
            </w: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18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(see Note 4 – “Investments – Fair Value Measurements” for further information relating to Level I, Level II and Level III). The guidance also required that purchases, sales, issuances and settlements be presented gross in the Level III reconciliation.</w:t>
      </w:r>
    </w:p>
    <w:p>
      <w:pPr>
        <w:spacing w:after="0" w:line="18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an annual third-party review of the Company’s CLO Securities fair value model relative to its functionality, model inputs and calculations as a reasonable method to determine fair values of CLO Securities, in the absence of Level I or Level II trading activity or observable market inputs. The independent valuation firm’s 2016 annual review concluded that the Company’s model appropriately factors in all the necessary inputs required to build an equity cash flow model for CLO Securities for fair value purposes and that the inputs were being employed correctly.</w:t>
      </w:r>
    </w:p>
    <w:p>
      <w:pPr>
        <w:spacing w:after="0" w:line="188" w:lineRule="exact"/>
        <w:rPr>
          <w:sz w:val="20"/>
          <w:szCs w:val="20"/>
          <w:color w:val="auto"/>
        </w:rPr>
      </w:pPr>
    </w:p>
    <w:p>
      <w:pPr>
        <w:ind w:right="120" w:firstLine="41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U.S.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 indications from normal course</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ind w:right="100" w:firstLine="32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18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right="180" w:firstLine="41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which is primarily determined utilizing the Discounted Cash Flow approach (as defined below),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w:t>
      </w:r>
    </w:p>
    <w:p>
      <w:pPr>
        <w:spacing w:after="0" w:line="193"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7" w:name="page38"/>
    <w:bookmarkEnd w:id="37"/>
    <w:p>
      <w:pPr>
        <w:ind w:right="120" w:firstLine="32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6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 Restricted cash and cash equivalents (e.g. money market funds) consists of cash held for reinvestment and quarterly interest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distribution (if any) to holders of notes issued by KCAP Senior Funding I, LLC.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Cash and Restricted Cash are comprised of:</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4"/>
                <w:szCs w:val="24"/>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60" w:type="dxa"/>
            <w:vAlign w:val="bottom"/>
            <w:gridSpan w:val="4"/>
          </w:tcPr>
          <w:p>
            <w:pPr>
              <w:ind w:left="1100"/>
              <w:spacing w:after="0"/>
              <w:rPr>
                <w:sz w:val="20"/>
                <w:szCs w:val="20"/>
                <w:color w:val="auto"/>
              </w:rPr>
            </w:pPr>
            <w:r>
              <w:rPr>
                <w:rFonts w:ascii="Arial" w:cs="Arial" w:eastAsia="Arial" w:hAnsi="Arial"/>
                <w:sz w:val="18"/>
                <w:szCs w:val="18"/>
                <w:b w:val="1"/>
                <w:bCs w:val="1"/>
                <w:color w:val="auto"/>
              </w:rPr>
              <w:t>March 31, 2017</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3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5,178,290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Restricted Cash</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7,986,487</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8,528,298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11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13,164,777</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9,835,555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b w:val="1"/>
          <w:bCs w:val="1"/>
          <w:i w:val="1"/>
          <w:iCs w:val="1"/>
          <w:color w:val="auto"/>
        </w:rPr>
        <w:t>Time Deposits and Money Market Accounts</w:t>
      </w:r>
      <w:r>
        <w:rPr>
          <w:rFonts w:ascii="Arial" w:cs="Arial" w:eastAsia="Arial" w:hAnsi="Arial"/>
          <w:sz w:val="16"/>
          <w:szCs w:val="16"/>
          <w:color w:val="auto"/>
        </w:rPr>
        <w:t>. Time deposits primarily represent investments of cash held in demand deposit accounts. Money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primarily represent short term interest-bearing deposit accounts and also includes restricted cash held under employee benefit plans.</w:t>
      </w:r>
    </w:p>
    <w:p>
      <w:pPr>
        <w:spacing w:after="0" w:line="12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including the amortization of premium and accretion of discount and accrual of payment-in-kind (“PIK”) interest,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March 31, 2017, two of our investments were on partial non-accrual status, whereby we have recognized income on a portion of contractual PIK amounts due.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Distributions from Asset Manager Affiliates</w:t>
      </w:r>
      <w:r>
        <w:rPr>
          <w:rFonts w:ascii="Arial" w:cs="Arial" w:eastAsia="Arial" w:hAnsi="Arial"/>
          <w:sz w:val="18"/>
          <w:szCs w:val="18"/>
          <w:color w:val="auto"/>
        </w:rPr>
        <w:t>. The Company records distributions from our Asset Manager Affiliates on the declaration date,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8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b w:val="1"/>
          <w:bCs w:val="1"/>
          <w:i w:val="1"/>
          <w:iCs w:val="1"/>
          <w:color w:val="auto"/>
        </w:rPr>
        <w:t>Investment Income on CLO Fund Securities</w:t>
      </w:r>
      <w:r>
        <w:rPr>
          <w:rFonts w:ascii="Arial" w:cs="Arial" w:eastAsia="Arial" w:hAnsi="Arial"/>
          <w:sz w:val="16"/>
          <w:szCs w:val="16"/>
          <w:color w:val="auto"/>
        </w:rPr>
        <w:t>. The Company generates investment income from its investments in the most junior class of securities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6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U.S. 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Catamaran CLO 2014-1 Ltd., interest is earned at a fixed spread relative to the LIBOR index.</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and amortized using the effective interest method over the expected term of the borrowing.</w:t>
      </w:r>
    </w:p>
    <w:p>
      <w:pPr>
        <w:spacing w:after="0" w:line="1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b w:val="1"/>
          <w:bCs w:val="1"/>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15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b w:val="1"/>
          <w:bCs w:val="1"/>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Board of Directors each quarter.</w:t>
      </w:r>
    </w:p>
    <w:p>
      <w:pPr>
        <w:spacing w:after="0" w:line="170"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distributions automatically reinvested in additional shares of the Company’s common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3. EARNINGS (LOSSES) PER SHARE</w:t>
      </w:r>
    </w:p>
    <w:p>
      <w:pPr>
        <w:spacing w:after="0" w:line="229"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In accordance with the provisions of ASC 260, “Earnings per Share”,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months ended March 31, 2017 and 2016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$385,552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$(6,842,699)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Net (decrease) increase in net assets allocated to unvested share awards</w:t>
            </w:r>
          </w:p>
        </w:tc>
        <w:tc>
          <w:tcPr>
            <w:tcW w:w="2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(4,238)</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123,579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Net increase (decrease) in net assets available to common stockholders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381,314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(6,719,120)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6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 for basic shares computation</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37,202,996</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37,109,735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number of common and common stock equivalent shares outstanding for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diluted shares computation</w:t>
            </w: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37,202,996</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37,109,735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per basic common shares: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per diluted shares: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There were 50,000 options to purchase shares of common stock considered for the computation of the diluted per share information for the three months ended March 31, 2017 and 2016. Since the effects are anti-dilutive for both periods, the options were not included in the computation.</w:t>
      </w:r>
    </w:p>
    <w:p>
      <w:pPr>
        <w:spacing w:after="0" w:line="14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Company’s Convertible Notes were included in the computation of the diluted net increase or decrease in net assets resulting from operations per share by application of the “if-converted method” for periods when the Convertible Notes were outstanding. Under the if-converted method, interest charges applicable to the convertible notes for the period are added to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The Convertible Notes matured and were repaid in March 2016.</w:t>
      </w: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4. INVESTMENTS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20" w:type="dxa"/>
            <w:vAlign w:val="bottom"/>
            <w:gridSpan w:val="15"/>
          </w:tcPr>
          <w:p>
            <w:pPr>
              <w:jc w:val="right"/>
              <w:ind w:right="20"/>
              <w:spacing w:after="0"/>
              <w:rPr>
                <w:sz w:val="20"/>
                <w:szCs w:val="20"/>
                <w:color w:val="auto"/>
              </w:rPr>
            </w:pPr>
            <w:r>
              <w:rPr>
                <w:rFonts w:ascii="Arial" w:cs="Arial" w:eastAsia="Arial" w:hAnsi="Arial"/>
                <w:sz w:val="18"/>
                <w:szCs w:val="18"/>
                <w:color w:val="auto"/>
                <w:w w:val="94"/>
              </w:rPr>
              <w:t>The following table shows the Company’s portfolio by security type at March 31, 2017 and December 31, 2016: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2"/>
              </w:rPr>
              <w:t>March 31, 2017 (unaudited)</w:t>
            </w: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 2016</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48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9"/>
              </w:rPr>
              <w:t>Cost/Amortized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6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5"/>
              </w:rPr>
              <w:t>Fair Value</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%¹</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Accounts³</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22,674,790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22,674,790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202,900,985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196,533,708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207,701,078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200,322,152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40,171,813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38,545,305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37,251,776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35,444,440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First Lien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3,054,338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1,089,338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3,060,919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1,089,338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1,505,454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1,489,350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1,506,461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1,487,400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76,994,975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52,999,028</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76,851,317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54,174,350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10,389,008</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4,902,794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10,389,007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5,056,355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Asset Manager Affiliates²</w:t>
            </w: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54,691,230</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36,942,000</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55,341,230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40,198,000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412,382,593</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355,176,313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420,801,057</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366,471,304</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right="6360" w:firstLine="8"/>
        <w:spacing w:after="0" w:line="323" w:lineRule="auto"/>
        <w:tabs>
          <w:tab w:leader="none" w:pos="3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equity investment in the Asset Manager Affiliates. ³ Includes restricted cash held under employee benefit plans.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right="6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2017 and December 31, 2016,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4"/>
              </w:rPr>
              <w:t>March 31, 2017 (unaudited)</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rPr>
              <w:t>December 31, 2016</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Industry Classification</w:t>
            </w: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7"/>
              </w:rPr>
              <w:t>Cost/Amortized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 and Defense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8,374,160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8,274,335</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8,394,633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8,450,106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54,691,230</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36,942,000</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55,341,230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40,198,000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7,801,993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7,769,075</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6,322,551</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6,196,154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Banking, Finance, Insurance &amp; Real Estate</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5,592,918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5,555,171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6,805,514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6,782,010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Beverage, Food and Tobacco</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15,018,374</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14,526,304</w:t>
            </w: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15,198,830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14,703,372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Capital Equipment</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9,665,714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8,943,739</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6,185,129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5,575,048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Chemicals, Plastics and Rubber</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6,406,392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6,429,950</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6,421,909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6,444,073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CLO Fund Securities</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76,994,975</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52,999,028</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76,851,317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54,174,350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Construction &amp; Building</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5,891,717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5,940,196</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5,919,158</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5,929,606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Consumer goods: Durable</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10,970,920</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8,996,058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12,319,905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10,118,736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Consumer goods: Non-durable</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14,247,238</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14,148,705</w:t>
            </w: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14,766,390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14,452,096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Ecological</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1,741,292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1,760,783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Energy: Electricity</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3,895,827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3,928,014</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3,904,453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3,937,247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Energy: Oil &amp; Gas</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14,658,057</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10,181,138</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14,493,835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8,805,761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Environmental Industries</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13,924,571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13,589,885</w:t>
            </w: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12,279,924</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12,185,239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Forest Products &amp; Paper</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4,188,710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4,209,862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4,192,889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4,192,907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Healthcare &amp; Pharmaceuticals</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57,616,979</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53,624,475</w:t>
            </w: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58,769,668</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53,594,534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High Tech Industries</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10,963,154</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11,019,979</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9,854,093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9,936,109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Hotel, Gaming &amp; Leisure</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2,390,110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1,991,000</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Media: Advertising, Printing &amp; Publishing</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11,441,315</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11,207,306</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11,712,682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11,453,447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Media: Broadcasting &amp; Subscription</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5,840,975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5,884,115</w:t>
            </w: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8,273,174</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8,372,984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1,416,024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593,445</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1,415,457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759,581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Business</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20,427,358</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19,412,602</w:t>
            </w: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16,125,481</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16,230,486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Services: Consumer</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6,035,256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6,021,103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6,212,108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6,204,889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Telecommunications</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6,017,657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5,986,937</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12,809,799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12,767,823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22,674,790</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22,674,791</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28,699,269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28,699,269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Cargo</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7,423,418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7,118,789</w:t>
            </w: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7,557,315</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7,190,135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Transportation: Consumer</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2,397,545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2,317,219</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2,412,614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2,324,516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Utilities: Electric</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5,415,216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4,891,092</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5,420,438</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5,031,043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412,382,593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355,176,313</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100%</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420,801,057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366,471,304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ind w:left="340" w:hanging="332"/>
        <w:spacing w:after="0" w:line="180"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right="80" w:firstLine="324"/>
        <w:spacing w:after="0" w:line="264"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8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At March 31, 2017 and December 31, 2016, the total amount of non-qualifying assets was approximately 17% of total assets, for both periods. The majority of non-qualifying assets were foreign investments which were approximately 15% and 14%, respectively, of the Company’s total assets (including the Company’s investments in CLO Funds, which are typically domiciled outside the U.S. and represented approximately 14% of its total assets for both periods).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investments (at fair value) as of March 31, 2017 and December 31, 2016,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1040"/>
              <w:spacing w:after="0"/>
              <w:rPr>
                <w:sz w:val="20"/>
                <w:szCs w:val="20"/>
                <w:color w:val="auto"/>
              </w:rPr>
            </w:pPr>
            <w:r>
              <w:rPr>
                <w:rFonts w:ascii="Arial" w:cs="Arial" w:eastAsia="Arial" w:hAnsi="Arial"/>
                <w:sz w:val="18"/>
                <w:szCs w:val="18"/>
                <w:b w:val="1"/>
                <w:bCs w:val="1"/>
                <w:color w:val="auto"/>
              </w:rPr>
              <w:t>March 31, 2017</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9"/>
              </w:rPr>
              <w:t>Cost/Amortized Cost</w:t>
            </w:r>
          </w:p>
        </w:tc>
        <w:tc>
          <w:tcPr>
            <w:tcW w:w="1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 of FMV</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54,691,230</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36,942,000</w:t>
            </w:r>
          </w:p>
        </w:tc>
        <w:tc>
          <w:tcPr>
            <w:tcW w:w="180" w:type="dxa"/>
            <w:vAlign w:val="bottom"/>
            <w:vMerge w:val="continue"/>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US Bank Money Market Account</w:t>
            </w:r>
          </w:p>
        </w:tc>
        <w:tc>
          <w:tcPr>
            <w:tcW w:w="4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22,660,522</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22,660,522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29,101,810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20,847,854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Grupo HIMA San Pablo, Inc.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9,831,239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9,134,800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Catamaran CLO 2016-1 Ltd.</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10,478,346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8,365,500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Tank Partners Holdings, LLC</w:t>
            </w:r>
          </w:p>
        </w:tc>
        <w:tc>
          <w:tcPr>
            <w:tcW w:w="4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11,985,697</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7,821,575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Roscoe Medical, Inc.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6,669,733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6,499,000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GK Holdings, Inc. (aka Global Knowledge)</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5,892,434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5,879,408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Nielsen &amp; Bainbridge, LLC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5,361,360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Weiman Products, LLC</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4,964,167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4,904,989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161,603,712</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128,417,008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1180"/>
              <w:spacing w:after="0"/>
              <w:rPr>
                <w:sz w:val="20"/>
                <w:szCs w:val="20"/>
                <w:color w:val="auto"/>
              </w:rPr>
            </w:pPr>
            <w:r>
              <w:rPr>
                <w:rFonts w:ascii="Arial" w:cs="Arial" w:eastAsia="Arial" w:hAnsi="Arial"/>
                <w:sz w:val="18"/>
                <w:szCs w:val="18"/>
                <w:b w:val="1"/>
                <w:bCs w:val="1"/>
                <w:color w:val="auto"/>
              </w:rPr>
              <w:t>December 31, 2016</w:t>
            </w: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9"/>
              </w:rPr>
              <w:t>Cost/Amortized Cost</w:t>
            </w:r>
          </w:p>
        </w:tc>
        <w:tc>
          <w:tcPr>
            <w:tcW w:w="1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040" w:type="dxa"/>
            <w:vAlign w:val="bottom"/>
          </w:tcPr>
          <w:p>
            <w:pPr>
              <w:ind w:left="100"/>
              <w:spacing w:after="0"/>
              <w:rPr>
                <w:sz w:val="20"/>
                <w:szCs w:val="20"/>
                <w:color w:val="auto"/>
              </w:rPr>
            </w:pPr>
            <w:r>
              <w:rPr>
                <w:rFonts w:ascii="Arial" w:cs="Arial" w:eastAsia="Arial" w:hAnsi="Arial"/>
                <w:sz w:val="18"/>
                <w:szCs w:val="18"/>
                <w:b w:val="1"/>
                <w:bCs w:val="1"/>
                <w:color w:val="auto"/>
              </w:rPr>
              <w:t>% of FMV</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55,341,230</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18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US Bank Money Market Account</w:t>
            </w: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28,685,001</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28,685,001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28,022,646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20,453,099</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Grupo HIMA San Pablo, Inc.</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9,828,619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9,113,125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Catamaran CLO 2016-1 Ltd.</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10,140,000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8,350,290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Tank Partners Holdings, LLC</w:t>
            </w: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11,822,180</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6,552,311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Roscoe Medical, Inc.</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6,499,000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Weiman Products, LLC</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5,462,647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5,321,809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Nielsen &amp; Bainbridge, LLC</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5,326,136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5,199,447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Catamaran CLO 2014-2 Ltd.</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6,967,560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5,092,087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168,262,752</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135,464,169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37</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3" w:name="page44"/>
    <w:bookmarkEnd w:id="43"/>
    <w:p>
      <w:pPr>
        <w:ind w:right="140" w:firstLine="324"/>
        <w:spacing w:after="0" w:line="342" w:lineRule="auto"/>
        <w:rPr>
          <w:sz w:val="20"/>
          <w:szCs w:val="20"/>
          <w:color w:val="auto"/>
        </w:rPr>
      </w:pPr>
      <w:r>
        <w:rPr>
          <w:rFonts w:ascii="Arial" w:cs="Arial" w:eastAsia="Arial" w:hAnsi="Arial"/>
          <w:sz w:val="16"/>
          <w:szCs w:val="16"/>
          <w:color w:val="auto"/>
        </w:rPr>
        <w:t>Excluding the Asset Manager Affiliates, CLO Fund securities and Money Market Accounts, the Company’s ten largest portfolio companies represented approximately 16% and 13% of the total fair value of the Company’s investments at March 31, 2017 and December 31, 2016,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6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December 2016, the Company purchased $10.1 million of the par value of the Subordinated Notes of Catamaran 2016-1 CLO (“Catamaran 2016-1”) managed by Trimaran Advisors.</w:t>
      </w:r>
    </w:p>
    <w:p>
      <w:pPr>
        <w:spacing w:after="0" w:line="17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All CLO Funds managed by the Asset Manager Affiliates are currently making quarterly distributions to the Company with respect to its interests in the CLO Funds and are paying all senior and subordinate management fees to the Asset Manager Affiliates. In January 2017, the trustees of Trimaran CLO VII, Ltd. (Trimaran VII) received notice that the holders of a majority of the income notes issued by Trimaran VII had exercised their right of optional redemption. With the exception of Katonah III, Ltd. and Grant Grove CLO, Ltd. (both of which have been called), all third-party managed CLO Funds are making distributions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 Significant Accounting Policies — Investments”).</w:t>
      </w:r>
    </w:p>
    <w:p>
      <w:pPr>
        <w:spacing w:after="0" w:line="1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4" w:name="page45"/>
    <w:bookmarkEnd w:id="44"/>
    <w:p>
      <w:pPr>
        <w:ind w:left="340" w:right="300" w:firstLine="32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340" w:right="60" w:firstLine="32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340" w:right="40" w:firstLine="32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March 31, 2017 (unaudited) and December 31, 2016,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5"/>
              </w:rPr>
              <w:t>As of March 31, 2017 (unaudited)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II</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III</w:t>
            </w:r>
          </w:p>
        </w:tc>
        <w:tc>
          <w:tcPr>
            <w:tcW w:w="16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6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22,674,790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22,674,790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Debt securities</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60,373,139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177,284,562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237,657,701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52,999,028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52,999,028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Equity securities</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4,902,794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4,902,794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36,942,000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36,942,000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83,047,929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272,128,384</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355,176,313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5"/>
          </w:tcPr>
          <w:p>
            <w:pPr>
              <w:ind w:left="80"/>
              <w:spacing w:after="0"/>
              <w:rPr>
                <w:sz w:val="20"/>
                <w:szCs w:val="20"/>
                <w:color w:val="auto"/>
              </w:rPr>
            </w:pPr>
            <w:r>
              <w:rPr>
                <w:rFonts w:ascii="Arial" w:cs="Arial" w:eastAsia="Arial" w:hAnsi="Arial"/>
                <w:sz w:val="18"/>
                <w:szCs w:val="18"/>
                <w:b w:val="1"/>
                <w:bCs w:val="1"/>
                <w:color w:val="auto"/>
              </w:rPr>
              <w:t>As of December 31, 2016</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III</w:t>
            </w:r>
          </w:p>
        </w:tc>
        <w:tc>
          <w:tcPr>
            <w:tcW w:w="16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6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Debt securities</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84,601,585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153,741,745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238,343,330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54,174,350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54,174,350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Equity securities</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5,056,355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5,056,355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40,198,000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40,198,000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113,300,854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253,170,450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366,471,304</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45" w:name="page46"/>
    <w:bookmarkEnd w:id="45"/>
    <w:p>
      <w:pPr>
        <w:ind w:right="60" w:firstLine="324"/>
        <w:spacing w:after="0" w:line="308"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w:t>
      </w:r>
    </w:p>
    <w:p>
      <w:pPr>
        <w:spacing w:after="0" w:line="14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8"/>
                <w:szCs w:val="18"/>
                <w:b w:val="1"/>
                <w:bCs w:val="1"/>
                <w:color w:val="auto"/>
                <w:w w:val="91"/>
              </w:rPr>
              <w:t>Three Months Ended March 31, 2017 (unaudited)</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40" w:type="dxa"/>
            <w:vAlign w:val="bottom"/>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88"/>
              </w:rPr>
              <w:t>Asset Manager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Debt Securities</w:t>
            </w:r>
          </w:p>
        </w:tc>
        <w:tc>
          <w:tcPr>
            <w:tcW w:w="1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153,741,745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54,174,350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253,170,450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Transfers out of Level III¹</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(9,588,627)</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(9,588,627)</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into Level III²</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35,280,388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35,280,388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Net accretion of discount</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87,591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143,658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231,249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3,125,049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Sales / Paydowns / Return of Capital</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(6,742,543)</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(650,000)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(7,392,543)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realized gain included in earnings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34,806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1,346,154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(1,318,980)</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(153,562)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(2,606,000)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(2,732,388)</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March 31, 2017</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177,284,562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52,999,028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4,902,794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36,942,000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272,128,384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1,360,306</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(1,318,980)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(154,562)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(2,606,000)</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(2,719,236)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¹Transfers out of Level III represent a transfer of $9,588,627 relating to debt securities for which pricing inputs, other than their quoted prices in active markets were observable as of March 31, 2017</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²Transfers into Level III represent a transfer of $35,280,388 relating to debt securities for which pricing inputs, other than their quoted prices in active markets were unobservable as of March 31,2017</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 2016</w:t>
            </w: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40" w:type="dxa"/>
            <w:vAlign w:val="bottom"/>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88"/>
              </w:rPr>
              <w:t>Asset Manager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Debt Securities</w:t>
            </w:r>
          </w:p>
        </w:tc>
        <w:tc>
          <w:tcPr>
            <w:tcW w:w="14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6"/>
              </w:rPr>
              <w:t>Affiliate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183,400,465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55,872,382</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9,103,003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305,756,850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Transfers out of Level III¹</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(14,855,471)</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(14,855,471)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into Level III²</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22,107,141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445,485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22,552,626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Net accretion of discount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318,999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(2,192,069)</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(1,873,070)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33,641,315</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10,140,000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180,161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43,961,476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Sales/Paydowns/ Return of Capital</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(66,559,349)</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(4,200,000)</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(4,743,682)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(76,753,031)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(366,924)</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(10,111,560)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4,484,742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(5,993,742)</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(3,944,431)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4,665,597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(4,413,354)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(15,933,000)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(19,625,188)</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153,741,745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54,174,350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253,170,450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(6,969,509)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4,665,597</w:t>
            </w:r>
          </w:p>
        </w:tc>
        <w:tc>
          <w:tcPr>
            <w:tcW w:w="26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(4,413,354)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(15,933,000)</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(22,650,266)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¹Transfers out of Level III represent a transfer of $14,855,471 relating to debt securities for which pricing inputs, other than their quoted prices in active markets were observable as of December 31, 2016.</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²Transfers into Level III represent a transfer of $22,107,141 relating to debt securities for which pricing inputs, other than their quoted prices in active markets were unobservable as of December 31, 2016.</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As of March 31, 2017 and December 31, 2016,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$83,047,929 and $113,300,854 as of March 31, 2017 and December 31, 2016,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2017,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Primary Valuation</w:t>
            </w:r>
          </w:p>
        </w:tc>
        <w:tc>
          <w:tcPr>
            <w:tcW w:w="1820" w:type="dxa"/>
            <w:vAlign w:val="bottom"/>
            <w:tcBorders>
              <w:top w:val="single" w:sz="8" w:color="auto"/>
              <w:right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80" w:type="dxa"/>
            <w:vAlign w:val="bottom"/>
            <w:tcBorders>
              <w:top w:val="single" w:sz="8" w:color="auto"/>
              <w:right w:val="single" w:sz="8" w:color="auto"/>
            </w:tcBorders>
          </w:tcPr>
          <w:p>
            <w:pPr>
              <w:ind w:left="780"/>
              <w:spacing w:after="0" w:line="198" w:lineRule="exact"/>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221"/>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Type</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8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Methodology</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4"/>
              </w:rPr>
              <w:t>Unobservable Inputs</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50"/>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260" w:type="dxa"/>
            <w:vAlign w:val="bottom"/>
          </w:tcPr>
          <w:p>
            <w:pPr>
              <w:jc w:val="right"/>
              <w:ind w:right="108"/>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8,908,912</w:t>
            </w:r>
          </w:p>
        </w:tc>
        <w:tc>
          <w:tcPr>
            <w:tcW w:w="1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Average EBITDA</w:t>
            </w:r>
          </w:p>
        </w:tc>
        <w:tc>
          <w:tcPr>
            <w:tcW w:w="380" w:type="dxa"/>
            <w:vAlign w:val="bottom"/>
          </w:tcPr>
          <w:p>
            <w:pPr>
              <w:spacing w:after="0"/>
              <w:rPr>
                <w:sz w:val="20"/>
                <w:szCs w:val="20"/>
                <w:color w:val="auto"/>
              </w:rPr>
            </w:pPr>
            <w:r>
              <w:rPr>
                <w:rFonts w:ascii="Arial" w:cs="Arial" w:eastAsia="Arial" w:hAnsi="Arial"/>
                <w:sz w:val="18"/>
                <w:szCs w:val="18"/>
                <w:color w:val="auto"/>
              </w:rPr>
              <w:t>5.3x</w:t>
            </w:r>
          </w:p>
        </w:tc>
        <w:tc>
          <w:tcPr>
            <w:tcW w:w="100" w:type="dxa"/>
            <w:vAlign w:val="bottom"/>
          </w:tcPr>
          <w:p>
            <w:pPr>
              <w:spacing w:after="0"/>
              <w:rPr>
                <w:sz w:val="21"/>
                <w:szCs w:val="21"/>
                <w:color w:val="auto"/>
              </w:rPr>
            </w:pPr>
          </w:p>
        </w:tc>
        <w:tc>
          <w:tcPr>
            <w:tcW w:w="3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808080"/>
              <w:right w:val="single" w:sz="8" w:color="auto"/>
            </w:tcBorders>
          </w:tcPr>
          <w:p>
            <w:pPr>
              <w:spacing w:after="0" w:line="149" w:lineRule="exact"/>
              <w:rPr>
                <w:sz w:val="20"/>
                <w:szCs w:val="20"/>
                <w:color w:val="auto"/>
              </w:rPr>
            </w:pPr>
            <w:r>
              <w:rPr>
                <w:rFonts w:ascii="Arial" w:cs="Arial" w:eastAsia="Arial" w:hAnsi="Arial"/>
                <w:sz w:val="17"/>
                <w:szCs w:val="17"/>
                <w:color w:val="auto"/>
              </w:rPr>
              <w:t>Multiple</w:t>
            </w:r>
          </w:p>
        </w:tc>
        <w:tc>
          <w:tcPr>
            <w:tcW w:w="3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3280" w:type="dxa"/>
            <w:vAlign w:val="bottom"/>
            <w:tcBorders>
              <w:bottom w:val="single" w:sz="8" w:color="808080"/>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168,375,650</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Income Approach</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Implied Discount Rate</w:t>
            </w:r>
          </w:p>
        </w:tc>
        <w:tc>
          <w:tcPr>
            <w:tcW w:w="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7"/>
              </w:rPr>
              <w:t>5.7%</w:t>
            </w:r>
          </w:p>
        </w:tc>
        <w:tc>
          <w:tcPr>
            <w:tcW w:w="3380" w:type="dxa"/>
            <w:vAlign w:val="bottom"/>
            <w:tcBorders>
              <w:bottom w:val="single" w:sz="8" w:color="auto"/>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 22.6% (9.3)%</w:t>
            </w: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spacing w:after="0"/>
              <w:rPr>
                <w:sz w:val="15"/>
                <w:szCs w:val="15"/>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4,895,794</w:t>
            </w: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Average EBITDA</w:t>
            </w:r>
          </w:p>
        </w:tc>
        <w:tc>
          <w:tcPr>
            <w:tcW w:w="376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4.3x/6.7% – 15.5x/14.2% (9.5x/11.4)%</w:t>
            </w:r>
          </w:p>
        </w:tc>
        <w:tc>
          <w:tcPr>
            <w:tcW w:w="0" w:type="dxa"/>
            <w:vAlign w:val="bottom"/>
          </w:tcPr>
          <w:p>
            <w:pPr>
              <w:spacing w:after="0"/>
              <w:rPr>
                <w:sz w:val="1"/>
                <w:szCs w:val="1"/>
                <w:color w:val="auto"/>
              </w:rPr>
            </w:pPr>
          </w:p>
        </w:tc>
      </w:tr>
      <w:tr>
        <w:trPr>
          <w:trHeight w:val="122"/>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260" w:type="dxa"/>
            <w:vAlign w:val="bottom"/>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Multiple/WAAC</w:t>
            </w:r>
          </w:p>
        </w:tc>
        <w:tc>
          <w:tcPr>
            <w:tcW w:w="37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right w:val="single" w:sz="8" w:color="auto"/>
            </w:tcBorders>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56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7,000</w:t>
            </w: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Options Value</w:t>
            </w:r>
          </w:p>
        </w:tc>
        <w:tc>
          <w:tcPr>
            <w:tcW w:w="1820" w:type="dxa"/>
            <w:vAlign w:val="bottom"/>
            <w:tcBorders>
              <w:bottom w:val="single" w:sz="8" w:color="auto"/>
              <w:right w:val="single" w:sz="8" w:color="auto"/>
            </w:tcBorders>
          </w:tcPr>
          <w:p>
            <w:pPr>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Discount Rate</w:t>
            </w:r>
          </w:p>
        </w:tc>
        <w:tc>
          <w:tcPr>
            <w:tcW w:w="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7"/>
              </w:rPr>
              <w:t>9.6%</w:t>
            </w:r>
          </w:p>
        </w:tc>
        <w:tc>
          <w:tcPr>
            <w:tcW w:w="3380" w:type="dxa"/>
            <w:vAlign w:val="bottom"/>
            <w:tcBorders>
              <w:bottom w:val="single" w:sz="8" w:color="auto"/>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 13.0% (13.0)%</w:t>
            </w: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right w:val="single" w:sz="8" w:color="auto"/>
            </w:tcBorders>
          </w:tcPr>
          <w:p>
            <w:pPr>
              <w:spacing w:after="0"/>
              <w:rPr>
                <w:sz w:val="17"/>
                <w:szCs w:val="17"/>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44,633,528</w:t>
            </w: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Discounted Cash Flow</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Probability of Default</w:t>
            </w:r>
          </w:p>
        </w:tc>
        <w:tc>
          <w:tcPr>
            <w:tcW w:w="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7"/>
              </w:rPr>
              <w:t>2.0%</w:t>
            </w:r>
          </w:p>
        </w:tc>
        <w:tc>
          <w:tcPr>
            <w:tcW w:w="3380" w:type="dxa"/>
            <w:vAlign w:val="bottom"/>
            <w:tcBorders>
              <w:bottom w:val="single" w:sz="8" w:color="auto"/>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 2.5% (2.0)%</w:t>
            </w: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260" w:type="dxa"/>
            <w:vAlign w:val="bottom"/>
            <w:vMerge w:val="continue"/>
          </w:tcPr>
          <w:p>
            <w:pPr>
              <w:spacing w:after="0"/>
              <w:rPr>
                <w:sz w:val="17"/>
                <w:szCs w:val="17"/>
                <w:color w:val="auto"/>
              </w:rPr>
            </w:pPr>
          </w:p>
        </w:tc>
        <w:tc>
          <w:tcPr>
            <w:tcW w:w="1200" w:type="dxa"/>
            <w:vAlign w:val="bottom"/>
            <w:tcBorders>
              <w:right w:val="single" w:sz="8" w:color="auto"/>
            </w:tcBorders>
            <w:vMerge w:val="continue"/>
          </w:tcPr>
          <w:p>
            <w:pPr>
              <w:spacing w:after="0"/>
              <w:rPr>
                <w:sz w:val="17"/>
                <w:szCs w:val="17"/>
                <w:color w:val="auto"/>
              </w:rPr>
            </w:pPr>
          </w:p>
        </w:tc>
        <w:tc>
          <w:tcPr>
            <w:tcW w:w="1820" w:type="dxa"/>
            <w:vAlign w:val="bottom"/>
            <w:tcBorders>
              <w:right w:val="single" w:sz="8" w:color="auto"/>
            </w:tcBorders>
            <w:vMerge w:val="continue"/>
          </w:tcPr>
          <w:p>
            <w:pPr>
              <w:spacing w:after="0"/>
              <w:rPr>
                <w:sz w:val="17"/>
                <w:szCs w:val="17"/>
                <w:color w:val="auto"/>
              </w:rPr>
            </w:pP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Loss Severity</w:t>
            </w:r>
          </w:p>
        </w:tc>
        <w:tc>
          <w:tcPr>
            <w:tcW w:w="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0"/>
              </w:rPr>
              <w:t>25.0%</w:t>
            </w:r>
          </w:p>
        </w:tc>
        <w:tc>
          <w:tcPr>
            <w:tcW w:w="328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 25.9% (25.9)%</w:t>
            </w:r>
          </w:p>
        </w:tc>
        <w:tc>
          <w:tcPr>
            <w:tcW w:w="0" w:type="dxa"/>
            <w:vAlign w:val="bottom"/>
          </w:tcPr>
          <w:p>
            <w:pPr>
              <w:spacing w:after="0"/>
              <w:rPr>
                <w:sz w:val="1"/>
                <w:szCs w:val="1"/>
                <w:color w:val="auto"/>
              </w:rPr>
            </w:pPr>
          </w:p>
        </w:tc>
      </w:tr>
      <w:tr>
        <w:trPr>
          <w:trHeight w:val="102"/>
        </w:trPr>
        <w:tc>
          <w:tcPr>
            <w:tcW w:w="2560" w:type="dxa"/>
            <w:vAlign w:val="bottom"/>
            <w:tcBorders>
              <w:left w:val="single" w:sz="8" w:color="auto"/>
              <w:right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spacing w:after="0" w:line="196" w:lineRule="exact"/>
              <w:rPr>
                <w:sz w:val="20"/>
                <w:szCs w:val="20"/>
                <w:color w:val="auto"/>
              </w:rPr>
            </w:pPr>
            <w:r>
              <w:rPr>
                <w:rFonts w:ascii="Arial" w:cs="Arial" w:eastAsia="Arial" w:hAnsi="Arial"/>
                <w:sz w:val="18"/>
                <w:szCs w:val="18"/>
                <w:color w:val="auto"/>
              </w:rPr>
              <w:t>Recovery Rate</w:t>
            </w:r>
          </w:p>
        </w:tc>
        <w:tc>
          <w:tcPr>
            <w:tcW w:w="4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90"/>
              </w:rPr>
              <w:t>74.1%</w:t>
            </w:r>
          </w:p>
        </w:tc>
        <w:tc>
          <w:tcPr>
            <w:tcW w:w="3280" w:type="dxa"/>
            <w:vAlign w:val="bottom"/>
            <w:tcBorders>
              <w:right w:val="single" w:sz="8" w:color="auto"/>
            </w:tcBorders>
            <w:vMerge w:val="restart"/>
          </w:tcPr>
          <w:p>
            <w:pPr>
              <w:ind w:left="20"/>
              <w:spacing w:after="0" w:line="196" w:lineRule="exact"/>
              <w:rPr>
                <w:sz w:val="20"/>
                <w:szCs w:val="20"/>
                <w:color w:val="auto"/>
              </w:rPr>
            </w:pPr>
            <w:r>
              <w:rPr>
                <w:rFonts w:ascii="Arial" w:cs="Arial" w:eastAsia="Arial" w:hAnsi="Arial"/>
                <w:sz w:val="18"/>
                <w:szCs w:val="18"/>
                <w:color w:val="auto"/>
              </w:rPr>
              <w:t>– 75% (74.1)%</w:t>
            </w:r>
          </w:p>
        </w:tc>
        <w:tc>
          <w:tcPr>
            <w:tcW w:w="0" w:type="dxa"/>
            <w:vAlign w:val="bottom"/>
          </w:tcPr>
          <w:p>
            <w:pPr>
              <w:spacing w:after="0"/>
              <w:rPr>
                <w:sz w:val="1"/>
                <w:szCs w:val="1"/>
                <w:color w:val="auto"/>
              </w:rPr>
            </w:pPr>
          </w:p>
        </w:tc>
      </w:tr>
      <w:tr>
        <w:trPr>
          <w:trHeight w:val="100"/>
        </w:trPr>
        <w:tc>
          <w:tcPr>
            <w:tcW w:w="2560" w:type="dxa"/>
            <w:vAlign w:val="bottom"/>
            <w:tcBorders>
              <w:left w:val="single" w:sz="8" w:color="auto"/>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480" w:type="dxa"/>
            <w:vAlign w:val="bottom"/>
            <w:tcBorders>
              <w:bottom w:val="single" w:sz="8" w:color="auto"/>
            </w:tcBorders>
            <w:gridSpan w:val="2"/>
            <w:vMerge w:val="continue"/>
          </w:tcPr>
          <w:p>
            <w:pPr>
              <w:spacing w:after="0"/>
              <w:rPr>
                <w:sz w:val="8"/>
                <w:szCs w:val="8"/>
                <w:color w:val="auto"/>
              </w:rPr>
            </w:pPr>
          </w:p>
        </w:tc>
        <w:tc>
          <w:tcPr>
            <w:tcW w:w="32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Prepayment Rate</w:t>
            </w:r>
          </w:p>
        </w:tc>
        <w:tc>
          <w:tcPr>
            <w:tcW w:w="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0"/>
              </w:rPr>
              <w:t>25.0%</w:t>
            </w:r>
          </w:p>
        </w:tc>
        <w:tc>
          <w:tcPr>
            <w:tcW w:w="328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 29.1% (25.1)%</w:t>
            </w: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8,365,500</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Market Approach</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3rd Party Quote</w:t>
            </w:r>
          </w:p>
        </w:tc>
        <w:tc>
          <w:tcPr>
            <w:tcW w:w="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0"/>
              </w:rPr>
              <w:t>82.5%</w:t>
            </w:r>
          </w:p>
        </w:tc>
        <w:tc>
          <w:tcPr>
            <w:tcW w:w="328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(82. 5)%</w:t>
            </w: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2"/>
              </w:rPr>
              <w:t>Asset Manager Affiliate</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36,942,000</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w w:val="98"/>
              </w:rPr>
              <w:t>Discounted Cash Flow</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Discount Rate</w:t>
            </w:r>
          </w:p>
        </w:tc>
        <w:tc>
          <w:tcPr>
            <w:tcW w:w="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7"/>
              </w:rPr>
              <w:t>2.5%</w:t>
            </w:r>
          </w:p>
        </w:tc>
        <w:tc>
          <w:tcPr>
            <w:tcW w:w="3380" w:type="dxa"/>
            <w:vAlign w:val="bottom"/>
            <w:tcBorders>
              <w:bottom w:val="single" w:sz="8" w:color="auto"/>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 13.0% (7.1)%</w:t>
            </w:r>
          </w:p>
        </w:tc>
        <w:tc>
          <w:tcPr>
            <w:tcW w:w="0" w:type="dxa"/>
            <w:vAlign w:val="bottom"/>
          </w:tcPr>
          <w:p>
            <w:pPr>
              <w:spacing w:after="0"/>
              <w:rPr>
                <w:sz w:val="1"/>
                <w:szCs w:val="1"/>
                <w:color w:val="auto"/>
              </w:rPr>
            </w:pPr>
          </w:p>
        </w:tc>
      </w:tr>
      <w:tr>
        <w:trPr>
          <w:trHeight w:val="223"/>
        </w:trPr>
        <w:tc>
          <w:tcPr>
            <w:tcW w:w="2560" w:type="dxa"/>
            <w:vAlign w:val="bottom"/>
          </w:tcPr>
          <w:p>
            <w:pPr>
              <w:ind w:left="340"/>
              <w:spacing w:after="0"/>
              <w:rPr>
                <w:sz w:val="20"/>
                <w:szCs w:val="20"/>
                <w:color w:val="auto"/>
              </w:rPr>
            </w:pPr>
            <w:r>
              <w:rPr>
                <w:rFonts w:ascii="Arial" w:cs="Arial" w:eastAsia="Arial" w:hAnsi="Arial"/>
                <w:sz w:val="18"/>
                <w:szCs w:val="18"/>
                <w:b w:val="1"/>
                <w:bCs w:val="1"/>
                <w:color w:val="auto"/>
                <w:w w:val="97"/>
              </w:rPr>
              <w:t>Total Level III Investments</w:t>
            </w:r>
          </w:p>
        </w:tc>
        <w:tc>
          <w:tcPr>
            <w:tcW w:w="26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272,128,384</w:t>
            </w:r>
          </w:p>
        </w:tc>
        <w:tc>
          <w:tcPr>
            <w:tcW w:w="1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60" w:firstLine="8"/>
        <w:spacing w:after="0" w:line="277" w:lineRule="auto"/>
        <w:tabs>
          <w:tab w:leader="none" w:pos="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the Company’s Level III portfolio investments had the following valuation techniques and significant inputs:</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Primary Valuation</w:t>
            </w:r>
          </w:p>
        </w:tc>
        <w:tc>
          <w:tcPr>
            <w:tcW w:w="1820" w:type="dxa"/>
            <w:vAlign w:val="bottom"/>
            <w:tcBorders>
              <w:top w:val="single" w:sz="8" w:color="auto"/>
              <w:right w:val="single" w:sz="8" w:color="auto"/>
            </w:tcBorders>
          </w:tcPr>
          <w:p>
            <w:pPr>
              <w:spacing w:after="0"/>
              <w:rPr>
                <w:sz w:val="17"/>
                <w:szCs w:val="17"/>
                <w:color w:val="auto"/>
              </w:rPr>
            </w:pPr>
          </w:p>
        </w:tc>
        <w:tc>
          <w:tcPr>
            <w:tcW w:w="3800" w:type="dxa"/>
            <w:vAlign w:val="bottom"/>
            <w:tcBorders>
              <w:top w:val="single" w:sz="8" w:color="auto"/>
              <w:right w:val="single" w:sz="8" w:color="auto"/>
            </w:tcBorders>
          </w:tcPr>
          <w:p>
            <w:pPr>
              <w:ind w:left="1280"/>
              <w:spacing w:after="0" w:line="198" w:lineRule="exact"/>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221"/>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Type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8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Methodology</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4"/>
              </w:rPr>
              <w:t>Unobservable Inputs</w:t>
            </w:r>
          </w:p>
        </w:tc>
        <w:tc>
          <w:tcPr>
            <w:tcW w:w="380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50"/>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7,639,648</w:t>
            </w:r>
          </w:p>
        </w:tc>
        <w:tc>
          <w:tcPr>
            <w:tcW w:w="1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Average EBITDA</w:t>
            </w:r>
          </w:p>
        </w:tc>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5.3x</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808080"/>
              <w:right w:val="single" w:sz="8" w:color="auto"/>
            </w:tcBorders>
          </w:tcPr>
          <w:p>
            <w:pPr>
              <w:spacing w:after="0" w:line="149" w:lineRule="exact"/>
              <w:rPr>
                <w:sz w:val="20"/>
                <w:szCs w:val="20"/>
                <w:color w:val="auto"/>
              </w:rPr>
            </w:pPr>
            <w:r>
              <w:rPr>
                <w:rFonts w:ascii="Arial" w:cs="Arial" w:eastAsia="Arial" w:hAnsi="Arial"/>
                <w:sz w:val="17"/>
                <w:szCs w:val="17"/>
                <w:color w:val="auto"/>
              </w:rPr>
              <w:t>Multiple</w:t>
            </w:r>
          </w:p>
        </w:tc>
        <w:tc>
          <w:tcPr>
            <w:tcW w:w="3800" w:type="dxa"/>
            <w:vAlign w:val="bottom"/>
            <w:tcBorders>
              <w:bottom w:val="single" w:sz="8" w:color="808080"/>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146,102,097</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Income Approach</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Implied Discount Rate</w:t>
            </w:r>
          </w:p>
        </w:tc>
        <w:tc>
          <w:tcPr>
            <w:tcW w:w="38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5.6% – 21.5% (9.15)%</w:t>
            </w: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5,050,355</w:t>
            </w: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Average EBITDA</w:t>
            </w:r>
          </w:p>
        </w:tc>
        <w:tc>
          <w:tcPr>
            <w:tcW w:w="38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4.8x/7.4% – 14.1x/13.9% (9.3x/12.0)%</w:t>
            </w:r>
          </w:p>
        </w:tc>
        <w:tc>
          <w:tcPr>
            <w:tcW w:w="0" w:type="dxa"/>
            <w:vAlign w:val="bottom"/>
          </w:tcPr>
          <w:p>
            <w:pPr>
              <w:spacing w:after="0"/>
              <w:rPr>
                <w:sz w:val="1"/>
                <w:szCs w:val="1"/>
                <w:color w:val="auto"/>
              </w:rPr>
            </w:pPr>
          </w:p>
        </w:tc>
      </w:tr>
      <w:tr>
        <w:trPr>
          <w:trHeight w:val="122"/>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200" w:type="dxa"/>
            <w:vAlign w:val="bottom"/>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Multiple/WAAC</w:t>
            </w:r>
          </w:p>
        </w:tc>
        <w:tc>
          <w:tcPr>
            <w:tcW w:w="3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3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560" w:type="dxa"/>
            <w:vAlign w:val="bottom"/>
            <w:tcBorders>
              <w:left w:val="single" w:sz="8" w:color="auto"/>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6,000</w:t>
            </w: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Options Value</w:t>
            </w:r>
          </w:p>
        </w:tc>
        <w:tc>
          <w:tcPr>
            <w:tcW w:w="1820" w:type="dxa"/>
            <w:vAlign w:val="bottom"/>
            <w:tcBorders>
              <w:bottom w:val="single" w:sz="8" w:color="auto"/>
              <w:right w:val="single" w:sz="8" w:color="auto"/>
            </w:tcBorders>
          </w:tcPr>
          <w:p>
            <w:pPr>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3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Discount Rate</w:t>
            </w:r>
          </w:p>
        </w:tc>
        <w:tc>
          <w:tcPr>
            <w:tcW w:w="38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11.8% – 13.0% (13.0)%</w:t>
            </w: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right w:val="single" w:sz="8" w:color="auto"/>
            </w:tcBorders>
          </w:tcPr>
          <w:p>
            <w:pPr>
              <w:spacing w:after="0"/>
              <w:rPr>
                <w:sz w:val="17"/>
                <w:szCs w:val="17"/>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45,824,060</w:t>
            </w: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Discounted Cash Flow</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Probability of Default</w:t>
            </w:r>
          </w:p>
        </w:tc>
        <w:tc>
          <w:tcPr>
            <w:tcW w:w="38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2.0% – 2.5% (2.0)%</w:t>
            </w: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200" w:type="dxa"/>
            <w:vAlign w:val="bottom"/>
            <w:vMerge w:val="continue"/>
          </w:tcPr>
          <w:p>
            <w:pPr>
              <w:spacing w:after="0"/>
              <w:rPr>
                <w:sz w:val="17"/>
                <w:szCs w:val="17"/>
                <w:color w:val="auto"/>
              </w:rPr>
            </w:pPr>
          </w:p>
        </w:tc>
        <w:tc>
          <w:tcPr>
            <w:tcW w:w="1220" w:type="dxa"/>
            <w:vAlign w:val="bottom"/>
            <w:tcBorders>
              <w:right w:val="single" w:sz="8" w:color="auto"/>
            </w:tcBorders>
            <w:vMerge w:val="continue"/>
          </w:tcPr>
          <w:p>
            <w:pPr>
              <w:spacing w:after="0"/>
              <w:rPr>
                <w:sz w:val="17"/>
                <w:szCs w:val="17"/>
                <w:color w:val="auto"/>
              </w:rPr>
            </w:pPr>
          </w:p>
        </w:tc>
        <w:tc>
          <w:tcPr>
            <w:tcW w:w="1820" w:type="dxa"/>
            <w:vAlign w:val="bottom"/>
            <w:tcBorders>
              <w:right w:val="single" w:sz="8" w:color="auto"/>
            </w:tcBorders>
            <w:vMerge w:val="continue"/>
          </w:tcPr>
          <w:p>
            <w:pPr>
              <w:spacing w:after="0"/>
              <w:rPr>
                <w:sz w:val="17"/>
                <w:szCs w:val="17"/>
                <w:color w:val="auto"/>
              </w:rPr>
            </w:pP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Loss Severity</w:t>
            </w:r>
          </w:p>
        </w:tc>
        <w:tc>
          <w:tcPr>
            <w:tcW w:w="38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25.0% – 25.9% (25.9)%</w:t>
            </w:r>
          </w:p>
        </w:tc>
        <w:tc>
          <w:tcPr>
            <w:tcW w:w="0" w:type="dxa"/>
            <w:vAlign w:val="bottom"/>
          </w:tcPr>
          <w:p>
            <w:pPr>
              <w:spacing w:after="0"/>
              <w:rPr>
                <w:sz w:val="1"/>
                <w:szCs w:val="1"/>
                <w:color w:val="auto"/>
              </w:rPr>
            </w:pPr>
          </w:p>
        </w:tc>
      </w:tr>
      <w:tr>
        <w:trPr>
          <w:trHeight w:val="102"/>
        </w:trPr>
        <w:tc>
          <w:tcPr>
            <w:tcW w:w="256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spacing w:after="0" w:line="196" w:lineRule="exact"/>
              <w:rPr>
                <w:sz w:val="20"/>
                <w:szCs w:val="20"/>
                <w:color w:val="auto"/>
              </w:rPr>
            </w:pPr>
            <w:r>
              <w:rPr>
                <w:rFonts w:ascii="Arial" w:cs="Arial" w:eastAsia="Arial" w:hAnsi="Arial"/>
                <w:sz w:val="18"/>
                <w:szCs w:val="18"/>
                <w:color w:val="auto"/>
              </w:rPr>
              <w:t>Recovery Rate</w:t>
            </w:r>
          </w:p>
        </w:tc>
        <w:tc>
          <w:tcPr>
            <w:tcW w:w="3800" w:type="dxa"/>
            <w:vAlign w:val="bottom"/>
            <w:tcBorders>
              <w:right w:val="single" w:sz="8" w:color="auto"/>
            </w:tcBorders>
            <w:vMerge w:val="restart"/>
          </w:tcPr>
          <w:p>
            <w:pPr>
              <w:spacing w:after="0" w:line="196" w:lineRule="exact"/>
              <w:rPr>
                <w:sz w:val="20"/>
                <w:szCs w:val="20"/>
                <w:color w:val="auto"/>
              </w:rPr>
            </w:pPr>
            <w:r>
              <w:rPr>
                <w:rFonts w:ascii="Arial" w:cs="Arial" w:eastAsia="Arial" w:hAnsi="Arial"/>
                <w:sz w:val="18"/>
                <w:szCs w:val="18"/>
                <w:color w:val="auto"/>
              </w:rPr>
              <w:t>74.1% – 75% (74.2)%</w:t>
            </w:r>
          </w:p>
        </w:tc>
        <w:tc>
          <w:tcPr>
            <w:tcW w:w="0" w:type="dxa"/>
            <w:vAlign w:val="bottom"/>
          </w:tcPr>
          <w:p>
            <w:pPr>
              <w:spacing w:after="0"/>
              <w:rPr>
                <w:sz w:val="1"/>
                <w:szCs w:val="1"/>
                <w:color w:val="auto"/>
              </w:rPr>
            </w:pPr>
          </w:p>
        </w:tc>
      </w:tr>
      <w:tr>
        <w:trPr>
          <w:trHeight w:val="100"/>
        </w:trPr>
        <w:tc>
          <w:tcPr>
            <w:tcW w:w="2560" w:type="dxa"/>
            <w:vAlign w:val="bottom"/>
            <w:tcBorders>
              <w:left w:val="single" w:sz="8" w:color="auto"/>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38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Prepayment Rate</w:t>
            </w:r>
          </w:p>
        </w:tc>
        <w:tc>
          <w:tcPr>
            <w:tcW w:w="38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25.0% – 29.1% (25.1)%</w:t>
            </w: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8,350,290</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Market Approach</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3rd Party Quote</w:t>
            </w:r>
          </w:p>
        </w:tc>
        <w:tc>
          <w:tcPr>
            <w:tcW w:w="38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82.35% (82.35)%</w:t>
            </w: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2"/>
              </w:rPr>
              <w:t>Asset Manager Affiliate</w:t>
            </w:r>
          </w:p>
        </w:tc>
        <w:tc>
          <w:tcPr>
            <w:tcW w:w="2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40,198,000</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w w:val="98"/>
              </w:rPr>
              <w:t>Discounted Cash Flow</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Discount Rate</w:t>
            </w:r>
          </w:p>
        </w:tc>
        <w:tc>
          <w:tcPr>
            <w:tcW w:w="38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2.5% – 13.0% (7.6)%</w:t>
            </w:r>
          </w:p>
        </w:tc>
        <w:tc>
          <w:tcPr>
            <w:tcW w:w="0" w:type="dxa"/>
            <w:vAlign w:val="bottom"/>
          </w:tcPr>
          <w:p>
            <w:pPr>
              <w:spacing w:after="0"/>
              <w:rPr>
                <w:sz w:val="1"/>
                <w:szCs w:val="1"/>
                <w:color w:val="auto"/>
              </w:rPr>
            </w:pPr>
          </w:p>
        </w:tc>
      </w:tr>
      <w:tr>
        <w:trPr>
          <w:trHeight w:val="223"/>
        </w:trPr>
        <w:tc>
          <w:tcPr>
            <w:tcW w:w="2560" w:type="dxa"/>
            <w:vAlign w:val="bottom"/>
          </w:tcPr>
          <w:p>
            <w:pPr>
              <w:ind w:left="360"/>
              <w:spacing w:after="0"/>
              <w:rPr>
                <w:sz w:val="20"/>
                <w:szCs w:val="20"/>
                <w:color w:val="auto"/>
              </w:rPr>
            </w:pPr>
            <w:r>
              <w:rPr>
                <w:rFonts w:ascii="Arial" w:cs="Arial" w:eastAsia="Arial" w:hAnsi="Arial"/>
                <w:sz w:val="18"/>
                <w:szCs w:val="18"/>
                <w:b w:val="1"/>
                <w:bCs w:val="1"/>
                <w:color w:val="auto"/>
                <w:w w:val="96"/>
              </w:rPr>
              <w:t>Total Level III Investments</w:t>
            </w:r>
          </w:p>
        </w:tc>
        <w:tc>
          <w:tcPr>
            <w:tcW w:w="200" w:type="dxa"/>
            <w:vAlign w:val="bottom"/>
            <w:tcBorders>
              <w:bottom w:val="single" w:sz="8" w:color="auto"/>
            </w:tcBorders>
          </w:tcPr>
          <w:p>
            <w:pPr>
              <w:jc w:val="right"/>
              <w:ind w:right="32"/>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253,170,450</w:t>
            </w:r>
          </w:p>
        </w:tc>
        <w:tc>
          <w:tcPr>
            <w:tcW w:w="1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0" w:gutter="0" w:footer="0" w:header="0"/>
        </w:sectPr>
      </w:pPr>
    </w:p>
    <w:bookmarkStart w:id="47" w:name="page48"/>
    <w:bookmarkEnd w:id="47"/>
    <w:p>
      <w:pPr>
        <w:ind w:right="560" w:firstLine="8"/>
        <w:spacing w:after="0" w:line="277" w:lineRule="auto"/>
        <w:tabs>
          <w:tab w:leader="none" w:pos="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14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48" w:name="page49"/>
    <w:bookmarkEnd w:id="48"/>
    <w:p>
      <w:pPr>
        <w:ind w:firstLine="324"/>
        <w:spacing w:after="0" w:line="270"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March 31, 2017 and December 31, 2016, the Asset Manager Affiliates had approximately $2.8 billion and $3.0 billion of par value of assets under management, respectively, and the Company’s 100% equity interest in the Asset Manager Affiliates had a fair value of approximately $36.9 million and $40.2 million, respectively.</w:t>
      </w:r>
    </w:p>
    <w:p>
      <w:pPr>
        <w:spacing w:after="0" w:line="154"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During the first quarter of 2017, the Asset Manager Affiliates recognized $2.9 million of incentive fee revenue from Trimaran VII, which was called in January 2017. Currently, all CLO Funds managed by the Asset Manager Affiliates are paying both their senior and subordinated management fees on a current basis.</w:t>
      </w:r>
    </w:p>
    <w:p>
      <w:pPr>
        <w:spacing w:after="0" w:line="16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For the three months ended March 31, 2017 and 2016, the Asset Manager Affiliates declared cash distributions of $650,000 and $1.1 million to the Company, respectively. Any distributions from the Asset Manager Affiliates out of their estimated tax-basis earnings and profits are recorded as “Dividends from Asset Manager Affiliates” on the Company’s statement of operations. The Company recognized $550,000 of Dividends from Asset Manager Affiliates in the Statement of Operations in the first quarter of 2016. The difference between cash distributions received and the tax-basis earnings and profits of the distributing affiliate, are recorded as an adjustment to the cost basis in the Asset Manager Affiliate (i.e., tax-basis return of capital). For the quarters ended March 31, 2017 and 2016 the difference of $650,000 and $500,000, respectively,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9" w:name="page50"/>
    <w:bookmarkEnd w:id="49"/>
    <w:p>
      <w:pPr>
        <w:ind w:right="8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February 18, 2015, the FASB issued Accounting Standards Update 2015-2 (“ASU 2015-2”), which updated consolidation standards under ASC Topic 810, “Consolidation”. Under this update, a new consolidation analysis is required for VIEs and will limit the circumstances in which investment managers and similar entities are required to consolidate the entities that they manage. The FASB decided to eliminate some of the criteria under which management fees are considered a variable interest and limit the circumstances in which variable interests in a VIE held by related parties of a reporting enterprise require the reporting enterprise to consolidate the VIE. The guidance was effective for public business entities for annual and interim periods in fiscal years beginning after December 15, 2015, early adoption was permitted. The Asset Manager Affiliates adopted ASU 2015-2 in 2016 which resulted in the deconsolidation of the CLO Funds. In accordance with Regulation S-X, additional financial information with respect to the Asset Manager Affiliates and one of the CLO Funds in which the Company has an investment, Katonah 2007-I CLO, is required to be included in the Company’s SEC Filings. This additional financial information regarding the Asset Manager Affiliates and Katonah 2007-1 CLO does not directly impact the financial position, results of operations, or cash flows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080" w:type="dxa"/>
            <w:vAlign w:val="bottom"/>
            <w:gridSpan w:val="4"/>
          </w:tcPr>
          <w:p>
            <w:pPr>
              <w:ind w:left="2700"/>
              <w:spacing w:after="0"/>
              <w:rPr>
                <w:sz w:val="20"/>
                <w:szCs w:val="20"/>
                <w:color w:val="auto"/>
              </w:rPr>
            </w:pPr>
            <w:r>
              <w:rPr>
                <w:rFonts w:ascii="Arial" w:cs="Arial" w:eastAsia="Arial" w:hAnsi="Arial"/>
                <w:sz w:val="18"/>
                <w:szCs w:val="18"/>
                <w:b w:val="1"/>
                <w:bCs w:val="1"/>
                <w:color w:val="auto"/>
              </w:rPr>
              <w:t>March 31, 2017</w:t>
            </w:r>
          </w:p>
        </w:tc>
        <w:tc>
          <w:tcPr>
            <w:tcW w:w="1540" w:type="dxa"/>
            <w:vAlign w:val="bottom"/>
            <w:gridSpan w:val="5"/>
          </w:tcPr>
          <w:p>
            <w:pPr>
              <w:spacing w:after="0"/>
              <w:rPr>
                <w:sz w:val="20"/>
                <w:szCs w:val="20"/>
                <w:color w:val="auto"/>
              </w:rPr>
            </w:pPr>
            <w:r>
              <w:rPr>
                <w:rFonts w:ascii="Arial" w:cs="Arial" w:eastAsia="Arial" w:hAnsi="Arial"/>
                <w:sz w:val="18"/>
                <w:szCs w:val="18"/>
                <w:b w:val="1"/>
                <w:bCs w:val="1"/>
                <w:color w:val="auto"/>
                <w:w w:val="93"/>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2,467,358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3,425,709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Intangible Assets</w:t>
            </w: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22,830,000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23,157,541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4,717,333</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5,024,174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7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30,014,691</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31,607,424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Liabilities</w:t>
            </w:r>
          </w:p>
        </w:tc>
        <w:tc>
          <w:tcPr>
            <w:tcW w:w="292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4,407,706</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6,619,619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2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25,606,985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24,987,805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7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30,014,691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31,607,424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0"/>
              </w:rPr>
              <w:t>For the three months ended</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5,884,196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3,329,627</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Interest Income</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2,175</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153,832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w:t>
            </w:r>
          </w:p>
        </w:tc>
        <w:tc>
          <w:tcPr>
            <w:tcW w:w="3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5,886,371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3,483,459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Expenses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2,761,453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2,728,445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327,541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Interest Expense</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188,851</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489,835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3,277,845</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3,545,821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Pre-Tax Income (Loss)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2,608,526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(62,362)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1,339,344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(361,132)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Net Income</w:t>
            </w:r>
          </w:p>
        </w:tc>
        <w:tc>
          <w:tcPr>
            <w:tcW w:w="3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1,269,182</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298,770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00" w:type="dxa"/>
            <w:vAlign w:val="bottom"/>
            <w:vMerge w:val="restart"/>
          </w:tcPr>
          <w:p>
            <w:pPr>
              <w:jc w:val="right"/>
              <w:ind w:right="18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Summarized Balance Sheet Information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r>
      <w:tr>
        <w:trPr>
          <w:trHeight w:val="234"/>
        </w:trPr>
        <w:tc>
          <w:tcPr>
            <w:tcW w:w="4800" w:type="dxa"/>
            <w:vAlign w:val="bottom"/>
          </w:tcPr>
          <w:p>
            <w:pPr>
              <w:spacing w:after="0"/>
              <w:rPr>
                <w:sz w:val="20"/>
                <w:szCs w:val="20"/>
                <w:color w:val="auto"/>
              </w:rPr>
            </w:pPr>
          </w:p>
        </w:tc>
        <w:tc>
          <w:tcPr>
            <w:tcW w:w="38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March 31, 2017</w:t>
            </w:r>
          </w:p>
        </w:tc>
        <w:tc>
          <w:tcPr>
            <w:tcW w:w="1640" w:type="dxa"/>
            <w:vAlign w:val="bottom"/>
            <w:gridSpan w:val="4"/>
          </w:tcPr>
          <w:p>
            <w:pPr>
              <w:ind w:left="100"/>
              <w:spacing w:after="0"/>
              <w:rPr>
                <w:sz w:val="20"/>
                <w:szCs w:val="20"/>
                <w:color w:val="auto"/>
              </w:rPr>
            </w:pPr>
            <w:r>
              <w:rPr>
                <w:rFonts w:ascii="Arial" w:cs="Arial" w:eastAsia="Arial" w:hAnsi="Arial"/>
                <w:sz w:val="18"/>
                <w:szCs w:val="18"/>
                <w:b w:val="1"/>
                <w:bCs w:val="1"/>
                <w:color w:val="auto"/>
                <w:w w:val="93"/>
              </w:rPr>
              <w:t>December 31, 2016</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5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129,245,053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176,684,976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w:t>
            </w:r>
          </w:p>
        </w:tc>
        <w:tc>
          <w:tcPr>
            <w:tcW w:w="3840" w:type="dxa"/>
            <w:vAlign w:val="bottom"/>
            <w:gridSpan w:val="3"/>
          </w:tcPr>
          <w:p>
            <w:pPr>
              <w:jc w:val="right"/>
              <w:ind w:right="100"/>
              <w:spacing w:after="0"/>
              <w:rPr>
                <w:sz w:val="20"/>
                <w:szCs w:val="20"/>
                <w:color w:val="auto"/>
              </w:rPr>
            </w:pPr>
            <w:r>
              <w:rPr>
                <w:rFonts w:ascii="Arial" w:cs="Arial" w:eastAsia="Arial" w:hAnsi="Arial"/>
                <w:sz w:val="18"/>
                <w:szCs w:val="18"/>
                <w:color w:val="auto"/>
              </w:rPr>
              <w:t>48,913,885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34,982,770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178,527,776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212,160,163</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CLO Debt at Fair Value</w:t>
            </w:r>
          </w:p>
        </w:tc>
        <w:tc>
          <w:tcPr>
            <w:tcW w:w="3840" w:type="dxa"/>
            <w:vAlign w:val="bottom"/>
            <w:gridSpan w:val="3"/>
          </w:tcPr>
          <w:p>
            <w:pPr>
              <w:jc w:val="right"/>
              <w:ind w:right="100"/>
              <w:spacing w:after="0"/>
              <w:rPr>
                <w:sz w:val="20"/>
                <w:szCs w:val="20"/>
                <w:color w:val="auto"/>
              </w:rPr>
            </w:pPr>
            <w:r>
              <w:rPr>
                <w:rFonts w:ascii="Arial" w:cs="Arial" w:eastAsia="Arial" w:hAnsi="Arial"/>
                <w:sz w:val="18"/>
                <w:szCs w:val="18"/>
                <w:color w:val="auto"/>
              </w:rPr>
              <w:t>176,055,774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208,812,164</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177,418,430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210,463,954</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Net Assets</w:t>
            </w:r>
          </w:p>
        </w:tc>
        <w:tc>
          <w:tcPr>
            <w:tcW w:w="3840" w:type="dxa"/>
            <w:vAlign w:val="bottom"/>
            <w:gridSpan w:val="3"/>
          </w:tcPr>
          <w:p>
            <w:pPr>
              <w:jc w:val="right"/>
              <w:ind w:right="100"/>
              <w:spacing w:after="0"/>
              <w:rPr>
                <w:sz w:val="20"/>
                <w:szCs w:val="20"/>
                <w:color w:val="auto"/>
              </w:rPr>
            </w:pPr>
            <w:r>
              <w:rPr>
                <w:rFonts w:ascii="Arial" w:cs="Arial" w:eastAsia="Arial" w:hAnsi="Arial"/>
                <w:sz w:val="18"/>
                <w:szCs w:val="18"/>
                <w:color w:val="auto"/>
              </w:rPr>
              <w:t>1,109,346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1,696,209</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For the three months ended</w:t>
            </w:r>
          </w:p>
        </w:tc>
      </w:tr>
      <w:tr>
        <w:trPr>
          <w:trHeight w:val="234"/>
        </w:trPr>
        <w:tc>
          <w:tcPr>
            <w:tcW w:w="7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1,778,115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2,539,074</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Total Income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1,843,333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87"/>
              </w:rPr>
              <w:t>2,565,008</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1,526,307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2,122,315</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1,802,182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87"/>
              </w:rPr>
              <w:t>2,426,062</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(Losses) Gains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(628,014)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3,557,707</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(Decrease) Increase in net assets resulting from operations</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(586,863)</w:t>
            </w:r>
          </w:p>
        </w:tc>
        <w:tc>
          <w:tcPr>
            <w:tcW w:w="32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87"/>
              </w:rPr>
              <w:t>3,696,652</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167"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and tax-basis intangible assets of $15.7 million, which are being amortized for tax purposes on a straight-line basis over 15 years.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1" w:name="page52"/>
    <w:bookmarkEnd w:id="51"/>
    <w:p>
      <w:pPr>
        <w:jc w:val="both"/>
        <w:ind w:right="60" w:firstLine="324"/>
        <w:spacing w:after="0" w:line="264" w:lineRule="auto"/>
        <w:rPr>
          <w:sz w:val="20"/>
          <w:szCs w:val="20"/>
          <w:color w:val="auto"/>
        </w:rPr>
      </w:pPr>
      <w:r>
        <w:rPr>
          <w:rFonts w:ascii="Arial" w:cs="Arial" w:eastAsia="Arial" w:hAnsi="Arial"/>
          <w:sz w:val="18"/>
          <w:szCs w:val="18"/>
          <w:color w:val="auto"/>
        </w:rPr>
        <w:t>During the second quarter of 2016, KCAP contributed 100% of its ownership interests in Katonah Debt Advisors and Trimaran Advisors Management to Commodore Holdings, a wholly-owned subsidiary of KCAP. These transactions simplify the tax structure of the AMAs and facilitate the consolidation of tax basis goodwill deductions for the AMAs, which may impact the tax character of distributions from the AMAs.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Outstanding borrowings on the Trimaran Credit Facility are callable by the Company at any time. On April 15, 2013, the Trimaran Credit Facility was amended and upsized from $20 million to $23 million. At March 31, 2017 and December 31, 2016, there were no loans outstanding under the Trimaran Credit Facility. For the three months ended March 31, 2017 and 2016, the Company recognized interest income of approximately $180,000 and $482,000 related to the Trimaran Credit Facility,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80" w:type="dxa"/>
            <w:vAlign w:val="bottom"/>
          </w:tcPr>
          <w:p>
            <w:pPr>
              <w:ind w:left="320"/>
              <w:spacing w:after="0"/>
              <w:rPr>
                <w:sz w:val="20"/>
                <w:szCs w:val="20"/>
                <w:color w:val="auto"/>
              </w:rPr>
            </w:pPr>
            <w:r>
              <w:rPr>
                <w:rFonts w:ascii="Arial" w:cs="Arial" w:eastAsia="Arial" w:hAnsi="Arial"/>
                <w:sz w:val="18"/>
                <w:szCs w:val="18"/>
                <w:color w:val="auto"/>
              </w:rPr>
              <w:t>The Company’s debt obligations consist of the following:</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March 31, 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Notes issued by KCAP Senior Funding I, LLC (net of discount and offering costs of: 2017 - $2,128,524 and</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$2,289,547, respectively; 2016 - $2,286,425 and $2,459,156, respectively)</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142,931,928</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142,604,419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7.375% Notes Due 2019 (net of offering costs of: 2017 - $505,488; 2016 - $550,774)</w:t>
            </w: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33,025,437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32,980,151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175,957,365</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175,584,570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March 31, 2017 were 4.0% and 6.5 years, respectively, and as of December 31, 2016 were 3.9% and 6.7 years,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188" w:lineRule="exact"/>
        <w:rPr>
          <w:sz w:val="20"/>
          <w:szCs w:val="20"/>
          <w:color w:val="auto"/>
        </w:rPr>
      </w:pPr>
    </w:p>
    <w:p>
      <w:pPr>
        <w:ind w:right="360" w:firstLine="324"/>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 senior secured floating rate notes which have an initial face amount of $77,250,000, are rated AAA (sf)/Aaa (sf) by Standard &amp; Poor’s Ratings Services and Moody’s Investors Service, Inc., respectively, and bear interest at the three-month LIBOR plus 1.50%, Class B senior secured floating rate notes which have an initial face amount of $9,000,000, are rated AA (sf)/Aa2 (sf) by Standard &amp; Poor’s Ratings Services and Moody’s Investors Service, Inc., respectively, and bear interest at three-month LIBOR plus the</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3.25%, Class C secured deferrable floating rate notes which have an initial face amount of $10,000,000, are rated A (sf)/A2 (sf) by Standard &amp; Poor’s Ratings Services and Moody’s Investors Service, Inc., respectively, and bear interest at three-month LIBOR plus 4.25%, and Class D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on July 20, 2024, and are subject to a two year non-call period. The Issuer has a four year reinvestment period. The stated interest rate re-sets on a quarterly basis based upon the then-current level of the benchmark three-month LIBOR.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right="720" w:firstLine="324"/>
        <w:spacing w:after="0" w:line="264" w:lineRule="auto"/>
        <w:rPr>
          <w:sz w:val="20"/>
          <w:szCs w:val="20"/>
          <w:color w:val="auto"/>
        </w:rPr>
      </w:pPr>
      <w:r>
        <w:rPr>
          <w:rFonts w:ascii="Arial" w:cs="Arial" w:eastAsia="Arial" w:hAnsi="Arial"/>
          <w:sz w:val="18"/>
          <w:szCs w:val="18"/>
          <w:color w:val="auto"/>
        </w:rPr>
        <w:t>On December 8, 2014, the Company completed the sale of additional notes (“Additional Issuance Securities”) in a $56,000,000 increase to the collateralized loan obligation transaction that originally closed on June 18, 2013 (the “Original Closing Date”). The issuance of additional notes was proportional across all existing classes of notes issued on the Original Closing Date.</w:t>
      </w:r>
    </w:p>
    <w:p>
      <w:pPr>
        <w:spacing w:after="0" w:line="18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Each class of secured Additional Issuance Securities (all such classes, collectively, the “Additional Issuance Offered Securities”) was issued as a pari passu sub-class of an existing class of notes issued on the Original Closing Date. Accordingly, the ratings given by Standard &amp; Poor’s Ratings Services and Moody’s Investors Service, Inc. to each existing class of notes issued on the Original Closing Date will apply to each class of Additional Issuance Offered Securities that constitutes a related pari passu sub-class of such existing class of notes issued on the Original Closing Date.</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Additional Issuance Offered Securities were issued as Class A-2 senior secured floating rate notes which have an initial face amount of $30,900,000, have a rating of AAA (sf)/Aaa (sf) by Standard &amp; Poor’s Ratings Services and Moody’s Investors Service, Inc., respectively, and bear interest at the three-month LIBOR plus 1.50%, Class B-2 senior secured floating rate notes which have an initial face amount of $3,600,000, a rating of AA (sf)/Aa2 (sf) by Standard &amp; Poor’s Ratings Services and Moody’s Investors Service, Inc., respectively, and bear interest at three-month LIBOR plus 3.25%, Class C-2 secured deferrable floating rate notes which have an initial face amount of $4,000,000, a rating of A (sf)/A2 (sf) by Standard &amp; Poor’s Ratings Services and Moody’s Investors Service, Inc., respectively, and bear interest at three-month LIBOR plus 4.25%, and Class D-2 secured deferrable floating rate notes which have an initial face amount of $3,600,000, a rating of BBB (sf)/Baa2 (sf) by Standard &amp; Poor’s Ratings Services and Moody’s Investors Service, Inc., respectively, and bear interest at three-month LIBOR plus 5.25%. The Depositor retained all of the subordinated Additional Issuance Securities of the Issuer (the “Additional Issuance Subordinated Notes”), which have an initial face amount of $13,900,000. The Additional Issuance Subordinated Notes do not bear interest and are not rated. The Additional Issuance Securities have a stated maturity date of July 20, 2024 and are subject to a non-call period until the payment date on the Additional Issuance Securities occurring in July 2015. The Issuer has a reinvestment period to and including the payment date on the Additional Issuance Securities occurring in July 2017, or such earlier date as is provided in the indenture relating to the Additional Issuance Securities. In connection with the Additional Issuance Offered Securities, the Company incurred issuance costs and OID costs of approximately $584,000 and $896,000, respectively.</w:t>
      </w:r>
    </w:p>
    <w:p>
      <w:pPr>
        <w:spacing w:after="0" w:line="18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189" w:lineRule="exact"/>
        <w:rPr>
          <w:sz w:val="20"/>
          <w:szCs w:val="20"/>
          <w:color w:val="auto"/>
        </w:rPr>
      </w:pPr>
    </w:p>
    <w:p>
      <w:pPr>
        <w:jc w:val="both"/>
        <w:ind w:right="80" w:firstLine="324"/>
        <w:spacing w:after="0" w:line="329" w:lineRule="auto"/>
        <w:rPr>
          <w:sz w:val="20"/>
          <w:szCs w:val="20"/>
          <w:color w:val="auto"/>
        </w:rPr>
      </w:pPr>
      <w:r>
        <w:rPr>
          <w:rFonts w:ascii="Arial" w:cs="Arial" w:eastAsia="Arial" w:hAnsi="Arial"/>
          <w:sz w:val="16"/>
          <w:szCs w:val="16"/>
          <w:color w:val="auto"/>
        </w:rPr>
        <w:t>The Company serves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135"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of March 31, 2017, there were 75 investments in portfolio companies with a total fair value of approximately $186 million plus cash of $8.0 million, collateralizing the secured notes of the Issuer. At March 31, 2017, there were unamortized issuance costs of approximately $2.3 million, and unamortized original issue discount, (“OID”) of approximately $2.1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right="60" w:firstLine="324"/>
        <w:spacing w:after="0" w:line="257" w:lineRule="auto"/>
        <w:rPr>
          <w:sz w:val="20"/>
          <w:szCs w:val="20"/>
          <w:color w:val="auto"/>
        </w:rPr>
      </w:pPr>
      <w:r>
        <w:rPr>
          <w:rFonts w:ascii="Arial" w:cs="Arial" w:eastAsia="Arial" w:hAnsi="Arial"/>
          <w:sz w:val="18"/>
          <w:szCs w:val="18"/>
          <w:color w:val="auto"/>
        </w:rPr>
        <w:t>For the period ended March 31, 2017, interest expense, including the amortization of deferred debt issuance costs and the discount on the face amount of the notes was approximately $1.5 million, respectively consisting of stated interest expense of approximately $1.2 million, respectively, accreted discount of approximately $158,000, respectively, and amortization of deferred debt issuance costs of approximately $170,000, respectively. As of March 31, 2017 the stated interest charged under the securitization was based on current three month LIBOR at the reset date, which was 1.15%. The classes, stated interest rates, spread over LIBOR, and stated interest expense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Stated Interest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LIBOR Spread</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Rate (1)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(basis points)</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3"/>
              </w:rPr>
              <w:t>Interest Expense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4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133,825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4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196,833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060" w:hanging="332"/>
        <w:spacing w:after="0" w:line="569"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Stated Interest Rate (and thus periodic interest expense), will vary based upon prevailing 3 month LIBOR as of the reset date. The amounts, ratings and interest rates (expressed as a spread to LIBOR) of the Class A, B, C, and D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Class A Notes</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Class B Notes</w:t>
            </w:r>
          </w:p>
        </w:tc>
        <w:tc>
          <w:tcPr>
            <w:tcW w:w="2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Class C Notes</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7"/>
              </w:rPr>
              <w:t>Class D Notes</w:t>
            </w:r>
          </w:p>
        </w:tc>
        <w:tc>
          <w:tcPr>
            <w:tcW w:w="11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Type</w:t>
            </w:r>
          </w:p>
        </w:tc>
        <w:tc>
          <w:tcPr>
            <w:tcW w:w="100" w:type="dxa"/>
            <w:vAlign w:val="bottom"/>
          </w:tcPr>
          <w:p>
            <w:pPr>
              <w:spacing w:after="0"/>
              <w:rPr>
                <w:sz w:val="16"/>
                <w:szCs w:val="16"/>
                <w:color w:val="auto"/>
              </w:rPr>
            </w:pPr>
          </w:p>
        </w:tc>
        <w:tc>
          <w:tcPr>
            <w:tcW w:w="1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Senior Secured Floating</w:t>
            </w:r>
          </w:p>
        </w:tc>
        <w:tc>
          <w:tcPr>
            <w:tcW w:w="100" w:type="dxa"/>
            <w:vAlign w:val="bottom"/>
          </w:tcPr>
          <w:p>
            <w:pPr>
              <w:spacing w:after="0"/>
              <w:rPr>
                <w:sz w:val="16"/>
                <w:szCs w:val="16"/>
                <w:color w:val="auto"/>
              </w:rPr>
            </w:pPr>
          </w:p>
        </w:tc>
        <w:tc>
          <w:tcPr>
            <w:tcW w:w="1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Senior Secured Floating</w:t>
            </w:r>
          </w:p>
        </w:tc>
        <w:tc>
          <w:tcPr>
            <w:tcW w:w="80" w:type="dxa"/>
            <w:vAlign w:val="bottom"/>
          </w:tcPr>
          <w:p>
            <w:pPr>
              <w:spacing w:after="0"/>
              <w:rPr>
                <w:sz w:val="16"/>
                <w:szCs w:val="16"/>
                <w:color w:val="auto"/>
              </w:rPr>
            </w:pPr>
          </w:p>
        </w:tc>
        <w:tc>
          <w:tcPr>
            <w:tcW w:w="1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Secured Deferrable</w:t>
            </w:r>
          </w:p>
        </w:tc>
        <w:tc>
          <w:tcPr>
            <w:tcW w:w="80" w:type="dxa"/>
            <w:vAlign w:val="bottom"/>
          </w:tcPr>
          <w:p>
            <w:pPr>
              <w:spacing w:after="0"/>
              <w:rPr>
                <w:sz w:val="16"/>
                <w:szCs w:val="16"/>
                <w:color w:val="auto"/>
              </w:rPr>
            </w:pPr>
          </w:p>
        </w:tc>
        <w:tc>
          <w:tcPr>
            <w:tcW w:w="1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Secured Deferrable</w:t>
            </w:r>
          </w:p>
        </w:tc>
        <w:tc>
          <w:tcPr>
            <w:tcW w:w="11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Rate</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Rate</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Floating Rate</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Floating Rate</w:t>
            </w:r>
          </w:p>
        </w:tc>
        <w:tc>
          <w:tcPr>
            <w:tcW w:w="1140" w:type="dxa"/>
            <w:vAlign w:val="bottom"/>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Amount Outstanding</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$108,150,000</w:t>
            </w:r>
          </w:p>
        </w:tc>
        <w:tc>
          <w:tcPr>
            <w:tcW w:w="100" w:type="dxa"/>
            <w:vAlign w:val="bottom"/>
          </w:tcPr>
          <w:p>
            <w:pPr>
              <w:spacing w:after="0"/>
              <w:rPr>
                <w:sz w:val="18"/>
                <w:szCs w:val="18"/>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$12,600,000</w:t>
            </w:r>
          </w:p>
        </w:tc>
        <w:tc>
          <w:tcPr>
            <w:tcW w:w="80" w:type="dxa"/>
            <w:vAlign w:val="bottom"/>
          </w:tcPr>
          <w:p>
            <w:pPr>
              <w:spacing w:after="0"/>
              <w:rPr>
                <w:sz w:val="18"/>
                <w:szCs w:val="18"/>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$14,000,000</w:t>
            </w:r>
          </w:p>
        </w:tc>
        <w:tc>
          <w:tcPr>
            <w:tcW w:w="80" w:type="dxa"/>
            <w:vAlign w:val="bottom"/>
          </w:tcPr>
          <w:p>
            <w:pPr>
              <w:spacing w:after="0"/>
              <w:rPr>
                <w:sz w:val="18"/>
                <w:szCs w:val="18"/>
                <w:color w:val="auto"/>
              </w:rPr>
            </w:pPr>
          </w:p>
        </w:tc>
        <w:tc>
          <w:tcPr>
            <w:tcW w:w="1960" w:type="dxa"/>
            <w:vAlign w:val="bottom"/>
          </w:tcPr>
          <w:p>
            <w:pPr>
              <w:jc w:val="right"/>
              <w:ind w:right="450"/>
              <w:spacing w:after="0"/>
              <w:rPr>
                <w:sz w:val="20"/>
                <w:szCs w:val="20"/>
                <w:color w:val="auto"/>
              </w:rPr>
            </w:pPr>
            <w:r>
              <w:rPr>
                <w:rFonts w:ascii="Arial" w:cs="Arial" w:eastAsia="Arial" w:hAnsi="Arial"/>
                <w:sz w:val="18"/>
                <w:szCs w:val="18"/>
                <w:color w:val="auto"/>
              </w:rPr>
              <w:t>$12,600,000</w:t>
            </w:r>
          </w:p>
        </w:tc>
        <w:tc>
          <w:tcPr>
            <w:tcW w:w="1140" w:type="dxa"/>
            <w:vAlign w:val="bottom"/>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Moody's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"Aaa"</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"Aa2"</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rPr>
              <w:t>"A2"</w:t>
            </w:r>
          </w:p>
        </w:tc>
        <w:tc>
          <w:tcPr>
            <w:tcW w:w="1960" w:type="dxa"/>
            <w:vAlign w:val="bottom"/>
          </w:tcPr>
          <w:p>
            <w:pPr>
              <w:jc w:val="center"/>
              <w:spacing w:after="0"/>
              <w:rPr>
                <w:sz w:val="20"/>
                <w:szCs w:val="20"/>
                <w:color w:val="auto"/>
              </w:rPr>
            </w:pPr>
            <w:r>
              <w:rPr>
                <w:rFonts w:ascii="Arial" w:cs="Arial" w:eastAsia="Arial" w:hAnsi="Arial"/>
                <w:sz w:val="18"/>
                <w:szCs w:val="18"/>
                <w:color w:val="auto"/>
                <w:w w:val="94"/>
              </w:rPr>
              <w:t>"Baa2"</w:t>
            </w:r>
          </w:p>
        </w:tc>
        <w:tc>
          <w:tcPr>
            <w:tcW w:w="1140" w:type="dxa"/>
            <w:vAlign w:val="bottom"/>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Standard &amp;amp; Poor's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color w:val="auto"/>
              </w:rPr>
              <w:t>"AAA"</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rPr>
              <w:t>"AA"</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rPr>
              <w:t>"A"</w:t>
            </w:r>
          </w:p>
        </w:tc>
        <w:tc>
          <w:tcPr>
            <w:tcW w:w="1960" w:type="dxa"/>
            <w:vAlign w:val="bottom"/>
          </w:tcPr>
          <w:p>
            <w:pPr>
              <w:jc w:val="center"/>
              <w:spacing w:after="0"/>
              <w:rPr>
                <w:sz w:val="20"/>
                <w:szCs w:val="20"/>
                <w:color w:val="auto"/>
              </w:rPr>
            </w:pPr>
            <w:r>
              <w:rPr>
                <w:rFonts w:ascii="Arial" w:cs="Arial" w:eastAsia="Arial" w:hAnsi="Arial"/>
                <w:sz w:val="18"/>
                <w:szCs w:val="18"/>
                <w:color w:val="auto"/>
              </w:rPr>
              <w:t>"BBB"</w:t>
            </w:r>
          </w:p>
        </w:tc>
        <w:tc>
          <w:tcPr>
            <w:tcW w:w="1140" w:type="dxa"/>
            <w:vAlign w:val="bottom"/>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Interest Rate</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LIBOR + 1.50 %</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LIBOR + 3.25 %</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LIBOR + 4.25 %</w:t>
            </w:r>
          </w:p>
        </w:tc>
        <w:tc>
          <w:tcPr>
            <w:tcW w:w="1960" w:type="dxa"/>
            <w:vAlign w:val="bottom"/>
          </w:tcPr>
          <w:p>
            <w:pPr>
              <w:jc w:val="center"/>
              <w:spacing w:after="0"/>
              <w:rPr>
                <w:sz w:val="20"/>
                <w:szCs w:val="20"/>
                <w:color w:val="auto"/>
              </w:rPr>
            </w:pPr>
            <w:r>
              <w:rPr>
                <w:rFonts w:ascii="Arial" w:cs="Arial" w:eastAsia="Arial" w:hAnsi="Arial"/>
                <w:sz w:val="18"/>
                <w:szCs w:val="18"/>
                <w:color w:val="auto"/>
                <w:w w:val="94"/>
              </w:rPr>
              <w:t>LIBOR + 5.25 %</w:t>
            </w:r>
          </w:p>
        </w:tc>
        <w:tc>
          <w:tcPr>
            <w:tcW w:w="1140" w:type="dxa"/>
            <w:vAlign w:val="bottom"/>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Stated Maturity</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2024</w:t>
            </w:r>
          </w:p>
        </w:tc>
        <w:tc>
          <w:tcPr>
            <w:tcW w:w="20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July, 2024</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July, 2024</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July, 2024</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B, C, D</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 D</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 and</w:t>
            </w:r>
          </w:p>
        </w:tc>
        <w:tc>
          <w:tcPr>
            <w:tcW w:w="19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Junior Classes</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Subordinated</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and Subordinated</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Subordinated</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Subordinated</w:t>
            </w:r>
          </w:p>
        </w:tc>
        <w:tc>
          <w:tcPr>
            <w:tcW w:w="114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color w:val="auto"/>
        </w:rPr>
        <w:t>The Company’s outstanding principal amounts, carrying values and fair values of the Class A, B, C and D Notes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3"/>
              </w:rPr>
              <w:t>March 31, 2017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(unaudited)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1"/>
              </w:rPr>
              <w:t>Principal Amount</w:t>
            </w:r>
          </w:p>
        </w:tc>
        <w:tc>
          <w:tcPr>
            <w:tcW w:w="1540" w:type="dxa"/>
            <w:vAlign w:val="bottom"/>
            <w:gridSpan w:val="4"/>
          </w:tcPr>
          <w:p>
            <w:pPr>
              <w:ind w:left="160"/>
              <w:spacing w:after="0"/>
              <w:rPr>
                <w:sz w:val="20"/>
                <w:szCs w:val="20"/>
                <w:color w:val="auto"/>
              </w:rPr>
            </w:pPr>
            <w:r>
              <w:rPr>
                <w:rFonts w:ascii="Arial" w:cs="Arial" w:eastAsia="Arial" w:hAnsi="Arial"/>
                <w:sz w:val="18"/>
                <w:szCs w:val="18"/>
                <w:b w:val="1"/>
                <w:bCs w:val="1"/>
                <w:color w:val="auto"/>
              </w:rPr>
              <w:t>Carrying Value</w:t>
            </w:r>
          </w:p>
        </w:tc>
        <w:tc>
          <w:tcPr>
            <w:tcW w:w="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178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108,150,000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104,907,281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108,150,000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12,600,000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12,222,208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12,615,750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13,580,231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12,600,000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12,222,208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147,350,000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142,931,928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147,383,250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Fair Value of KCAP Senior Funding I.  </w:t>
      </w:r>
      <w:r>
        <w:rPr>
          <w:rFonts w:ascii="Arial" w:cs="Arial" w:eastAsia="Arial" w:hAnsi="Arial"/>
          <w:sz w:val="16"/>
          <w:szCs w:val="16"/>
          <w:color w:val="auto"/>
        </w:rPr>
        <w:t>The Company carries the KCAP Senior Funding I Notes at cost, net of unamortized discount and offering costs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approximately $2.1 million and $2.3 million, respectively. The fair value of the KCAP Senior Funding I Notes was approximately $147.4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$146.3 million at March 31, 2017 and December 31, 2016, respectively. The fair values were determined based on third party indicative values. The KCAP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Senior Funding I L.L.C. Notes are categorized as Level III under ASC 820: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these Notes, after the payment underwriting expenses, were approximately $39.9 million. Interest on the 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March 31, 2017, the Company was in compliance with all of its debt covenants.</w:t>
      </w:r>
    </w:p>
    <w:p>
      <w:pPr>
        <w:spacing w:after="0" w:line="178"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For the three months ended March 31, 2017 and 2016, interest expense related to the 7.375% Notes Due 2019 was approximately $618,000 and $763,000, respectively.</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expected term of the facility on an effective yield method, of which approximately $505,000 remains to be amortized, and is included on the consolidated balance sheets as a reduction in the related debt liability.</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During the second quarter of 2016, the Company repurchased approximately $2.4 million par value of the 7.375% notes due 2019 at a weighted average price of $25.23 per $25.00 note, resulting in a realized loss on extinguishment of $71,190. KCAP subsequently surrendered these notes to the Trustee for cancellation.</w:t>
      </w:r>
    </w:p>
    <w:p>
      <w:pPr>
        <w:spacing w:after="0" w:line="18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During the third quarter of 2016, $5.0 million par value of the 7.375% notes due 2019 was redeemed by the Company, resulting in a realized loss on extinguishment of $88,015.</w:t>
      </w:r>
    </w:p>
    <w:p>
      <w:pPr>
        <w:spacing w:after="0" w:line="17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During the fourth quarter of 2016, approximately $469,000 par value of the 7.375% notes due 2019 was redeemed by the Company, resulting in a realized loss on extinguishment of $15,006.</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5" w:name="page56"/>
    <w:bookmarkEnd w:id="55"/>
    <w:p>
      <w:pPr>
        <w:ind w:right="240" w:firstLine="324"/>
        <w:spacing w:after="0" w:line="259" w:lineRule="auto"/>
        <w:rPr>
          <w:sz w:val="20"/>
          <w:szCs w:val="20"/>
          <w:color w:val="auto"/>
        </w:rPr>
      </w:pPr>
      <w:r>
        <w:rPr>
          <w:rFonts w:ascii="Arial" w:cs="Arial" w:eastAsia="Arial" w:hAnsi="Arial"/>
          <w:sz w:val="18"/>
          <w:szCs w:val="18"/>
          <w:i w:val="1"/>
          <w:iCs w:val="1"/>
          <w:color w:val="auto"/>
        </w:rPr>
        <w:t>Fair Value of 7.375% Notes Due 2019</w:t>
      </w:r>
      <w:r>
        <w:rPr>
          <w:rFonts w:ascii="Arial" w:cs="Arial" w:eastAsia="Arial" w:hAnsi="Arial"/>
          <w:sz w:val="18"/>
          <w:szCs w:val="18"/>
          <w:color w:val="auto"/>
        </w:rPr>
        <w:t>. The 7.375% Notes Due 2019 were issued in a public offering on October 10, 2012 and are carried at cost.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Company’s outstanding 7.375% Notes Due 2019 was approximately $34.1 million and $34.2 million at March 31, 2017 and December 31, 2016, respectively. The fair value was determined based on the closing price on March 31, 2017 for the 7.375% Notes Due 2019. The 7.375% Notes Due 2019 are categorized as Level I under the ASC 820: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after the payment of underwriting expenses, were approximately $57.7 million. Interest on the Convertible Notes is due semi-annually in arrears on March 15 and September 15, at a rate of 8.75%, commencing September 15, 2011. The Convertible Notes matured and were repaid on March 15, 2016. The Convertible Notes were senior unsecured obligations of the Company.</w:t>
      </w:r>
    </w:p>
    <w:p>
      <w:pPr>
        <w:spacing w:after="0" w:line="193"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connection with the issuance of the Convertible Notes, the Company incurred approximately $2.4 million of debt offering costs which were amortized over the term of the Convertible Notes on an effective yield method. On April 4, 2013, approximately $9 million of the Company’s 8.75% Convertible Notes were converted at a price per share of $8.159 into 1,102,093 shares of KCAP common stock. On September 4, 2013, the Company purchased $2 million face value of its own Convertible Notes at a price of $114.50, plus accrued interest. KCAP subsequently surrendered these notes to the trustee for cancellation effective September 13, 2013. During 2015 the Company repurchased approximately $19.3 million face value of its own Convertible Notes at a price ranging from $101.500 to $102.375. KCAP subsequently surrendered these notes to the Trustee for cancellation. Due to the cash conversion option embedded in the Convertible Notes, the Company applied the guidance in ASC 470-20-40, Debt with Conversion and Other Options and realized a loss on the extinguishment of this debt. The indenture governing the Convertible Notes contains certain restrictive covenants, including compliance with certain provisions of the 1940 Act and conditions governing the undertaking of new debt. The Convertible Notes matured and were fully repaid on March 15, 2016.</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2016, interest expense related to the Convertible Notes was approximately $378,000.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2017).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reconciles net increase (decrease) in net assets resulting from operations to taxable income for the three months ended March 31,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March 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(unaudited)</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385,552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(6,842,699)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2,876,525</w:t>
            </w:r>
          </w:p>
        </w:tc>
        <w:tc>
          <w:tcPr>
            <w:tcW w:w="1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3,795,581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gains over capital losses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(43,938)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7,811,888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7460" w:type="dxa"/>
            <w:vAlign w:val="bottom"/>
          </w:tcPr>
          <w:p>
            <w:pPr>
              <w:spacing w:after="0" w:line="201" w:lineRule="exact"/>
              <w:rPr>
                <w:sz w:val="20"/>
                <w:szCs w:val="20"/>
                <w:color w:val="auto"/>
              </w:rPr>
            </w:pPr>
            <w:r>
              <w:rPr>
                <w:rFonts w:ascii="Arial" w:cs="Arial" w:eastAsia="Arial" w:hAnsi="Arial"/>
                <w:sz w:val="18"/>
                <w:szCs w:val="18"/>
                <w:color w:val="auto"/>
              </w:rPr>
              <w:t>Book/tax differences on CLO equity investments</w:t>
            </w:r>
          </w:p>
        </w:tc>
        <w:tc>
          <w:tcPr>
            <w:tcW w:w="160" w:type="dxa"/>
            <w:vAlign w:val="bottom"/>
          </w:tcPr>
          <w:p>
            <w:pPr>
              <w:spacing w:after="0"/>
              <w:rPr>
                <w:sz w:val="17"/>
                <w:szCs w:val="17"/>
                <w:color w:val="auto"/>
              </w:rPr>
            </w:pPr>
          </w:p>
        </w:tc>
        <w:tc>
          <w:tcPr>
            <w:tcW w:w="14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(850,932)</w:t>
            </w:r>
          </w:p>
        </w:tc>
        <w:tc>
          <w:tcPr>
            <w:tcW w:w="160" w:type="dxa"/>
            <w:vAlign w:val="bottom"/>
          </w:tcPr>
          <w:p>
            <w:pPr>
              <w:spacing w:after="0"/>
              <w:rPr>
                <w:sz w:val="17"/>
                <w:szCs w:val="17"/>
                <w:color w:val="auto"/>
              </w:rPr>
            </w:pPr>
          </w:p>
        </w:tc>
        <w:tc>
          <w:tcPr>
            <w:tcW w:w="12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795,651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120" w:type="dxa"/>
            <w:vAlign w:val="bottom"/>
            <w:gridSpan w:val="2"/>
          </w:tcPr>
          <w:p>
            <w:pPr>
              <w:ind w:left="660"/>
              <w:spacing w:after="0"/>
              <w:rPr>
                <w:sz w:val="20"/>
                <w:szCs w:val="20"/>
                <w:color w:val="auto"/>
              </w:rPr>
            </w:pPr>
            <w:r>
              <w:rPr>
                <w:rFonts w:ascii="Arial" w:cs="Arial" w:eastAsia="Arial" w:hAnsi="Arial"/>
                <w:sz w:val="18"/>
                <w:szCs w:val="18"/>
                <w:color w:val="auto"/>
              </w:rPr>
              <w:t>Other book/tax differences</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44,086</w:t>
            </w:r>
          </w:p>
        </w:tc>
        <w:tc>
          <w:tcPr>
            <w:tcW w:w="16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372,351</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2,411,293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5,932,772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w w:val="93"/>
              </w:rPr>
              <w:t>Taxable income before deductions for distributions per weighted average basic shares for the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Arial" w:cs="Arial" w:eastAsia="Arial" w:hAnsi="Arial"/>
                <w:sz w:val="18"/>
                <w:szCs w:val="18"/>
                <w:color w:val="auto"/>
                <w:w w:val="92"/>
              </w:rPr>
              <w:t>Taxable income before deductions for distributions per weighted average diluted shares for the period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8120" w:type="dxa"/>
            <w:vAlign w:val="bottom"/>
            <w:tcBorders>
              <w:bottom w:val="single" w:sz="8" w:color="auto"/>
            </w:tcBorders>
            <w:gridSpan w:val="2"/>
          </w:tcPr>
          <w:p>
            <w:pPr>
              <w:jc w:val="right"/>
              <w:ind w:right="221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56" w:name="page57"/>
    <w:bookmarkEnd w:id="56"/>
    <w:p>
      <w:pPr>
        <w:ind w:right="20" w:firstLine="324"/>
        <w:spacing w:after="0" w:line="271" w:lineRule="auto"/>
        <w:rPr>
          <w:sz w:val="20"/>
          <w:szCs w:val="20"/>
          <w:color w:val="auto"/>
        </w:rPr>
      </w:pPr>
      <w:r>
        <w:rPr>
          <w:rFonts w:ascii="Arial" w:cs="Arial" w:eastAsia="Arial" w:hAnsi="Arial"/>
          <w:sz w:val="17"/>
          <w:szCs w:val="17"/>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months ended March 31, 2017 and 2016, the Asset Manager Affiliates declared cash distributions of $650,000 and $1.1 million to the Company, respectively. The Company recognized $550,000 of dividends from Asset Manager Affiliates in the Statement of Operations in the first quarter of 2016. For the quarters ended March 31, 2017 and 2016 the difference of $650,000 and $500,000, respectively, between cash distributions received and the tax-basis earnings and profits of the distributing affiliate, are recorded as an adjustment to the cost basis in the Asset Manager Affiliate (i.e. tax-basis return of capital).</w:t>
      </w:r>
    </w:p>
    <w:p>
      <w:pPr>
        <w:spacing w:after="0" w:line="17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At March 31, 2017, the Company had a net capital loss carryforward of $90.8 million to offset net capital gains, to the extent provided by federal tax law. $0.6 million of net capital loss carryforward expired in 2016. $13.5 million and $17.9 million of net capital loss carryforward is subject to expiration in 2017 and 2018, respectively. $59.7 million of the net capital loss carryforward is not subject to expiration under the RIC Modernization Act of 2010.</w:t>
      </w:r>
    </w:p>
    <w:p>
      <w:pPr>
        <w:spacing w:after="0" w:line="16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March 21, 2017 the Company’s Board of Directors declared a distribution to shareholders of $0.12 per share for a total of $4.4 million. The record date was April 7, 2017 and the distribution was paid on April 28, 2017.</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March 31, 2017 and December 31, 2016, the Company had $565,000 outstanding commitments for both periods.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During the three months ended March 31, 2017 and 2016, the Company issued 40,903 and 61,801 shares, respectively, of common stock under its dividend reinvestment plan. For the three months ended March 31, 2017, there were no grants of restricted stock, 9,548 shares were forfeited, and no shares vested. The total number of shares of the Company’s common stock outstanding as of March 31, 2017 and December 31, 2016 was 37,209,649 and 37,178,294,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has an equity incentive plan, established in 2006 and as amended in 2008, 2014 and most recently in June 2015 (the “Equity Incentive Plan”). The Company reserved 2,000,000 shares of common stock for issuance under the Equity Incentive Plan. The purpose of the Equity Incentive Plan is to provide officers and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subsequent to the 2014 amendment of the Equity Incentive Plan will vest in four equal installments of 25%, on each of the first four anniversaries of the grant date.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On June 20, 2014, the Company’s Board of Directors approved the amended and restated the Non-Employee Director Plan (the “Non-Employee Director Plan”), which was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2016 through March 31, 2017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Weighted Average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tcPr>
          <w:p>
            <w:pPr>
              <w:jc w:val="center"/>
              <w:ind w:right="220"/>
              <w:spacing w:after="0" w:line="181" w:lineRule="exact"/>
              <w:rPr>
                <w:sz w:val="20"/>
                <w:szCs w:val="20"/>
                <w:color w:val="auto"/>
              </w:rPr>
            </w:pPr>
            <w:r>
              <w:rPr>
                <w:rFonts w:ascii="Arial" w:cs="Arial" w:eastAsia="Arial" w:hAnsi="Arial"/>
                <w:sz w:val="18"/>
                <w:szCs w:val="18"/>
                <w:b w:val="1"/>
                <w:bCs w:val="1"/>
                <w:color w:val="auto"/>
                <w:w w:val="89"/>
              </w:rPr>
              <w:t>Exercise Price per</w:t>
            </w:r>
          </w:p>
        </w:tc>
        <w:tc>
          <w:tcPr>
            <w:tcW w:w="158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2"/>
              </w:rPr>
              <w:t>Remaining Term</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Share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center"/>
              <w:ind w:right="220"/>
              <w:spacing w:after="0" w:line="269" w:lineRule="exact"/>
              <w:rPr>
                <w:sz w:val="20"/>
                <w:szCs w:val="20"/>
                <w:color w:val="auto"/>
              </w:rPr>
            </w:pPr>
            <w:r>
              <w:rPr>
                <w:rFonts w:ascii="Arial" w:cs="Arial" w:eastAsia="Arial" w:hAnsi="Arial"/>
                <w:sz w:val="18"/>
                <w:szCs w:val="18"/>
                <w:b w:val="1"/>
                <w:bCs w:val="1"/>
                <w:color w:val="auto"/>
                <w:w w:val="89"/>
              </w:rPr>
              <w:t>Intrinsic Value</w:t>
            </w:r>
            <w:r>
              <w:rPr>
                <w:rFonts w:ascii="Arial" w:cs="Arial" w:eastAsia="Arial" w:hAnsi="Arial"/>
                <w:sz w:val="30"/>
                <w:szCs w:val="30"/>
                <w:b w:val="1"/>
                <w:bCs w:val="1"/>
                <w:color w:val="auto"/>
                <w:w w:val="89"/>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2016</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2016</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2017</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vested at March 31, 2017</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4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40" w:right="1380" w:hanging="5632"/>
        <w:spacing w:after="0" w:line="618" w:lineRule="auto"/>
        <w:tabs>
          <w:tab w:leader="none" w:pos="342"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on March 31, 2017 and the exercise price of the options.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ind w:right="40" w:firstLine="32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months ended March 31, 2017 and 2016, the Company did not recognize any non-cash compensation expense related to stock options. At March 31, 2017, the Company had no remaining compensation costs related to unvested stock 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540" w:hanging="208"/>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2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 2016, 6,000 shares of restricted stock were awarded to the Company’s Board of Directors.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June 16, 2015, the Company received exemptive relief to repurchase shares of its common stock from its employees in connection with certain equity compensation plan arrangements. During the years ended December 31, 2016 and 2015, the Company repurchased 67,654 and 36,348 shares, respectively, of common stock at an aggregate cost of approximately $248,000 and $220,000, respectively, in connection with the vesting of employee’s restricted stock, which is reflected as Treasury Stock at cost on the Consolidated Balance Sheet. These shares are not available to be reissued under the Company’s Equity Incentive Plan.</w:t>
      </w:r>
    </w:p>
    <w:p>
      <w:pPr>
        <w:spacing w:after="0" w:line="188"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8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plan reserve and could not be reissued under the Company’s Equity Incentive Plan.</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2016 through March 31, 2017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Non-vested</w:t>
            </w:r>
          </w:p>
        </w:tc>
        <w:tc>
          <w:tcPr>
            <w:tcW w:w="45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Restricted</w:t>
            </w:r>
          </w:p>
        </w:tc>
        <w:tc>
          <w:tcPr>
            <w:tcW w:w="45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4560" w:type="dxa"/>
            <w:vAlign w:val="bottom"/>
          </w:tcPr>
          <w:p>
            <w:pPr>
              <w:spacing w:after="0"/>
              <w:rPr>
                <w:sz w:val="20"/>
                <w:szCs w:val="20"/>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January 1, 2016</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700,539</w:t>
            </w:r>
          </w:p>
        </w:tc>
        <w:tc>
          <w:tcPr>
            <w:tcW w:w="80" w:type="dxa"/>
            <w:vAlign w:val="bottom"/>
            <w:tcBorders>
              <w:top w:val="single" w:sz="8" w:color="CCEEFF"/>
            </w:tcBorders>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6,000</w:t>
            </w:r>
          </w:p>
        </w:tc>
        <w:tc>
          <w:tcPr>
            <w:tcW w:w="45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(260,607)</w:t>
            </w:r>
          </w:p>
        </w:tc>
        <w:tc>
          <w:tcPr>
            <w:tcW w:w="456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(34,453)</w:t>
            </w:r>
          </w:p>
        </w:tc>
        <w:tc>
          <w:tcPr>
            <w:tcW w:w="456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2016</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411,479</w:t>
            </w:r>
          </w:p>
        </w:tc>
        <w:tc>
          <w:tcPr>
            <w:tcW w:w="80" w:type="dxa"/>
            <w:vAlign w:val="bottom"/>
            <w:tcBorders>
              <w:top w:val="single" w:sz="8" w:color="CCEEFF"/>
            </w:tcBorders>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(9,548)</w:t>
            </w:r>
          </w:p>
        </w:tc>
        <w:tc>
          <w:tcPr>
            <w:tcW w:w="4560" w:type="dxa"/>
            <w:vAlign w:val="bottom"/>
          </w:tcPr>
          <w:p>
            <w:pPr>
              <w:spacing w:after="0"/>
              <w:rPr>
                <w:sz w:val="19"/>
                <w:szCs w:val="19"/>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Outstanding at March 31, 2017</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5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89"/>
              </w:rPr>
              <w:t>52</w:t>
            </w: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9" w:name="page60"/>
    <w:bookmarkEnd w:id="59"/>
    <w:p>
      <w:pPr>
        <w:ind w:right="160" w:firstLine="324"/>
        <w:spacing w:after="0" w:line="302" w:lineRule="auto"/>
        <w:rPr>
          <w:sz w:val="20"/>
          <w:szCs w:val="20"/>
          <w:color w:val="auto"/>
        </w:rPr>
      </w:pPr>
      <w:r>
        <w:rPr>
          <w:rFonts w:ascii="Arial" w:cs="Arial" w:eastAsia="Arial" w:hAnsi="Arial"/>
          <w:sz w:val="16"/>
          <w:szCs w:val="16"/>
          <w:color w:val="auto"/>
        </w:rPr>
        <w:t>For the three months ended March 31, 2017, non-cash compensation expense related to restricted stock was approximately $389,000; of this amount approximately $159,000 was expensed at the Company, and approximately $229,000 was a reimbursable expense allocated to the Asset Manager Affiliates. For the three months ended March 31, 2016, non-cash compensation expense related to restricted stock was approximately $421,000; of this amount approximately $172,000 was expensed at the Company and approximately $249,000 was a reimbursable expense allocated to the Asset Manager Affiliates.</w:t>
      </w:r>
    </w:p>
    <w:p>
      <w:pPr>
        <w:spacing w:after="0" w:line="154"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Distributions are paid on all outstanding shares of restricted stock, whether or not vested. In general, shares of unvested restricted stock are forfeited upon the recipient’s termination of employment. As of March 31, 2017, the Company had approximately $1.4 million of total unrecognized compensation cost related to non-vested restricted share awards, respectively. That cost is expected to be recognized over the remaining weighted average period of 1.2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$17,000 and $9,000 was expensed during the three months ended March 31, 2017 and 2016, respectively, related to the 401K Plan.</w:t>
      </w:r>
    </w:p>
    <w:p>
      <w:pPr>
        <w:spacing w:after="0" w:line="188"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$46,000 was expensed during the three months ended March 31, 2017 and 2016 for both periods, related to the Profit-Sharing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In April 2017, the Company notified the Trustee of the 7.375% Notes Due 2019 of its intention to redeem $6.5 million par value of such notes. The Company expects such redemption to be completed during the second quarter of 2017. Other than described above, the Company has evaluated events and transactions occurring subsequent to March 31, 2017 for items that should potentially be recognized or disclosed in these financial statements. Management has determined that there are no material subsequent events that would require adjustment to, or disclosure in, these consolidated financial statements.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0" w:name="page61"/>
    <w:bookmarkEnd w:id="6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information contained in this section should be read in conjunction with our consolidated financial statements and notes thereto appearing elsewhere in this Quarterly Report and in conjunction with the financial statements and notes thereto in the Company’s Form 10-K for the year ended December 31, 2016,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8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regulated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Part I, please see “Item 1A. Risk Factors” in our Annual Report on Form 10-K for the fiscal year ended December 31, 2016.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 as amended (the “1940 Act”). We have three principal areas of investments: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Second, the Company has invested in asset management companies (Katonah Debt Advisors and Trimaran Advisors, collectively the “Asset Manager Affiliates”) that manage collateralized loan obligation funds (“CLO Funds”).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Third, the Company invests in debt and subordinated securities issued by collateralized loan obligation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6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and distressed debt securities. The Company may also receive warrants or options to purchase common stock in connection with its debt investments.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private companies or publicly-traded companies, high-yield bonds and distressed debt securities. We may also receive warrants or options to purchase common stock in connection with our debt investments.</w:t>
      </w:r>
    </w:p>
    <w:p>
      <w:pPr>
        <w:spacing w:after="0" w:line="17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From our Asset Manager Affiliates investment, we expect to receive recurring cash distributions and to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Collectively, the Asset Manager Affiliates have approximately $2.8 billion of par value assets under management as of March 31, 2017. The Asset Manager Affiliates are registered under the Investment Advisers Act of 1940, and are each managed independently from KCAP by a separate management team (however, certain of the Company’s executive officers also act in similar capacities for one or both of the Asset Manager Affiliates).</w:t>
      </w:r>
    </w:p>
    <w:p>
      <w:pPr>
        <w:spacing w:after="0" w:line="16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our investment in the Asset Manager Affiliates.</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Subject to market conditions, 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6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Total portfolio investment activity (excluding activity in time deposit and money market investments) for the three months ended March 31, 2017 (unaudited) and for the year ended December 31, 2016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CLO Fund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Asset Manager</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Debt Securities</w:t>
            </w:r>
          </w:p>
        </w:tc>
        <w:tc>
          <w:tcPr>
            <w:tcW w:w="18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Securities</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Equity Securities</w:t>
            </w:r>
          </w:p>
        </w:tc>
        <w:tc>
          <w:tcPr>
            <w:tcW w:w="8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Affiliates</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Total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at December 31,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284,639,244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55,872,382</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9,548,488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407,441,114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2016 Activity:</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74,584,952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10,140,000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84,724,952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(123,240,416)</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(4,200,000)</w:t>
            </w: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(4,563,521)</w:t>
            </w:r>
          </w:p>
        </w:tc>
        <w:tc>
          <w:tcPr>
            <w:tcW w:w="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(133,253,937)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of interest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407,492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(2,192,071)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(540,649)</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(10,111,560)</w:t>
            </w:r>
          </w:p>
        </w:tc>
        <w:tc>
          <w:tcPr>
            <w:tcW w:w="3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4,484,742</w:t>
            </w:r>
          </w:p>
        </w:tc>
        <w:tc>
          <w:tcPr>
            <w:tcW w:w="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(6,167,467)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fair value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2,492,707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4,665,599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(4,413,354)</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(15,933,000)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(13,188,048)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at December 31, 2016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238,343,330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54,174,350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5,056,355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40,198,000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337,772,035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Year to Date 2017 Activity:</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28,746,165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(30,777,882)</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(31,427,882)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of interest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100,133</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143,658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43,938</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fair value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1,202,017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(1,318,980)</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(153,562)</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(2,606,000)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(2,876,525)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March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237,657,701</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52,999,028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4,902,794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36,942,000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332,501,523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March 31,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4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w w:val="99"/>
              </w:rPr>
              <w:t>March 31, 2017 (unaudited)</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ind w:left="860"/>
              <w:spacing w:after="0"/>
              <w:rPr>
                <w:sz w:val="20"/>
                <w:szCs w:val="20"/>
                <w:color w:val="auto"/>
              </w:rPr>
            </w:pPr>
            <w:r>
              <w:rPr>
                <w:rFonts w:ascii="Arial" w:cs="Arial" w:eastAsia="Arial" w:hAnsi="Arial"/>
                <w:sz w:val="18"/>
                <w:szCs w:val="18"/>
                <w:b w:val="1"/>
                <w:bCs w:val="1"/>
                <w:color w:val="auto"/>
              </w:rPr>
              <w:t>December 31, 2016</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vMerge w:val="continue"/>
          </w:tcPr>
          <w:p>
            <w:pPr>
              <w:spacing w:after="0"/>
              <w:rPr>
                <w:sz w:val="19"/>
                <w:szCs w:val="19"/>
                <w:color w:val="auto"/>
              </w:rPr>
            </w:pP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Cost/Amortized Cost</w:t>
            </w: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Fair Value</w:t>
            </w: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%¹</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w w:val="95"/>
              </w:rPr>
              <w:t>Cost/Amortized 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%¹</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Accounts³</w:t>
            </w: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22,674,790</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22,674,790</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Senior Secured Loan</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202,900,985</w:t>
            </w:r>
          </w:p>
        </w:tc>
        <w:tc>
          <w:tcPr>
            <w:tcW w:w="2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196,533,708</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207,701,078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200,322,152</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40,171,813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38,545,305</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37,251,776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35,444,440</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First Lien Bond</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3,054,338</w:t>
            </w:r>
          </w:p>
        </w:tc>
        <w:tc>
          <w:tcPr>
            <w:tcW w:w="2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1,089,338</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3,060,919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1,089,338</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1,505,454</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1,489,350</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1,506,461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1,487,400</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CLO Fund Securities</w:t>
            </w:r>
          </w:p>
        </w:tc>
        <w:tc>
          <w:tcPr>
            <w:tcW w:w="4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76,994,975</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52,999,028</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76,851,317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54,174,350</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10,389,008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4,902,794</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10,389,007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5,056,355</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Asset Manager Affiliates²</w:t>
            </w:r>
          </w:p>
        </w:tc>
        <w:tc>
          <w:tcPr>
            <w:tcW w:w="4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54,691,230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36,942,000</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55,341,230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40,198,000</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412,382,593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355,176,313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420,801,057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366,471,304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36277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right="6360" w:firstLine="8"/>
        <w:spacing w:after="0" w:line="323" w:lineRule="auto"/>
        <w:tabs>
          <w:tab w:leader="none" w:pos="3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equity investment in the Asset Manager Affiliates. ³ Includes restricted cash held under employee benefit plans.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right="54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2017 and December 31, 2016,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March 31, 2017 (unaudited)</w:t>
            </w:r>
          </w:p>
        </w:tc>
        <w:tc>
          <w:tcPr>
            <w:tcW w:w="7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rPr>
              <w:t>December 31, 2016</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380" w:type="dxa"/>
            <w:vAlign w:val="bottom"/>
            <w:gridSpan w:val="3"/>
          </w:tcPr>
          <w:p>
            <w:pPr>
              <w:jc w:val="right"/>
              <w:ind w:right="140"/>
              <w:spacing w:after="0" w:line="191" w:lineRule="exact"/>
              <w:rPr>
                <w:sz w:val="20"/>
                <w:szCs w:val="20"/>
                <w:color w:val="auto"/>
              </w:rPr>
            </w:pPr>
            <w:r>
              <w:rPr>
                <w:rFonts w:ascii="Arial" w:cs="Arial" w:eastAsia="Arial" w:hAnsi="Arial"/>
                <w:sz w:val="18"/>
                <w:szCs w:val="18"/>
                <w:b w:val="1"/>
                <w:bCs w:val="1"/>
                <w:color w:val="auto"/>
                <w:w w:val="91"/>
              </w:rPr>
              <w:t>Cost/Amortized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80" w:type="dxa"/>
            <w:vAlign w:val="bottom"/>
          </w:tcPr>
          <w:p>
            <w:pPr>
              <w:spacing w:after="0"/>
              <w:rPr>
                <w:sz w:val="16"/>
                <w:szCs w:val="16"/>
                <w:color w:val="auto"/>
              </w:rPr>
            </w:pPr>
          </w:p>
        </w:tc>
        <w:tc>
          <w:tcPr>
            <w:tcW w:w="14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Fair Value</w:t>
            </w:r>
          </w:p>
        </w:tc>
        <w:tc>
          <w:tcPr>
            <w:tcW w:w="7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8,374,160</w:t>
            </w: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8,274,335</w:t>
            </w:r>
          </w:p>
        </w:tc>
        <w:tc>
          <w:tcPr>
            <w:tcW w:w="22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8,394,633</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8,450,106</w:t>
            </w:r>
          </w:p>
        </w:tc>
        <w:tc>
          <w:tcPr>
            <w:tcW w:w="2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54,691,230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36,942,000</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55,341,230</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40,198,000</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7,801,993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7,769,075</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6,322,551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6,196,154</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Banking, Finance, Insurance &amp; Real Estate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5,592,918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5,555,171</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6,805,514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6,782,010</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15,018,374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14,526,304</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15,198,830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14,703,372</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Capital Equipment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9,665,714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8,943,739</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6,185,129</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5,575,048</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6,406,392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6,429,950</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6,421,909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6,444,073</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76,994,975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52,999,028</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76,851,317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54,174,350</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&amp; Building</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5,891,717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5,940,196</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5,919,158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5,929,606</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Consumer goods: Durable</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10,970,920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8,996,058</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12,319,905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10,118,736</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14,247,238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14,148,705</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14,766,390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14,452,096</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Ecological</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1,741,292</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1,760,783</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Energy: Electricity</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3,895,827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3,928,014</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3,904,453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3,937,247</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Energy: Oil &amp; Gas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14,658,057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10,181,138</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14,493,835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8,805,761</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13,924,571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13,589,885</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12,279,924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12,185,239</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4,188,710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4,209,862</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4,192,889</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4,192,907</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57,616,979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53,624,475</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58,769,668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53,594,534</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High Tech Industries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10,963,154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11,019,979</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9,854,093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9,936,109</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1,991,000</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11,441,315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11,207,306</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11,712,682</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11,453,447</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&amp; Subscription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5,840,975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5,884,115</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8,273,174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8,372,984</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1,416,024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593,445</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1,415,457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759,581</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20,427,358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19,412,602</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16,125,481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16,230,486</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Services: Consumer</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6,035,256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6,021,103</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6,212,108</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6,204,889</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6,017,657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5,986,937</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12,809,799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12,767,823</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Pr>
          <w:p>
            <w:pPr>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22,674,790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22,674,791</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28,699,269</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28,699,269</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Cargo</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7,423,418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7,118,789</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7,557,315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7,190,135</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Transportation: Consumer</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2,397,545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2,317,219</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2,412,614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2,324,516</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Utilities: Electric</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4,891,092</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5,420,438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5,031,043</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412,382,593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355,176,313</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420,801,057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366,471,304</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120" w:hanging="112"/>
        <w:spacing w:after="0" w:line="184" w:lineRule="auto"/>
        <w:tabs>
          <w:tab w:leader="none" w:pos="12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Represents the equity investment in the Asset Manager Affiliates.</w:t>
      </w:r>
    </w:p>
    <w:p>
      <w:pPr>
        <w:spacing w:after="0" w:line="43" w:lineRule="exact"/>
        <w:rPr>
          <w:rFonts w:ascii="Arial" w:cs="Arial" w:eastAsia="Arial" w:hAnsi="Arial"/>
          <w:sz w:val="29"/>
          <w:szCs w:val="29"/>
          <w:color w:val="auto"/>
          <w:vertAlign w:val="superscript"/>
        </w:rPr>
      </w:pP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Includes restricted cash held under employee benefit plans.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At March 31, 2017 and December 31, 2016, our investments in income producing loans and debt securities, excluding CLO Fund Securities, had a weighted average interest rate of approximately 7.0% for both periods.</w:t>
      </w:r>
    </w:p>
    <w:p>
      <w:pPr>
        <w:spacing w:after="0" w:line="17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and CLO Funds) at March 31, 2017 was spread across 25 different industries and 94 different entities with an average balance per entity of approximately $2.5 million. As of March 31, 2017, all of our portfolio companies were current on their debt service obligations.</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may invest up to 30% of our investment portfolio in “non-qualifying” opportunistic investments such as high-yield bonds, debt and equity securities of CLO Funds, foreign investments, and distressed debt or equity securities of large cap public companies. At March 31, 2017 and December 31, 2016, the total amount of non-qualifying assets was approximately 17%, for both periods. The majority of non-qualifying assets were foreign investments which were approximately 15% and 14%, respectively, of the Company’s total assets (including the Company’s investments in CLO Funds, which are typically domiciled outside the U.S. and represented approximately 14% of its total assets on such dates). The investments in our Debt Securities Portfolio are all or predominantly below investment grade, and therefore have speculative characteristics with respect to the issuer’s capacity to pay interest and repay principal.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March 31, 2017 and December 31, 2016, our Asset Manager Affiliates had approximately $2.8 billion and $3.0 billion, respectively, of par value of assets under management on which they earn management fees, and were valued at approximately $36.9 million and $40.2 million, respectively..</w:t>
      </w:r>
    </w:p>
    <w:p>
      <w:pPr>
        <w:spacing w:after="0" w:line="15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in the first quarter of 2017 our Asset Manager Affiliates recognized $2.9 million of incentive fees from one fund.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March 31, 2017 and December 31, 2016, we had approximately $53.0 million and $54.2 million, respectively, invested in CLO Fund Securities, issued primarily by funds managed by our Asset Manager Affiliates.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color w:val="auto"/>
        </w:rPr>
        <w:t>Our CLO Fund Securities as of March 31, 2017 and December 31, 2016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March 31, 2017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December 31, 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Pr>
          <w:p>
            <w:pPr>
              <w:spacing w:after="0"/>
              <w:rPr>
                <w:sz w:val="20"/>
                <w:szCs w:val="20"/>
                <w:color w:val="auto"/>
              </w:rPr>
            </w:pPr>
          </w:p>
        </w:tc>
        <w:tc>
          <w:tcPr>
            <w:tcW w:w="2220" w:type="dxa"/>
            <w:vAlign w:val="bottom"/>
          </w:tcPr>
          <w:p>
            <w:pPr>
              <w:ind w:left="68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w:t>
            </w:r>
          </w:p>
        </w:tc>
        <w:tc>
          <w:tcPr>
            <w:tcW w:w="120" w:type="dxa"/>
            <w:vAlign w:val="bottom"/>
            <w:vMerge w:val="continue"/>
            <w:shd w:val="clear" w:color="auto" w:fill="CCEEFF"/>
          </w:tcPr>
          <w:p>
            <w:pPr>
              <w:spacing w:after="0"/>
              <w:rPr>
                <w:sz w:val="21"/>
                <w:szCs w:val="21"/>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Subordinated Securities</w:t>
            </w:r>
          </w:p>
        </w:tc>
        <w:tc>
          <w:tcPr>
            <w:tcW w:w="12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2,485,886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2,485,886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360" w:type="dxa"/>
            <w:vAlign w:val="bottom"/>
            <w:gridSpan w:val="2"/>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1,287,155</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369,000</w:t>
            </w:r>
          </w:p>
        </w:tc>
        <w:tc>
          <w:tcPr>
            <w:tcW w:w="2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1,287,155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257"/>
        </w:trPr>
        <w:tc>
          <w:tcPr>
            <w:tcW w:w="23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29,101,810</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20,847,854</w:t>
            </w: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28,022,646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20,453,099</w:t>
            </w:r>
          </w:p>
        </w:tc>
        <w:tc>
          <w:tcPr>
            <w:tcW w:w="0" w:type="dxa"/>
            <w:vAlign w:val="bottom"/>
          </w:tcPr>
          <w:p>
            <w:pPr>
              <w:spacing w:after="0"/>
              <w:rPr>
                <w:sz w:val="1"/>
                <w:szCs w:val="1"/>
                <w:color w:val="auto"/>
              </w:rPr>
            </w:pPr>
          </w:p>
        </w:tc>
      </w:tr>
      <w:tr>
        <w:trPr>
          <w:trHeight w:val="257"/>
        </w:trPr>
        <w:tc>
          <w:tcPr>
            <w:tcW w:w="2360" w:type="dxa"/>
            <w:vAlign w:val="bottom"/>
            <w:gridSpan w:val="2"/>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2, 3</w:t>
            </w:r>
          </w:p>
        </w:tc>
        <w:tc>
          <w:tcPr>
            <w:tcW w:w="2340" w:type="dxa"/>
            <w:vAlign w:val="bottom"/>
            <w:gridSpan w:val="2"/>
          </w:tcPr>
          <w:p>
            <w:pPr>
              <w:spacing w:after="0"/>
              <w:rPr>
                <w:sz w:val="20"/>
                <w:szCs w:val="20"/>
                <w:color w:val="auto"/>
              </w:rPr>
            </w:pPr>
            <w:r>
              <w:rPr>
                <w:rFonts w:ascii="Arial" w:cs="Arial" w:eastAsia="Arial" w:hAnsi="Arial"/>
                <w:sz w:val="18"/>
                <w:szCs w:val="18"/>
                <w:color w:val="auto"/>
              </w:rPr>
              <w:t>Income Notes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934,010</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565,000</w:t>
            </w:r>
          </w:p>
        </w:tc>
        <w:tc>
          <w:tcPr>
            <w:tcW w:w="2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1,643,920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1,195,152</w:t>
            </w:r>
          </w:p>
        </w:tc>
        <w:tc>
          <w:tcPr>
            <w:tcW w:w="0" w:type="dxa"/>
            <w:vAlign w:val="bottom"/>
          </w:tcPr>
          <w:p>
            <w:pPr>
              <w:spacing w:after="0"/>
              <w:rPr>
                <w:sz w:val="1"/>
                <w:szCs w:val="1"/>
                <w:color w:val="auto"/>
              </w:rPr>
            </w:pPr>
          </w:p>
        </w:tc>
      </w:tr>
      <w:tr>
        <w:trPr>
          <w:trHeight w:val="257"/>
        </w:trPr>
        <w:tc>
          <w:tcPr>
            <w:tcW w:w="23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8"/>
              </w:rPr>
              <w:t>Catamaran CLO 2012-1 Ltd.</w:t>
            </w:r>
            <w:r>
              <w:rPr>
                <w:rFonts w:ascii="Arial" w:cs="Arial" w:eastAsia="Arial" w:hAnsi="Arial"/>
                <w:sz w:val="29"/>
                <w:szCs w:val="29"/>
                <w:color w:val="auto"/>
                <w:w w:val="98"/>
                <w:vertAlign w:val="superscript"/>
              </w:rPr>
              <w:t>2</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5,778,004</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2,679,951</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5,919,933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2,819,412</w:t>
            </w:r>
          </w:p>
        </w:tc>
        <w:tc>
          <w:tcPr>
            <w:tcW w:w="0" w:type="dxa"/>
            <w:vAlign w:val="bottom"/>
          </w:tcPr>
          <w:p>
            <w:pPr>
              <w:spacing w:after="0"/>
              <w:rPr>
                <w:sz w:val="1"/>
                <w:szCs w:val="1"/>
                <w:color w:val="auto"/>
              </w:rPr>
            </w:pPr>
          </w:p>
        </w:tc>
      </w:tr>
      <w:tr>
        <w:trPr>
          <w:trHeight w:val="257"/>
        </w:trPr>
        <w:tc>
          <w:tcPr>
            <w:tcW w:w="2360" w:type="dxa"/>
            <w:vAlign w:val="bottom"/>
            <w:gridSpan w:val="2"/>
          </w:tcPr>
          <w:p>
            <w:pPr>
              <w:spacing w:after="0" w:line="256" w:lineRule="exact"/>
              <w:rPr>
                <w:sz w:val="20"/>
                <w:szCs w:val="20"/>
                <w:color w:val="auto"/>
              </w:rPr>
            </w:pPr>
            <w:r>
              <w:rPr>
                <w:rFonts w:ascii="Arial" w:cs="Arial" w:eastAsia="Arial" w:hAnsi="Arial"/>
                <w:sz w:val="18"/>
                <w:szCs w:val="18"/>
                <w:color w:val="auto"/>
                <w:w w:val="96"/>
              </w:rPr>
              <w:t>Catamaran CLO 2013- 1 Ltd.</w:t>
            </w:r>
            <w:r>
              <w:rPr>
                <w:rFonts w:ascii="Arial" w:cs="Arial" w:eastAsia="Arial" w:hAnsi="Arial"/>
                <w:sz w:val="29"/>
                <w:szCs w:val="29"/>
                <w:color w:val="auto"/>
                <w:w w:val="96"/>
                <w:vertAlign w:val="superscript"/>
              </w:rPr>
              <w:t>2</w:t>
            </w:r>
          </w:p>
        </w:tc>
        <w:tc>
          <w:tcPr>
            <w:tcW w:w="234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5,067,975</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4,613,262</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5,237,222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4,918,807</w:t>
            </w:r>
          </w:p>
        </w:tc>
        <w:tc>
          <w:tcPr>
            <w:tcW w:w="0" w:type="dxa"/>
            <w:vAlign w:val="bottom"/>
          </w:tcPr>
          <w:p>
            <w:pPr>
              <w:spacing w:after="0"/>
              <w:rPr>
                <w:sz w:val="1"/>
                <w:szCs w:val="1"/>
                <w:color w:val="auto"/>
              </w:rPr>
            </w:pPr>
          </w:p>
        </w:tc>
      </w:tr>
      <w:tr>
        <w:trPr>
          <w:trHeight w:val="257"/>
        </w:trPr>
        <w:tc>
          <w:tcPr>
            <w:tcW w:w="23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8"/>
              </w:rPr>
              <w:t>Catamaran CLO 2014-1 Ltd.</w:t>
            </w:r>
            <w:r>
              <w:rPr>
                <w:rFonts w:ascii="Arial" w:cs="Arial" w:eastAsia="Arial" w:hAnsi="Arial"/>
                <w:sz w:val="29"/>
                <w:szCs w:val="29"/>
                <w:color w:val="auto"/>
                <w:w w:val="98"/>
                <w:vertAlign w:val="superscript"/>
              </w:rPr>
              <w:t>2</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7,635,476</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4,376,540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7,818,484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4,546,682</w:t>
            </w:r>
          </w:p>
        </w:tc>
        <w:tc>
          <w:tcPr>
            <w:tcW w:w="0" w:type="dxa"/>
            <w:vAlign w:val="bottom"/>
          </w:tcPr>
          <w:p>
            <w:pPr>
              <w:spacing w:after="0"/>
              <w:rPr>
                <w:sz w:val="1"/>
                <w:szCs w:val="1"/>
                <w:color w:val="auto"/>
              </w:rPr>
            </w:pPr>
          </w:p>
        </w:tc>
      </w:tr>
      <w:tr>
        <w:trPr>
          <w:trHeight w:val="257"/>
        </w:trPr>
        <w:tc>
          <w:tcPr>
            <w:tcW w:w="2360" w:type="dxa"/>
            <w:vAlign w:val="bottom"/>
            <w:gridSpan w:val="2"/>
          </w:tcPr>
          <w:p>
            <w:pPr>
              <w:spacing w:after="0" w:line="256" w:lineRule="exact"/>
              <w:rPr>
                <w:sz w:val="20"/>
                <w:szCs w:val="20"/>
                <w:color w:val="auto"/>
              </w:rPr>
            </w:pPr>
            <w:r>
              <w:rPr>
                <w:rFonts w:ascii="Arial" w:cs="Arial" w:eastAsia="Arial" w:hAnsi="Arial"/>
                <w:sz w:val="18"/>
                <w:szCs w:val="18"/>
                <w:color w:val="auto"/>
                <w:w w:val="98"/>
              </w:rPr>
              <w:t>Catamaran CLO 2014-1 Ltd.</w:t>
            </w:r>
            <w:r>
              <w:rPr>
                <w:rFonts w:ascii="Arial" w:cs="Arial" w:eastAsia="Arial" w:hAnsi="Arial"/>
                <w:sz w:val="29"/>
                <w:szCs w:val="29"/>
                <w:color w:val="auto"/>
                <w:w w:val="98"/>
                <w:vertAlign w:val="superscript"/>
              </w:rPr>
              <w:t>2</w:t>
            </w:r>
          </w:p>
        </w:tc>
        <w:tc>
          <w:tcPr>
            <w:tcW w:w="2340" w:type="dxa"/>
            <w:vAlign w:val="bottom"/>
            <w:gridSpan w:val="2"/>
          </w:tcPr>
          <w:p>
            <w:pPr>
              <w:spacing w:after="0"/>
              <w:rPr>
                <w:sz w:val="20"/>
                <w:szCs w:val="20"/>
                <w:color w:val="auto"/>
              </w:rPr>
            </w:pPr>
            <w:r>
              <w:rPr>
                <w:rFonts w:ascii="Arial" w:cs="Arial" w:eastAsia="Arial" w:hAnsi="Arial"/>
                <w:sz w:val="18"/>
                <w:szCs w:val="18"/>
                <w:color w:val="auto"/>
              </w:rPr>
              <w:t>Class E Notes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1,444,363</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1,390,000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1,441,727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1,310,000</w:t>
            </w: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Dryden 30 Senior Loan Fund</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1,314,985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1,801,090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1,343,467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1,895,566</w:t>
            </w:r>
          </w:p>
        </w:tc>
        <w:tc>
          <w:tcPr>
            <w:tcW w:w="0" w:type="dxa"/>
            <w:vAlign w:val="bottom"/>
          </w:tcPr>
          <w:p>
            <w:pPr>
              <w:spacing w:after="0"/>
              <w:rPr>
                <w:sz w:val="1"/>
                <w:szCs w:val="1"/>
                <w:color w:val="auto"/>
              </w:rPr>
            </w:pPr>
          </w:p>
        </w:tc>
      </w:tr>
      <w:tr>
        <w:trPr>
          <w:trHeight w:val="257"/>
        </w:trPr>
        <w:tc>
          <w:tcPr>
            <w:tcW w:w="2360" w:type="dxa"/>
            <w:vAlign w:val="bottom"/>
            <w:gridSpan w:val="2"/>
          </w:tcPr>
          <w:p>
            <w:pPr>
              <w:spacing w:after="0" w:line="256" w:lineRule="exact"/>
              <w:rPr>
                <w:sz w:val="20"/>
                <w:szCs w:val="20"/>
                <w:color w:val="auto"/>
              </w:rPr>
            </w:pPr>
            <w:r>
              <w:rPr>
                <w:rFonts w:ascii="Arial" w:cs="Arial" w:eastAsia="Arial" w:hAnsi="Arial"/>
                <w:sz w:val="18"/>
                <w:szCs w:val="18"/>
                <w:color w:val="auto"/>
                <w:w w:val="98"/>
              </w:rPr>
              <w:t>Catamaran CLO 2014-2 Ltd.</w:t>
            </w:r>
            <w:r>
              <w:rPr>
                <w:rFonts w:ascii="Arial" w:cs="Arial" w:eastAsia="Arial" w:hAnsi="Arial"/>
                <w:sz w:val="29"/>
                <w:szCs w:val="29"/>
                <w:color w:val="auto"/>
                <w:w w:val="98"/>
                <w:vertAlign w:val="superscript"/>
              </w:rPr>
              <w:t>2</w:t>
            </w:r>
          </w:p>
        </w:tc>
        <w:tc>
          <w:tcPr>
            <w:tcW w:w="234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6,972,176</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4,879,005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6,967,560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5,092,087</w:t>
            </w:r>
          </w:p>
        </w:tc>
        <w:tc>
          <w:tcPr>
            <w:tcW w:w="0" w:type="dxa"/>
            <w:vAlign w:val="bottom"/>
          </w:tcPr>
          <w:p>
            <w:pPr>
              <w:spacing w:after="0"/>
              <w:rPr>
                <w:sz w:val="1"/>
                <w:szCs w:val="1"/>
                <w:color w:val="auto"/>
              </w:rPr>
            </w:pPr>
          </w:p>
        </w:tc>
      </w:tr>
      <w:tr>
        <w:trPr>
          <w:trHeight w:val="257"/>
        </w:trPr>
        <w:tc>
          <w:tcPr>
            <w:tcW w:w="23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8"/>
              </w:rPr>
              <w:t>Catamaran CLO 2015-1 Ltd.</w:t>
            </w:r>
            <w:r>
              <w:rPr>
                <w:rFonts w:ascii="Arial" w:cs="Arial" w:eastAsia="Arial" w:hAnsi="Arial"/>
                <w:sz w:val="29"/>
                <w:szCs w:val="29"/>
                <w:color w:val="auto"/>
                <w:w w:val="98"/>
                <w:vertAlign w:val="superscript"/>
              </w:rPr>
              <w:t>2</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4,494,789</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3,110,826</w:t>
            </w: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4,543,317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3,223,255</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line="269" w:lineRule="exact"/>
              <w:rPr>
                <w:sz w:val="20"/>
                <w:szCs w:val="20"/>
                <w:color w:val="auto"/>
              </w:rPr>
            </w:pPr>
            <w:r>
              <w:rPr>
                <w:rFonts w:ascii="Arial" w:cs="Arial" w:eastAsia="Arial" w:hAnsi="Arial"/>
                <w:sz w:val="18"/>
                <w:szCs w:val="18"/>
                <w:color w:val="auto"/>
                <w:w w:val="98"/>
              </w:rPr>
              <w:t>Catamaran CLO 2016-1 Ltd.</w:t>
            </w:r>
            <w:r>
              <w:rPr>
                <w:rFonts w:ascii="Arial" w:cs="Arial" w:eastAsia="Arial" w:hAnsi="Arial"/>
                <w:sz w:val="30"/>
                <w:szCs w:val="30"/>
                <w:color w:val="auto"/>
                <w:w w:val="98"/>
                <w:vertAlign w:val="superscript"/>
              </w:rPr>
              <w:t>2</w:t>
            </w:r>
          </w:p>
        </w:tc>
        <w:tc>
          <w:tcPr>
            <w:tcW w:w="234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10,478,346</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8,365,500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10,140,000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8,350,290</w:t>
            </w:r>
          </w:p>
        </w:tc>
        <w:tc>
          <w:tcPr>
            <w:tcW w:w="0" w:type="dxa"/>
            <w:vAlign w:val="bottom"/>
          </w:tcPr>
          <w:p>
            <w:pPr>
              <w:spacing w:after="0"/>
              <w:rPr>
                <w:sz w:val="1"/>
                <w:szCs w:val="1"/>
                <w:color w:val="auto"/>
              </w:rPr>
            </w:pPr>
          </w:p>
        </w:tc>
      </w:tr>
      <w:tr>
        <w:trPr>
          <w:trHeight w:val="223"/>
        </w:trPr>
        <w:tc>
          <w:tcPr>
            <w:tcW w:w="2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76,994,975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52,999,028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76,851,317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54,174,350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¹ Represents percentage of class held.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² A CLO Fund managed by an Asset Manager Affiliate.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³ As of March 31, 2017, this CLO Fund security was not providing a taxable distribution.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companies (at fair value) as of March 31, 2017 and December 31, 2016,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93"/>
              </w:rPr>
              <w:t>March 31, 2017</w:t>
            </w:r>
          </w:p>
        </w:tc>
        <w:tc>
          <w:tcPr>
            <w:tcW w:w="1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90"/>
              </w:rPr>
              <w:t>Cost/Amortized Cost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Fair Value</w:t>
            </w:r>
          </w:p>
        </w:tc>
        <w:tc>
          <w:tcPr>
            <w:tcW w:w="1280" w:type="dxa"/>
            <w:vAlign w:val="bottom"/>
          </w:tcPr>
          <w:p>
            <w:pPr>
              <w:ind w:left="220"/>
              <w:spacing w:after="0"/>
              <w:rPr>
                <w:sz w:val="20"/>
                <w:szCs w:val="20"/>
                <w:color w:val="auto"/>
              </w:rPr>
            </w:pPr>
            <w:r>
              <w:rPr>
                <w:rFonts w:ascii="Arial" w:cs="Arial" w:eastAsia="Arial" w:hAnsi="Arial"/>
                <w:sz w:val="18"/>
                <w:szCs w:val="18"/>
                <w:b w:val="1"/>
                <w:bCs w:val="1"/>
                <w:color w:val="auto"/>
              </w:rPr>
              <w:t>% of FMV</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200" w:type="dxa"/>
            <w:vAlign w:val="bottom"/>
            <w:shd w:val="clear" w:color="auto" w:fill="000000"/>
          </w:tcPr>
          <w:p>
            <w:pPr>
              <w:spacing w:after="0" w:line="20" w:lineRule="exact"/>
              <w:rPr>
                <w:sz w:val="1"/>
                <w:szCs w:val="1"/>
                <w:color w:val="auto"/>
              </w:rPr>
            </w:pPr>
          </w:p>
        </w:tc>
        <w:tc>
          <w:tcPr>
            <w:tcW w:w="1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54,691,230</w:t>
            </w:r>
          </w:p>
        </w:tc>
        <w:tc>
          <w:tcPr>
            <w:tcW w:w="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36,942,000</w:t>
            </w:r>
          </w:p>
        </w:tc>
        <w:tc>
          <w:tcPr>
            <w:tcW w:w="20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US Bank Money Market Account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22,660,522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22,660,522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20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29,101,810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20,847,854</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9,831,239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9,134,800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2016-1 Ltd.</w:t>
            </w:r>
          </w:p>
        </w:tc>
        <w:tc>
          <w:tcPr>
            <w:tcW w:w="20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10,478,346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8,365,500</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11,985,697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7,821,575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Roscoe Medical, Inc.</w:t>
            </w:r>
          </w:p>
        </w:tc>
        <w:tc>
          <w:tcPr>
            <w:tcW w:w="20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6,669,733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6,499,000</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GK Holdings, Inc. (aka Global Knowledge)</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5,892,434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5,879,408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Nielsen &amp; Bainbridge, LLC</w:t>
            </w:r>
          </w:p>
        </w:tc>
        <w:tc>
          <w:tcPr>
            <w:tcW w:w="20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5,328,534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5,361,360</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Weiman Products, LLC</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4,964,167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4,904,989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161,603,712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128,417,008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4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rPr>
              <w:t>December 31, 2016</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w w:val="95"/>
              </w:rPr>
              <w:t>Cost/Amortized Cost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Fair Value</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 of FMV</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55,341,230</w:t>
            </w: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200" w:type="dxa"/>
            <w:vAlign w:val="bottom"/>
            <w:vMerge w:val="continue"/>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US Bank Money Market Account</w:t>
            </w:r>
          </w:p>
        </w:tc>
        <w:tc>
          <w:tcPr>
            <w:tcW w:w="4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28,685,001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28,685,001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28,022,646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20,453,099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9,828,619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9,113,125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2016-1 Ltd.</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8,350,290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4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11,822,180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6,552,311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Roscoe Medical, Inc.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6,499,000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Weiman Products, LLC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5,462,647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5,321,809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Nielsen &amp; Bainbridge, LLC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5,326,136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5,199,447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Catamaran CLO 2014-2 Ltd.</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6,967,560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5,092,087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168,262,752</w:t>
            </w:r>
          </w:p>
        </w:tc>
        <w:tc>
          <w:tcPr>
            <w:tcW w:w="10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135,464,169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Excluding the Asset Manager Affiliates, CLO Fund securities and Money Market Accounts, the Company’s ten largest portfolio companies represented approximately 16% and 13% of the total fair value of the Company’s investments at March 31, 2017 and December 31, 2016,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months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managed by our Asset Manager Affiliates and select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67" w:name="page68"/>
    <w:bookmarkEnd w:id="67"/>
    <w:p>
      <w:pPr>
        <w:ind w:right="20" w:firstLine="324"/>
        <w:spacing w:after="0" w:line="272"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7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CLO 2014-1 Ltd., interest is earned at a fixed spread relative to the LIBOR index.</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cash distributions from our investment in our Asset Manager Affiliates, which are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future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three months ended March 31, 2017, the Asset Manager Affiliates received incentive fees from one fund.</w:t>
      </w:r>
    </w:p>
    <w:p>
      <w:pPr>
        <w:spacing w:after="0" w:line="183"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Asset Manager Affiliates are expected to pay future distributions to the Company based upon their after-tax free cash flow, which generally will be dependent upon the maintenance and growth in their assets under management and related management fees. As a result of tax-basis goodwill amortization and certain other tax-related adjustments, portions of distributions received may be deemed return of capital. As amortizing funds which are paying incentive fees are redeemed, we expect incentive fees available for distribution to diminish. The fair value of our investment in our Asset Manager Affiliates was approximately $36.9 million at March 31, 2017, with an unrealized depreciation for the period ending March 31, 2017 of approximately $2.6 million. For the three months ended March 31, 2016, we recognized dividend income of $550,000, from the Asset Manager Affiliates, while cash distributions received were approximately $650,000 and $1.1 million for the three months ended March 31, 2017 and 2016, respectively. The difference between cash distributions received and the tax-basis earnings and profits is recorded as an adjustment to the cost basis of the Asset Manager Affiliates investments.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$2.8 billion and $3.0 billion as of March 31, 2017 and December 31, 2016, respectively.</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8" w:name="page69"/>
    <w:bookmarkEnd w:id="68"/>
    <w:p>
      <w:pPr>
        <w:ind w:right="34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Investment income for the three months ended March 31, 2017 and 2016 was approximately $7.8 million and $9.5 million, respectively. Of these amounts, approximately $4.6 million and $5.7 million was attributable to interest income on our Debt Securities Portfolio.</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yield on our Debt Securities Portfolio was 7.0%, as of March 31, 2017 and December 31, 2016.</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For the three months ended March 31, 2017 and 2016, approximately $3.1 million and $3.2 million, respectively, of investment income was attributable to investments in CLO Fund Securities. On a tax basis, the Company recognized $2.2 million and $4.0 million of taxable distributable income on distributions from our CLO Fund Securities during the three month periods ended March 31, 2017 and 2016,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expected term of the borrowing.</w:t>
      </w:r>
    </w:p>
    <w:p>
      <w:pPr>
        <w:spacing w:after="0" w:line="181"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Total expenses for the three months ended March 31, 2017 and 2016 were approximately $4.6 million and $4.7 million, respectively. Interest expense and amortization on debt issuance costs for the period was approximately $2.2 million and $2.6 million, respectively, on average debt outstanding of $181 million and $204 million, respectively.</w:t>
      </w:r>
    </w:p>
    <w:p>
      <w:pPr>
        <w:spacing w:after="0" w:line="1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the three months ended March 31, 2017 and 2016, approximately $1.2 million and $967,000 of expenses were attributable to employee compensation, including salaries, bonuses, employee benefits, payroll taxes and stock-based compensation expense, respectively. For the three months ended March 31, 2017 and 2016, respectively, professional fees and insurance expenses totaled approximately $644,000 and $758,000. Administrative costs, which include occupancy expense, technology and other office expenses, totaled approximately $505,000 and $447,000 for the three months ended March 31, 2017 and 2016,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Net investment income and net realized gains (losses) represents the stockholder’s equity before net unrealized appreciation or depreciation on investments. For the three months ended March 31, 2017, net investment income and net realized gains were approximately $3.3 million, or $0.09 per share. For the three months ended March 31, 2016, net investment income and net realized losses were approximately $3.0 million loss, or $0.08 per share. Net investment income represents the income earned on our investments less operating and interest expense before net realized gains or losses and unrealized appreciation or depreciation on investments. 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example, 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 For the three months ended March 31, 2017, U.S. GAAP-basis net investment income was approximately $3.2 million or $0.09 per share, while tax-basis distributable income was approximately $2.4 million or $0.06 per share. For the three months ended March 31, 2016, U.S. GAAP-basis net investment income was approximately $4.8 million or $0.13 per basic share, while tax-basis distributable income was approximately $5.9 million or $0.16 per share.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During the three months ended March 31, 2017, our total investments had net unrealized depreciation of approximately $2.9 million. Included in the net unrealized loss in 2017 are unrealized depreciation on CLO Fund Securities of approximately $1.3 million, net unrealized depreciation on equity securities of approximately $154,000, and net unrealized depreciation of the Asset Manager Affiliates of $2.6 million, offset by unrealized appreciation on our debt securities of approximately $1.2 million. During the three months ended March 31, 2016, our total investments had net unrealized depreciation of approximately $3.8 million. Included in the net unrealized depreciation in 2016 are unrealized appreciation on CLO Fund Securities of approximately $3.1 million unrealized appreciation and on equity securities of approximately $1.4 million, as well as unrealized depreciation of the Asset Manager Affiliates of $6.5 million, and unrealized depreciation on our debt securities of $1.7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increase in stockholders’ equity resulting from operations for the three months ended March 31, 2017 was $386,000, or $0.01 per basic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stockholders’ equity resulting from operations for the three months ended March 31, 2016 was $6.8 million, or $0.18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2017 and December 31, 2016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Investments at Fair Value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3"/>
              </w:rPr>
              <w:t>March 31, 2017  December 31, 2016</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5,178,290</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1,307,257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Restricted Cash</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7,986,487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8,528,298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22,674,790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28,699,269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Senior Secured Loan</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196,533,708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200,322,152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38,545,305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35,444,440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First Lien Bond</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1,089,338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1,089,338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1,489,350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1,487,400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CLO Fund Securities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52,999,028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54,174,350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4,902,794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5,056,355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Asset Manager Affiliates</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36,942,000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40,198,000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368,341,090</w:t>
            </w:r>
          </w:p>
        </w:tc>
        <w:tc>
          <w:tcPr>
            <w:tcW w:w="100" w:type="dxa"/>
            <w:vAlign w:val="bottom"/>
          </w:tcPr>
          <w:p>
            <w:pPr>
              <w:spacing w:after="0"/>
              <w:rPr>
                <w:sz w:val="21"/>
                <w:szCs w:val="21"/>
                <w:color w:val="auto"/>
              </w:rPr>
            </w:pPr>
          </w:p>
        </w:tc>
        <w:tc>
          <w:tcPr>
            <w:tcW w:w="3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376,306,859</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40" w:type="dxa"/>
            <w:vAlign w:val="bottom"/>
            <w:vMerge w:val="restart"/>
          </w:tcPr>
          <w:p>
            <w:pPr>
              <w:jc w:val="right"/>
              <w:ind w:right="25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0" w:name="page71"/>
    <w:bookmarkEnd w:id="70"/>
    <w:p>
      <w:pPr>
        <w:ind w:right="80" w:firstLine="32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March 31, 2017, we had approximately $181 million of par value of outstanding borrowings and our asset coverage ratio of total assets to total borrowings was 203%, compliant with the minimum asset coverage level of 200% generally required for a BDC by the 1940 Act. We may also borrow amounts of up to 5% of the value of our total assets for temporary purposes.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15, 2016, the Convertible Notes matured and were repaid in full.</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At March 31, 2017, the Company was in compliance with all of its debt covenants. The indenture governing the 7.375% Notes Due 2019 contains certain restrictive covenants, including compliance with certain provisions of the 1940 Act relating to borrowing and dividends. During the second quarter of 2016, the Company repurchased approximately $2.4 million par value of the 7.375% notes due 2019 at a weighted average price of $25.23 per $25.00 note, resulting in a realized loss on extinguishment of $71,190. KCAP subsequently surrendered these notes to the Trustee for cancellation. During the third quarter of 2016, $5.0 million par value of the 7.375% notes due 2019 was redeemed by the Company, resulting in a realized loss on extinguishment of $88,015. During the fourth quarter of 2016, $469,000 par value of the 7.375% notes due 2019 was redeemed by the Company, resulting in a realized loss on extinguishment of $15,000.</w:t>
      </w:r>
    </w:p>
    <w:p>
      <w:pPr>
        <w:spacing w:after="0" w:line="16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In April 2017, the Company notified the Trustee of the 7.375% Notes Due 2019 of its intention to redeem $6.5 million par value of such notes. The Company expects such redemption to be completed during the second quarter of 2017.</w:t>
      </w:r>
    </w:p>
    <w:p>
      <w:pPr>
        <w:spacing w:after="0" w:line="17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On June 18, 2013, KCAP Senior Funding I, LLC,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On December 8, 2014, the Company completed the sale of additional KCAP Senior Funding I Notes for $56 million. The issuance of additional notes was pro-rata across all existing classes of notes originally issued. KCAP purchased an additional $13.9 million in the most junior class of notes. As of March 31, 2017 and December 31, 2016, these junior notes eliminate in consolidation and the remaining notes with a par value of $147.4 million are reflected on our consolidated balance sheet, net of $2.1 million and $2.3 million of unamortized discount and $2.3 million and $2.5 million of debt offering costs, respectively. The indenture governing the KCAP Senior Funding I Notes contains an event of default that is triggered in the event that certain coverage tests are not met.</w:t>
      </w:r>
    </w:p>
    <w:p>
      <w:pPr>
        <w:spacing w:after="0" w:line="16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October 6, 2014, the Company priced a follow-on public offering of 3.0 million shares of its common stock at a price of $8.02 per share. The offering raised net proceeds were approximately $23.8 million, after deducting underwriting discounts and offering expenses.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1" w:name="page72"/>
    <w:bookmarkEnd w:id="71"/>
    <w:p>
      <w:pPr>
        <w:ind w:right="40" w:firstLine="324"/>
        <w:spacing w:after="0" w:line="290" w:lineRule="auto"/>
        <w:rPr>
          <w:sz w:val="20"/>
          <w:szCs w:val="20"/>
          <w:color w:val="auto"/>
        </w:rPr>
      </w:pPr>
      <w:r>
        <w:rPr>
          <w:rFonts w:ascii="Arial" w:cs="Arial" w:eastAsia="Arial" w:hAnsi="Arial"/>
          <w:sz w:val="16"/>
          <w:szCs w:val="16"/>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and we are limited in our ability to sell our common stock at a price below net asset value per share without stockholder approval (which we currently do not have), we have been and may continue to be limited in our ability to raise equity capital. See “Business — Regulation — Common Stock” in our annual report or Form 10-K for the year ended December 31, 2016.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our net investment income, distributable taxable income and the after-tax free cash flow from our Asset Manager Affiliates.</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will be prohibited by the 1940 Act and the indenture governing our 7.375% Notes from making distributions on our common stock if our asset coverage, as defined in the 1940 Act, falls below 200%. In any such event, we would be prohibited from making distributions required in order to maintain our status as a RIC.</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2015.</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Declaration</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Distribution</w:t>
            </w:r>
          </w:p>
        </w:tc>
        <w:tc>
          <w:tcPr>
            <w:tcW w:w="18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Date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First quarter</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4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3/21/2017</w:t>
            </w: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4/7/2017</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4/28/2017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2017</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12/14/2016</w:t>
            </w:r>
          </w:p>
        </w:tc>
        <w:tc>
          <w:tcPr>
            <w:tcW w:w="1260" w:type="dxa"/>
            <w:vAlign w:val="bottom"/>
            <w:gridSpan w:val="2"/>
            <w:shd w:val="clear" w:color="auto" w:fill="CCEEFF"/>
          </w:tcPr>
          <w:p>
            <w:pPr>
              <w:jc w:val="right"/>
              <w:ind w:right="100"/>
              <w:spacing w:after="0" w:line="256" w:lineRule="exact"/>
              <w:rPr>
                <w:sz w:val="20"/>
                <w:szCs w:val="20"/>
                <w:color w:val="auto"/>
              </w:rPr>
            </w:pPr>
            <w:r>
              <w:rPr>
                <w:rFonts w:ascii="Arial" w:cs="Arial" w:eastAsia="Arial" w:hAnsi="Arial"/>
                <w:sz w:val="18"/>
                <w:szCs w:val="18"/>
                <w:color w:val="auto"/>
              </w:rPr>
              <w:t>1/6/2017</w:t>
            </w:r>
            <w:r>
              <w:rPr>
                <w:rFonts w:ascii="Arial" w:cs="Arial" w:eastAsia="Arial" w:hAnsi="Arial"/>
                <w:sz w:val="29"/>
                <w:szCs w:val="29"/>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9/20/2016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10/14/2016</w:t>
            </w:r>
          </w:p>
        </w:tc>
        <w:tc>
          <w:tcPr>
            <w:tcW w:w="1160" w:type="dxa"/>
            <w:vAlign w:val="bottom"/>
          </w:tcPr>
          <w:p>
            <w:pPr>
              <w:jc w:val="right"/>
              <w:spacing w:after="0"/>
              <w:rPr>
                <w:sz w:val="20"/>
                <w:szCs w:val="20"/>
                <w:color w:val="auto"/>
              </w:rPr>
            </w:pPr>
            <w:r>
              <w:rPr>
                <w:rFonts w:ascii="Arial" w:cs="Arial" w:eastAsia="Arial" w:hAnsi="Arial"/>
                <w:sz w:val="18"/>
                <w:szCs w:val="18"/>
                <w:color w:val="auto"/>
              </w:rPr>
              <w:t>10/27/2016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6/21/2016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First quarter</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44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3/18/2016</w:t>
            </w: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4/7/2016</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4/28/2016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2016</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12/16/2015</w:t>
            </w:r>
          </w:p>
        </w:tc>
        <w:tc>
          <w:tcPr>
            <w:tcW w:w="1260" w:type="dxa"/>
            <w:vAlign w:val="bottom"/>
            <w:gridSpan w:val="2"/>
            <w:shd w:val="clear" w:color="auto" w:fill="CCEEFF"/>
          </w:tcPr>
          <w:p>
            <w:pPr>
              <w:jc w:val="right"/>
              <w:ind w:right="100"/>
              <w:spacing w:after="0" w:line="256" w:lineRule="exact"/>
              <w:rPr>
                <w:sz w:val="20"/>
                <w:szCs w:val="20"/>
                <w:color w:val="auto"/>
              </w:rPr>
            </w:pPr>
            <w:r>
              <w:rPr>
                <w:rFonts w:ascii="Arial" w:cs="Arial" w:eastAsia="Arial" w:hAnsi="Arial"/>
                <w:sz w:val="18"/>
                <w:szCs w:val="18"/>
                <w:color w:val="auto"/>
              </w:rPr>
              <w:t>1/6/2016</w:t>
            </w:r>
            <w:r>
              <w:rPr>
                <w:rFonts w:ascii="Arial" w:cs="Arial" w:eastAsia="Arial" w:hAnsi="Arial"/>
                <w:sz w:val="29"/>
                <w:szCs w:val="29"/>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9/22/2015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10/14/2015</w:t>
            </w:r>
          </w:p>
        </w:tc>
        <w:tc>
          <w:tcPr>
            <w:tcW w:w="1160" w:type="dxa"/>
            <w:vAlign w:val="bottom"/>
          </w:tcPr>
          <w:p>
            <w:pPr>
              <w:jc w:val="right"/>
              <w:spacing w:after="0"/>
              <w:rPr>
                <w:sz w:val="20"/>
                <w:szCs w:val="20"/>
                <w:color w:val="auto"/>
              </w:rPr>
            </w:pPr>
            <w:r>
              <w:rPr>
                <w:rFonts w:ascii="Arial" w:cs="Arial" w:eastAsia="Arial" w:hAnsi="Arial"/>
                <w:sz w:val="18"/>
                <w:szCs w:val="18"/>
                <w:color w:val="auto"/>
              </w:rPr>
              <w:t>10/27/2015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6/23/2015</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First quarter</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4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3/24/2015</w:t>
            </w: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4/6/2015</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declared in 2015</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40" w:right="3460" w:hanging="4984"/>
        <w:spacing w:after="0" w:line="778" w:lineRule="auto"/>
        <w:tabs>
          <w:tab w:leader="none" w:pos="7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March 31, 2017 and December 31, 2016, the Company had approximately $565,000 commitments to fund investments for both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March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Contractual</w:t>
            </w: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right"/>
              <w:ind w:right="897"/>
              <w:spacing w:after="0"/>
              <w:rPr>
                <w:sz w:val="20"/>
                <w:szCs w:val="20"/>
                <w:color w:val="auto"/>
              </w:rPr>
            </w:pPr>
            <w:r>
              <w:rPr>
                <w:rFonts w:ascii="Arial" w:cs="Arial" w:eastAsia="Arial" w:hAnsi="Arial"/>
                <w:sz w:val="18"/>
                <w:szCs w:val="18"/>
                <w:b w:val="1"/>
                <w:bCs w:val="1"/>
                <w:color w:val="auto"/>
              </w:rPr>
              <w:t>Payments Due by Period</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445"/>
              <w:spacing w:after="0" w:line="191" w:lineRule="exact"/>
              <w:rPr>
                <w:sz w:val="20"/>
                <w:szCs w:val="20"/>
                <w:color w:val="auto"/>
              </w:rPr>
            </w:pPr>
            <w:r>
              <w:rPr>
                <w:rFonts w:ascii="Arial" w:cs="Arial" w:eastAsia="Arial" w:hAnsi="Arial"/>
                <w:sz w:val="18"/>
                <w:szCs w:val="18"/>
                <w:b w:val="1"/>
                <w:bCs w:val="1"/>
                <w:color w:val="auto"/>
                <w:w w:val="87"/>
              </w:rPr>
              <w:t>Less than one</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Obligations</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1580" w:type="dxa"/>
            <w:vAlign w:val="bottom"/>
            <w:gridSpan w:val="3"/>
          </w:tcPr>
          <w:p>
            <w:pPr>
              <w:jc w:val="center"/>
              <w:ind w:right="445"/>
              <w:spacing w:after="0"/>
              <w:rPr>
                <w:sz w:val="20"/>
                <w:szCs w:val="20"/>
                <w:color w:val="auto"/>
              </w:rPr>
            </w:pPr>
            <w:r>
              <w:rPr>
                <w:rFonts w:ascii="Arial" w:cs="Arial" w:eastAsia="Arial" w:hAnsi="Arial"/>
                <w:sz w:val="18"/>
                <w:szCs w:val="18"/>
                <w:b w:val="1"/>
                <w:bCs w:val="1"/>
                <w:color w:val="auto"/>
                <w:w w:val="91"/>
              </w:rPr>
              <w:t>year</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1 - 3 years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3 - 5 years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years</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180,880,925</w:t>
            </w: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33,530,925</w:t>
            </w: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147,350,000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r>
        <w:rPr>
          <w:rFonts w:ascii="Arial" w:cs="Arial" w:eastAsia="Arial" w:hAnsi="Arial"/>
          <w:sz w:val="17"/>
          <w:szCs w:val="17"/>
          <w:i w:val="1"/>
          <w:iCs w:val="1"/>
          <w:color w:val="auto"/>
        </w:rPr>
        <w: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Pursuant to the AICPA Guide,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ind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660" w:right="20" w:hanging="328"/>
        <w:spacing w:after="0" w:line="286"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65" w:lineRule="exact"/>
        <w:rPr>
          <w:rFonts w:ascii="Arial" w:cs="Arial" w:eastAsia="Arial" w:hAnsi="Arial"/>
          <w:sz w:val="17"/>
          <w:szCs w:val="17"/>
          <w:color w:val="auto"/>
        </w:rPr>
      </w:pPr>
    </w:p>
    <w:p>
      <w:pPr>
        <w:ind w:left="660" w:right="120" w:hanging="328"/>
        <w:spacing w:after="0" w:line="276"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2" w:lineRule="exact"/>
        <w:rPr>
          <w:rFonts w:ascii="Arial" w:cs="Arial" w:eastAsia="Arial" w:hAnsi="Arial"/>
          <w:sz w:val="17"/>
          <w:szCs w:val="17"/>
          <w:color w:val="auto"/>
        </w:rPr>
      </w:pPr>
    </w:p>
    <w:p>
      <w:pPr>
        <w:ind w:left="660" w:right="60" w:hanging="328"/>
        <w:spacing w:after="0" w:line="293"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The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4" w:name="page75"/>
    <w:bookmarkEnd w:id="74"/>
    <w:p>
      <w:pPr>
        <w:ind w:right="40" w:firstLine="32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may consider other methods of valuation to determine the fair value of investments as appropriate in conformity with GAAP.</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Interest income, including amortization of premium and accretion of discount and accrual of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March 31, 2017 and December 31, 2016, two of our investments were on partial non-accrual status whereby we have recognized income on a portion of contractual PIK amounts due.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 basis investment income and from the cash distributions actually received by the Company during the period.</w:t>
      </w:r>
    </w:p>
    <w:p>
      <w:pPr>
        <w:spacing w:after="0" w:line="17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CLO 2014-1 Ltd., interest is earned at a fixed spread relative to the LIBOR index.</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6" w:name="page77"/>
    <w:bookmarkEnd w:id="76"/>
    <w:p>
      <w:pPr>
        <w:ind w:left="34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net investment income, distributable taxable income and the after-tax free cash flow from our Asset Manager Affiliates.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for the 2017, 2016 and 2015 calendar years.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Declaration</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Distribution</w:t>
            </w:r>
          </w:p>
        </w:tc>
        <w:tc>
          <w:tcPr>
            <w:tcW w:w="18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Date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First quarter</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4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3/21/2017</w:t>
            </w: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4/7/2017</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4/28/2017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2017</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12/14/2016</w:t>
            </w:r>
          </w:p>
        </w:tc>
        <w:tc>
          <w:tcPr>
            <w:tcW w:w="1260" w:type="dxa"/>
            <w:vAlign w:val="bottom"/>
            <w:gridSpan w:val="2"/>
            <w:shd w:val="clear" w:color="auto" w:fill="CCEEFF"/>
          </w:tcPr>
          <w:p>
            <w:pPr>
              <w:jc w:val="right"/>
              <w:ind w:right="100"/>
              <w:spacing w:after="0" w:line="256" w:lineRule="exact"/>
              <w:rPr>
                <w:sz w:val="20"/>
                <w:szCs w:val="20"/>
                <w:color w:val="auto"/>
              </w:rPr>
            </w:pPr>
            <w:r>
              <w:rPr>
                <w:rFonts w:ascii="Arial" w:cs="Arial" w:eastAsia="Arial" w:hAnsi="Arial"/>
                <w:sz w:val="18"/>
                <w:szCs w:val="18"/>
                <w:color w:val="auto"/>
              </w:rPr>
              <w:t>1/6/2017</w:t>
            </w:r>
            <w:r>
              <w:rPr>
                <w:rFonts w:ascii="Arial" w:cs="Arial" w:eastAsia="Arial" w:hAnsi="Arial"/>
                <w:sz w:val="29"/>
                <w:szCs w:val="29"/>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9/20/2016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10/14/2016</w:t>
            </w:r>
          </w:p>
        </w:tc>
        <w:tc>
          <w:tcPr>
            <w:tcW w:w="1160" w:type="dxa"/>
            <w:vAlign w:val="bottom"/>
          </w:tcPr>
          <w:p>
            <w:pPr>
              <w:jc w:val="right"/>
              <w:spacing w:after="0"/>
              <w:rPr>
                <w:sz w:val="20"/>
                <w:szCs w:val="20"/>
                <w:color w:val="auto"/>
              </w:rPr>
            </w:pPr>
            <w:r>
              <w:rPr>
                <w:rFonts w:ascii="Arial" w:cs="Arial" w:eastAsia="Arial" w:hAnsi="Arial"/>
                <w:sz w:val="18"/>
                <w:szCs w:val="18"/>
                <w:color w:val="auto"/>
              </w:rPr>
              <w:t>10/27/2016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6/21/2016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First quarter</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44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3/18/2016</w:t>
            </w: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4/7/2016</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4/28/2016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2016</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12/16/2015</w:t>
            </w:r>
          </w:p>
        </w:tc>
        <w:tc>
          <w:tcPr>
            <w:tcW w:w="1260" w:type="dxa"/>
            <w:vAlign w:val="bottom"/>
            <w:gridSpan w:val="2"/>
            <w:shd w:val="clear" w:color="auto" w:fill="CCEEFF"/>
          </w:tcPr>
          <w:p>
            <w:pPr>
              <w:jc w:val="right"/>
              <w:ind w:right="100"/>
              <w:spacing w:after="0" w:line="256" w:lineRule="exact"/>
              <w:rPr>
                <w:sz w:val="20"/>
                <w:szCs w:val="20"/>
                <w:color w:val="auto"/>
              </w:rPr>
            </w:pPr>
            <w:r>
              <w:rPr>
                <w:rFonts w:ascii="Arial" w:cs="Arial" w:eastAsia="Arial" w:hAnsi="Arial"/>
                <w:sz w:val="18"/>
                <w:szCs w:val="18"/>
                <w:color w:val="auto"/>
              </w:rPr>
              <w:t>1/6/2016</w:t>
            </w:r>
            <w:r>
              <w:rPr>
                <w:rFonts w:ascii="Arial" w:cs="Arial" w:eastAsia="Arial" w:hAnsi="Arial"/>
                <w:sz w:val="29"/>
                <w:szCs w:val="29"/>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9/22/2015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10/14/2015</w:t>
            </w:r>
          </w:p>
        </w:tc>
        <w:tc>
          <w:tcPr>
            <w:tcW w:w="1160" w:type="dxa"/>
            <w:vAlign w:val="bottom"/>
          </w:tcPr>
          <w:p>
            <w:pPr>
              <w:jc w:val="right"/>
              <w:spacing w:after="0"/>
              <w:rPr>
                <w:sz w:val="20"/>
                <w:szCs w:val="20"/>
                <w:color w:val="auto"/>
              </w:rPr>
            </w:pPr>
            <w:r>
              <w:rPr>
                <w:rFonts w:ascii="Arial" w:cs="Arial" w:eastAsia="Arial" w:hAnsi="Arial"/>
                <w:sz w:val="18"/>
                <w:szCs w:val="18"/>
                <w:color w:val="auto"/>
              </w:rPr>
              <w:t>10/27/2015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6/23/2015</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First quarter</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4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3/24/2015</w:t>
            </w: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4/6/2015</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declared in 2015</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40" w:right="3420" w:hanging="4984"/>
        <w:spacing w:after="0" w:line="778" w:lineRule="auto"/>
        <w:tabs>
          <w:tab w:leader="none" w:pos="7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7800" w:type="dxa"/>
            <w:vAlign w:val="bottom"/>
          </w:tcPr>
          <w:p>
            <w:pPr>
              <w:ind w:left="340"/>
              <w:spacing w:after="0"/>
              <w:rPr>
                <w:sz w:val="20"/>
                <w:szCs w:val="20"/>
                <w:color w:val="auto"/>
              </w:rPr>
            </w:pPr>
            <w:r>
              <w:rPr>
                <w:rFonts w:ascii="Arial" w:cs="Arial" w:eastAsia="Arial" w:hAnsi="Arial"/>
                <w:sz w:val="18"/>
                <w:szCs w:val="18"/>
                <w:color w:val="auto"/>
              </w:rPr>
              <w:t>The following table depicts the composition of shareholder distributions on a per share basis:</w:t>
            </w: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Quarter-ended March 31,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2017¹</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2016¹</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Tax Accounting Difference on CLO Equity Investments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3"/>
              </w:rPr>
              <w:t>(0.02)</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0.02</w:t>
            </w:r>
          </w:p>
        </w:tc>
      </w:tr>
      <w:tr>
        <w:trPr>
          <w:trHeight w:val="23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Tax Accounting Differences</w:t>
            </w:r>
          </w:p>
        </w:tc>
        <w:tc>
          <w:tcPr>
            <w:tcW w:w="7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0.01</w:t>
            </w:r>
          </w:p>
        </w:tc>
      </w:tr>
      <w:tr>
        <w:trPr>
          <w:trHeight w:val="210"/>
        </w:trPr>
        <w:tc>
          <w:tcPr>
            <w:tcW w:w="7800" w:type="dxa"/>
            <w:vAlign w:val="bottom"/>
          </w:tcPr>
          <w:p>
            <w:pPr>
              <w:spacing w:after="0"/>
              <w:rPr>
                <w:sz w:val="20"/>
                <w:szCs w:val="20"/>
                <w:color w:val="auto"/>
              </w:rPr>
            </w:pPr>
            <w:r>
              <w:rPr>
                <w:rFonts w:ascii="Arial" w:cs="Arial" w:eastAsia="Arial" w:hAnsi="Arial"/>
                <w:sz w:val="18"/>
                <w:szCs w:val="18"/>
                <w:color w:val="auto"/>
              </w:rPr>
              <w:t>Taxable distributable income</w:t>
            </w:r>
          </w:p>
        </w:tc>
        <w:tc>
          <w:tcPr>
            <w:tcW w:w="7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0.16</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distributed to the Company by Asset Manager Affiliates in excess of their taxable earnings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0.01</w:t>
            </w: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Cash received from CLO Equity Investments in excess of taxable earnings</w:t>
            </w: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0.03</w:t>
            </w: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distribution²</w:t>
            </w:r>
          </w:p>
        </w:tc>
        <w:tc>
          <w:tcPr>
            <w:tcW w:w="7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Distributed</w:t>
            </w:r>
          </w:p>
        </w:tc>
        <w:tc>
          <w:tcPr>
            <w:tcW w:w="16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9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0.15</w:t>
            </w:r>
          </w:p>
        </w:tc>
      </w:tr>
      <w:tr>
        <w:trPr>
          <w:trHeight w:val="223"/>
        </w:trPr>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Difference</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(0.02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Table may not foot due to rounding.</w:t>
      </w:r>
    </w:p>
    <w:p>
      <w:pPr>
        <w:spacing w:after="0" w:line="23" w:lineRule="exact"/>
        <w:rPr>
          <w:sz w:val="20"/>
          <w:szCs w:val="20"/>
          <w:color w:val="auto"/>
        </w:rPr>
      </w:pPr>
    </w:p>
    <w:p>
      <w:pPr>
        <w:ind w:left="340" w:right="140" w:hanging="332"/>
        <w:spacing w:after="0" w:line="26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"Available for distribution" financial measure is a non-GAAP financial measure that is calculated by including the cash distributed to the Company by the Asset Manager Affiliates in excess of their taxable earnings and cash received from CLO Equity Investments in excess of taxable earnings to the Company's taxable distributable income, which is the most directly comparable GAAP financial measure. In order to reconcile the "Available for distribution" financial measure to taxable distributable income per share in accordance with GAAP, the $0.02 and $0.01 per share of cash distributed to the Company by the Asset Manager Affiliates in excess of their taxable earnings and the $0.02 and $0.03 per share of cash distributed to the Company from CLO Equity Investments in excess of taxable earnings, is subtracted from the "Available for distribution" financial measure for the three months ended March 31, 2017 and 2016, respectively. The Company’s management believes that the presentation of the non-GAAP "Available for distribution" financial measure provides useful information to investors.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March 31, 2017, approximately 98.0% of our Debt Securities Portfolio were either fixed rate or floating rate with a spread to an interest rate index such as LIBOR or the prime rate. Most of these floating rate loans contain LIBOR floors ranging between 0.75% and 3.0%. We generally expect that future portfolio investments will predominately be floating rate investments. As of March 31, 2017, we had $180.9 million of borrowings outstanding at a current weighted average rate of 4.0%.</w:t>
      </w:r>
    </w:p>
    <w:p>
      <w:pPr>
        <w:spacing w:after="0" w:line="15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7.375% Notes Due 2019 would remain the same at 7.375%, given that this debt is at a fixed rate. The Notes issued by KCAP Senior Funding are floating rate based upon a LIBOR index plus a spread, which serves as a floor should LIBOR decrease to zero. Accordingly, our interest costs associated with this debt will fluctuate with changes in LIBOR.</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March 31, 2017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680" w:type="dxa"/>
            <w:vAlign w:val="bottom"/>
            <w:gridSpan w:val="11"/>
          </w:tcPr>
          <w:p>
            <w:pPr>
              <w:spacing w:after="0"/>
              <w:rPr>
                <w:sz w:val="20"/>
                <w:szCs w:val="20"/>
                <w:color w:val="auto"/>
              </w:rPr>
            </w:pPr>
            <w:r>
              <w:rPr>
                <w:rFonts w:ascii="Arial" w:cs="Arial" w:eastAsia="Arial" w:hAnsi="Arial"/>
                <w:sz w:val="18"/>
                <w:szCs w:val="18"/>
                <w:color w:val="auto"/>
                <w:w w:val="90"/>
              </w:rPr>
              <w:t>Impact on net investment income from a change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2"/>
              </w:rPr>
              <w:t>interest rates at:</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 rate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Decrease in interest rate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1,308,608</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1,352,516</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1,352,516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As shown above, net investment income assuming a 1% increase in interest rates would increase by approximately $760,000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$1.5 million and $2.2 million, respectively. Since LIBOR underlying certain investments, as well as certain of our borrowings, is currently low, it is unlikely that the underlying rate will decrease by 1% or 2% or even 3%. If the underlying rate decreased to 0%, it would result in approximately a $1.3 million increase in net investment income.</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March 31,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 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9" w:name="page80"/>
    <w:bookmarkEnd w:id="79"/>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since our last Annual Report filed on Form 10-K for the period ended December 31, 2016 that have materially affected, or are reasonably likely to materially affect, our internal control over financial reporting.</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2016.</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March 31, 2017, we issued a total of 40,903 shares of common stock under our dividend reinvestment plan (“DRIP”). This issuance was not subject to the registration requirements of the Securities Act of 1933. For the three months ended March 31, 2017, the aggregate value of the shares of our common stock issued under our DRIP was approximately $162,000.</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3860" w:type="dxa"/>
            <w:vAlign w:val="bottom"/>
            <w:gridSpan w:val="2"/>
          </w:tcPr>
          <w:p>
            <w:pPr>
              <w:ind w:left="2180"/>
              <w:spacing w:after="0"/>
              <w:rPr>
                <w:sz w:val="20"/>
                <w:szCs w:val="20"/>
                <w:color w:val="auto"/>
              </w:rPr>
            </w:pPr>
            <w:r>
              <w:rPr>
                <w:rFonts w:ascii="Arial" w:cs="Arial" w:eastAsia="Arial" w:hAnsi="Arial"/>
                <w:sz w:val="18"/>
                <w:szCs w:val="18"/>
                <w:color w:val="auto"/>
              </w:rPr>
              <w:t>KCAP F</w:t>
            </w:r>
            <w:r>
              <w:rPr>
                <w:rFonts w:ascii="Arial" w:cs="Arial" w:eastAsia="Arial" w:hAnsi="Arial"/>
                <w:sz w:val="12"/>
                <w:szCs w:val="12"/>
                <w:color w:val="auto"/>
              </w:rPr>
              <w:t>INANCIAL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tc>
        <w:tc>
          <w:tcPr>
            <w:tcW w:w="402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4, 2017</w:t>
            </w:r>
          </w:p>
        </w:tc>
        <w:tc>
          <w:tcPr>
            <w:tcW w:w="3860" w:type="dxa"/>
            <w:vAlign w:val="bottom"/>
            <w:gridSpan w:val="2"/>
          </w:tcPr>
          <w:p>
            <w:pPr>
              <w:ind w:left="2180"/>
              <w:spacing w:after="0"/>
              <w:rPr>
                <w:sz w:val="20"/>
                <w:szCs w:val="20"/>
                <w:color w:val="auto"/>
              </w:rPr>
            </w:pPr>
            <w:r>
              <w:rPr>
                <w:rFonts w:ascii="Arial" w:cs="Arial" w:eastAsia="Arial" w:hAnsi="Arial"/>
                <w:sz w:val="18"/>
                <w:szCs w:val="18"/>
                <w:color w:val="auto"/>
              </w:rPr>
              <w:t>By</w:t>
            </w:r>
          </w:p>
        </w:tc>
        <w:tc>
          <w:tcPr>
            <w:tcW w:w="4020" w:type="dxa"/>
            <w:vAlign w:val="bottom"/>
          </w:tcPr>
          <w:p>
            <w:pPr>
              <w:jc w:val="center"/>
              <w:ind w:right="1030"/>
              <w:spacing w:after="0"/>
              <w:rPr>
                <w:sz w:val="20"/>
                <w:szCs w:val="20"/>
                <w:color w:val="auto"/>
              </w:rPr>
            </w:pPr>
            <w:r>
              <w:rPr>
                <w:rFonts w:ascii="Arial" w:cs="Arial" w:eastAsia="Arial" w:hAnsi="Arial"/>
                <w:sz w:val="18"/>
                <w:szCs w:val="18"/>
                <w:color w:val="auto"/>
                <w:w w:val="89"/>
              </w:rPr>
              <w:t>/s/ Dayl W. Pearson</w:t>
            </w:r>
          </w:p>
        </w:tc>
      </w:tr>
      <w:tr>
        <w:trPr>
          <w:trHeight w:val="195"/>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tcPr>
          <w:p>
            <w:pPr>
              <w:jc w:val="center"/>
              <w:ind w:right="1030"/>
              <w:spacing w:after="0" w:line="195" w:lineRule="exact"/>
              <w:rPr>
                <w:sz w:val="20"/>
                <w:szCs w:val="20"/>
                <w:color w:val="auto"/>
              </w:rPr>
            </w:pPr>
            <w:r>
              <w:rPr>
                <w:rFonts w:ascii="Arial" w:cs="Arial" w:eastAsia="Arial" w:hAnsi="Arial"/>
                <w:sz w:val="18"/>
                <w:szCs w:val="18"/>
                <w:color w:val="auto"/>
                <w:w w:val="90"/>
              </w:rPr>
              <w:t>Dayl W. Pearson</w:t>
            </w:r>
          </w:p>
        </w:tc>
      </w:tr>
      <w:tr>
        <w:trPr>
          <w:trHeight w:val="216"/>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20" w:type="dxa"/>
            <w:vAlign w:val="bottom"/>
          </w:tcPr>
          <w:p>
            <w:pPr>
              <w:jc w:val="center"/>
              <w:ind w:right="1030"/>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20" w:type="dxa"/>
            <w:vAlign w:val="bottom"/>
          </w:tcPr>
          <w:p>
            <w:pPr>
              <w:jc w:val="center"/>
              <w:ind w:right="103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4, 2017</w:t>
            </w:r>
          </w:p>
        </w:tc>
        <w:tc>
          <w:tcPr>
            <w:tcW w:w="3860" w:type="dxa"/>
            <w:vAlign w:val="bottom"/>
            <w:gridSpan w:val="2"/>
          </w:tcPr>
          <w:p>
            <w:pPr>
              <w:ind w:left="2180"/>
              <w:spacing w:after="0"/>
              <w:rPr>
                <w:sz w:val="20"/>
                <w:szCs w:val="20"/>
                <w:color w:val="auto"/>
              </w:rPr>
            </w:pPr>
            <w:r>
              <w:rPr>
                <w:rFonts w:ascii="Arial" w:cs="Arial" w:eastAsia="Arial" w:hAnsi="Arial"/>
                <w:sz w:val="18"/>
                <w:szCs w:val="18"/>
                <w:color w:val="auto"/>
              </w:rPr>
              <w:t>By</w:t>
            </w:r>
          </w:p>
        </w:tc>
        <w:tc>
          <w:tcPr>
            <w:tcW w:w="4020" w:type="dxa"/>
            <w:vAlign w:val="bottom"/>
          </w:tcPr>
          <w:p>
            <w:pPr>
              <w:jc w:val="center"/>
              <w:ind w:right="1030"/>
              <w:spacing w:after="0"/>
              <w:rPr>
                <w:sz w:val="20"/>
                <w:szCs w:val="20"/>
                <w:color w:val="auto"/>
              </w:rPr>
            </w:pPr>
            <w:r>
              <w:rPr>
                <w:rFonts w:ascii="Arial" w:cs="Arial" w:eastAsia="Arial" w:hAnsi="Arial"/>
                <w:sz w:val="18"/>
                <w:szCs w:val="18"/>
                <w:color w:val="auto"/>
                <w:w w:val="94"/>
              </w:rPr>
              <w:t>/s/ Edward U. Gilpin</w:t>
            </w:r>
          </w:p>
        </w:tc>
      </w:tr>
    </w:tbl>
    <w:p>
      <w:pPr>
        <w:jc w:val="center"/>
        <w:ind w:left="628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24"/>
                <w:szCs w:val="24"/>
                <w:color w:val="auto"/>
              </w:rPr>
            </w:pP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11"/>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Certification of Chief Executive Officer Pursuant to Rule 13a-14(a) under the Securities Exchange Act of 1934, as adopted pursuant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Chief Financial Officer Pursuant to Rule 13a-14(a) under the Securities Exchange Act of 1934, as adopted pursuant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 S. C. 1350, as adopted pursuant to Section 906 of the Sarbanes-Oxley Act of</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Chief Financial Officer Pursuant to 18 U. S. C. 1350, as adopted pursuant to Section 906 of the Sarbanes-Oxley Act of</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2002.</w:t>
            </w:r>
          </w:p>
        </w:tc>
      </w:tr>
    </w:tbl>
    <w:p>
      <w:pPr>
        <w:spacing w:after="0" w:line="202"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2017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tcPr>
          <w:p>
            <w:pPr>
              <w:spacing w:after="0"/>
              <w:rPr>
                <w:sz w:val="20"/>
                <w:szCs w:val="20"/>
                <w:color w:val="auto"/>
              </w:rPr>
            </w:pPr>
            <w:r>
              <w:rPr>
                <w:rFonts w:ascii="Arial" w:cs="Arial" w:eastAsia="Arial" w:hAnsi="Arial"/>
                <w:sz w:val="18"/>
                <w:szCs w:val="18"/>
                <w:color w:val="auto"/>
              </w:rPr>
              <w:t>Date: May 4, 2017</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 xml:space="preserve">/ </w:t>
            </w:r>
            <w:r>
              <w:rPr>
                <w:rFonts w:ascii="Arial" w:cs="Arial" w:eastAsia="Arial" w:hAnsi="Arial"/>
                <w:sz w:val="12"/>
                <w:szCs w:val="12"/>
                <w:color w:val="auto"/>
                <w:w w:val="94"/>
              </w:rPr>
              <w:t>S</w:t>
            </w:r>
            <w:r>
              <w:rPr>
                <w:rFonts w:ascii="Arial" w:cs="Arial" w:eastAsia="Arial" w:hAnsi="Arial"/>
                <w:sz w:val="18"/>
                <w:szCs w:val="18"/>
                <w:color w:val="auto"/>
                <w:w w:val="94"/>
              </w:rPr>
              <w:t xml:space="preserve"> / D</w:t>
            </w:r>
            <w:r>
              <w:rPr>
                <w:rFonts w:ascii="Arial" w:cs="Arial" w:eastAsia="Arial" w:hAnsi="Arial"/>
                <w:sz w:val="12"/>
                <w:szCs w:val="12"/>
                <w:color w:val="auto"/>
                <w:w w:val="94"/>
              </w:rPr>
              <w:t>AYL</w:t>
            </w:r>
            <w:r>
              <w:rPr>
                <w:rFonts w:ascii="Arial" w:cs="Arial" w:eastAsia="Arial" w:hAnsi="Arial"/>
                <w:sz w:val="18"/>
                <w:szCs w:val="18"/>
                <w:color w:val="auto"/>
                <w:w w:val="94"/>
              </w:rPr>
              <w:t xml:space="preserve"> W. P</w:t>
            </w:r>
            <w:r>
              <w:rPr>
                <w:rFonts w:ascii="Arial" w:cs="Arial" w:eastAsia="Arial" w:hAnsi="Arial"/>
                <w:sz w:val="12"/>
                <w:szCs w:val="12"/>
                <w:color w:val="auto"/>
                <w:w w:val="94"/>
              </w:rPr>
              <w:t>EARSON</w:t>
            </w:r>
          </w:p>
        </w:tc>
      </w:tr>
      <w:tr>
        <w:trPr>
          <w:trHeight w:val="178"/>
        </w:trPr>
        <w:tc>
          <w:tcPr>
            <w:tcW w:w="3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1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0"/>
              </w:rPr>
              <w:t>Dayl W. Pearson</w:t>
            </w:r>
          </w:p>
        </w:tc>
      </w:tr>
      <w:tr>
        <w:trPr>
          <w:trHeight w:val="203"/>
        </w:trPr>
        <w:tc>
          <w:tcPr>
            <w:tcW w:w="3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President and Chief Executive Officer</w:t>
            </w:r>
          </w:p>
        </w:tc>
      </w:t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689"/>
        </w:trPr>
        <w:tc>
          <w:tcPr>
            <w:tcW w:w="35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2017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22"/>
        <w:spacing w:after="0" w:line="277" w:lineRule="auto"/>
        <w:tabs>
          <w:tab w:leader="none" w:pos="5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2"/>
        <w:spacing w:after="0" w:line="264" w:lineRule="auto"/>
        <w:tabs>
          <w:tab w:leader="none" w:pos="5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tcPr>
          <w:p>
            <w:pPr>
              <w:spacing w:after="0"/>
              <w:rPr>
                <w:sz w:val="20"/>
                <w:szCs w:val="20"/>
                <w:color w:val="auto"/>
              </w:rPr>
            </w:pPr>
            <w:r>
              <w:rPr>
                <w:rFonts w:ascii="Arial" w:cs="Arial" w:eastAsia="Arial" w:hAnsi="Arial"/>
                <w:sz w:val="18"/>
                <w:szCs w:val="18"/>
                <w:color w:val="auto"/>
              </w:rPr>
              <w:t>Date: May 4, 2017</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2"/>
                <w:szCs w:val="12"/>
                <w:color w:val="auto"/>
                <w:w w:val="96"/>
              </w:rPr>
              <w:t>S</w:t>
            </w:r>
            <w:r>
              <w:rPr>
                <w:rFonts w:ascii="Arial" w:cs="Arial" w:eastAsia="Arial" w:hAnsi="Arial"/>
                <w:sz w:val="18"/>
                <w:szCs w:val="18"/>
                <w:color w:val="auto"/>
                <w:w w:val="96"/>
              </w:rPr>
              <w:t xml:space="preserve"> / E</w:t>
            </w:r>
            <w:r>
              <w:rPr>
                <w:rFonts w:ascii="Arial" w:cs="Arial" w:eastAsia="Arial" w:hAnsi="Arial"/>
                <w:sz w:val="12"/>
                <w:szCs w:val="12"/>
                <w:color w:val="auto"/>
                <w:w w:val="96"/>
              </w:rPr>
              <w:t>DWARD</w:t>
            </w:r>
            <w:r>
              <w:rPr>
                <w:rFonts w:ascii="Arial" w:cs="Arial" w:eastAsia="Arial" w:hAnsi="Arial"/>
                <w:sz w:val="18"/>
                <w:szCs w:val="18"/>
                <w:color w:val="auto"/>
                <w:w w:val="96"/>
              </w:rPr>
              <w:t xml:space="preserve"> U. G</w:t>
            </w:r>
            <w:r>
              <w:rPr>
                <w:rFonts w:ascii="Arial" w:cs="Arial" w:eastAsia="Arial" w:hAnsi="Arial"/>
                <w:sz w:val="12"/>
                <w:szCs w:val="12"/>
                <w:color w:val="auto"/>
                <w:w w:val="96"/>
              </w:rPr>
              <w:t>ILPIN</w:t>
            </w:r>
          </w:p>
        </w:tc>
      </w:tr>
      <w:tr>
        <w:trPr>
          <w:trHeight w:val="178"/>
        </w:trPr>
        <w:tc>
          <w:tcPr>
            <w:tcW w:w="3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1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5"/>
              </w:rPr>
              <w:t>Edward U. Gilpin</w:t>
            </w:r>
          </w:p>
        </w:tc>
      </w:tr>
      <w:tr>
        <w:trPr>
          <w:trHeight w:val="203"/>
        </w:trPr>
        <w:tc>
          <w:tcPr>
            <w:tcW w:w="3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689"/>
        </w:trPr>
        <w:tc>
          <w:tcPr>
            <w:tcW w:w="35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March 31, 2017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tcPr>
          <w:p>
            <w:pPr>
              <w:spacing w:after="0"/>
              <w:rPr>
                <w:sz w:val="20"/>
                <w:szCs w:val="20"/>
                <w:color w:val="auto"/>
              </w:rPr>
            </w:pPr>
            <w:r>
              <w:rPr>
                <w:rFonts w:ascii="Arial" w:cs="Arial" w:eastAsia="Arial" w:hAnsi="Arial"/>
                <w:sz w:val="18"/>
                <w:szCs w:val="18"/>
                <w:color w:val="auto"/>
              </w:rPr>
              <w:t>Date: May 4, 2017</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 xml:space="preserve">/ </w:t>
            </w:r>
            <w:r>
              <w:rPr>
                <w:rFonts w:ascii="Arial" w:cs="Arial" w:eastAsia="Arial" w:hAnsi="Arial"/>
                <w:sz w:val="12"/>
                <w:szCs w:val="12"/>
                <w:color w:val="auto"/>
                <w:w w:val="94"/>
              </w:rPr>
              <w:t>S</w:t>
            </w:r>
            <w:r>
              <w:rPr>
                <w:rFonts w:ascii="Arial" w:cs="Arial" w:eastAsia="Arial" w:hAnsi="Arial"/>
                <w:sz w:val="18"/>
                <w:szCs w:val="18"/>
                <w:color w:val="auto"/>
                <w:w w:val="94"/>
              </w:rPr>
              <w:t xml:space="preserve"> / D</w:t>
            </w:r>
            <w:r>
              <w:rPr>
                <w:rFonts w:ascii="Arial" w:cs="Arial" w:eastAsia="Arial" w:hAnsi="Arial"/>
                <w:sz w:val="12"/>
                <w:szCs w:val="12"/>
                <w:color w:val="auto"/>
                <w:w w:val="94"/>
              </w:rPr>
              <w:t>AYL</w:t>
            </w:r>
            <w:r>
              <w:rPr>
                <w:rFonts w:ascii="Arial" w:cs="Arial" w:eastAsia="Arial" w:hAnsi="Arial"/>
                <w:sz w:val="18"/>
                <w:szCs w:val="18"/>
                <w:color w:val="auto"/>
                <w:w w:val="94"/>
              </w:rPr>
              <w:t xml:space="preserve"> W. P</w:t>
            </w:r>
            <w:r>
              <w:rPr>
                <w:rFonts w:ascii="Arial" w:cs="Arial" w:eastAsia="Arial" w:hAnsi="Arial"/>
                <w:sz w:val="12"/>
                <w:szCs w:val="12"/>
                <w:color w:val="auto"/>
                <w:w w:val="94"/>
              </w:rPr>
              <w:t>EARSON</w:t>
            </w:r>
          </w:p>
        </w:tc>
      </w:tr>
      <w:tr>
        <w:trPr>
          <w:trHeight w:val="178"/>
        </w:trPr>
        <w:tc>
          <w:tcPr>
            <w:tcW w:w="3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1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0"/>
              </w:rPr>
              <w:t>Dayl W. Pearson</w:t>
            </w:r>
          </w:p>
        </w:tc>
      </w:tr>
      <w:tr>
        <w:trPr>
          <w:trHeight w:val="203"/>
        </w:trPr>
        <w:tc>
          <w:tcPr>
            <w:tcW w:w="3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President and Chief Executive Officer</w:t>
            </w:r>
          </w:p>
        </w:tc>
      </w:t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689"/>
        </w:trPr>
        <w:tc>
          <w:tcPr>
            <w:tcW w:w="35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March 31, 2017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4, 2017</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2"/>
                <w:szCs w:val="12"/>
                <w:color w:val="auto"/>
                <w:w w:val="96"/>
              </w:rPr>
              <w:t>S</w:t>
            </w:r>
            <w:r>
              <w:rPr>
                <w:rFonts w:ascii="Arial" w:cs="Arial" w:eastAsia="Arial" w:hAnsi="Arial"/>
                <w:sz w:val="18"/>
                <w:szCs w:val="18"/>
                <w:color w:val="auto"/>
                <w:w w:val="96"/>
              </w:rPr>
              <w:t xml:space="preserve"> / E</w:t>
            </w:r>
            <w:r>
              <w:rPr>
                <w:rFonts w:ascii="Arial" w:cs="Arial" w:eastAsia="Arial" w:hAnsi="Arial"/>
                <w:sz w:val="12"/>
                <w:szCs w:val="12"/>
                <w:color w:val="auto"/>
                <w:w w:val="96"/>
              </w:rPr>
              <w:t>DWARD</w:t>
            </w:r>
            <w:r>
              <w:rPr>
                <w:rFonts w:ascii="Arial" w:cs="Arial" w:eastAsia="Arial" w:hAnsi="Arial"/>
                <w:sz w:val="18"/>
                <w:szCs w:val="18"/>
                <w:color w:val="auto"/>
                <w:w w:val="96"/>
              </w:rPr>
              <w:t xml:space="preserve"> U. G</w:t>
            </w:r>
            <w:r>
              <w:rPr>
                <w:rFonts w:ascii="Arial" w:cs="Arial" w:eastAsia="Arial" w:hAnsi="Arial"/>
                <w:sz w:val="12"/>
                <w:szCs w:val="12"/>
                <w:color w:val="auto"/>
                <w:w w:val="96"/>
              </w:rPr>
              <w:t>ILPIN</w:t>
            </w:r>
          </w:p>
        </w:tc>
      </w:tr>
      <w:tr>
        <w:trPr>
          <w:trHeight w:val="178"/>
        </w:trPr>
        <w:tc>
          <w:tcPr>
            <w:tcW w:w="3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1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5"/>
              </w:rPr>
              <w:t>Edward U. Gilpin</w:t>
            </w:r>
          </w:p>
        </w:tc>
      </w:tr>
      <w:tr>
        <w:trPr>
          <w:trHeight w:val="203"/>
        </w:trPr>
        <w:tc>
          <w:tcPr>
            <w:tcW w:w="3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689"/>
        </w:trPr>
        <w:tc>
          <w:tcPr>
            <w:tcW w:w="35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bullet"/>
      <w:start w:val="1"/>
    </w:lvl>
  </w:abstractNum>
  <w:abstractNum w:abstractNumId="3">
    <w:nsid w:val="54E49EB4"/>
    <w:multiLevelType w:val="hybridMultilevel"/>
    <w:lvl w:ilvl="0">
      <w:lvlJc w:val="left"/>
      <w:lvlText w:val="2"/>
      <w:numFmt w:val="bullet"/>
      <w:start w:val="1"/>
    </w:lvl>
  </w:abstractNum>
  <w:abstractNum w:abstractNumId="4">
    <w:nsid w:val="71F32454"/>
    <w:multiLevelType w:val="hybridMultilevel"/>
    <w:lvl w:ilvl="0">
      <w:lvlJc w:val="left"/>
      <w:lvlText w:val="3"/>
      <w:numFmt w:val="bullet"/>
      <w:start w:val="1"/>
    </w:lvl>
  </w:abstractNum>
  <w:abstractNum w:abstractNumId="5">
    <w:nsid w:val="2CA88611"/>
    <w:multiLevelType w:val="hybridMultilevel"/>
    <w:lvl w:ilvl="0">
      <w:lvlJc w:val="left"/>
      <w:lvlText w:val="4"/>
      <w:numFmt w:val="bullet"/>
      <w:start w:val="1"/>
    </w:lvl>
  </w:abstractNum>
  <w:abstractNum w:abstractNumId="6">
    <w:nsid w:val="836C40E"/>
    <w:multiLevelType w:val="hybridMultilevel"/>
    <w:lvl w:ilvl="0">
      <w:lvlJc w:val="left"/>
      <w:lvlText w:val="5"/>
      <w:numFmt w:val="bullet"/>
      <w:start w:val="1"/>
    </w:lvl>
  </w:abstractNum>
  <w:abstractNum w:abstractNumId="7">
    <w:nsid w:val="2901D82"/>
    <w:multiLevelType w:val="hybridMultilevel"/>
    <w:lvl w:ilvl="0">
      <w:lvlJc w:val="left"/>
      <w:lvlText w:val="6"/>
      <w:numFmt w:val="bullet"/>
      <w:start w:val="1"/>
    </w:lvl>
  </w:abstractNum>
  <w:abstractNum w:abstractNumId="8">
    <w:nsid w:val="3A95F874"/>
    <w:multiLevelType w:val="hybridMultilevel"/>
    <w:lvl w:ilvl="0">
      <w:lvlJc w:val="left"/>
      <w:lvlText w:val="7"/>
      <w:numFmt w:val="bullet"/>
      <w:start w:val="1"/>
    </w:lvl>
  </w:abstractNum>
  <w:abstractNum w:abstractNumId="9">
    <w:nsid w:val="8138641"/>
    <w:multiLevelType w:val="hybridMultilevel"/>
    <w:lvl w:ilvl="0">
      <w:lvlJc w:val="left"/>
      <w:lvlText w:val="8"/>
      <w:numFmt w:val="bullet"/>
      <w:start w:val="1"/>
    </w:lvl>
  </w:abstractNum>
  <w:abstractNum w:abstractNumId="10">
    <w:nsid w:val="1E7FF521"/>
    <w:multiLevelType w:val="hybridMultilevel"/>
    <w:lvl w:ilvl="0">
      <w:lvlJc w:val="left"/>
      <w:lvlText w:val="9"/>
      <w:numFmt w:val="bullet"/>
      <w:start w:val="1"/>
    </w:lvl>
  </w:abstractNum>
  <w:abstractNum w:abstractNumId="11">
    <w:nsid w:val="7C3DBD3D"/>
    <w:multiLevelType w:val="hybridMultilevel"/>
    <w:lvl w:ilvl="0">
      <w:lvlJc w:val="left"/>
      <w:lvlText w:val="%1"/>
      <w:numFmt w:val="decimal"/>
      <w:start w:val="10"/>
    </w:lvl>
  </w:abstractNum>
  <w:abstractNum w:abstractNumId="12">
    <w:nsid w:val="737B8DDC"/>
    <w:multiLevelType w:val="hybridMultilevel"/>
    <w:lvl w:ilvl="0">
      <w:lvlJc w:val="left"/>
      <w:lvlText w:val="%1"/>
      <w:numFmt w:val="upperLetter"/>
      <w:start w:val="54"/>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bullet"/>
      <w:start w:val="1"/>
    </w:lvl>
  </w:abstractNum>
  <w:abstractNum w:abstractNumId="15">
    <w:nsid w:val="4516DDE9"/>
    <w:multiLevelType w:val="hybridMultilevel"/>
    <w:lvl w:ilvl="0">
      <w:lvlJc w:val="left"/>
      <w:lvlText w:val="2"/>
      <w:numFmt w:val="bullet"/>
      <w:start w:val="1"/>
    </w:lvl>
  </w:abstractNum>
  <w:abstractNum w:abstractNumId="16">
    <w:nsid w:val="3006C83E"/>
    <w:multiLevelType w:val="hybridMultilevel"/>
    <w:lvl w:ilvl="0">
      <w:lvlJc w:val="left"/>
      <w:lvlText w:val="3"/>
      <w:numFmt w:val="bullet"/>
      <w:start w:val="1"/>
    </w:lvl>
  </w:abstractNum>
  <w:abstractNum w:abstractNumId="17">
    <w:nsid w:val="614FD4A1"/>
    <w:multiLevelType w:val="hybridMultilevel"/>
    <w:lvl w:ilvl="0">
      <w:lvlJc w:val="left"/>
      <w:lvlText w:val="4"/>
      <w:numFmt w:val="bullet"/>
      <w:start w:val="1"/>
    </w:lvl>
  </w:abstractNum>
  <w:abstractNum w:abstractNumId="18">
    <w:nsid w:val="419AC241"/>
    <w:multiLevelType w:val="hybridMultilevel"/>
    <w:lvl w:ilvl="0">
      <w:lvlJc w:val="left"/>
      <w:lvlText w:val="¹"/>
      <w:numFmt w:val="bullet"/>
      <w:start w:val="1"/>
    </w:lvl>
  </w:abstractNum>
  <w:abstractNum w:abstractNumId="19">
    <w:nsid w:val="5577F8E1"/>
    <w:multiLevelType w:val="hybridMultilevel"/>
    <w:lvl w:ilvl="0">
      <w:lvlJc w:val="left"/>
      <w:lvlText w:val="²"/>
      <w:numFmt w:val="bullet"/>
      <w:start w:val="1"/>
    </w:lvl>
  </w:abstractNum>
  <w:abstractNum w:abstractNumId="20">
    <w:nsid w:val="440BADFC"/>
    <w:multiLevelType w:val="hybridMultilevel"/>
    <w:lvl w:ilvl="0">
      <w:lvlJc w:val="left"/>
      <w:lvlText w:val="1"/>
      <w:numFmt w:val="bullet"/>
      <w:start w:val="1"/>
    </w:lvl>
  </w:abstractNum>
  <w:abstractNum w:abstractNumId="21">
    <w:nsid w:val="5072367"/>
    <w:multiLevelType w:val="hybridMultilevel"/>
    <w:lvl w:ilvl="0">
      <w:lvlJc w:val="left"/>
      <w:lvlText w:val="2"/>
      <w:numFmt w:val="bullet"/>
      <w:start w:val="1"/>
    </w:lvl>
  </w:abstractNum>
  <w:abstractNum w:abstractNumId="22">
    <w:nsid w:val="3804823E"/>
    <w:multiLevelType w:val="hybridMultilevel"/>
    <w:lvl w:ilvl="0">
      <w:lvlJc w:val="left"/>
      <w:lvlText w:val="3"/>
      <w:numFmt w:val="bullet"/>
      <w:start w:val="1"/>
    </w:lvl>
  </w:abstractNum>
  <w:abstractNum w:abstractNumId="23">
    <w:nsid w:val="77465F01"/>
    <w:multiLevelType w:val="hybridMultilevel"/>
    <w:lvl w:ilvl="0">
      <w:lvlJc w:val="left"/>
      <w:lvlText w:val="¹"/>
      <w:numFmt w:val="bullet"/>
      <w:start w:val="1"/>
    </w:lvl>
  </w:abstractNum>
  <w:abstractNum w:abstractNumId="24">
    <w:nsid w:val="7724C67E"/>
    <w:multiLevelType w:val="hybridMultilevel"/>
    <w:lvl w:ilvl="0">
      <w:lvlJc w:val="left"/>
      <w:lvlText w:val="¹"/>
      <w:numFmt w:val="bullet"/>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bullet"/>
      <w:start w:val="1"/>
    </w:lvl>
  </w:abstractNum>
  <w:abstractNum w:abstractNumId="27">
    <w:nsid w:val="5E884ADC"/>
    <w:multiLevelType w:val="hybridMultilevel"/>
    <w:lvl w:ilvl="0">
      <w:lvlJc w:val="left"/>
      <w:lvlText w:val="(%1)"/>
      <w:numFmt w:val="lowerRoman"/>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¹"/>
      <w:numFmt w:val="bullet"/>
      <w:start w:val="1"/>
    </w:lvl>
  </w:abstractNum>
  <w:abstractNum w:abstractNumId="30">
    <w:nsid w:val="580BD78F"/>
    <w:multiLevelType w:val="hybridMultilevel"/>
    <w:lvl w:ilvl="0">
      <w:lvlJc w:val="left"/>
      <w:lvlText w:val="²"/>
      <w:numFmt w:val="bullet"/>
      <w:start w:val="1"/>
    </w:lvl>
  </w:abstractNum>
  <w:abstractNum w:abstractNumId="31">
    <w:nsid w:val="153EA438"/>
    <w:multiLevelType w:val="hybridMultilevel"/>
    <w:lvl w:ilvl="0">
      <w:lvlJc w:val="left"/>
      <w:lvlText w:val="1"/>
      <w:numFmt w:val="bullet"/>
      <w:start w:val="1"/>
    </w:lvl>
  </w:abstractNum>
  <w:abstractNum w:abstractNumId="32">
    <w:nsid w:val="3855585C"/>
    <w:multiLevelType w:val="hybridMultilevel"/>
    <w:lvl w:ilvl="0">
      <w:lvlJc w:val="left"/>
      <w:lvlText w:val="2"/>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¹"/>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¹"/>
      <w:numFmt w:val="bullet"/>
      <w:start w:val="1"/>
    </w:lvl>
  </w:abstractNum>
  <w:abstractNum w:abstractNumId="37">
    <w:nsid w:val="725A06FB"/>
    <w:multiLevelType w:val="hybridMultilevel"/>
    <w:lvl w:ilvl="0">
      <w:lvlJc w:val="left"/>
      <w:lvlText w:val="¹"/>
      <w:numFmt w:val="bullet"/>
      <w:start w:val="1"/>
    </w:lvl>
  </w:abstractNum>
  <w:abstractNum w:abstractNumId="38">
    <w:nsid w:val="2CD89A32"/>
    <w:multiLevelType w:val="hybridMultilevel"/>
    <w:lvl w:ilvl="0">
      <w:lvlJc w:val="left"/>
      <w:lvlText w:val="²"/>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2019-12-29T06:42:55Z</dcterms:created>
  <dcterms:modified xsi:type="dcterms:W3CDTF">2019-12-29T06:42:55Z</dcterms:modified>
</cp:coreProperties>
</file>