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Kehler Dean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 MADISON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BCP Investment Corp</w:t>
              </w:r>
            </w:hyperlink>
            <w:r>
              <w:rPr/>
              <w:t xml:space="preserve"> [ </w:t>
            </w:r>
            <w:r>
              <w:rPr>
                <w:rFonts w:ascii="Times;serif" w:hAnsi="Times;serif"/>
                <w:color w:val="0000FF"/>
                <w:sz w:val="24"/>
                <w:shd w:fill="FFFFFF" w:val="clear"/>
              </w:rPr>
              <w:t>BCIC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9"/>
        <w:gridCol w:w="917"/>
        <w:gridCol w:w="787"/>
        <w:gridCol w:w="609"/>
        <w:gridCol w:w="339"/>
        <w:gridCol w:w="905"/>
        <w:gridCol w:w="418"/>
        <w:gridCol w:w="991"/>
        <w:gridCol w:w="1109"/>
        <w:gridCol w:w="961"/>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12/29/2025</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w:t>
            </w:r>
            <w:r>
              <w:rPr/>
              <w:t xml:space="preserve"> </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137,770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12/29/2025</w:t>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28,673</w:t>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11.8553</w:t>
            </w:r>
            <w:r>
              <w:rPr>
                <w:rFonts w:ascii="Times;serif" w:hAnsi="Times;serif"/>
                <w:color w:val="008000"/>
                <w:position w:val="7"/>
                <w:sz w:val="16"/>
                <w:sz w:val="20"/>
                <w:shd w:fill="FFFFFF" w:val="clear"/>
              </w:rPr>
              <w:t>(1)(2)</w:t>
            </w:r>
            <w:r>
              <w:rPr/>
              <w:t xml:space="preserve"> </w:t>
            </w:r>
          </w:p>
        </w:tc>
        <w:tc>
          <w:tcPr>
            <w:tcW w:w="11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137,770</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Individual Retirement Account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$11.7714 to $11.98,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Due to an operational error concerning the tendering of shares, the shares should have been tendered at a price of $13.63, which is the tender offer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Dean C. Kehler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2745" TargetMode="External"/><Relationship Id="rId5" Type="http://schemas.openxmlformats.org/officeDocument/2006/relationships/hyperlink" Target="http://www.sec.gov/cgi-bin/browse-edgar?action=getcompany&amp;CIK=00013728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3599</Characters>
  <CharactersWithSpaces>4203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